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spacing w:after="0" w:before="0" w:line="288" w:lineRule="auto"/>
        <w:rPr>
          <w:b w:val="1"/>
        </w:rPr>
      </w:pPr>
      <w:r w:rsidDel="00000000" w:rsidR="00000000" w:rsidRPr="00000000">
        <w:rPr>
          <w:b w:val="1"/>
          <w:rtl w:val="0"/>
        </w:rPr>
        <w:t xml:space="preserve">Dylan Arnold  -  2501635</w:t>
      </w:r>
    </w:p>
    <w:p w:rsidR="00000000" w:rsidDel="00000000" w:rsidP="00000000" w:rsidRDefault="00000000" w:rsidRPr="00000000" w14:paraId="00000002">
      <w:pPr>
        <w:keepNext w:val="0"/>
        <w:keepLines w:val="0"/>
        <w:spacing w:after="0" w:before="0" w:line="288" w:lineRule="auto"/>
        <w:rPr>
          <w:b w:val="1"/>
        </w:rPr>
      </w:pPr>
      <w:r w:rsidDel="00000000" w:rsidR="00000000" w:rsidRPr="00000000">
        <w:rPr>
          <w:rtl w:val="0"/>
        </w:rPr>
      </w:r>
    </w:p>
    <w:p w:rsidR="00000000" w:rsidDel="00000000" w:rsidP="00000000" w:rsidRDefault="00000000" w:rsidRPr="00000000" w14:paraId="00000003">
      <w:pPr>
        <w:keepNext w:val="0"/>
        <w:keepLines w:val="0"/>
        <w:spacing w:after="0" w:before="0" w:line="288" w:lineRule="auto"/>
        <w:rPr>
          <w:b w:val="1"/>
        </w:rPr>
      </w:pPr>
      <w:r w:rsidDel="00000000" w:rsidR="00000000" w:rsidRPr="00000000">
        <w:rPr>
          <w:b w:val="1"/>
          <w:rtl w:val="0"/>
        </w:rPr>
        <w:t xml:space="preserve">Academic Skills (Sport, Health and Outdoor Education) (BMSH4200/C)</w:t>
      </w:r>
    </w:p>
    <w:p w:rsidR="00000000" w:rsidDel="00000000" w:rsidP="00000000" w:rsidRDefault="00000000" w:rsidRPr="00000000" w14:paraId="00000004">
      <w:pPr>
        <w:spacing w:after="240" w:before="240" w:lineRule="auto"/>
        <w:rPr>
          <w:b w:val="1"/>
        </w:rPr>
      </w:pPr>
      <w:r w:rsidDel="00000000" w:rsidR="00000000" w:rsidRPr="00000000">
        <w:rPr>
          <w:b w:val="1"/>
          <w:rtl w:val="0"/>
        </w:rPr>
        <w:t xml:space="preserve">Discuss whether Physical Education should be a compulsory part of the school curriculum.</w:t>
      </w:r>
    </w:p>
    <w:p w:rsidR="00000000" w:rsidDel="00000000" w:rsidP="00000000" w:rsidRDefault="00000000" w:rsidRPr="00000000" w14:paraId="00000005">
      <w:pPr>
        <w:spacing w:after="240" w:before="240" w:lineRule="auto"/>
        <w:rPr/>
      </w:pPr>
      <w:r w:rsidDel="00000000" w:rsidR="00000000" w:rsidRPr="00000000">
        <w:rPr>
          <w:rtl w:val="0"/>
        </w:rPr>
        <w:t xml:space="preserve">Physical Education has been a huge part of schooling for a number of years, but the question of whether it should be compulsory is still something people argue about. Some feel that schools should prioritise subjects like maths, English, and science, since these are viewed as more important for exams and future employment. However, I believe PE holds equal importance, if not more, as it helps students develop their health, self-confidence, and teamwork skills. These are skills that are just as important in real life as what you learn in the classroom.</w:t>
      </w:r>
    </w:p>
    <w:p w:rsidR="00000000" w:rsidDel="00000000" w:rsidP="00000000" w:rsidRDefault="00000000" w:rsidRPr="00000000" w14:paraId="00000006">
      <w:pPr>
        <w:spacing w:after="240" w:before="240" w:lineRule="auto"/>
        <w:rPr/>
      </w:pPr>
      <w:r w:rsidDel="00000000" w:rsidR="00000000" w:rsidRPr="00000000">
        <w:rPr>
          <w:rtl w:val="0"/>
        </w:rPr>
        <w:t xml:space="preserve">Physical Education offers huge benefits, including lowering the risk of obesity and heart disease. Taking part in regular physical activity helps people stay fit and healthy, making it a vital part of overall health and well-being (Janssen and LeBlanc, 2010). We now live in a world where most children spend their spare time on screens. So, PE lessons are often the only chance where children may engage and any form of physical activity. PE also give children the opportunity to be active, even if they may not be able to afford to play for a club or join a gym outside of school (CDC, 2020).</w:t>
      </w:r>
    </w:p>
    <w:p w:rsidR="00000000" w:rsidDel="00000000" w:rsidP="00000000" w:rsidRDefault="00000000" w:rsidRPr="00000000" w14:paraId="00000007">
      <w:pPr>
        <w:spacing w:after="240" w:before="240" w:lineRule="auto"/>
        <w:rPr/>
      </w:pPr>
      <w:r w:rsidDel="00000000" w:rsidR="00000000" w:rsidRPr="00000000">
        <w:rPr>
          <w:rtl w:val="0"/>
        </w:rPr>
        <w:t xml:space="preserve">Physical Education has been known for providing an improvement in mental well-being. Engaging in exercise can not only improve your mood but also reduce stress and help boost children's concentration levels in lessons (Biddle and Asare, 2011). I've noticed myself, and also studies have shown that children are more alert and ready to learn after a PE lesson (Watson et al., 2017). This links with Maslow’s (1943) theory that our physical and emotional needs must be met before we can reach higher levels of learning.</w:t>
      </w:r>
    </w:p>
    <w:p w:rsidR="00000000" w:rsidDel="00000000" w:rsidP="00000000" w:rsidRDefault="00000000" w:rsidRPr="00000000" w14:paraId="00000008">
      <w:pPr>
        <w:spacing w:after="240" w:before="240" w:lineRule="auto"/>
        <w:rPr/>
      </w:pPr>
      <w:r w:rsidDel="00000000" w:rsidR="00000000" w:rsidRPr="00000000">
        <w:rPr>
          <w:rtl w:val="0"/>
        </w:rPr>
        <w:t xml:space="preserve">Physical Education also provides a social aspect to it. Participating in teams and engaging in group activities will teach children how to communicate and support one another. These are valuable life skills that will 100% be used outside of the classroom and in real-life situations (Bailey, 2006). The Sport Education model also supports this by helping pupils of all abilities feel included and work together as a team, building confidence and a sense of belonging (Siedentop, Hastie &amp; Van der Mars, 2019).</w:t>
      </w:r>
    </w:p>
    <w:p w:rsidR="00000000" w:rsidDel="00000000" w:rsidP="00000000" w:rsidRDefault="00000000" w:rsidRPr="00000000" w14:paraId="00000009">
      <w:pPr>
        <w:spacing w:after="240" w:before="240" w:lineRule="auto"/>
        <w:rPr/>
      </w:pPr>
      <w:r w:rsidDel="00000000" w:rsidR="00000000" w:rsidRPr="00000000">
        <w:rPr>
          <w:rtl w:val="0"/>
        </w:rPr>
        <w:t xml:space="preserve">Of course, not everybody is a fan of PE. Some children feel self-conscious or worry about their abilities (Lewis et al., 2014), while others feel it takes their focus away from ‘core subjects’ (Boyle et al., 2008). However, on the other hand, most schools offer a variety of physical activities, such as dance, yoga, and different forms of fitness, allowing children to find a form they enjoy and feel comfortable with (DfE, 2022). The point of PE isn't to turn everyone into professional athletes, it's to help the pupils develop healthy habits and confidence. </w:t>
      </w:r>
    </w:p>
    <w:p w:rsidR="00000000" w:rsidDel="00000000" w:rsidP="00000000" w:rsidRDefault="00000000" w:rsidRPr="00000000" w14:paraId="0000000A">
      <w:pPr>
        <w:spacing w:after="240" w:before="240" w:lineRule="auto"/>
        <w:rPr/>
      </w:pPr>
      <w:r w:rsidDel="00000000" w:rsidR="00000000" w:rsidRPr="00000000">
        <w:rPr>
          <w:rtl w:val="0"/>
        </w:rPr>
      </w:r>
    </w:p>
    <w:p w:rsidR="00000000" w:rsidDel="00000000" w:rsidP="00000000" w:rsidRDefault="00000000" w:rsidRPr="00000000" w14:paraId="0000000B">
      <w:pPr>
        <w:spacing w:after="240" w:before="240" w:lineRule="auto"/>
        <w:rPr/>
      </w:pPr>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rtl w:val="0"/>
        </w:rPr>
      </w:r>
    </w:p>
    <w:p w:rsidR="00000000" w:rsidDel="00000000" w:rsidP="00000000" w:rsidRDefault="00000000" w:rsidRPr="00000000" w14:paraId="0000000D">
      <w:pPr>
        <w:spacing w:after="240" w:before="240" w:lineRule="auto"/>
        <w:rPr/>
      </w:pPr>
      <w:r w:rsidDel="00000000" w:rsidR="00000000" w:rsidRPr="00000000">
        <w:rPr>
          <w:rtl w:val="0"/>
        </w:rPr>
        <w:t xml:space="preserve">Overall, PE should continue to be a compulsory part of school life. It provides both physical and mental health benefits, helps pupils develop teamwork and communication skills, and encourages habits that can be taken outside of school. Academic subjects are, of course, important, but learning to care for your body and mind is just as important. Keeping PE as a compulsory subject ensures every pupil has the chance to be active, build confidence, and feel included.</w:t>
      </w:r>
    </w:p>
    <w:p w:rsidR="00000000" w:rsidDel="00000000" w:rsidP="00000000" w:rsidRDefault="00000000" w:rsidRPr="00000000" w14:paraId="0000000E">
      <w:pPr>
        <w:spacing w:after="240" w:before="240" w:lineRule="auto"/>
        <w:rPr>
          <w:b w:val="1"/>
        </w:rPr>
      </w:pPr>
      <w:r w:rsidDel="00000000" w:rsidR="00000000" w:rsidRPr="00000000">
        <w:rPr>
          <w:rtl w:val="0"/>
        </w:rPr>
      </w:r>
    </w:p>
    <w:p w:rsidR="00000000" w:rsidDel="00000000" w:rsidP="00000000" w:rsidRDefault="00000000" w:rsidRPr="00000000" w14:paraId="0000000F">
      <w:pPr>
        <w:spacing w:after="240" w:before="240" w:lineRule="auto"/>
        <w:rPr>
          <w:b w:val="1"/>
        </w:rPr>
      </w:pPr>
      <w:r w:rsidDel="00000000" w:rsidR="00000000" w:rsidRPr="00000000">
        <w:rPr>
          <w:rtl w:val="0"/>
        </w:rPr>
      </w:r>
    </w:p>
    <w:p w:rsidR="00000000" w:rsidDel="00000000" w:rsidP="00000000" w:rsidRDefault="00000000" w:rsidRPr="00000000" w14:paraId="00000010">
      <w:pPr>
        <w:spacing w:after="240" w:before="240" w:lineRule="auto"/>
        <w:rPr>
          <w:b w:val="1"/>
        </w:rPr>
      </w:pPr>
      <w:r w:rsidDel="00000000" w:rsidR="00000000" w:rsidRPr="00000000">
        <w:rPr>
          <w:rtl w:val="0"/>
        </w:rPr>
      </w:r>
    </w:p>
    <w:p w:rsidR="00000000" w:rsidDel="00000000" w:rsidP="00000000" w:rsidRDefault="00000000" w:rsidRPr="00000000" w14:paraId="00000011">
      <w:pPr>
        <w:spacing w:after="240" w:before="240" w:lineRule="auto"/>
        <w:rPr>
          <w:b w:val="1"/>
        </w:rPr>
      </w:pPr>
      <w:r w:rsidDel="00000000" w:rsidR="00000000" w:rsidRPr="00000000">
        <w:rPr>
          <w:rtl w:val="0"/>
        </w:rPr>
      </w:r>
    </w:p>
    <w:p w:rsidR="00000000" w:rsidDel="00000000" w:rsidP="00000000" w:rsidRDefault="00000000" w:rsidRPr="00000000" w14:paraId="00000012">
      <w:pPr>
        <w:spacing w:after="240" w:before="240" w:lineRule="auto"/>
        <w:rPr>
          <w:b w:val="1"/>
        </w:rPr>
      </w:pPr>
      <w:r w:rsidDel="00000000" w:rsidR="00000000" w:rsidRPr="00000000">
        <w:rPr>
          <w:rtl w:val="0"/>
        </w:rPr>
      </w:r>
    </w:p>
    <w:p w:rsidR="00000000" w:rsidDel="00000000" w:rsidP="00000000" w:rsidRDefault="00000000" w:rsidRPr="00000000" w14:paraId="00000013">
      <w:pPr>
        <w:spacing w:after="240" w:before="240" w:lineRule="auto"/>
        <w:rPr>
          <w:b w:val="1"/>
        </w:rPr>
      </w:pPr>
      <w:r w:rsidDel="00000000" w:rsidR="00000000" w:rsidRPr="00000000">
        <w:rPr>
          <w:rtl w:val="0"/>
        </w:rPr>
      </w:r>
    </w:p>
    <w:p w:rsidR="00000000" w:rsidDel="00000000" w:rsidP="00000000" w:rsidRDefault="00000000" w:rsidRPr="00000000" w14:paraId="00000014">
      <w:pPr>
        <w:spacing w:after="240" w:before="240" w:lineRule="auto"/>
        <w:rPr>
          <w:b w:val="1"/>
        </w:rPr>
      </w:pPr>
      <w:r w:rsidDel="00000000" w:rsidR="00000000" w:rsidRPr="00000000">
        <w:rPr>
          <w:rtl w:val="0"/>
        </w:rPr>
      </w:r>
    </w:p>
    <w:p w:rsidR="00000000" w:rsidDel="00000000" w:rsidP="00000000" w:rsidRDefault="00000000" w:rsidRPr="00000000" w14:paraId="00000015">
      <w:pPr>
        <w:spacing w:after="240" w:before="240" w:lineRule="auto"/>
        <w:rPr>
          <w:b w:val="1"/>
        </w:rPr>
      </w:pPr>
      <w:r w:rsidDel="00000000" w:rsidR="00000000" w:rsidRPr="00000000">
        <w:rPr>
          <w:rtl w:val="0"/>
        </w:rPr>
      </w:r>
    </w:p>
    <w:p w:rsidR="00000000" w:rsidDel="00000000" w:rsidP="00000000" w:rsidRDefault="00000000" w:rsidRPr="00000000" w14:paraId="00000016">
      <w:pPr>
        <w:spacing w:after="240" w:before="240" w:lineRule="auto"/>
        <w:rPr>
          <w:b w:val="1"/>
        </w:rPr>
      </w:pPr>
      <w:r w:rsidDel="00000000" w:rsidR="00000000" w:rsidRPr="00000000">
        <w:rPr>
          <w:rtl w:val="0"/>
        </w:rPr>
      </w:r>
    </w:p>
    <w:p w:rsidR="00000000" w:rsidDel="00000000" w:rsidP="00000000" w:rsidRDefault="00000000" w:rsidRPr="00000000" w14:paraId="00000017">
      <w:pPr>
        <w:spacing w:after="240" w:before="240" w:lineRule="auto"/>
        <w:rPr>
          <w:b w:val="1"/>
        </w:rPr>
      </w:pPr>
      <w:r w:rsidDel="00000000" w:rsidR="00000000" w:rsidRPr="00000000">
        <w:rPr>
          <w:rtl w:val="0"/>
        </w:rPr>
      </w:r>
    </w:p>
    <w:p w:rsidR="00000000" w:rsidDel="00000000" w:rsidP="00000000" w:rsidRDefault="00000000" w:rsidRPr="00000000" w14:paraId="00000018">
      <w:pPr>
        <w:spacing w:after="240" w:before="240" w:lineRule="auto"/>
        <w:rPr>
          <w:b w:val="1"/>
        </w:rPr>
      </w:pPr>
      <w:r w:rsidDel="00000000" w:rsidR="00000000" w:rsidRPr="00000000">
        <w:rPr>
          <w:rtl w:val="0"/>
        </w:rPr>
      </w:r>
    </w:p>
    <w:p w:rsidR="00000000" w:rsidDel="00000000" w:rsidP="00000000" w:rsidRDefault="00000000" w:rsidRPr="00000000" w14:paraId="00000019">
      <w:pPr>
        <w:spacing w:after="240" w:before="240" w:lineRule="auto"/>
        <w:rPr>
          <w:b w:val="1"/>
        </w:rPr>
      </w:pPr>
      <w:r w:rsidDel="00000000" w:rsidR="00000000" w:rsidRPr="00000000">
        <w:rPr>
          <w:rtl w:val="0"/>
        </w:rPr>
      </w:r>
    </w:p>
    <w:p w:rsidR="00000000" w:rsidDel="00000000" w:rsidP="00000000" w:rsidRDefault="00000000" w:rsidRPr="00000000" w14:paraId="0000001A">
      <w:pPr>
        <w:spacing w:after="240" w:before="240" w:lineRule="auto"/>
        <w:rPr>
          <w:b w:val="1"/>
        </w:rPr>
      </w:pPr>
      <w:r w:rsidDel="00000000" w:rsidR="00000000" w:rsidRPr="00000000">
        <w:rPr>
          <w:rtl w:val="0"/>
        </w:rPr>
      </w:r>
    </w:p>
    <w:p w:rsidR="00000000" w:rsidDel="00000000" w:rsidP="00000000" w:rsidRDefault="00000000" w:rsidRPr="00000000" w14:paraId="0000001B">
      <w:pPr>
        <w:spacing w:after="240" w:before="240" w:lineRule="auto"/>
        <w:rPr>
          <w:b w:val="1"/>
        </w:rPr>
      </w:pPr>
      <w:r w:rsidDel="00000000" w:rsidR="00000000" w:rsidRPr="00000000">
        <w:rPr>
          <w:rtl w:val="0"/>
        </w:rPr>
      </w:r>
    </w:p>
    <w:p w:rsidR="00000000" w:rsidDel="00000000" w:rsidP="00000000" w:rsidRDefault="00000000" w:rsidRPr="00000000" w14:paraId="0000001C">
      <w:pPr>
        <w:spacing w:after="240" w:before="240" w:lineRule="auto"/>
        <w:rPr>
          <w:b w:val="1"/>
        </w:rPr>
      </w:pPr>
      <w:r w:rsidDel="00000000" w:rsidR="00000000" w:rsidRPr="00000000">
        <w:rPr>
          <w:rtl w:val="0"/>
        </w:rPr>
      </w:r>
    </w:p>
    <w:p w:rsidR="00000000" w:rsidDel="00000000" w:rsidP="00000000" w:rsidRDefault="00000000" w:rsidRPr="00000000" w14:paraId="0000001D">
      <w:pPr>
        <w:spacing w:after="240" w:before="240" w:lineRule="auto"/>
        <w:rPr>
          <w:b w:val="1"/>
        </w:rPr>
      </w:pPr>
      <w:r w:rsidDel="00000000" w:rsidR="00000000" w:rsidRPr="00000000">
        <w:rPr>
          <w:rtl w:val="0"/>
        </w:rPr>
      </w:r>
    </w:p>
    <w:p w:rsidR="00000000" w:rsidDel="00000000" w:rsidP="00000000" w:rsidRDefault="00000000" w:rsidRPr="00000000" w14:paraId="0000001E">
      <w:pPr>
        <w:spacing w:after="240" w:before="240" w:lineRule="auto"/>
        <w:rPr>
          <w:b w:val="1"/>
        </w:rPr>
      </w:pPr>
      <w:r w:rsidDel="00000000" w:rsidR="00000000" w:rsidRPr="00000000">
        <w:rPr>
          <w:rtl w:val="0"/>
        </w:rPr>
      </w:r>
    </w:p>
    <w:p w:rsidR="00000000" w:rsidDel="00000000" w:rsidP="00000000" w:rsidRDefault="00000000" w:rsidRPr="00000000" w14:paraId="0000001F">
      <w:pPr>
        <w:spacing w:after="240" w:before="240" w:lineRule="auto"/>
        <w:rPr>
          <w:b w:val="1"/>
        </w:rPr>
      </w:pPr>
      <w:r w:rsidDel="00000000" w:rsidR="00000000" w:rsidRPr="00000000">
        <w:rPr>
          <w:rtl w:val="0"/>
        </w:rPr>
      </w:r>
    </w:p>
    <w:p w:rsidR="00000000" w:rsidDel="00000000" w:rsidP="00000000" w:rsidRDefault="00000000" w:rsidRPr="00000000" w14:paraId="00000020">
      <w:pPr>
        <w:spacing w:after="240" w:before="240" w:lineRule="auto"/>
        <w:rPr>
          <w:b w:val="1"/>
        </w:rPr>
      </w:pPr>
      <w:r w:rsidDel="00000000" w:rsidR="00000000" w:rsidRPr="00000000">
        <w:rPr>
          <w:rtl w:val="0"/>
        </w:rPr>
      </w:r>
    </w:p>
    <w:p w:rsidR="00000000" w:rsidDel="00000000" w:rsidP="00000000" w:rsidRDefault="00000000" w:rsidRPr="00000000" w14:paraId="00000021">
      <w:pPr>
        <w:spacing w:after="240" w:before="240" w:lineRule="auto"/>
        <w:rPr>
          <w:b w:val="1"/>
        </w:rPr>
      </w:pPr>
      <w:r w:rsidDel="00000000" w:rsidR="00000000" w:rsidRPr="00000000">
        <w:rPr>
          <w:rtl w:val="0"/>
        </w:rPr>
      </w:r>
    </w:p>
    <w:p w:rsidR="00000000" w:rsidDel="00000000" w:rsidP="00000000" w:rsidRDefault="00000000" w:rsidRPr="00000000" w14:paraId="00000022">
      <w:pPr>
        <w:spacing w:after="240" w:before="240" w:lineRule="auto"/>
        <w:rPr>
          <w:b w:val="1"/>
        </w:rPr>
      </w:pPr>
      <w:r w:rsidDel="00000000" w:rsidR="00000000" w:rsidRPr="00000000">
        <w:rPr>
          <w:rtl w:val="0"/>
        </w:rPr>
      </w:r>
    </w:p>
    <w:p w:rsidR="00000000" w:rsidDel="00000000" w:rsidP="00000000" w:rsidRDefault="00000000" w:rsidRPr="00000000" w14:paraId="00000023">
      <w:pPr>
        <w:spacing w:after="240" w:before="240" w:lineRule="auto"/>
        <w:rPr>
          <w:b w:val="1"/>
        </w:rPr>
      </w:pPr>
      <w:r w:rsidDel="00000000" w:rsidR="00000000" w:rsidRPr="00000000">
        <w:rPr>
          <w:b w:val="1"/>
          <w:rtl w:val="0"/>
        </w:rPr>
        <w:t xml:space="preserve">Reference list </w:t>
      </w:r>
    </w:p>
    <w:p w:rsidR="00000000" w:rsidDel="00000000" w:rsidP="00000000" w:rsidRDefault="00000000" w:rsidRPr="00000000" w14:paraId="00000024">
      <w:pPr>
        <w:spacing w:after="240" w:before="240" w:lineRule="auto"/>
        <w:rPr/>
      </w:pPr>
      <w:r w:rsidDel="00000000" w:rsidR="00000000" w:rsidRPr="00000000">
        <w:rPr>
          <w:rtl w:val="0"/>
        </w:rPr>
        <w:t xml:space="preserve">Bailey, R. (2006) ‘Physical education and sport in schools: a review of benefits and outcomes’, </w:t>
      </w:r>
      <w:r w:rsidDel="00000000" w:rsidR="00000000" w:rsidRPr="00000000">
        <w:rPr>
          <w:i w:val="1"/>
          <w:rtl w:val="0"/>
        </w:rPr>
        <w:t xml:space="preserve">Journal of School Health</w:t>
      </w:r>
      <w:r w:rsidDel="00000000" w:rsidR="00000000" w:rsidRPr="00000000">
        <w:rPr>
          <w:rtl w:val="0"/>
        </w:rPr>
        <w:t xml:space="preserve">, 76(8), pp. 397–401. doi: 10.1111/j.1746-1561.2006.00132.x. Available at:</w:t>
      </w:r>
      <w:hyperlink r:id="rId6">
        <w:r w:rsidDel="00000000" w:rsidR="00000000" w:rsidRPr="00000000">
          <w:rPr>
            <w:rtl w:val="0"/>
          </w:rPr>
          <w:t xml:space="preserve"> </w:t>
        </w:r>
      </w:hyperlink>
      <w:hyperlink r:id="rId7">
        <w:r w:rsidDel="00000000" w:rsidR="00000000" w:rsidRPr="00000000">
          <w:rPr>
            <w:color w:val="1155cc"/>
            <w:u w:val="single"/>
            <w:rtl w:val="0"/>
          </w:rPr>
          <w:t xml:space="preserve">https://pubmed.ncbi.nlm.nih.gov/16978162/</w:t>
        </w:r>
      </w:hyperlink>
      <w:r w:rsidDel="00000000" w:rsidR="00000000" w:rsidRPr="00000000">
        <w:rPr>
          <w:rtl w:val="0"/>
        </w:rPr>
        <w:t xml:space="preserve"> (Accessed: 9 October 2025).</w:t>
      </w:r>
    </w:p>
    <w:p w:rsidR="00000000" w:rsidDel="00000000" w:rsidP="00000000" w:rsidRDefault="00000000" w:rsidRPr="00000000" w14:paraId="00000025">
      <w:pPr>
        <w:spacing w:after="240" w:before="240" w:lineRule="auto"/>
        <w:rPr/>
      </w:pPr>
      <w:r w:rsidDel="00000000" w:rsidR="00000000" w:rsidRPr="00000000">
        <w:rPr>
          <w:rtl w:val="0"/>
        </w:rPr>
        <w:t xml:space="preserve">Biddle, S.J. and Asare, M. (2011) ‘Physical activity and mental health in children and adolescents: a review of reviews’, </w:t>
      </w:r>
      <w:r w:rsidDel="00000000" w:rsidR="00000000" w:rsidRPr="00000000">
        <w:rPr>
          <w:i w:val="1"/>
          <w:rtl w:val="0"/>
        </w:rPr>
        <w:t xml:space="preserve">British Journal of Sports Medicine</w:t>
      </w:r>
      <w:r w:rsidDel="00000000" w:rsidR="00000000" w:rsidRPr="00000000">
        <w:rPr>
          <w:rtl w:val="0"/>
        </w:rPr>
        <w:t xml:space="preserve">, 45(11), pp. 886–895. doi: 10.1136/bjsports-2011-090185. Available at:</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https://pubmed.ncbi.nlm.nih.gov/21807669/</w:t>
        </w:r>
      </w:hyperlink>
      <w:r w:rsidDel="00000000" w:rsidR="00000000" w:rsidRPr="00000000">
        <w:rPr>
          <w:rtl w:val="0"/>
        </w:rPr>
        <w:t xml:space="preserve"> (Accessed: 9 October 2025).</w:t>
      </w:r>
    </w:p>
    <w:p w:rsidR="00000000" w:rsidDel="00000000" w:rsidP="00000000" w:rsidRDefault="00000000" w:rsidRPr="00000000" w14:paraId="00000026">
      <w:pPr>
        <w:spacing w:after="240" w:before="240" w:lineRule="auto"/>
        <w:rPr/>
      </w:pPr>
      <w:r w:rsidDel="00000000" w:rsidR="00000000" w:rsidRPr="00000000">
        <w:rPr>
          <w:rtl w:val="0"/>
        </w:rPr>
        <w:t xml:space="preserve">Boyle, S.E., Jones, G.L. and Walters, S.J. (2008) ‘Physical activity among adolescents and barriers to delivering physical education in Cornwall and Lancashire, UK’, </w:t>
      </w:r>
      <w:r w:rsidDel="00000000" w:rsidR="00000000" w:rsidRPr="00000000">
        <w:rPr>
          <w:i w:val="1"/>
          <w:rtl w:val="0"/>
        </w:rPr>
        <w:t xml:space="preserve">BMC Public Health</w:t>
      </w:r>
      <w:r w:rsidDel="00000000" w:rsidR="00000000" w:rsidRPr="00000000">
        <w:rPr>
          <w:rtl w:val="0"/>
        </w:rPr>
        <w:t xml:space="preserve">, 8, 273. Available at:</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https://bmcpublichealth.biomedcentral.com/articles/10.1186/1471-2458-8-273</w:t>
        </w:r>
      </w:hyperlink>
      <w:r w:rsidDel="00000000" w:rsidR="00000000" w:rsidRPr="00000000">
        <w:rPr>
          <w:rtl w:val="0"/>
        </w:rPr>
        <w:t xml:space="preserve"> (Accessed: 13 October 2025).</w:t>
      </w:r>
    </w:p>
    <w:p w:rsidR="00000000" w:rsidDel="00000000" w:rsidP="00000000" w:rsidRDefault="00000000" w:rsidRPr="00000000" w14:paraId="00000027">
      <w:pPr>
        <w:spacing w:after="240" w:before="240" w:lineRule="auto"/>
        <w:rPr/>
      </w:pPr>
      <w:r w:rsidDel="00000000" w:rsidR="00000000" w:rsidRPr="00000000">
        <w:rPr>
          <w:rtl w:val="0"/>
        </w:rPr>
        <w:t xml:space="preserve">Centres for Disease Control and Prevention (CDC) (2020) </w:t>
      </w:r>
      <w:r w:rsidDel="00000000" w:rsidR="00000000" w:rsidRPr="00000000">
        <w:rPr>
          <w:i w:val="1"/>
          <w:rtl w:val="0"/>
        </w:rPr>
        <w:t xml:space="preserve">Physical activity facts</w:t>
      </w:r>
      <w:r w:rsidDel="00000000" w:rsidR="00000000" w:rsidRPr="00000000">
        <w:rPr>
          <w:rtl w:val="0"/>
        </w:rPr>
        <w:t xml:space="preserve">. Available at: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https://www.cdc.gov/physical-activity</w:t>
        </w:r>
      </w:hyperlink>
      <w:r w:rsidDel="00000000" w:rsidR="00000000" w:rsidRPr="00000000">
        <w:rPr>
          <w:rtl w:val="0"/>
        </w:rPr>
        <w:t xml:space="preserve"> (Accessed: 9 October 2025).</w:t>
      </w:r>
    </w:p>
    <w:p w:rsidR="00000000" w:rsidDel="00000000" w:rsidP="00000000" w:rsidRDefault="00000000" w:rsidRPr="00000000" w14:paraId="00000028">
      <w:pPr>
        <w:spacing w:after="240" w:before="240" w:lineRule="auto"/>
        <w:rPr/>
      </w:pPr>
      <w:r w:rsidDel="00000000" w:rsidR="00000000" w:rsidRPr="00000000">
        <w:rPr>
          <w:rtl w:val="0"/>
        </w:rPr>
        <w:t xml:space="preserve">Department for Education (DfE) (2022) </w:t>
      </w:r>
      <w:r w:rsidDel="00000000" w:rsidR="00000000" w:rsidRPr="00000000">
        <w:rPr>
          <w:i w:val="1"/>
          <w:rtl w:val="0"/>
        </w:rPr>
        <w:t xml:space="preserve">National Curriculum in England: Physical Education Programmes of Study</w:t>
      </w:r>
      <w:r w:rsidDel="00000000" w:rsidR="00000000" w:rsidRPr="00000000">
        <w:rPr>
          <w:rtl w:val="0"/>
        </w:rPr>
        <w:t xml:space="preserve">. Available at: https://www.gov.uk/government/publications/national-curriculum-in-england-physical-education-programmes-of-study (Accessed: 9 October 2025).</w:t>
      </w:r>
    </w:p>
    <w:p w:rsidR="00000000" w:rsidDel="00000000" w:rsidP="00000000" w:rsidRDefault="00000000" w:rsidRPr="00000000" w14:paraId="00000029">
      <w:pPr>
        <w:spacing w:after="240" w:before="240" w:lineRule="auto"/>
        <w:rPr/>
      </w:pPr>
      <w:r w:rsidDel="00000000" w:rsidR="00000000" w:rsidRPr="00000000">
        <w:rPr>
          <w:rtl w:val="0"/>
        </w:rPr>
        <w:t xml:space="preserve">Janssen, I. and LeBlanc, A.G. (2010) ‘Systematic review of the health benefits of physical activity and fitness in school-aged children and youth’, </w:t>
      </w:r>
      <w:r w:rsidDel="00000000" w:rsidR="00000000" w:rsidRPr="00000000">
        <w:rPr>
          <w:i w:val="1"/>
          <w:rtl w:val="0"/>
        </w:rPr>
        <w:t xml:space="preserve">International Journal of Behavioral Nutrition and Physical Activity</w:t>
      </w:r>
      <w:r w:rsidDel="00000000" w:rsidR="00000000" w:rsidRPr="00000000">
        <w:rPr>
          <w:rtl w:val="0"/>
        </w:rPr>
        <w:t xml:space="preserve">, 7, 40. doi: 10.1186/1479-5868-7-40. Available at:</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https://pubmed.ncbi.nlm.nih.gov/20459784/</w:t>
        </w:r>
      </w:hyperlink>
      <w:r w:rsidDel="00000000" w:rsidR="00000000" w:rsidRPr="00000000">
        <w:rPr>
          <w:rtl w:val="0"/>
        </w:rPr>
        <w:t xml:space="preserve"> (Accessed: 13 October 2025).</w:t>
      </w:r>
    </w:p>
    <w:p w:rsidR="00000000" w:rsidDel="00000000" w:rsidP="00000000" w:rsidRDefault="00000000" w:rsidRPr="00000000" w14:paraId="0000002A">
      <w:pPr>
        <w:spacing w:after="240" w:before="240" w:lineRule="auto"/>
        <w:rPr/>
      </w:pPr>
      <w:r w:rsidDel="00000000" w:rsidR="00000000" w:rsidRPr="00000000">
        <w:rPr>
          <w:rtl w:val="0"/>
        </w:rPr>
        <w:t xml:space="preserve">Lewis, K., Fraser, K. and Judd, B. (2014) ‘Pupils’ and teachers’ experiences of school-based physical education: a qualitative study’, </w:t>
      </w:r>
      <w:r w:rsidDel="00000000" w:rsidR="00000000" w:rsidRPr="00000000">
        <w:rPr>
          <w:i w:val="1"/>
          <w:rtl w:val="0"/>
        </w:rPr>
        <w:t xml:space="preserve">BMJ Open</w:t>
      </w:r>
      <w:r w:rsidDel="00000000" w:rsidR="00000000" w:rsidRPr="00000000">
        <w:rPr>
          <w:rtl w:val="0"/>
        </w:rPr>
        <w:t xml:space="preserve">, 4(9), e005277. Available at:</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https://bmjopen.bmj.com/content/4/9/e005277</w:t>
        </w:r>
      </w:hyperlink>
      <w:r w:rsidDel="00000000" w:rsidR="00000000" w:rsidRPr="00000000">
        <w:rPr>
          <w:rtl w:val="0"/>
        </w:rPr>
        <w:t xml:space="preserve"> (Accessed: 13 October 2025).</w:t>
      </w:r>
    </w:p>
    <w:p w:rsidR="00000000" w:rsidDel="00000000" w:rsidP="00000000" w:rsidRDefault="00000000" w:rsidRPr="00000000" w14:paraId="0000002B">
      <w:pPr>
        <w:spacing w:after="240" w:before="240" w:lineRule="auto"/>
        <w:rPr/>
      </w:pPr>
      <w:r w:rsidDel="00000000" w:rsidR="00000000" w:rsidRPr="00000000">
        <w:rPr>
          <w:rtl w:val="0"/>
        </w:rPr>
        <w:t xml:space="preserve">Maslow, A.H. (1943) ‘A theory of human motivation’, </w:t>
      </w:r>
      <w:r w:rsidDel="00000000" w:rsidR="00000000" w:rsidRPr="00000000">
        <w:rPr>
          <w:i w:val="1"/>
          <w:rtl w:val="0"/>
        </w:rPr>
        <w:t xml:space="preserve">Psychological Review</w:t>
      </w:r>
      <w:r w:rsidDel="00000000" w:rsidR="00000000" w:rsidRPr="00000000">
        <w:rPr>
          <w:rtl w:val="0"/>
        </w:rPr>
        <w:t xml:space="preserve">, 50(4), pp. 370–396. doi: 10.1037/h0054346.</w:t>
      </w:r>
    </w:p>
    <w:p w:rsidR="00000000" w:rsidDel="00000000" w:rsidP="00000000" w:rsidRDefault="00000000" w:rsidRPr="00000000" w14:paraId="0000002C">
      <w:pPr>
        <w:spacing w:after="240" w:before="240" w:lineRule="auto"/>
        <w:rPr/>
      </w:pPr>
      <w:r w:rsidDel="00000000" w:rsidR="00000000" w:rsidRPr="00000000">
        <w:rPr>
          <w:rtl w:val="0"/>
        </w:rPr>
        <w:t xml:space="preserve">Siedentop, D., Hastie, P.A. and Van der Mars, H. (2019) </w:t>
      </w:r>
      <w:r w:rsidDel="00000000" w:rsidR="00000000" w:rsidRPr="00000000">
        <w:rPr>
          <w:i w:val="1"/>
          <w:rtl w:val="0"/>
        </w:rPr>
        <w:t xml:space="preserve">Complete Guide to Sport Education</w:t>
      </w:r>
      <w:r w:rsidDel="00000000" w:rsidR="00000000" w:rsidRPr="00000000">
        <w:rPr>
          <w:rtl w:val="0"/>
        </w:rPr>
        <w:t xml:space="preserve">. 3rd edn. Champaign, IL: Human Kinetics.</w:t>
      </w:r>
    </w:p>
    <w:p w:rsidR="00000000" w:rsidDel="00000000" w:rsidP="00000000" w:rsidRDefault="00000000" w:rsidRPr="00000000" w14:paraId="0000002D">
      <w:pPr>
        <w:spacing w:after="240" w:before="240" w:lineRule="auto"/>
        <w:rPr/>
      </w:pPr>
      <w:r w:rsidDel="00000000" w:rsidR="00000000" w:rsidRPr="00000000">
        <w:rPr>
          <w:rtl w:val="0"/>
        </w:rPr>
        <w:t xml:space="preserve">Watson, A., Timperio, A., Brown, H. and Best, K. (2017) ‘Effect of classroom-based physical activity interventions on academic and physical activity outcomes: a systematic review and meta-analysis’, </w:t>
      </w:r>
      <w:r w:rsidDel="00000000" w:rsidR="00000000" w:rsidRPr="00000000">
        <w:rPr>
          <w:i w:val="1"/>
          <w:rtl w:val="0"/>
        </w:rPr>
        <w:t xml:space="preserve">International Journal of Behavioral Nutrition and Physical Activity</w:t>
      </w:r>
      <w:r w:rsidDel="00000000" w:rsidR="00000000" w:rsidRPr="00000000">
        <w:rPr>
          <w:rtl w:val="0"/>
        </w:rPr>
        <w:t xml:space="preserve">, 14, 114. doi: 10.1186/s12966-017-0569-9. Available at:</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https://ijbnpa.biomedcentral.com/articles/10.1186/s12966-017-0569-9</w:t>
        </w:r>
      </w:hyperlink>
      <w:r w:rsidDel="00000000" w:rsidR="00000000" w:rsidRPr="00000000">
        <w:rPr>
          <w:rtl w:val="0"/>
        </w:rPr>
        <w:t xml:space="preserve"> (Accessed: 12 October 2025).</w:t>
      </w:r>
    </w:p>
    <w:p w:rsidR="00000000" w:rsidDel="00000000" w:rsidP="00000000" w:rsidRDefault="00000000" w:rsidRPr="00000000" w14:paraId="0000002E">
      <w:pPr>
        <w:spacing w:after="240" w:before="240" w:lineRule="auto"/>
        <w:rPr/>
      </w:pPr>
      <w:r w:rsidDel="00000000" w:rsidR="00000000" w:rsidRPr="00000000">
        <w:rPr>
          <w:rtl w:val="0"/>
        </w:rPr>
        <w:t xml:space="preserve">World Health Organization (WHO) (2021) </w:t>
      </w:r>
      <w:r w:rsidDel="00000000" w:rsidR="00000000" w:rsidRPr="00000000">
        <w:rPr>
          <w:i w:val="1"/>
          <w:rtl w:val="0"/>
        </w:rPr>
        <w:t xml:space="preserve">Childhood overweight and obesity</w:t>
      </w:r>
      <w:r w:rsidDel="00000000" w:rsidR="00000000" w:rsidRPr="00000000">
        <w:rPr>
          <w:rtl w:val="0"/>
        </w:rPr>
        <w:t xml:space="preserve">. Available at:</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https://www.who.int/news-room/fact-sheets/detail/obesity-and-overweight</w:t>
        </w:r>
      </w:hyperlink>
      <w:r w:rsidDel="00000000" w:rsidR="00000000" w:rsidRPr="00000000">
        <w:rPr>
          <w:rtl w:val="0"/>
        </w:rPr>
        <w:t xml:space="preserve"> (Accessed: 9 October 2025).</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sectPr>
      <w:headerReference r:id="rId22" w:type="default"/>
      <w:footerReference r:id="rId2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who.int/news-room/fact-sheets/detail/obesity-and-overweight" TargetMode="External"/><Relationship Id="rId11" Type="http://schemas.openxmlformats.org/officeDocument/2006/relationships/hyperlink" Target="https://bmcpublichealth.biomedcentral.com/articles/10.1186/1471-2458-8-273?utm_source=chatgpt.com" TargetMode="External"/><Relationship Id="rId22" Type="http://schemas.openxmlformats.org/officeDocument/2006/relationships/header" Target="header1.xml"/><Relationship Id="rId10" Type="http://schemas.openxmlformats.org/officeDocument/2006/relationships/hyperlink" Target="https://bmcpublichealth.biomedcentral.com/articles/10.1186/1471-2458-8-273?utm_source=chatgpt.com" TargetMode="External"/><Relationship Id="rId21" Type="http://schemas.openxmlformats.org/officeDocument/2006/relationships/hyperlink" Target="https://www.who.int/news-room/fact-sheets/detail/obesity-and-overweight" TargetMode="External"/><Relationship Id="rId13" Type="http://schemas.openxmlformats.org/officeDocument/2006/relationships/hyperlink" Target="https://www.cdc.gov/physical-activity" TargetMode="External"/><Relationship Id="rId12" Type="http://schemas.openxmlformats.org/officeDocument/2006/relationships/hyperlink" Target="https://www.cdc.gov/physical-activity"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ubmed.ncbi.nlm.nih.gov/21807669/?utm_source=chatgpt.com" TargetMode="External"/><Relationship Id="rId15" Type="http://schemas.openxmlformats.org/officeDocument/2006/relationships/hyperlink" Target="https://pubmed.ncbi.nlm.nih.gov/20459784/?utm_source=chatgpt.com" TargetMode="External"/><Relationship Id="rId14" Type="http://schemas.openxmlformats.org/officeDocument/2006/relationships/hyperlink" Target="https://pubmed.ncbi.nlm.nih.gov/20459784/?utm_source=chatgpt.com" TargetMode="External"/><Relationship Id="rId17" Type="http://schemas.openxmlformats.org/officeDocument/2006/relationships/hyperlink" Target="https://bmjopen.bmj.com/content/4/9/e005277?utm_source=chatgpt.com" TargetMode="External"/><Relationship Id="rId16" Type="http://schemas.openxmlformats.org/officeDocument/2006/relationships/hyperlink" Target="https://bmjopen.bmj.com/content/4/9/e005277?utm_source=chatgpt.com" TargetMode="External"/><Relationship Id="rId5" Type="http://schemas.openxmlformats.org/officeDocument/2006/relationships/styles" Target="styles.xml"/><Relationship Id="rId19" Type="http://schemas.openxmlformats.org/officeDocument/2006/relationships/hyperlink" Target="https://ijbnpa.biomedcentral.com/articles/10.1186/s12966-017-0569-9?utm_source=chatgpt.com" TargetMode="External"/><Relationship Id="rId6" Type="http://schemas.openxmlformats.org/officeDocument/2006/relationships/hyperlink" Target="https://pubmed.ncbi.nlm.nih.gov/16978162/?utm_source=chatgpt.com" TargetMode="External"/><Relationship Id="rId18" Type="http://schemas.openxmlformats.org/officeDocument/2006/relationships/hyperlink" Target="https://ijbnpa.biomedcentral.com/articles/10.1186/s12966-017-0569-9?utm_source=chatgpt.com" TargetMode="External"/><Relationship Id="rId7" Type="http://schemas.openxmlformats.org/officeDocument/2006/relationships/hyperlink" Target="https://pubmed.ncbi.nlm.nih.gov/16978162/?utm_source=chatgpt.com" TargetMode="External"/><Relationship Id="rId8" Type="http://schemas.openxmlformats.org/officeDocument/2006/relationships/hyperlink" Target="https://pubmed.ncbi.nlm.nih.gov/21807669/?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