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C89D9D" w14:textId="5633AB0D" w:rsidR="00B34AF3" w:rsidRPr="00731BD0" w:rsidRDefault="2B829D00" w:rsidP="6BA6FA28">
      <w:pPr>
        <w:spacing w:after="165" w:line="360" w:lineRule="auto"/>
        <w:rPr>
          <w:color w:val="000000" w:themeColor="text1"/>
        </w:rPr>
      </w:pPr>
      <w:r w:rsidRPr="00731BD0">
        <w:rPr>
          <w:noProof/>
        </w:rPr>
        <w:drawing>
          <wp:inline distT="0" distB="0" distL="0" distR="0" wp14:anchorId="23774DA2" wp14:editId="3CB0293B">
            <wp:extent cx="2209800" cy="742950"/>
            <wp:effectExtent l="0" t="0" r="0" b="0"/>
            <wp:docPr id="1812131440" name="drawing" title="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2131440" name="Picture 1812131440"/>
                    <pic:cNvPicPr/>
                  </pic:nvPicPr>
                  <pic:blipFill>
                    <a:blip r:embed="rId8">
                      <a:extLst>
                        <a:ext uri="{28A0092B-C50C-407E-A947-70E740481C1C}">
                          <a14:useLocalDpi xmlns:a14="http://schemas.microsoft.com/office/drawing/2010/main"/>
                        </a:ext>
                      </a:extLst>
                    </a:blip>
                    <a:stretch>
                      <a:fillRect/>
                    </a:stretch>
                  </pic:blipFill>
                  <pic:spPr>
                    <a:xfrm>
                      <a:off x="0" y="0"/>
                      <a:ext cx="2209800" cy="742950"/>
                    </a:xfrm>
                    <a:prstGeom prst="rect">
                      <a:avLst/>
                    </a:prstGeom>
                  </pic:spPr>
                </pic:pic>
              </a:graphicData>
            </a:graphic>
          </wp:inline>
        </w:drawing>
      </w:r>
    </w:p>
    <w:p w14:paraId="084AC3FA" w14:textId="17E6E591" w:rsidR="00B34AF3" w:rsidRPr="00731BD0" w:rsidRDefault="2B829D00" w:rsidP="6BA6FA28">
      <w:pPr>
        <w:spacing w:after="165" w:line="360" w:lineRule="auto"/>
        <w:jc w:val="center"/>
        <w:rPr>
          <w:color w:val="000000" w:themeColor="text1"/>
        </w:rPr>
      </w:pPr>
      <w:r w:rsidRPr="00731BD0">
        <w:rPr>
          <w:color w:val="000000" w:themeColor="text1"/>
        </w:rPr>
        <w:t>Applied Leadership and Management in the Workplace</w:t>
      </w:r>
      <w:r w:rsidR="00000000" w:rsidRPr="00731BD0">
        <w:br/>
      </w:r>
      <w:r w:rsidRPr="00731BD0">
        <w:rPr>
          <w:color w:val="000000" w:themeColor="text1"/>
        </w:rPr>
        <w:t xml:space="preserve">Module Assignment Submission </w:t>
      </w:r>
      <w:r w:rsidR="00000000" w:rsidRPr="00731BD0">
        <w:br/>
      </w:r>
    </w:p>
    <w:tbl>
      <w:tblPr>
        <w:tblW w:w="0" w:type="auto"/>
        <w:tblBorders>
          <w:top w:val="single" w:sz="6" w:space="0" w:color="auto"/>
          <w:left w:val="single" w:sz="6" w:space="0" w:color="auto"/>
          <w:bottom w:val="single" w:sz="6" w:space="0" w:color="auto"/>
          <w:right w:val="single" w:sz="6" w:space="0" w:color="auto"/>
        </w:tblBorders>
        <w:tblLook w:val="0000" w:firstRow="0" w:lastRow="0" w:firstColumn="0" w:lastColumn="0" w:noHBand="0" w:noVBand="0"/>
      </w:tblPr>
      <w:tblGrid>
        <w:gridCol w:w="3255"/>
        <w:gridCol w:w="5730"/>
      </w:tblGrid>
      <w:tr w:rsidR="5C539415" w:rsidRPr="00731BD0" w14:paraId="1EE098CB" w14:textId="77777777" w:rsidTr="6BA6FA28">
        <w:trPr>
          <w:trHeight w:val="285"/>
        </w:trPr>
        <w:tc>
          <w:tcPr>
            <w:tcW w:w="325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D9D9D9" w:themeFill="background1" w:themeFillShade="D9"/>
            <w:tcMar>
              <w:left w:w="90" w:type="dxa"/>
              <w:right w:w="90" w:type="dxa"/>
            </w:tcMar>
          </w:tcPr>
          <w:p w14:paraId="419E15DC" w14:textId="59B154CE" w:rsidR="5C539415" w:rsidRPr="00731BD0" w:rsidRDefault="0A78305E" w:rsidP="6BA6FA28">
            <w:pPr>
              <w:spacing w:before="120" w:after="120" w:line="360" w:lineRule="auto"/>
            </w:pPr>
            <w:r w:rsidRPr="00731BD0">
              <w:t>Student Name:</w:t>
            </w:r>
          </w:p>
        </w:tc>
        <w:tc>
          <w:tcPr>
            <w:tcW w:w="573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040E09D1" w14:textId="23F9FA01" w:rsidR="5C539415" w:rsidRPr="00731BD0" w:rsidRDefault="0A78305E" w:rsidP="6BA6FA28">
            <w:pPr>
              <w:spacing w:before="120" w:after="120" w:line="360" w:lineRule="auto"/>
            </w:pPr>
            <w:r w:rsidRPr="00731BD0">
              <w:t>Lisa Williams</w:t>
            </w:r>
          </w:p>
        </w:tc>
      </w:tr>
      <w:tr w:rsidR="5C539415" w:rsidRPr="00731BD0" w14:paraId="3E6F328E" w14:textId="77777777" w:rsidTr="6BA6FA28">
        <w:trPr>
          <w:trHeight w:val="285"/>
        </w:trPr>
        <w:tc>
          <w:tcPr>
            <w:tcW w:w="325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D9D9D9" w:themeFill="background1" w:themeFillShade="D9"/>
            <w:tcMar>
              <w:left w:w="90" w:type="dxa"/>
              <w:right w:w="90" w:type="dxa"/>
            </w:tcMar>
          </w:tcPr>
          <w:p w14:paraId="7543B0FF" w14:textId="40B64EA6" w:rsidR="5C539415" w:rsidRPr="00731BD0" w:rsidRDefault="0A78305E" w:rsidP="6BA6FA28">
            <w:pPr>
              <w:spacing w:before="120" w:after="120" w:line="360" w:lineRule="auto"/>
            </w:pPr>
            <w:r w:rsidRPr="00731BD0">
              <w:t>Student Number:</w:t>
            </w:r>
          </w:p>
        </w:tc>
        <w:tc>
          <w:tcPr>
            <w:tcW w:w="573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7CA895F4" w14:textId="50BD7297" w:rsidR="5C539415" w:rsidRPr="00731BD0" w:rsidRDefault="0A78305E" w:rsidP="6BA6FA28">
            <w:pPr>
              <w:spacing w:before="120" w:after="120" w:line="360" w:lineRule="auto"/>
            </w:pPr>
            <w:r w:rsidRPr="00731BD0">
              <w:t>2309068</w:t>
            </w:r>
          </w:p>
        </w:tc>
      </w:tr>
      <w:tr w:rsidR="5C539415" w:rsidRPr="00731BD0" w14:paraId="3D5B55B4" w14:textId="77777777" w:rsidTr="6BA6FA28">
        <w:trPr>
          <w:trHeight w:val="285"/>
        </w:trPr>
        <w:tc>
          <w:tcPr>
            <w:tcW w:w="325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D9D9D9" w:themeFill="background1" w:themeFillShade="D9"/>
            <w:tcMar>
              <w:left w:w="90" w:type="dxa"/>
              <w:right w:w="90" w:type="dxa"/>
            </w:tcMar>
          </w:tcPr>
          <w:p w14:paraId="375875FF" w14:textId="10960BF2" w:rsidR="5C539415" w:rsidRPr="00731BD0" w:rsidRDefault="0A78305E" w:rsidP="6BA6FA28">
            <w:pPr>
              <w:spacing w:before="120" w:after="120" w:line="360" w:lineRule="auto"/>
            </w:pPr>
            <w:r w:rsidRPr="00731BD0">
              <w:t>Module No:</w:t>
            </w:r>
          </w:p>
        </w:tc>
        <w:tc>
          <w:tcPr>
            <w:tcW w:w="573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0462EBB4" w14:textId="6DCB8BD9" w:rsidR="5C539415" w:rsidRPr="00731BD0" w:rsidRDefault="0A78305E" w:rsidP="6BA6FA28">
            <w:pPr>
              <w:spacing w:before="120" w:after="120" w:line="360" w:lineRule="auto"/>
            </w:pPr>
            <w:r w:rsidRPr="00731BD0">
              <w:t>BMSK60</w:t>
            </w:r>
            <w:r w:rsidR="1A482584" w:rsidRPr="00731BD0">
              <w:t>12</w:t>
            </w:r>
          </w:p>
        </w:tc>
      </w:tr>
      <w:tr w:rsidR="5C539415" w:rsidRPr="00731BD0" w14:paraId="4100CD26" w14:textId="77777777" w:rsidTr="6BA6FA28">
        <w:trPr>
          <w:trHeight w:val="285"/>
        </w:trPr>
        <w:tc>
          <w:tcPr>
            <w:tcW w:w="325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D9D9D9" w:themeFill="background1" w:themeFillShade="D9"/>
            <w:tcMar>
              <w:left w:w="90" w:type="dxa"/>
              <w:right w:w="90" w:type="dxa"/>
            </w:tcMar>
          </w:tcPr>
          <w:p w14:paraId="7A37814A" w14:textId="1171078B" w:rsidR="5C539415" w:rsidRPr="00731BD0" w:rsidRDefault="0A78305E" w:rsidP="6BA6FA28">
            <w:pPr>
              <w:spacing w:before="120" w:after="120" w:line="360" w:lineRule="auto"/>
            </w:pPr>
            <w:r w:rsidRPr="00731BD0">
              <w:t>Module Title:</w:t>
            </w:r>
          </w:p>
        </w:tc>
        <w:tc>
          <w:tcPr>
            <w:tcW w:w="573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1E33E86E" w14:textId="19B5D22B" w:rsidR="4B27394D" w:rsidRPr="00731BD0" w:rsidRDefault="647DCC18" w:rsidP="6BA6FA28">
            <w:pPr>
              <w:spacing w:before="120" w:after="120" w:line="360" w:lineRule="auto"/>
            </w:pPr>
            <w:r w:rsidRPr="00731BD0">
              <w:t xml:space="preserve">Developing Creativity and Innovation for Competitive </w:t>
            </w:r>
            <w:r w:rsidR="453DC4D3" w:rsidRPr="00731BD0">
              <w:t>A</w:t>
            </w:r>
            <w:r w:rsidRPr="00731BD0">
              <w:t xml:space="preserve">dvantage </w:t>
            </w:r>
          </w:p>
        </w:tc>
      </w:tr>
    </w:tbl>
    <w:p w14:paraId="675FF70A" w14:textId="406969BA" w:rsidR="00B34AF3" w:rsidRPr="00731BD0" w:rsidRDefault="00B34AF3" w:rsidP="6BA6FA28">
      <w:pPr>
        <w:spacing w:before="120" w:after="120" w:line="360" w:lineRule="auto"/>
        <w:rPr>
          <w:color w:val="FF0000"/>
        </w:rPr>
      </w:pPr>
    </w:p>
    <w:p w14:paraId="6E84706B" w14:textId="0A41EF0A" w:rsidR="00B34AF3" w:rsidRPr="00731BD0" w:rsidRDefault="2B829D00" w:rsidP="6BA6FA28">
      <w:pPr>
        <w:spacing w:before="120" w:after="120" w:line="360" w:lineRule="auto"/>
        <w:rPr>
          <w:color w:val="000000" w:themeColor="text1"/>
        </w:rPr>
      </w:pPr>
      <w:r w:rsidRPr="00731BD0">
        <w:rPr>
          <w:b/>
          <w:bCs/>
          <w:color w:val="000000" w:themeColor="text1"/>
        </w:rPr>
        <w:t>Statement of Confirmation of Authenticity</w:t>
      </w:r>
    </w:p>
    <w:p w14:paraId="6DF46FAF" w14:textId="18FEEAC2" w:rsidR="00B34AF3" w:rsidRPr="00731BD0" w:rsidRDefault="2B829D00" w:rsidP="6BA6FA28">
      <w:pPr>
        <w:spacing w:before="120" w:after="120" w:line="360" w:lineRule="auto"/>
        <w:rPr>
          <w:color w:val="000000" w:themeColor="text1"/>
        </w:rPr>
      </w:pPr>
      <w:r w:rsidRPr="00731BD0">
        <w:rPr>
          <w:color w:val="000000" w:themeColor="text1"/>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04945BF1" w14:textId="36494CF4" w:rsidR="00B34AF3" w:rsidRPr="00731BD0" w:rsidRDefault="2B829D00" w:rsidP="6BA6FA28">
      <w:pPr>
        <w:spacing w:before="120" w:after="120" w:line="360" w:lineRule="auto"/>
        <w:rPr>
          <w:color w:val="000000" w:themeColor="text1"/>
        </w:rPr>
      </w:pPr>
      <w:r w:rsidRPr="00731BD0">
        <w:rPr>
          <w:color w:val="000000" w:themeColor="text1"/>
        </w:rPr>
        <w:t>Attention is drawn to the plagiarism and unfair practice policies of both the University and of ILM.</w:t>
      </w:r>
    </w:p>
    <w:p w14:paraId="51357D29" w14:textId="7949AE33" w:rsidR="00B34AF3" w:rsidRPr="00731BD0" w:rsidRDefault="00B34AF3" w:rsidP="6BA6FA28">
      <w:pPr>
        <w:spacing w:before="120" w:after="120" w:line="360" w:lineRule="auto"/>
        <w:rPr>
          <w:color w:val="000000" w:themeColor="text1"/>
        </w:rPr>
      </w:pPr>
    </w:p>
    <w:p w14:paraId="4C4556A4" w14:textId="5385879F" w:rsidR="00B34AF3" w:rsidRPr="00731BD0" w:rsidRDefault="00B34AF3" w:rsidP="6BA6FA28">
      <w:pPr>
        <w:spacing w:before="120" w:after="120" w:line="360" w:lineRule="auto"/>
        <w:rPr>
          <w:color w:val="000000" w:themeColor="text1"/>
        </w:rPr>
      </w:pPr>
    </w:p>
    <w:p w14:paraId="463E61C6" w14:textId="502DE0B7" w:rsidR="00B34AF3" w:rsidRPr="00731BD0" w:rsidRDefault="00B34AF3" w:rsidP="6BA6FA28">
      <w:pPr>
        <w:spacing w:before="120" w:after="120" w:line="360" w:lineRule="auto"/>
        <w:rPr>
          <w:color w:val="000000" w:themeColor="text1"/>
        </w:rPr>
      </w:pPr>
    </w:p>
    <w:p w14:paraId="054BD1E3" w14:textId="43AD36E6" w:rsidR="00B34AF3" w:rsidRPr="00731BD0" w:rsidRDefault="00B34AF3" w:rsidP="6BA6FA28">
      <w:pPr>
        <w:spacing w:before="120" w:after="120" w:line="360" w:lineRule="auto"/>
        <w:rPr>
          <w:color w:val="000000" w:themeColor="text1"/>
        </w:rPr>
      </w:pPr>
    </w:p>
    <w:p w14:paraId="389CCBFB" w14:textId="1FF0EB2A" w:rsidR="00B34AF3" w:rsidRPr="00731BD0" w:rsidRDefault="00B34AF3" w:rsidP="6BA6FA28">
      <w:pPr>
        <w:spacing w:before="120" w:after="120" w:line="360" w:lineRule="auto"/>
        <w:rPr>
          <w:color w:val="000000" w:themeColor="text1"/>
        </w:rPr>
      </w:pPr>
    </w:p>
    <w:sdt>
      <w:sdtPr>
        <w:rPr>
          <w:rFonts w:asciiTheme="minorHAnsi" w:hAnsiTheme="minorHAnsi"/>
        </w:rPr>
        <w:id w:val="-1845465207"/>
        <w:docPartObj>
          <w:docPartGallery w:val="Table of Contents"/>
          <w:docPartUnique/>
        </w:docPartObj>
      </w:sdtPr>
      <w:sdtEndPr>
        <w:rPr>
          <w:rFonts w:eastAsiaTheme="minorEastAsia" w:cstheme="minorBidi"/>
          <w:noProof/>
          <w:color w:val="auto"/>
          <w:sz w:val="24"/>
          <w:szCs w:val="24"/>
          <w:lang w:val="en-GB" w:eastAsia="ja-JP"/>
        </w:rPr>
      </w:sdtEndPr>
      <w:sdtContent>
        <w:p w14:paraId="08ED4E3A" w14:textId="0615C420" w:rsidR="00731BD0" w:rsidRPr="00731BD0" w:rsidRDefault="00731BD0">
          <w:pPr>
            <w:pStyle w:val="TOCHeading"/>
            <w:rPr>
              <w:rFonts w:asciiTheme="minorHAnsi" w:hAnsiTheme="minorHAnsi"/>
            </w:rPr>
          </w:pPr>
          <w:r w:rsidRPr="00731BD0">
            <w:rPr>
              <w:rFonts w:asciiTheme="minorHAnsi" w:hAnsiTheme="minorHAnsi"/>
            </w:rPr>
            <w:t>Table of Contents</w:t>
          </w:r>
        </w:p>
        <w:p w14:paraId="02755645" w14:textId="5D20C1B1" w:rsidR="00731BD0" w:rsidRPr="00731BD0" w:rsidRDefault="00731BD0">
          <w:pPr>
            <w:pStyle w:val="TOC1"/>
            <w:tabs>
              <w:tab w:val="right" w:leader="dot" w:pos="9016"/>
            </w:tabs>
            <w:rPr>
              <w:noProof/>
              <w:sz w:val="28"/>
              <w:szCs w:val="28"/>
            </w:rPr>
          </w:pPr>
          <w:r w:rsidRPr="00731BD0">
            <w:rPr>
              <w:b w:val="0"/>
              <w:bCs w:val="0"/>
            </w:rPr>
            <w:fldChar w:fldCharType="begin"/>
          </w:r>
          <w:r w:rsidRPr="00731BD0">
            <w:instrText xml:space="preserve"> TOC \o "1-3" \h \z \u </w:instrText>
          </w:r>
          <w:r w:rsidRPr="00731BD0">
            <w:rPr>
              <w:b w:val="0"/>
              <w:bCs w:val="0"/>
            </w:rPr>
            <w:fldChar w:fldCharType="separate"/>
          </w:r>
          <w:hyperlink w:anchor="_Toc238972682" w:history="1">
            <w:r w:rsidRPr="00731BD0">
              <w:rPr>
                <w:rStyle w:val="Hyperlink"/>
                <w:noProof/>
                <w:sz w:val="28"/>
                <w:szCs w:val="28"/>
              </w:rPr>
              <w:t>Introduction</w:t>
            </w:r>
            <w:r w:rsidRPr="00731BD0">
              <w:rPr>
                <w:noProof/>
                <w:webHidden/>
                <w:sz w:val="28"/>
                <w:szCs w:val="28"/>
              </w:rPr>
              <w:tab/>
            </w:r>
            <w:r w:rsidRPr="00731BD0">
              <w:rPr>
                <w:noProof/>
                <w:webHidden/>
                <w:sz w:val="28"/>
                <w:szCs w:val="28"/>
              </w:rPr>
              <w:fldChar w:fldCharType="begin"/>
            </w:r>
            <w:r w:rsidRPr="00731BD0">
              <w:rPr>
                <w:noProof/>
                <w:webHidden/>
                <w:sz w:val="28"/>
                <w:szCs w:val="28"/>
              </w:rPr>
              <w:instrText xml:space="preserve"> PAGEREF _Toc238972682 \h </w:instrText>
            </w:r>
            <w:r w:rsidRPr="00731BD0">
              <w:rPr>
                <w:noProof/>
                <w:webHidden/>
                <w:sz w:val="28"/>
                <w:szCs w:val="28"/>
              </w:rPr>
            </w:r>
            <w:r w:rsidRPr="00731BD0">
              <w:rPr>
                <w:noProof/>
                <w:webHidden/>
                <w:sz w:val="28"/>
                <w:szCs w:val="28"/>
              </w:rPr>
              <w:fldChar w:fldCharType="separate"/>
            </w:r>
            <w:r w:rsidRPr="00731BD0">
              <w:rPr>
                <w:noProof/>
                <w:webHidden/>
                <w:sz w:val="28"/>
                <w:szCs w:val="28"/>
              </w:rPr>
              <w:t>3</w:t>
            </w:r>
            <w:r w:rsidRPr="00731BD0">
              <w:rPr>
                <w:noProof/>
                <w:webHidden/>
                <w:sz w:val="28"/>
                <w:szCs w:val="28"/>
              </w:rPr>
              <w:fldChar w:fldCharType="end"/>
            </w:r>
          </w:hyperlink>
        </w:p>
        <w:p w14:paraId="6A7B3582" w14:textId="1F10A604" w:rsidR="00731BD0" w:rsidRPr="00731BD0" w:rsidRDefault="00731BD0">
          <w:pPr>
            <w:pStyle w:val="TOC1"/>
            <w:tabs>
              <w:tab w:val="right" w:leader="dot" w:pos="9016"/>
            </w:tabs>
            <w:rPr>
              <w:noProof/>
              <w:sz w:val="28"/>
              <w:szCs w:val="28"/>
            </w:rPr>
          </w:pPr>
          <w:hyperlink w:anchor="_Toc238972683" w:history="1">
            <w:r w:rsidRPr="00731BD0">
              <w:rPr>
                <w:rStyle w:val="Hyperlink"/>
                <w:noProof/>
                <w:sz w:val="28"/>
                <w:szCs w:val="28"/>
              </w:rPr>
              <w:t>Using at least two recognised models of innovation, critically ex</w:t>
            </w:r>
            <w:r w:rsidRPr="00731BD0">
              <w:rPr>
                <w:rStyle w:val="Hyperlink"/>
                <w:noProof/>
                <w:sz w:val="28"/>
                <w:szCs w:val="28"/>
              </w:rPr>
              <w:t>a</w:t>
            </w:r>
            <w:r w:rsidRPr="00731BD0">
              <w:rPr>
                <w:rStyle w:val="Hyperlink"/>
                <w:noProof/>
                <w:sz w:val="28"/>
                <w:szCs w:val="28"/>
              </w:rPr>
              <w:t>mine the ability of the organisation to innovate effectively.</w:t>
            </w:r>
            <w:r w:rsidRPr="00731BD0">
              <w:rPr>
                <w:noProof/>
                <w:webHidden/>
                <w:sz w:val="28"/>
                <w:szCs w:val="28"/>
              </w:rPr>
              <w:tab/>
            </w:r>
            <w:r w:rsidRPr="00731BD0">
              <w:rPr>
                <w:noProof/>
                <w:webHidden/>
                <w:sz w:val="28"/>
                <w:szCs w:val="28"/>
              </w:rPr>
              <w:fldChar w:fldCharType="begin"/>
            </w:r>
            <w:r w:rsidRPr="00731BD0">
              <w:rPr>
                <w:noProof/>
                <w:webHidden/>
                <w:sz w:val="28"/>
                <w:szCs w:val="28"/>
              </w:rPr>
              <w:instrText xml:space="preserve"> PAGEREF _Toc238972683 \h </w:instrText>
            </w:r>
            <w:r w:rsidRPr="00731BD0">
              <w:rPr>
                <w:noProof/>
                <w:webHidden/>
                <w:sz w:val="28"/>
                <w:szCs w:val="28"/>
              </w:rPr>
            </w:r>
            <w:r w:rsidRPr="00731BD0">
              <w:rPr>
                <w:noProof/>
                <w:webHidden/>
                <w:sz w:val="28"/>
                <w:szCs w:val="28"/>
              </w:rPr>
              <w:fldChar w:fldCharType="separate"/>
            </w:r>
            <w:r w:rsidRPr="00731BD0">
              <w:rPr>
                <w:noProof/>
                <w:webHidden/>
                <w:sz w:val="28"/>
                <w:szCs w:val="28"/>
              </w:rPr>
              <w:t>3</w:t>
            </w:r>
            <w:r w:rsidRPr="00731BD0">
              <w:rPr>
                <w:noProof/>
                <w:webHidden/>
                <w:sz w:val="28"/>
                <w:szCs w:val="28"/>
              </w:rPr>
              <w:fldChar w:fldCharType="end"/>
            </w:r>
          </w:hyperlink>
        </w:p>
        <w:p w14:paraId="13C0AF06" w14:textId="747125A7" w:rsidR="00731BD0" w:rsidRPr="00731BD0" w:rsidRDefault="00731BD0">
          <w:pPr>
            <w:pStyle w:val="TOC2"/>
            <w:tabs>
              <w:tab w:val="right" w:leader="dot" w:pos="9016"/>
            </w:tabs>
            <w:rPr>
              <w:noProof/>
              <w:sz w:val="28"/>
              <w:szCs w:val="28"/>
            </w:rPr>
          </w:pPr>
          <w:hyperlink w:anchor="_Toc238972684" w:history="1">
            <w:r w:rsidRPr="00731BD0">
              <w:rPr>
                <w:rStyle w:val="Hyperlink"/>
                <w:b/>
                <w:bCs/>
                <w:noProof/>
                <w:sz w:val="28"/>
                <w:szCs w:val="28"/>
              </w:rPr>
              <w:t>The Concept of Innovation</w:t>
            </w:r>
            <w:r w:rsidRPr="00731BD0">
              <w:rPr>
                <w:noProof/>
                <w:webHidden/>
                <w:sz w:val="28"/>
                <w:szCs w:val="28"/>
              </w:rPr>
              <w:tab/>
            </w:r>
            <w:r w:rsidRPr="00731BD0">
              <w:rPr>
                <w:noProof/>
                <w:webHidden/>
                <w:sz w:val="28"/>
                <w:szCs w:val="28"/>
              </w:rPr>
              <w:fldChar w:fldCharType="begin"/>
            </w:r>
            <w:r w:rsidRPr="00731BD0">
              <w:rPr>
                <w:noProof/>
                <w:webHidden/>
                <w:sz w:val="28"/>
                <w:szCs w:val="28"/>
              </w:rPr>
              <w:instrText xml:space="preserve"> PAGEREF _Toc238972684 \h </w:instrText>
            </w:r>
            <w:r w:rsidRPr="00731BD0">
              <w:rPr>
                <w:noProof/>
                <w:webHidden/>
                <w:sz w:val="28"/>
                <w:szCs w:val="28"/>
              </w:rPr>
            </w:r>
            <w:r w:rsidRPr="00731BD0">
              <w:rPr>
                <w:noProof/>
                <w:webHidden/>
                <w:sz w:val="28"/>
                <w:szCs w:val="28"/>
              </w:rPr>
              <w:fldChar w:fldCharType="separate"/>
            </w:r>
            <w:r w:rsidRPr="00731BD0">
              <w:rPr>
                <w:noProof/>
                <w:webHidden/>
                <w:sz w:val="28"/>
                <w:szCs w:val="28"/>
              </w:rPr>
              <w:t>3</w:t>
            </w:r>
            <w:r w:rsidRPr="00731BD0">
              <w:rPr>
                <w:noProof/>
                <w:webHidden/>
                <w:sz w:val="28"/>
                <w:szCs w:val="28"/>
              </w:rPr>
              <w:fldChar w:fldCharType="end"/>
            </w:r>
          </w:hyperlink>
        </w:p>
        <w:p w14:paraId="620727C9" w14:textId="296341B7" w:rsidR="00731BD0" w:rsidRPr="00731BD0" w:rsidRDefault="00731BD0">
          <w:pPr>
            <w:pStyle w:val="TOC2"/>
            <w:tabs>
              <w:tab w:val="right" w:leader="dot" w:pos="9016"/>
            </w:tabs>
            <w:rPr>
              <w:noProof/>
              <w:sz w:val="28"/>
              <w:szCs w:val="28"/>
            </w:rPr>
          </w:pPr>
          <w:hyperlink w:anchor="_Toc238972685" w:history="1">
            <w:r w:rsidRPr="00731BD0">
              <w:rPr>
                <w:rStyle w:val="Hyperlink"/>
                <w:b/>
                <w:bCs/>
                <w:noProof/>
                <w:sz w:val="28"/>
                <w:szCs w:val="28"/>
              </w:rPr>
              <w:t>Recognised Mode</w:t>
            </w:r>
            <w:r w:rsidRPr="00731BD0">
              <w:rPr>
                <w:rStyle w:val="Hyperlink"/>
                <w:b/>
                <w:bCs/>
                <w:noProof/>
                <w:sz w:val="28"/>
                <w:szCs w:val="28"/>
              </w:rPr>
              <w:t>l</w:t>
            </w:r>
            <w:r w:rsidRPr="00731BD0">
              <w:rPr>
                <w:rStyle w:val="Hyperlink"/>
                <w:b/>
                <w:bCs/>
                <w:noProof/>
                <w:sz w:val="28"/>
                <w:szCs w:val="28"/>
              </w:rPr>
              <w:t xml:space="preserve"> of Innovation One – [Cooper’s Stage-Gate Model]</w:t>
            </w:r>
            <w:r w:rsidRPr="00731BD0">
              <w:rPr>
                <w:noProof/>
                <w:webHidden/>
                <w:sz w:val="28"/>
                <w:szCs w:val="28"/>
              </w:rPr>
              <w:tab/>
            </w:r>
            <w:r w:rsidRPr="00731BD0">
              <w:rPr>
                <w:noProof/>
                <w:webHidden/>
                <w:sz w:val="28"/>
                <w:szCs w:val="28"/>
              </w:rPr>
              <w:fldChar w:fldCharType="begin"/>
            </w:r>
            <w:r w:rsidRPr="00731BD0">
              <w:rPr>
                <w:noProof/>
                <w:webHidden/>
                <w:sz w:val="28"/>
                <w:szCs w:val="28"/>
              </w:rPr>
              <w:instrText xml:space="preserve"> PAGEREF _Toc238972685 \h </w:instrText>
            </w:r>
            <w:r w:rsidRPr="00731BD0">
              <w:rPr>
                <w:noProof/>
                <w:webHidden/>
                <w:sz w:val="28"/>
                <w:szCs w:val="28"/>
              </w:rPr>
            </w:r>
            <w:r w:rsidRPr="00731BD0">
              <w:rPr>
                <w:noProof/>
                <w:webHidden/>
                <w:sz w:val="28"/>
                <w:szCs w:val="28"/>
              </w:rPr>
              <w:fldChar w:fldCharType="separate"/>
            </w:r>
            <w:r w:rsidRPr="00731BD0">
              <w:rPr>
                <w:noProof/>
                <w:webHidden/>
                <w:sz w:val="28"/>
                <w:szCs w:val="28"/>
              </w:rPr>
              <w:t>4</w:t>
            </w:r>
            <w:r w:rsidRPr="00731BD0">
              <w:rPr>
                <w:noProof/>
                <w:webHidden/>
                <w:sz w:val="28"/>
                <w:szCs w:val="28"/>
              </w:rPr>
              <w:fldChar w:fldCharType="end"/>
            </w:r>
          </w:hyperlink>
        </w:p>
        <w:p w14:paraId="478E231C" w14:textId="3776F90F" w:rsidR="00731BD0" w:rsidRPr="00731BD0" w:rsidRDefault="00731BD0">
          <w:pPr>
            <w:pStyle w:val="TOC2"/>
            <w:tabs>
              <w:tab w:val="right" w:leader="dot" w:pos="9016"/>
            </w:tabs>
            <w:rPr>
              <w:noProof/>
              <w:sz w:val="28"/>
              <w:szCs w:val="28"/>
            </w:rPr>
          </w:pPr>
          <w:hyperlink w:anchor="_Toc238972686" w:history="1">
            <w:r w:rsidRPr="00731BD0">
              <w:rPr>
                <w:rStyle w:val="Hyperlink"/>
                <w:b/>
                <w:bCs/>
                <w:noProof/>
                <w:sz w:val="28"/>
                <w:szCs w:val="28"/>
              </w:rPr>
              <w:t>Application of Innovation Model One to Alpha Safety Training</w:t>
            </w:r>
            <w:r w:rsidRPr="00731BD0">
              <w:rPr>
                <w:noProof/>
                <w:webHidden/>
                <w:sz w:val="28"/>
                <w:szCs w:val="28"/>
              </w:rPr>
              <w:tab/>
            </w:r>
            <w:r w:rsidRPr="00731BD0">
              <w:rPr>
                <w:noProof/>
                <w:webHidden/>
                <w:sz w:val="28"/>
                <w:szCs w:val="28"/>
              </w:rPr>
              <w:fldChar w:fldCharType="begin"/>
            </w:r>
            <w:r w:rsidRPr="00731BD0">
              <w:rPr>
                <w:noProof/>
                <w:webHidden/>
                <w:sz w:val="28"/>
                <w:szCs w:val="28"/>
              </w:rPr>
              <w:instrText xml:space="preserve"> PAGEREF _Toc238972686 \h </w:instrText>
            </w:r>
            <w:r w:rsidRPr="00731BD0">
              <w:rPr>
                <w:noProof/>
                <w:webHidden/>
                <w:sz w:val="28"/>
                <w:szCs w:val="28"/>
              </w:rPr>
            </w:r>
            <w:r w:rsidRPr="00731BD0">
              <w:rPr>
                <w:noProof/>
                <w:webHidden/>
                <w:sz w:val="28"/>
                <w:szCs w:val="28"/>
              </w:rPr>
              <w:fldChar w:fldCharType="separate"/>
            </w:r>
            <w:r w:rsidRPr="00731BD0">
              <w:rPr>
                <w:noProof/>
                <w:webHidden/>
                <w:sz w:val="28"/>
                <w:szCs w:val="28"/>
              </w:rPr>
              <w:t>5</w:t>
            </w:r>
            <w:r w:rsidRPr="00731BD0">
              <w:rPr>
                <w:noProof/>
                <w:webHidden/>
                <w:sz w:val="28"/>
                <w:szCs w:val="28"/>
              </w:rPr>
              <w:fldChar w:fldCharType="end"/>
            </w:r>
          </w:hyperlink>
        </w:p>
        <w:p w14:paraId="32E5C1E3" w14:textId="5377C1DC" w:rsidR="00731BD0" w:rsidRPr="00731BD0" w:rsidRDefault="00731BD0">
          <w:pPr>
            <w:pStyle w:val="TOC2"/>
            <w:tabs>
              <w:tab w:val="right" w:leader="dot" w:pos="9016"/>
            </w:tabs>
            <w:rPr>
              <w:noProof/>
              <w:sz w:val="28"/>
              <w:szCs w:val="28"/>
            </w:rPr>
          </w:pPr>
          <w:hyperlink w:anchor="_Toc238972687" w:history="1">
            <w:r w:rsidRPr="00731BD0">
              <w:rPr>
                <w:rStyle w:val="Hyperlink"/>
                <w:b/>
                <w:bCs/>
                <w:noProof/>
                <w:sz w:val="28"/>
                <w:szCs w:val="28"/>
              </w:rPr>
              <w:t>Recognised Model of Innovation Two – [Chesbrough’s Open Innovation Model]</w:t>
            </w:r>
            <w:r w:rsidRPr="00731BD0">
              <w:rPr>
                <w:noProof/>
                <w:webHidden/>
                <w:sz w:val="28"/>
                <w:szCs w:val="28"/>
              </w:rPr>
              <w:tab/>
            </w:r>
            <w:r w:rsidRPr="00731BD0">
              <w:rPr>
                <w:noProof/>
                <w:webHidden/>
                <w:sz w:val="28"/>
                <w:szCs w:val="28"/>
              </w:rPr>
              <w:fldChar w:fldCharType="begin"/>
            </w:r>
            <w:r w:rsidRPr="00731BD0">
              <w:rPr>
                <w:noProof/>
                <w:webHidden/>
                <w:sz w:val="28"/>
                <w:szCs w:val="28"/>
              </w:rPr>
              <w:instrText xml:space="preserve"> PAGEREF _Toc238972687 \h </w:instrText>
            </w:r>
            <w:r w:rsidRPr="00731BD0">
              <w:rPr>
                <w:noProof/>
                <w:webHidden/>
                <w:sz w:val="28"/>
                <w:szCs w:val="28"/>
              </w:rPr>
            </w:r>
            <w:r w:rsidRPr="00731BD0">
              <w:rPr>
                <w:noProof/>
                <w:webHidden/>
                <w:sz w:val="28"/>
                <w:szCs w:val="28"/>
              </w:rPr>
              <w:fldChar w:fldCharType="separate"/>
            </w:r>
            <w:r w:rsidRPr="00731BD0">
              <w:rPr>
                <w:noProof/>
                <w:webHidden/>
                <w:sz w:val="28"/>
                <w:szCs w:val="28"/>
              </w:rPr>
              <w:t>6</w:t>
            </w:r>
            <w:r w:rsidRPr="00731BD0">
              <w:rPr>
                <w:noProof/>
                <w:webHidden/>
                <w:sz w:val="28"/>
                <w:szCs w:val="28"/>
              </w:rPr>
              <w:fldChar w:fldCharType="end"/>
            </w:r>
          </w:hyperlink>
        </w:p>
        <w:p w14:paraId="334BFDB4" w14:textId="3B274BB1" w:rsidR="00731BD0" w:rsidRPr="00731BD0" w:rsidRDefault="00731BD0">
          <w:pPr>
            <w:pStyle w:val="TOC2"/>
            <w:tabs>
              <w:tab w:val="right" w:leader="dot" w:pos="9016"/>
            </w:tabs>
            <w:rPr>
              <w:noProof/>
              <w:sz w:val="28"/>
              <w:szCs w:val="28"/>
            </w:rPr>
          </w:pPr>
          <w:hyperlink w:anchor="_Toc238972688" w:history="1">
            <w:r w:rsidRPr="00731BD0">
              <w:rPr>
                <w:rStyle w:val="Hyperlink"/>
                <w:b/>
                <w:bCs/>
                <w:noProof/>
                <w:sz w:val="28"/>
                <w:szCs w:val="28"/>
              </w:rPr>
              <w:t>Application of Innovation Model Two to Alpha Safety Training</w:t>
            </w:r>
            <w:r w:rsidRPr="00731BD0">
              <w:rPr>
                <w:noProof/>
                <w:webHidden/>
                <w:sz w:val="28"/>
                <w:szCs w:val="28"/>
              </w:rPr>
              <w:tab/>
            </w:r>
            <w:r w:rsidRPr="00731BD0">
              <w:rPr>
                <w:noProof/>
                <w:webHidden/>
                <w:sz w:val="28"/>
                <w:szCs w:val="28"/>
              </w:rPr>
              <w:fldChar w:fldCharType="begin"/>
            </w:r>
            <w:r w:rsidRPr="00731BD0">
              <w:rPr>
                <w:noProof/>
                <w:webHidden/>
                <w:sz w:val="28"/>
                <w:szCs w:val="28"/>
              </w:rPr>
              <w:instrText xml:space="preserve"> PAGEREF _Toc238972688 \h </w:instrText>
            </w:r>
            <w:r w:rsidRPr="00731BD0">
              <w:rPr>
                <w:noProof/>
                <w:webHidden/>
                <w:sz w:val="28"/>
                <w:szCs w:val="28"/>
              </w:rPr>
            </w:r>
            <w:r w:rsidRPr="00731BD0">
              <w:rPr>
                <w:noProof/>
                <w:webHidden/>
                <w:sz w:val="28"/>
                <w:szCs w:val="28"/>
              </w:rPr>
              <w:fldChar w:fldCharType="separate"/>
            </w:r>
            <w:r w:rsidRPr="00731BD0">
              <w:rPr>
                <w:noProof/>
                <w:webHidden/>
                <w:sz w:val="28"/>
                <w:szCs w:val="28"/>
              </w:rPr>
              <w:t>7</w:t>
            </w:r>
            <w:r w:rsidRPr="00731BD0">
              <w:rPr>
                <w:noProof/>
                <w:webHidden/>
                <w:sz w:val="28"/>
                <w:szCs w:val="28"/>
              </w:rPr>
              <w:fldChar w:fldCharType="end"/>
            </w:r>
          </w:hyperlink>
        </w:p>
        <w:p w14:paraId="0550ACE0" w14:textId="3815AE0E" w:rsidR="00731BD0" w:rsidRPr="00731BD0" w:rsidRDefault="00731BD0">
          <w:pPr>
            <w:pStyle w:val="TOC2"/>
            <w:tabs>
              <w:tab w:val="right" w:leader="dot" w:pos="9016"/>
            </w:tabs>
            <w:rPr>
              <w:noProof/>
              <w:sz w:val="28"/>
              <w:szCs w:val="28"/>
            </w:rPr>
          </w:pPr>
          <w:hyperlink w:anchor="_Toc238972689" w:history="1">
            <w:r w:rsidRPr="00731BD0">
              <w:rPr>
                <w:rStyle w:val="Hyperlink"/>
                <w:b/>
                <w:bCs/>
                <w:noProof/>
                <w:sz w:val="28"/>
                <w:szCs w:val="28"/>
              </w:rPr>
              <w:t>Critical Comparison of the Two Models of Innovation</w:t>
            </w:r>
            <w:r w:rsidRPr="00731BD0">
              <w:rPr>
                <w:noProof/>
                <w:webHidden/>
                <w:sz w:val="28"/>
                <w:szCs w:val="28"/>
              </w:rPr>
              <w:tab/>
            </w:r>
            <w:r w:rsidRPr="00731BD0">
              <w:rPr>
                <w:noProof/>
                <w:webHidden/>
                <w:sz w:val="28"/>
                <w:szCs w:val="28"/>
              </w:rPr>
              <w:fldChar w:fldCharType="begin"/>
            </w:r>
            <w:r w:rsidRPr="00731BD0">
              <w:rPr>
                <w:noProof/>
                <w:webHidden/>
                <w:sz w:val="28"/>
                <w:szCs w:val="28"/>
              </w:rPr>
              <w:instrText xml:space="preserve"> PAGEREF _Toc238972689 \h </w:instrText>
            </w:r>
            <w:r w:rsidRPr="00731BD0">
              <w:rPr>
                <w:noProof/>
                <w:webHidden/>
                <w:sz w:val="28"/>
                <w:szCs w:val="28"/>
              </w:rPr>
            </w:r>
            <w:r w:rsidRPr="00731BD0">
              <w:rPr>
                <w:noProof/>
                <w:webHidden/>
                <w:sz w:val="28"/>
                <w:szCs w:val="28"/>
              </w:rPr>
              <w:fldChar w:fldCharType="separate"/>
            </w:r>
            <w:r w:rsidRPr="00731BD0">
              <w:rPr>
                <w:noProof/>
                <w:webHidden/>
                <w:sz w:val="28"/>
                <w:szCs w:val="28"/>
              </w:rPr>
              <w:t>8</w:t>
            </w:r>
            <w:r w:rsidRPr="00731BD0">
              <w:rPr>
                <w:noProof/>
                <w:webHidden/>
                <w:sz w:val="28"/>
                <w:szCs w:val="28"/>
              </w:rPr>
              <w:fldChar w:fldCharType="end"/>
            </w:r>
          </w:hyperlink>
        </w:p>
        <w:p w14:paraId="0304AF9F" w14:textId="03312758" w:rsidR="00731BD0" w:rsidRPr="00731BD0" w:rsidRDefault="00731BD0">
          <w:pPr>
            <w:pStyle w:val="TOC2"/>
            <w:tabs>
              <w:tab w:val="right" w:leader="dot" w:pos="9016"/>
            </w:tabs>
            <w:rPr>
              <w:noProof/>
              <w:sz w:val="28"/>
              <w:szCs w:val="28"/>
            </w:rPr>
          </w:pPr>
          <w:hyperlink w:anchor="_Toc238972690" w:history="1">
            <w:r w:rsidRPr="00731BD0">
              <w:rPr>
                <w:rStyle w:val="Hyperlink"/>
                <w:b/>
                <w:bCs/>
                <w:noProof/>
                <w:sz w:val="28"/>
                <w:szCs w:val="28"/>
              </w:rPr>
              <w:t>Alpha Safety Training's Ability to Innovate Effectively</w:t>
            </w:r>
            <w:r w:rsidRPr="00731BD0">
              <w:rPr>
                <w:noProof/>
                <w:webHidden/>
                <w:sz w:val="28"/>
                <w:szCs w:val="28"/>
              </w:rPr>
              <w:tab/>
            </w:r>
            <w:r w:rsidRPr="00731BD0">
              <w:rPr>
                <w:noProof/>
                <w:webHidden/>
                <w:sz w:val="28"/>
                <w:szCs w:val="28"/>
              </w:rPr>
              <w:fldChar w:fldCharType="begin"/>
            </w:r>
            <w:r w:rsidRPr="00731BD0">
              <w:rPr>
                <w:noProof/>
                <w:webHidden/>
                <w:sz w:val="28"/>
                <w:szCs w:val="28"/>
              </w:rPr>
              <w:instrText xml:space="preserve"> PAGEREF _Toc238972690 \h </w:instrText>
            </w:r>
            <w:r w:rsidRPr="00731BD0">
              <w:rPr>
                <w:noProof/>
                <w:webHidden/>
                <w:sz w:val="28"/>
                <w:szCs w:val="28"/>
              </w:rPr>
            </w:r>
            <w:r w:rsidRPr="00731BD0">
              <w:rPr>
                <w:noProof/>
                <w:webHidden/>
                <w:sz w:val="28"/>
                <w:szCs w:val="28"/>
              </w:rPr>
              <w:fldChar w:fldCharType="separate"/>
            </w:r>
            <w:r w:rsidRPr="00731BD0">
              <w:rPr>
                <w:noProof/>
                <w:webHidden/>
                <w:sz w:val="28"/>
                <w:szCs w:val="28"/>
              </w:rPr>
              <w:t>9</w:t>
            </w:r>
            <w:r w:rsidRPr="00731BD0">
              <w:rPr>
                <w:noProof/>
                <w:webHidden/>
                <w:sz w:val="28"/>
                <w:szCs w:val="28"/>
              </w:rPr>
              <w:fldChar w:fldCharType="end"/>
            </w:r>
          </w:hyperlink>
        </w:p>
        <w:p w14:paraId="65D21A9C" w14:textId="2F3E013A" w:rsidR="00731BD0" w:rsidRPr="00731BD0" w:rsidRDefault="00731BD0">
          <w:pPr>
            <w:pStyle w:val="TOC1"/>
            <w:tabs>
              <w:tab w:val="right" w:leader="dot" w:pos="9016"/>
            </w:tabs>
            <w:rPr>
              <w:noProof/>
              <w:sz w:val="28"/>
              <w:szCs w:val="28"/>
            </w:rPr>
          </w:pPr>
          <w:hyperlink w:anchor="_Toc238972691" w:history="1">
            <w:r w:rsidRPr="00731BD0">
              <w:rPr>
                <w:rStyle w:val="Hyperlink"/>
                <w:noProof/>
                <w:sz w:val="28"/>
                <w:szCs w:val="28"/>
              </w:rPr>
              <w:t>Evaluate an organisation's ability to harness creativity and foster a creative culture in the workplace.</w:t>
            </w:r>
            <w:r w:rsidRPr="00731BD0">
              <w:rPr>
                <w:noProof/>
                <w:webHidden/>
                <w:sz w:val="28"/>
                <w:szCs w:val="28"/>
              </w:rPr>
              <w:tab/>
            </w:r>
            <w:r w:rsidRPr="00731BD0">
              <w:rPr>
                <w:noProof/>
                <w:webHidden/>
                <w:sz w:val="28"/>
                <w:szCs w:val="28"/>
              </w:rPr>
              <w:fldChar w:fldCharType="begin"/>
            </w:r>
            <w:r w:rsidRPr="00731BD0">
              <w:rPr>
                <w:noProof/>
                <w:webHidden/>
                <w:sz w:val="28"/>
                <w:szCs w:val="28"/>
              </w:rPr>
              <w:instrText xml:space="preserve"> PAGEREF _Toc238972691 \h </w:instrText>
            </w:r>
            <w:r w:rsidRPr="00731BD0">
              <w:rPr>
                <w:noProof/>
                <w:webHidden/>
                <w:sz w:val="28"/>
                <w:szCs w:val="28"/>
              </w:rPr>
            </w:r>
            <w:r w:rsidRPr="00731BD0">
              <w:rPr>
                <w:noProof/>
                <w:webHidden/>
                <w:sz w:val="28"/>
                <w:szCs w:val="28"/>
              </w:rPr>
              <w:fldChar w:fldCharType="separate"/>
            </w:r>
            <w:r w:rsidRPr="00731BD0">
              <w:rPr>
                <w:noProof/>
                <w:webHidden/>
                <w:sz w:val="28"/>
                <w:szCs w:val="28"/>
              </w:rPr>
              <w:t>10</w:t>
            </w:r>
            <w:r w:rsidRPr="00731BD0">
              <w:rPr>
                <w:noProof/>
                <w:webHidden/>
                <w:sz w:val="28"/>
                <w:szCs w:val="28"/>
              </w:rPr>
              <w:fldChar w:fldCharType="end"/>
            </w:r>
          </w:hyperlink>
        </w:p>
        <w:p w14:paraId="4853C730" w14:textId="421005A3" w:rsidR="00731BD0" w:rsidRPr="00731BD0" w:rsidRDefault="00731BD0">
          <w:pPr>
            <w:pStyle w:val="TOC2"/>
            <w:tabs>
              <w:tab w:val="right" w:leader="dot" w:pos="9016"/>
            </w:tabs>
            <w:rPr>
              <w:noProof/>
              <w:sz w:val="28"/>
              <w:szCs w:val="28"/>
            </w:rPr>
          </w:pPr>
          <w:hyperlink w:anchor="_Toc238972692" w:history="1">
            <w:r w:rsidRPr="00731BD0">
              <w:rPr>
                <w:rStyle w:val="Hyperlink"/>
                <w:b/>
                <w:bCs/>
                <w:noProof/>
                <w:sz w:val="28"/>
                <w:szCs w:val="28"/>
              </w:rPr>
              <w:t>The Concept of Creativity in the Workplace</w:t>
            </w:r>
            <w:r w:rsidRPr="00731BD0">
              <w:rPr>
                <w:noProof/>
                <w:webHidden/>
                <w:sz w:val="28"/>
                <w:szCs w:val="28"/>
              </w:rPr>
              <w:tab/>
            </w:r>
            <w:r w:rsidRPr="00731BD0">
              <w:rPr>
                <w:noProof/>
                <w:webHidden/>
                <w:sz w:val="28"/>
                <w:szCs w:val="28"/>
              </w:rPr>
              <w:fldChar w:fldCharType="begin"/>
            </w:r>
            <w:r w:rsidRPr="00731BD0">
              <w:rPr>
                <w:noProof/>
                <w:webHidden/>
                <w:sz w:val="28"/>
                <w:szCs w:val="28"/>
              </w:rPr>
              <w:instrText xml:space="preserve"> PAGEREF _Toc238972692 \h </w:instrText>
            </w:r>
            <w:r w:rsidRPr="00731BD0">
              <w:rPr>
                <w:noProof/>
                <w:webHidden/>
                <w:sz w:val="28"/>
                <w:szCs w:val="28"/>
              </w:rPr>
            </w:r>
            <w:r w:rsidRPr="00731BD0">
              <w:rPr>
                <w:noProof/>
                <w:webHidden/>
                <w:sz w:val="28"/>
                <w:szCs w:val="28"/>
              </w:rPr>
              <w:fldChar w:fldCharType="separate"/>
            </w:r>
            <w:r w:rsidRPr="00731BD0">
              <w:rPr>
                <w:noProof/>
                <w:webHidden/>
                <w:sz w:val="28"/>
                <w:szCs w:val="28"/>
              </w:rPr>
              <w:t>10</w:t>
            </w:r>
            <w:r w:rsidRPr="00731BD0">
              <w:rPr>
                <w:noProof/>
                <w:webHidden/>
                <w:sz w:val="28"/>
                <w:szCs w:val="28"/>
              </w:rPr>
              <w:fldChar w:fldCharType="end"/>
            </w:r>
          </w:hyperlink>
        </w:p>
        <w:p w14:paraId="510D5839" w14:textId="6B12BDA8" w:rsidR="00731BD0" w:rsidRPr="00731BD0" w:rsidRDefault="00731BD0">
          <w:pPr>
            <w:pStyle w:val="TOC2"/>
            <w:tabs>
              <w:tab w:val="right" w:leader="dot" w:pos="9016"/>
            </w:tabs>
            <w:rPr>
              <w:noProof/>
              <w:sz w:val="28"/>
              <w:szCs w:val="28"/>
            </w:rPr>
          </w:pPr>
          <w:hyperlink w:anchor="_Toc238972693" w:history="1">
            <w:r w:rsidRPr="00731BD0">
              <w:rPr>
                <w:rStyle w:val="Hyperlink"/>
                <w:b/>
                <w:bCs/>
                <w:noProof/>
                <w:sz w:val="28"/>
                <w:szCs w:val="28"/>
              </w:rPr>
              <w:t>Theoretical Perspectives on Organisational Creativity</w:t>
            </w:r>
            <w:r w:rsidRPr="00731BD0">
              <w:rPr>
                <w:noProof/>
                <w:webHidden/>
                <w:sz w:val="28"/>
                <w:szCs w:val="28"/>
              </w:rPr>
              <w:tab/>
            </w:r>
            <w:r w:rsidRPr="00731BD0">
              <w:rPr>
                <w:noProof/>
                <w:webHidden/>
                <w:sz w:val="28"/>
                <w:szCs w:val="28"/>
              </w:rPr>
              <w:fldChar w:fldCharType="begin"/>
            </w:r>
            <w:r w:rsidRPr="00731BD0">
              <w:rPr>
                <w:noProof/>
                <w:webHidden/>
                <w:sz w:val="28"/>
                <w:szCs w:val="28"/>
              </w:rPr>
              <w:instrText xml:space="preserve"> PAGEREF _Toc238972693 \h </w:instrText>
            </w:r>
            <w:r w:rsidRPr="00731BD0">
              <w:rPr>
                <w:noProof/>
                <w:webHidden/>
                <w:sz w:val="28"/>
                <w:szCs w:val="28"/>
              </w:rPr>
            </w:r>
            <w:r w:rsidRPr="00731BD0">
              <w:rPr>
                <w:noProof/>
                <w:webHidden/>
                <w:sz w:val="28"/>
                <w:szCs w:val="28"/>
              </w:rPr>
              <w:fldChar w:fldCharType="separate"/>
            </w:r>
            <w:r w:rsidRPr="00731BD0">
              <w:rPr>
                <w:noProof/>
                <w:webHidden/>
                <w:sz w:val="28"/>
                <w:szCs w:val="28"/>
              </w:rPr>
              <w:t>11</w:t>
            </w:r>
            <w:r w:rsidRPr="00731BD0">
              <w:rPr>
                <w:noProof/>
                <w:webHidden/>
                <w:sz w:val="28"/>
                <w:szCs w:val="28"/>
              </w:rPr>
              <w:fldChar w:fldCharType="end"/>
            </w:r>
          </w:hyperlink>
        </w:p>
        <w:p w14:paraId="07FE701B" w14:textId="090A79C7" w:rsidR="00731BD0" w:rsidRPr="00731BD0" w:rsidRDefault="00731BD0">
          <w:pPr>
            <w:pStyle w:val="TOC2"/>
            <w:tabs>
              <w:tab w:val="right" w:leader="dot" w:pos="9016"/>
            </w:tabs>
            <w:rPr>
              <w:noProof/>
              <w:sz w:val="28"/>
              <w:szCs w:val="28"/>
            </w:rPr>
          </w:pPr>
          <w:hyperlink w:anchor="_Toc238972694" w:history="1">
            <w:r w:rsidRPr="00731BD0">
              <w:rPr>
                <w:rStyle w:val="Hyperlink"/>
                <w:b/>
                <w:bCs/>
                <w:noProof/>
                <w:sz w:val="28"/>
                <w:szCs w:val="28"/>
              </w:rPr>
              <w:t>Alpha Safety's Ability to Harness Creativity</w:t>
            </w:r>
            <w:r w:rsidRPr="00731BD0">
              <w:rPr>
                <w:noProof/>
                <w:webHidden/>
                <w:sz w:val="28"/>
                <w:szCs w:val="28"/>
              </w:rPr>
              <w:tab/>
            </w:r>
            <w:r w:rsidRPr="00731BD0">
              <w:rPr>
                <w:noProof/>
                <w:webHidden/>
                <w:sz w:val="28"/>
                <w:szCs w:val="28"/>
              </w:rPr>
              <w:fldChar w:fldCharType="begin"/>
            </w:r>
            <w:r w:rsidRPr="00731BD0">
              <w:rPr>
                <w:noProof/>
                <w:webHidden/>
                <w:sz w:val="28"/>
                <w:szCs w:val="28"/>
              </w:rPr>
              <w:instrText xml:space="preserve"> PAGEREF _Toc238972694 \h </w:instrText>
            </w:r>
            <w:r w:rsidRPr="00731BD0">
              <w:rPr>
                <w:noProof/>
                <w:webHidden/>
                <w:sz w:val="28"/>
                <w:szCs w:val="28"/>
              </w:rPr>
            </w:r>
            <w:r w:rsidRPr="00731BD0">
              <w:rPr>
                <w:noProof/>
                <w:webHidden/>
                <w:sz w:val="28"/>
                <w:szCs w:val="28"/>
              </w:rPr>
              <w:fldChar w:fldCharType="separate"/>
            </w:r>
            <w:r w:rsidRPr="00731BD0">
              <w:rPr>
                <w:noProof/>
                <w:webHidden/>
                <w:sz w:val="28"/>
                <w:szCs w:val="28"/>
              </w:rPr>
              <w:t>11</w:t>
            </w:r>
            <w:r w:rsidRPr="00731BD0">
              <w:rPr>
                <w:noProof/>
                <w:webHidden/>
                <w:sz w:val="28"/>
                <w:szCs w:val="28"/>
              </w:rPr>
              <w:fldChar w:fldCharType="end"/>
            </w:r>
          </w:hyperlink>
        </w:p>
        <w:p w14:paraId="471F76C7" w14:textId="64618F51" w:rsidR="00731BD0" w:rsidRPr="00731BD0" w:rsidRDefault="00731BD0">
          <w:pPr>
            <w:pStyle w:val="TOC2"/>
            <w:tabs>
              <w:tab w:val="right" w:leader="dot" w:pos="9016"/>
            </w:tabs>
            <w:rPr>
              <w:noProof/>
              <w:sz w:val="28"/>
              <w:szCs w:val="28"/>
            </w:rPr>
          </w:pPr>
          <w:hyperlink w:anchor="_Toc238972695" w:history="1">
            <w:r w:rsidRPr="00731BD0">
              <w:rPr>
                <w:rStyle w:val="Hyperlink"/>
                <w:b/>
                <w:bCs/>
                <w:noProof/>
                <w:sz w:val="28"/>
                <w:szCs w:val="28"/>
              </w:rPr>
              <w:t>Factors Supporting and Restricting Creativity at Alpha Safety Training</w:t>
            </w:r>
            <w:r w:rsidRPr="00731BD0">
              <w:rPr>
                <w:noProof/>
                <w:webHidden/>
                <w:sz w:val="28"/>
                <w:szCs w:val="28"/>
              </w:rPr>
              <w:tab/>
            </w:r>
            <w:r w:rsidRPr="00731BD0">
              <w:rPr>
                <w:noProof/>
                <w:webHidden/>
                <w:sz w:val="28"/>
                <w:szCs w:val="28"/>
              </w:rPr>
              <w:fldChar w:fldCharType="begin"/>
            </w:r>
            <w:r w:rsidRPr="00731BD0">
              <w:rPr>
                <w:noProof/>
                <w:webHidden/>
                <w:sz w:val="28"/>
                <w:szCs w:val="28"/>
              </w:rPr>
              <w:instrText xml:space="preserve"> PAGEREF _Toc238972695 \h </w:instrText>
            </w:r>
            <w:r w:rsidRPr="00731BD0">
              <w:rPr>
                <w:noProof/>
                <w:webHidden/>
                <w:sz w:val="28"/>
                <w:szCs w:val="28"/>
              </w:rPr>
            </w:r>
            <w:r w:rsidRPr="00731BD0">
              <w:rPr>
                <w:noProof/>
                <w:webHidden/>
                <w:sz w:val="28"/>
                <w:szCs w:val="28"/>
              </w:rPr>
              <w:fldChar w:fldCharType="separate"/>
            </w:r>
            <w:r w:rsidRPr="00731BD0">
              <w:rPr>
                <w:noProof/>
                <w:webHidden/>
                <w:sz w:val="28"/>
                <w:szCs w:val="28"/>
              </w:rPr>
              <w:t>13</w:t>
            </w:r>
            <w:r w:rsidRPr="00731BD0">
              <w:rPr>
                <w:noProof/>
                <w:webHidden/>
                <w:sz w:val="28"/>
                <w:szCs w:val="28"/>
              </w:rPr>
              <w:fldChar w:fldCharType="end"/>
            </w:r>
          </w:hyperlink>
        </w:p>
        <w:p w14:paraId="1D1C8843" w14:textId="311EAFCA" w:rsidR="00731BD0" w:rsidRPr="00731BD0" w:rsidRDefault="00731BD0">
          <w:pPr>
            <w:pStyle w:val="TOC2"/>
            <w:tabs>
              <w:tab w:val="right" w:leader="dot" w:pos="9016"/>
            </w:tabs>
            <w:rPr>
              <w:noProof/>
              <w:sz w:val="28"/>
              <w:szCs w:val="28"/>
            </w:rPr>
          </w:pPr>
          <w:hyperlink w:anchor="_Toc238972696" w:history="1">
            <w:r w:rsidRPr="00731BD0">
              <w:rPr>
                <w:rStyle w:val="Hyperlink"/>
                <w:b/>
                <w:bCs/>
                <w:noProof/>
                <w:sz w:val="28"/>
                <w:szCs w:val="28"/>
              </w:rPr>
              <w:t>Organisational Culture and Creative Culture</w:t>
            </w:r>
            <w:r w:rsidRPr="00731BD0">
              <w:rPr>
                <w:noProof/>
                <w:webHidden/>
                <w:sz w:val="28"/>
                <w:szCs w:val="28"/>
              </w:rPr>
              <w:tab/>
            </w:r>
            <w:r w:rsidRPr="00731BD0">
              <w:rPr>
                <w:noProof/>
                <w:webHidden/>
                <w:sz w:val="28"/>
                <w:szCs w:val="28"/>
              </w:rPr>
              <w:fldChar w:fldCharType="begin"/>
            </w:r>
            <w:r w:rsidRPr="00731BD0">
              <w:rPr>
                <w:noProof/>
                <w:webHidden/>
                <w:sz w:val="28"/>
                <w:szCs w:val="28"/>
              </w:rPr>
              <w:instrText xml:space="preserve"> PAGEREF _Toc238972696 \h </w:instrText>
            </w:r>
            <w:r w:rsidRPr="00731BD0">
              <w:rPr>
                <w:noProof/>
                <w:webHidden/>
                <w:sz w:val="28"/>
                <w:szCs w:val="28"/>
              </w:rPr>
            </w:r>
            <w:r w:rsidRPr="00731BD0">
              <w:rPr>
                <w:noProof/>
                <w:webHidden/>
                <w:sz w:val="28"/>
                <w:szCs w:val="28"/>
              </w:rPr>
              <w:fldChar w:fldCharType="separate"/>
            </w:r>
            <w:r w:rsidRPr="00731BD0">
              <w:rPr>
                <w:noProof/>
                <w:webHidden/>
                <w:sz w:val="28"/>
                <w:szCs w:val="28"/>
              </w:rPr>
              <w:t>14</w:t>
            </w:r>
            <w:r w:rsidRPr="00731BD0">
              <w:rPr>
                <w:noProof/>
                <w:webHidden/>
                <w:sz w:val="28"/>
                <w:szCs w:val="28"/>
              </w:rPr>
              <w:fldChar w:fldCharType="end"/>
            </w:r>
          </w:hyperlink>
        </w:p>
        <w:p w14:paraId="6AA42F41" w14:textId="28B850FC" w:rsidR="00731BD0" w:rsidRPr="00731BD0" w:rsidRDefault="00731BD0">
          <w:pPr>
            <w:pStyle w:val="TOC2"/>
            <w:tabs>
              <w:tab w:val="right" w:leader="dot" w:pos="9016"/>
            </w:tabs>
            <w:rPr>
              <w:noProof/>
              <w:sz w:val="28"/>
              <w:szCs w:val="28"/>
            </w:rPr>
          </w:pPr>
          <w:hyperlink w:anchor="_Toc238972697" w:history="1">
            <w:r w:rsidRPr="00731BD0">
              <w:rPr>
                <w:rStyle w:val="Hyperlink"/>
                <w:b/>
                <w:bCs/>
                <w:noProof/>
                <w:sz w:val="28"/>
                <w:szCs w:val="28"/>
              </w:rPr>
              <w:t>Alpha Safety Training's Ability to Foster a Creative Culture</w:t>
            </w:r>
            <w:r w:rsidRPr="00731BD0">
              <w:rPr>
                <w:noProof/>
                <w:webHidden/>
                <w:sz w:val="28"/>
                <w:szCs w:val="28"/>
              </w:rPr>
              <w:tab/>
            </w:r>
            <w:r w:rsidRPr="00731BD0">
              <w:rPr>
                <w:noProof/>
                <w:webHidden/>
                <w:sz w:val="28"/>
                <w:szCs w:val="28"/>
              </w:rPr>
              <w:fldChar w:fldCharType="begin"/>
            </w:r>
            <w:r w:rsidRPr="00731BD0">
              <w:rPr>
                <w:noProof/>
                <w:webHidden/>
                <w:sz w:val="28"/>
                <w:szCs w:val="28"/>
              </w:rPr>
              <w:instrText xml:space="preserve"> PAGEREF _Toc238972697 \h </w:instrText>
            </w:r>
            <w:r w:rsidRPr="00731BD0">
              <w:rPr>
                <w:noProof/>
                <w:webHidden/>
                <w:sz w:val="28"/>
                <w:szCs w:val="28"/>
              </w:rPr>
            </w:r>
            <w:r w:rsidRPr="00731BD0">
              <w:rPr>
                <w:noProof/>
                <w:webHidden/>
                <w:sz w:val="28"/>
                <w:szCs w:val="28"/>
              </w:rPr>
              <w:fldChar w:fldCharType="separate"/>
            </w:r>
            <w:r w:rsidRPr="00731BD0">
              <w:rPr>
                <w:noProof/>
                <w:webHidden/>
                <w:sz w:val="28"/>
                <w:szCs w:val="28"/>
              </w:rPr>
              <w:t>15</w:t>
            </w:r>
            <w:r w:rsidRPr="00731BD0">
              <w:rPr>
                <w:noProof/>
                <w:webHidden/>
                <w:sz w:val="28"/>
                <w:szCs w:val="28"/>
              </w:rPr>
              <w:fldChar w:fldCharType="end"/>
            </w:r>
          </w:hyperlink>
        </w:p>
        <w:p w14:paraId="37B5C44E" w14:textId="3A689997" w:rsidR="00731BD0" w:rsidRPr="00731BD0" w:rsidRDefault="00731BD0">
          <w:pPr>
            <w:pStyle w:val="TOC2"/>
            <w:tabs>
              <w:tab w:val="right" w:leader="dot" w:pos="9016"/>
            </w:tabs>
            <w:rPr>
              <w:noProof/>
              <w:sz w:val="28"/>
              <w:szCs w:val="28"/>
            </w:rPr>
          </w:pPr>
          <w:hyperlink w:anchor="_Toc238972698" w:history="1">
            <w:r w:rsidRPr="00731BD0">
              <w:rPr>
                <w:rStyle w:val="Hyperlink"/>
                <w:b/>
                <w:bCs/>
                <w:noProof/>
                <w:sz w:val="28"/>
                <w:szCs w:val="28"/>
              </w:rPr>
              <w:t>The Relationship Between Creativity, Culture, and Innovation at Alpha Safety Training</w:t>
            </w:r>
            <w:r w:rsidRPr="00731BD0">
              <w:rPr>
                <w:noProof/>
                <w:webHidden/>
                <w:sz w:val="28"/>
                <w:szCs w:val="28"/>
              </w:rPr>
              <w:tab/>
            </w:r>
            <w:r w:rsidRPr="00731BD0">
              <w:rPr>
                <w:noProof/>
                <w:webHidden/>
                <w:sz w:val="28"/>
                <w:szCs w:val="28"/>
              </w:rPr>
              <w:fldChar w:fldCharType="begin"/>
            </w:r>
            <w:r w:rsidRPr="00731BD0">
              <w:rPr>
                <w:noProof/>
                <w:webHidden/>
                <w:sz w:val="28"/>
                <w:szCs w:val="28"/>
              </w:rPr>
              <w:instrText xml:space="preserve"> PAGEREF _Toc238972698 \h </w:instrText>
            </w:r>
            <w:r w:rsidRPr="00731BD0">
              <w:rPr>
                <w:noProof/>
                <w:webHidden/>
                <w:sz w:val="28"/>
                <w:szCs w:val="28"/>
              </w:rPr>
            </w:r>
            <w:r w:rsidRPr="00731BD0">
              <w:rPr>
                <w:noProof/>
                <w:webHidden/>
                <w:sz w:val="28"/>
                <w:szCs w:val="28"/>
              </w:rPr>
              <w:fldChar w:fldCharType="separate"/>
            </w:r>
            <w:r w:rsidRPr="00731BD0">
              <w:rPr>
                <w:noProof/>
                <w:webHidden/>
                <w:sz w:val="28"/>
                <w:szCs w:val="28"/>
              </w:rPr>
              <w:t>16</w:t>
            </w:r>
            <w:r w:rsidRPr="00731BD0">
              <w:rPr>
                <w:noProof/>
                <w:webHidden/>
                <w:sz w:val="28"/>
                <w:szCs w:val="28"/>
              </w:rPr>
              <w:fldChar w:fldCharType="end"/>
            </w:r>
          </w:hyperlink>
        </w:p>
        <w:p w14:paraId="5338A932" w14:textId="749B4F98" w:rsidR="00731BD0" w:rsidRPr="00731BD0" w:rsidRDefault="00731BD0">
          <w:pPr>
            <w:pStyle w:val="TOC2"/>
            <w:tabs>
              <w:tab w:val="right" w:leader="dot" w:pos="9016"/>
            </w:tabs>
            <w:rPr>
              <w:noProof/>
              <w:sz w:val="28"/>
              <w:szCs w:val="28"/>
            </w:rPr>
          </w:pPr>
          <w:hyperlink w:anchor="_Toc238972699" w:history="1">
            <w:r w:rsidRPr="00731BD0">
              <w:rPr>
                <w:rStyle w:val="Hyperlink"/>
                <w:b/>
                <w:bCs/>
                <w:noProof/>
                <w:sz w:val="28"/>
                <w:szCs w:val="28"/>
              </w:rPr>
              <w:t>Overall Evaluation and Areas for Improvement</w:t>
            </w:r>
            <w:r w:rsidRPr="00731BD0">
              <w:rPr>
                <w:noProof/>
                <w:webHidden/>
                <w:sz w:val="28"/>
                <w:szCs w:val="28"/>
              </w:rPr>
              <w:tab/>
            </w:r>
            <w:r w:rsidRPr="00731BD0">
              <w:rPr>
                <w:noProof/>
                <w:webHidden/>
                <w:sz w:val="28"/>
                <w:szCs w:val="28"/>
              </w:rPr>
              <w:fldChar w:fldCharType="begin"/>
            </w:r>
            <w:r w:rsidRPr="00731BD0">
              <w:rPr>
                <w:noProof/>
                <w:webHidden/>
                <w:sz w:val="28"/>
                <w:szCs w:val="28"/>
              </w:rPr>
              <w:instrText xml:space="preserve"> PAGEREF _Toc238972699 \h </w:instrText>
            </w:r>
            <w:r w:rsidRPr="00731BD0">
              <w:rPr>
                <w:noProof/>
                <w:webHidden/>
                <w:sz w:val="28"/>
                <w:szCs w:val="28"/>
              </w:rPr>
            </w:r>
            <w:r w:rsidRPr="00731BD0">
              <w:rPr>
                <w:noProof/>
                <w:webHidden/>
                <w:sz w:val="28"/>
                <w:szCs w:val="28"/>
              </w:rPr>
              <w:fldChar w:fldCharType="separate"/>
            </w:r>
            <w:r w:rsidRPr="00731BD0">
              <w:rPr>
                <w:noProof/>
                <w:webHidden/>
                <w:sz w:val="28"/>
                <w:szCs w:val="28"/>
              </w:rPr>
              <w:t>17</w:t>
            </w:r>
            <w:r w:rsidRPr="00731BD0">
              <w:rPr>
                <w:noProof/>
                <w:webHidden/>
                <w:sz w:val="28"/>
                <w:szCs w:val="28"/>
              </w:rPr>
              <w:fldChar w:fldCharType="end"/>
            </w:r>
          </w:hyperlink>
        </w:p>
        <w:p w14:paraId="3FBFBA3B" w14:textId="6FA24AB4" w:rsidR="00731BD0" w:rsidRPr="00731BD0" w:rsidRDefault="00731BD0">
          <w:pPr>
            <w:pStyle w:val="TOC1"/>
            <w:tabs>
              <w:tab w:val="right" w:leader="dot" w:pos="9016"/>
            </w:tabs>
            <w:rPr>
              <w:noProof/>
              <w:sz w:val="28"/>
              <w:szCs w:val="28"/>
            </w:rPr>
          </w:pPr>
          <w:hyperlink w:anchor="_Toc238972700" w:history="1">
            <w:r w:rsidRPr="00731BD0">
              <w:rPr>
                <w:rStyle w:val="Hyperlink"/>
                <w:noProof/>
                <w:sz w:val="28"/>
                <w:szCs w:val="28"/>
              </w:rPr>
              <w:t>Conclusion</w:t>
            </w:r>
            <w:r w:rsidRPr="00731BD0">
              <w:rPr>
                <w:noProof/>
                <w:webHidden/>
                <w:sz w:val="28"/>
                <w:szCs w:val="28"/>
              </w:rPr>
              <w:tab/>
            </w:r>
            <w:r w:rsidRPr="00731BD0">
              <w:rPr>
                <w:noProof/>
                <w:webHidden/>
                <w:sz w:val="28"/>
                <w:szCs w:val="28"/>
              </w:rPr>
              <w:fldChar w:fldCharType="begin"/>
            </w:r>
            <w:r w:rsidRPr="00731BD0">
              <w:rPr>
                <w:noProof/>
                <w:webHidden/>
                <w:sz w:val="28"/>
                <w:szCs w:val="28"/>
              </w:rPr>
              <w:instrText xml:space="preserve"> PAGEREF _Toc238972700 \h </w:instrText>
            </w:r>
            <w:r w:rsidRPr="00731BD0">
              <w:rPr>
                <w:noProof/>
                <w:webHidden/>
                <w:sz w:val="28"/>
                <w:szCs w:val="28"/>
              </w:rPr>
            </w:r>
            <w:r w:rsidRPr="00731BD0">
              <w:rPr>
                <w:noProof/>
                <w:webHidden/>
                <w:sz w:val="28"/>
                <w:szCs w:val="28"/>
              </w:rPr>
              <w:fldChar w:fldCharType="separate"/>
            </w:r>
            <w:r w:rsidRPr="00731BD0">
              <w:rPr>
                <w:noProof/>
                <w:webHidden/>
                <w:sz w:val="28"/>
                <w:szCs w:val="28"/>
              </w:rPr>
              <w:t>17</w:t>
            </w:r>
            <w:r w:rsidRPr="00731BD0">
              <w:rPr>
                <w:noProof/>
                <w:webHidden/>
                <w:sz w:val="28"/>
                <w:szCs w:val="28"/>
              </w:rPr>
              <w:fldChar w:fldCharType="end"/>
            </w:r>
          </w:hyperlink>
        </w:p>
        <w:p w14:paraId="395845D2" w14:textId="109F7695" w:rsidR="00731BD0" w:rsidRPr="00731BD0" w:rsidRDefault="00731BD0">
          <w:pPr>
            <w:pStyle w:val="TOC1"/>
            <w:tabs>
              <w:tab w:val="right" w:leader="dot" w:pos="9016"/>
            </w:tabs>
            <w:rPr>
              <w:noProof/>
              <w:sz w:val="28"/>
              <w:szCs w:val="28"/>
            </w:rPr>
          </w:pPr>
          <w:hyperlink w:anchor="_Toc238972701" w:history="1">
            <w:r w:rsidRPr="00731BD0">
              <w:rPr>
                <w:rStyle w:val="Hyperlink"/>
                <w:noProof/>
                <w:sz w:val="28"/>
                <w:szCs w:val="28"/>
              </w:rPr>
              <w:t>References</w:t>
            </w:r>
            <w:r w:rsidRPr="00731BD0">
              <w:rPr>
                <w:noProof/>
                <w:webHidden/>
                <w:sz w:val="28"/>
                <w:szCs w:val="28"/>
              </w:rPr>
              <w:tab/>
            </w:r>
            <w:r w:rsidRPr="00731BD0">
              <w:rPr>
                <w:noProof/>
                <w:webHidden/>
                <w:sz w:val="28"/>
                <w:szCs w:val="28"/>
              </w:rPr>
              <w:fldChar w:fldCharType="begin"/>
            </w:r>
            <w:r w:rsidRPr="00731BD0">
              <w:rPr>
                <w:noProof/>
                <w:webHidden/>
                <w:sz w:val="28"/>
                <w:szCs w:val="28"/>
              </w:rPr>
              <w:instrText xml:space="preserve"> PAGEREF _Toc238972701 \h </w:instrText>
            </w:r>
            <w:r w:rsidRPr="00731BD0">
              <w:rPr>
                <w:noProof/>
                <w:webHidden/>
                <w:sz w:val="28"/>
                <w:szCs w:val="28"/>
              </w:rPr>
            </w:r>
            <w:r w:rsidRPr="00731BD0">
              <w:rPr>
                <w:noProof/>
                <w:webHidden/>
                <w:sz w:val="28"/>
                <w:szCs w:val="28"/>
              </w:rPr>
              <w:fldChar w:fldCharType="separate"/>
            </w:r>
            <w:r w:rsidRPr="00731BD0">
              <w:rPr>
                <w:noProof/>
                <w:webHidden/>
                <w:sz w:val="28"/>
                <w:szCs w:val="28"/>
              </w:rPr>
              <w:t>19</w:t>
            </w:r>
            <w:r w:rsidRPr="00731BD0">
              <w:rPr>
                <w:noProof/>
                <w:webHidden/>
                <w:sz w:val="28"/>
                <w:szCs w:val="28"/>
              </w:rPr>
              <w:fldChar w:fldCharType="end"/>
            </w:r>
          </w:hyperlink>
        </w:p>
        <w:p w14:paraId="12DEBDEC" w14:textId="4DE93151" w:rsidR="00731BD0" w:rsidRPr="00731BD0" w:rsidRDefault="00731BD0">
          <w:r w:rsidRPr="00731BD0">
            <w:rPr>
              <w:b/>
              <w:bCs/>
              <w:noProof/>
            </w:rPr>
            <w:fldChar w:fldCharType="end"/>
          </w:r>
        </w:p>
      </w:sdtContent>
    </w:sdt>
    <w:p w14:paraId="51D16044" w14:textId="77777777" w:rsidR="00731BD0" w:rsidRPr="00731BD0" w:rsidRDefault="00731BD0" w:rsidP="6BA6FA28">
      <w:pPr>
        <w:pStyle w:val="Heading1"/>
        <w:spacing w:before="322" w:after="322" w:line="360" w:lineRule="auto"/>
        <w:rPr>
          <w:rFonts w:asciiTheme="minorHAnsi" w:eastAsiaTheme="minorEastAsia" w:hAnsiTheme="minorHAnsi" w:cstheme="minorBidi"/>
          <w:b/>
          <w:bCs/>
        </w:rPr>
      </w:pPr>
      <w:bookmarkStart w:id="0" w:name="_Toc238972682"/>
    </w:p>
    <w:p w14:paraId="13842030" w14:textId="77777777" w:rsidR="00731BD0" w:rsidRPr="00731BD0" w:rsidRDefault="00731BD0" w:rsidP="00731BD0"/>
    <w:p w14:paraId="549090E5" w14:textId="2F4A55FC" w:rsidR="552A7D72" w:rsidRPr="00731BD0" w:rsidRDefault="552A7D72" w:rsidP="6BA6FA28">
      <w:pPr>
        <w:pStyle w:val="Heading1"/>
        <w:spacing w:before="322" w:after="322" w:line="360" w:lineRule="auto"/>
        <w:rPr>
          <w:rFonts w:asciiTheme="minorHAnsi" w:eastAsiaTheme="minorEastAsia" w:hAnsiTheme="minorHAnsi" w:cstheme="minorBidi"/>
          <w:b/>
          <w:bCs/>
        </w:rPr>
      </w:pPr>
      <w:r w:rsidRPr="00731BD0">
        <w:rPr>
          <w:rFonts w:asciiTheme="minorHAnsi" w:eastAsiaTheme="minorEastAsia" w:hAnsiTheme="minorHAnsi" w:cstheme="minorBidi"/>
          <w:b/>
          <w:bCs/>
        </w:rPr>
        <w:lastRenderedPageBreak/>
        <w:t>Introduction</w:t>
      </w:r>
      <w:bookmarkEnd w:id="0"/>
    </w:p>
    <w:p w14:paraId="3B6C56C6" w14:textId="6E82A8DD" w:rsidR="2FB873D3" w:rsidRPr="00731BD0" w:rsidRDefault="2FB873D3" w:rsidP="6BA6FA28">
      <w:pPr>
        <w:spacing w:line="360" w:lineRule="auto"/>
      </w:pPr>
      <w:r w:rsidRPr="00731BD0">
        <w:t xml:space="preserve">Innovation and creativity are critical organisational competencies that can facilitate long-term performance, adaption, and progress. This report assesses Alpha Safety Training's capacity to innovate successfully, harness creativity, and cultivate a creative workplace culture. Cooper's Stage-Gate model and Chesbrough's Open Innovation model are two well-known innovation models that are critically examined in the first section. Their advantages and disadvantages are assessed considering Alpha, </w:t>
      </w:r>
      <w:r w:rsidR="5D2EBFA1" w:rsidRPr="00731BD0">
        <w:t>considering</w:t>
      </w:r>
      <w:r w:rsidRPr="00731BD0">
        <w:t xml:space="preserve"> how organised decision-making and outside expertise might support successful innovation. The impact of employee expertise, leadership, communication, psychological safety, and organisational conditions are all considered while examining workplace creativity and organisational culture in the second section. The report critically compares and applies scholarly viewpoints to Alpha Safety Training's organisational experience. In the end, the paper assesses how corporate culture, staff creativity, and innovation processes work together to promote long-term organisational improvement.</w:t>
      </w:r>
    </w:p>
    <w:p w14:paraId="234336B3" w14:textId="5A42D501" w:rsidR="6BA6FA28" w:rsidRPr="00731BD0" w:rsidRDefault="6BA6FA28" w:rsidP="6BA6FA28">
      <w:pPr>
        <w:spacing w:line="360" w:lineRule="auto"/>
      </w:pPr>
    </w:p>
    <w:p w14:paraId="463C5139" w14:textId="3946A09A" w:rsidR="552A7D72" w:rsidRPr="00731BD0" w:rsidRDefault="552A7D72" w:rsidP="6BA6FA28">
      <w:pPr>
        <w:pStyle w:val="Heading1"/>
        <w:spacing w:before="322" w:after="322" w:line="360" w:lineRule="auto"/>
        <w:rPr>
          <w:rFonts w:asciiTheme="minorHAnsi" w:eastAsiaTheme="minorEastAsia" w:hAnsiTheme="minorHAnsi" w:cstheme="minorBidi"/>
          <w:b/>
          <w:bCs/>
        </w:rPr>
      </w:pPr>
      <w:bookmarkStart w:id="1" w:name="_Toc238972683"/>
      <w:r w:rsidRPr="00731BD0">
        <w:rPr>
          <w:rFonts w:asciiTheme="minorHAnsi" w:eastAsiaTheme="minorEastAsia" w:hAnsiTheme="minorHAnsi" w:cstheme="minorBidi"/>
          <w:b/>
          <w:bCs/>
        </w:rPr>
        <w:t>Using at least two recognised models of innovation, critically examine the ability of the organisation to innovate effectively.</w:t>
      </w:r>
      <w:bookmarkEnd w:id="1"/>
    </w:p>
    <w:p w14:paraId="19D00897" w14:textId="4CCE30F6" w:rsidR="552A7D72" w:rsidRPr="00731BD0" w:rsidRDefault="552A7D72" w:rsidP="6BA6FA28">
      <w:pPr>
        <w:pStyle w:val="Heading2"/>
        <w:spacing w:before="299" w:after="299" w:line="360" w:lineRule="auto"/>
        <w:rPr>
          <w:rFonts w:asciiTheme="minorHAnsi" w:eastAsiaTheme="minorEastAsia" w:hAnsiTheme="minorHAnsi" w:cstheme="minorBidi"/>
          <w:b/>
          <w:bCs/>
        </w:rPr>
      </w:pPr>
      <w:bookmarkStart w:id="2" w:name="_Toc238972684"/>
      <w:r w:rsidRPr="00731BD0">
        <w:rPr>
          <w:rFonts w:asciiTheme="minorHAnsi" w:eastAsiaTheme="minorEastAsia" w:hAnsiTheme="minorHAnsi" w:cstheme="minorBidi"/>
          <w:b/>
          <w:bCs/>
        </w:rPr>
        <w:t>The Concept of Innovation</w:t>
      </w:r>
      <w:bookmarkEnd w:id="2"/>
    </w:p>
    <w:p w14:paraId="787849B8" w14:textId="5506DEA3" w:rsidR="0E384D3D" w:rsidRPr="00731BD0" w:rsidRDefault="0E384D3D" w:rsidP="6BA6FA28">
      <w:pPr>
        <w:spacing w:line="360" w:lineRule="auto"/>
      </w:pPr>
      <w:r w:rsidRPr="00731BD0">
        <w:t>The definition of innovation in an organisation is a contentious issue, with academics having different opinions.</w:t>
      </w:r>
      <w:r w:rsidR="265C2872" w:rsidRPr="00731BD0">
        <w:t xml:space="preserve"> A comprehensive viewpoint is presented by</w:t>
      </w:r>
      <w:r w:rsidR="54F58C44" w:rsidRPr="00731BD0">
        <w:t xml:space="preserve"> (Crossan &amp; Apaydin, 2010</w:t>
      </w:r>
      <w:r w:rsidR="765A3C1D" w:rsidRPr="00731BD0">
        <w:t>a</w:t>
      </w:r>
      <w:r w:rsidR="54F58C44" w:rsidRPr="00731BD0">
        <w:t>)</w:t>
      </w:r>
      <w:r w:rsidR="265C2872" w:rsidRPr="00731BD0">
        <w:t>, who conceptualise organisational innovation as both a process and a consequence, with leadership being crucial to the advancement of ideas toward implementation</w:t>
      </w:r>
      <w:r w:rsidR="590E32C1" w:rsidRPr="00731BD0">
        <w:t xml:space="preserve">. </w:t>
      </w:r>
      <w:r w:rsidR="24D1CF01" w:rsidRPr="00731BD0">
        <w:t>(Klein &amp; Sorra, 1996)</w:t>
      </w:r>
      <w:r w:rsidR="0C4063C1" w:rsidRPr="00731BD0">
        <w:t>, on the other hand, emphasise implementation more, contending that an innovation's efficacy depends on its members' consistent and dedicated application.</w:t>
      </w:r>
      <w:r w:rsidR="57D52273" w:rsidRPr="00731BD0">
        <w:t xml:space="preserve"> While Crossan and Apaydin's perspective provides a useful </w:t>
      </w:r>
      <w:r w:rsidR="57D52273" w:rsidRPr="00731BD0">
        <w:lastRenderedPageBreak/>
        <w:t>knowledge of the overall innovation path, Klein and Sorra's argument is especially applicable to Alpha Safety since</w:t>
      </w:r>
      <w:r w:rsidR="5546D43B" w:rsidRPr="00731BD0">
        <w:rPr>
          <w:rFonts w:eastAsia="Cambria" w:cs="Cambria"/>
        </w:rPr>
        <w:t xml:space="preserve"> generating a new idea does not always result in effective innovation</w:t>
      </w:r>
      <w:r w:rsidR="57D52273" w:rsidRPr="00731BD0">
        <w:t>.</w:t>
      </w:r>
      <w:r w:rsidR="0CFFFA47" w:rsidRPr="00731BD0">
        <w:t xml:space="preserve"> Based on Alpha's organisational experience, innovation is better described as the successful transformation of an idea or spotted opportunity into an implemented change that adds value to the organi</w:t>
      </w:r>
      <w:r w:rsidR="346469B5" w:rsidRPr="00731BD0">
        <w:t>s</w:t>
      </w:r>
      <w:r w:rsidR="0CFFFA47" w:rsidRPr="00731BD0">
        <w:t>ation or its consumers.</w:t>
      </w:r>
      <w:r w:rsidR="32BC6A4F" w:rsidRPr="00731BD0">
        <w:t xml:space="preserve"> </w:t>
      </w:r>
      <w:r w:rsidR="6A5C1773" w:rsidRPr="00731BD0">
        <w:t>Based on organisational experience</w:t>
      </w:r>
      <w:r w:rsidR="0CFFFA47" w:rsidRPr="00731BD0">
        <w:t>, although innovation involves both the developmental process identified by Crossan and Apaydin and the implementation emphasised by Klein and Sorra, within Alpha it can be argued that effective innovation requires both elements: ideas must be developed through appropriate organisational processes but eventually translated into improvements that create practical value.</w:t>
      </w:r>
      <w:r w:rsidR="3D6275DA" w:rsidRPr="00731BD0">
        <w:t xml:space="preserve"> </w:t>
      </w:r>
    </w:p>
    <w:p w14:paraId="2A9B627B" w14:textId="1F39B8DC" w:rsidR="552A7D72" w:rsidRPr="00731BD0" w:rsidRDefault="552A7D72" w:rsidP="6BA6FA28">
      <w:pPr>
        <w:pStyle w:val="Heading2"/>
        <w:spacing w:before="299" w:after="299" w:line="360" w:lineRule="auto"/>
        <w:rPr>
          <w:rFonts w:asciiTheme="minorHAnsi" w:eastAsiaTheme="minorEastAsia" w:hAnsiTheme="minorHAnsi" w:cstheme="minorBidi"/>
          <w:b/>
          <w:bCs/>
        </w:rPr>
      </w:pPr>
      <w:bookmarkStart w:id="3" w:name="_Toc238972685"/>
      <w:r w:rsidRPr="00731BD0">
        <w:rPr>
          <w:rFonts w:asciiTheme="minorHAnsi" w:eastAsiaTheme="minorEastAsia" w:hAnsiTheme="minorHAnsi" w:cstheme="minorBidi"/>
          <w:b/>
          <w:bCs/>
        </w:rPr>
        <w:t>Recognised Model of Innovation One – [</w:t>
      </w:r>
      <w:r w:rsidR="3F42EE46" w:rsidRPr="00731BD0">
        <w:rPr>
          <w:rFonts w:asciiTheme="minorHAnsi" w:eastAsiaTheme="minorEastAsia" w:hAnsiTheme="minorHAnsi" w:cstheme="minorBidi"/>
          <w:b/>
          <w:bCs/>
        </w:rPr>
        <w:t>Cooper’s Stage-Gate Model</w:t>
      </w:r>
      <w:r w:rsidRPr="00731BD0">
        <w:rPr>
          <w:rFonts w:asciiTheme="minorHAnsi" w:eastAsiaTheme="minorEastAsia" w:hAnsiTheme="minorHAnsi" w:cstheme="minorBidi"/>
          <w:b/>
          <w:bCs/>
        </w:rPr>
        <w:t>]</w:t>
      </w:r>
      <w:bookmarkEnd w:id="3"/>
    </w:p>
    <w:p w14:paraId="491F8591" w14:textId="262BFF0F" w:rsidR="1AE0F8A2" w:rsidRPr="00731BD0" w:rsidRDefault="1AE0F8A2" w:rsidP="6BA6FA28">
      <w:pPr>
        <w:spacing w:before="240" w:after="240" w:line="360" w:lineRule="auto"/>
      </w:pPr>
      <w:r w:rsidRPr="00731BD0">
        <w:t xml:space="preserve">Cooper's Stage-Gate model offers a structured method to managing innovation by separating the development process into stages separated by decision-making gates, where progress is assessed before additional resources are committed </w:t>
      </w:r>
      <w:r w:rsidR="6CC74200" w:rsidRPr="00731BD0">
        <w:t>(Cooper, 2025)</w:t>
      </w:r>
      <w:r w:rsidR="5B5389CB" w:rsidRPr="00731BD0">
        <w:t xml:space="preserve">. </w:t>
      </w:r>
      <w:r w:rsidR="01AF2F07" w:rsidRPr="00731BD0">
        <w:t>(Cooper, 2008</w:t>
      </w:r>
      <w:r w:rsidR="376552E6" w:rsidRPr="00731BD0">
        <w:t>a</w:t>
      </w:r>
      <w:r w:rsidR="01AF2F07" w:rsidRPr="00731BD0">
        <w:t xml:space="preserve">) later admitted that Stage-Gate can be misconstrued or poorly implemented as a strict, linear procedure, potentially resulting in unnecessary bureaucracy and delays. He advocated for more adaptable and scalable methodologies, such as overlapping activities, spiral development, and tailoring the process to the nature and risk of specific innovation initiatives. </w:t>
      </w:r>
      <w:r w:rsidR="33630D45" w:rsidRPr="00731BD0">
        <w:t>Alpha Safety believes that a completely rigid Stage-Gate process is inappropriate because, based on organisational experience, improvements can emerge in response to immediate customer requirements, employee knowledge, and changing industry demands, necessitating flexibility and timely decision-making. Nonetheless, the core approach of examining an idea before committing large resources is still useful, especially where</w:t>
      </w:r>
      <w:r w:rsidR="256BE470" w:rsidRPr="00731BD0">
        <w:t xml:space="preserve"> a</w:t>
      </w:r>
      <w:r w:rsidR="33630D45" w:rsidRPr="00731BD0">
        <w:t xml:space="preserve"> new training service may necessitate investment, accreditation, facilities, or employee development.</w:t>
      </w:r>
      <w:r w:rsidR="69F63111" w:rsidRPr="00731BD0">
        <w:t xml:space="preserve"> T</w:t>
      </w:r>
      <w:r w:rsidR="74066B4F" w:rsidRPr="00731BD0">
        <w:t>his suggests</w:t>
      </w:r>
      <w:r w:rsidR="69F63111" w:rsidRPr="00731BD0">
        <w:t xml:space="preserve">, while Cooper's initial structured method </w:t>
      </w:r>
      <w:r w:rsidR="29601BB8" w:rsidRPr="00731BD0">
        <w:t>provides</w:t>
      </w:r>
      <w:r w:rsidR="69F63111" w:rsidRPr="00731BD0">
        <w:t xml:space="preserve"> Alpha with a valuable framework for risk management and assessing the sustainability of </w:t>
      </w:r>
      <w:r w:rsidR="6FD63ADB" w:rsidRPr="00731BD0">
        <w:t>latest ideas</w:t>
      </w:r>
      <w:r w:rsidR="69F63111" w:rsidRPr="00731BD0">
        <w:t xml:space="preserve">, Cooper 2008's more flexible interpretation </w:t>
      </w:r>
      <w:r w:rsidR="7583651D" w:rsidRPr="00731BD0">
        <w:t>is more</w:t>
      </w:r>
      <w:r w:rsidR="69F63111" w:rsidRPr="00731BD0">
        <w:t xml:space="preserve"> in line with Alpha's organisational experience. This shows that Stage-Gate is most useful for Alpha when utilised as a </w:t>
      </w:r>
      <w:r w:rsidR="69F63111" w:rsidRPr="00731BD0">
        <w:lastRenderedPageBreak/>
        <w:t>flexible decision-making framework rather than a fixed sequence that may limit responsiveness and inventiveness.</w:t>
      </w:r>
    </w:p>
    <w:p w14:paraId="4951AD6C" w14:textId="6E2CD00A" w:rsidR="552A7D72" w:rsidRPr="00731BD0" w:rsidRDefault="552A7D72" w:rsidP="6BA6FA28">
      <w:pPr>
        <w:pStyle w:val="Heading2"/>
        <w:spacing w:before="299" w:after="299" w:line="360" w:lineRule="auto"/>
        <w:rPr>
          <w:rFonts w:asciiTheme="minorHAnsi" w:eastAsiaTheme="minorEastAsia" w:hAnsiTheme="minorHAnsi" w:cstheme="minorBidi"/>
          <w:b/>
          <w:bCs/>
        </w:rPr>
      </w:pPr>
      <w:bookmarkStart w:id="4" w:name="_Toc238972686"/>
      <w:r w:rsidRPr="00731BD0">
        <w:rPr>
          <w:rFonts w:asciiTheme="minorHAnsi" w:eastAsiaTheme="minorEastAsia" w:hAnsiTheme="minorHAnsi" w:cstheme="minorBidi"/>
          <w:b/>
          <w:bCs/>
        </w:rPr>
        <w:t>Application of Innovation Model One to Alpha Safety Training</w:t>
      </w:r>
      <w:bookmarkEnd w:id="4"/>
    </w:p>
    <w:p w14:paraId="0D3F3B6D" w14:textId="4CBC731C" w:rsidR="241DC62B" w:rsidRPr="00731BD0" w:rsidRDefault="241DC62B" w:rsidP="6BA6FA28">
      <w:pPr>
        <w:spacing w:before="240" w:after="240" w:line="360" w:lineRule="auto"/>
      </w:pPr>
      <w:r w:rsidRPr="00731BD0">
        <w:t>The structured decision-making principles of the Stage-Gate model can be identified within aspects of innovation at Alpha Safety, although organisational experience suggests that these processes operate less formally than Cooper's model proposes.</w:t>
      </w:r>
      <w:r w:rsidR="4767DE40" w:rsidRPr="00731BD0">
        <w:t xml:space="preserve"> This structure could benefit Alpha when evaluating new innovations, such as offering a new training course, because management must first determine demand before addressing accreditation criteria, trainer competency, facilities, resources, and financial viability.</w:t>
      </w:r>
      <w:r w:rsidR="6A6EF93A" w:rsidRPr="00731BD0">
        <w:t xml:space="preserve"> </w:t>
      </w:r>
      <w:r w:rsidR="0E65C5D1" w:rsidRPr="00731BD0">
        <w:t xml:space="preserve">(Schultz et al., 2018) </w:t>
      </w:r>
      <w:r w:rsidR="6A6EF93A" w:rsidRPr="00731BD0">
        <w:t>discovered that organisations with a higher service orientation are less likely to implement formal Stage-Gate systems, despite their research suggesting that such systems can improve innovation performance in service-focused businesses. This presents an important argument in Alpha's context, as organisational experience shows that innovation does not always follow a predetermined sequenc</w:t>
      </w:r>
      <w:r w:rsidR="155D6697" w:rsidRPr="00731BD0">
        <w:t>e.</w:t>
      </w:r>
      <w:r w:rsidR="6A6EF93A" w:rsidRPr="00731BD0">
        <w:t xml:space="preserve"> </w:t>
      </w:r>
      <w:r w:rsidR="5C5C75C2" w:rsidRPr="00731BD0">
        <w:t>I</w:t>
      </w:r>
      <w:r w:rsidR="6A6EF93A" w:rsidRPr="00731BD0">
        <w:t>deas can emerge from customer requirements, employee knowledge, or changes in the health and safety training industry, necessitating a more immediate response. As a result, erecting formal gates at each stage may diminish the responsiveness that gives a smaller service organi</w:t>
      </w:r>
      <w:r w:rsidR="1100213E" w:rsidRPr="00731BD0">
        <w:t>s</w:t>
      </w:r>
      <w:r w:rsidR="6A6EF93A" w:rsidRPr="00731BD0">
        <w:t>ation an advantage.</w:t>
      </w:r>
      <w:r w:rsidR="60E280A0" w:rsidRPr="00731BD0">
        <w:t xml:space="preserve"> Cooper (2008) highlights that modern Stage-Gate should be scalable and adaptable rather than a strict linear process, allowing activities to overlap and processes to reflect the magnitude and risk of an innovation. </w:t>
      </w:r>
      <w:r w:rsidR="14201040" w:rsidRPr="00731BD0">
        <w:t xml:space="preserve">Based on Alpha's experience, this approach is more realistic: </w:t>
      </w:r>
      <w:r w:rsidR="6D55B9CC" w:rsidRPr="00731BD0">
        <w:t>slight changes</w:t>
      </w:r>
      <w:r w:rsidR="14201040" w:rsidRPr="00731BD0">
        <w:t xml:space="preserve"> might require quick research and execution, while major developments including funding, certification, or new facilities require more careful consideration before resources are allocated. Because of this, Alpha exhibits greater agreement with a flexible interpretation of Stage-Gate than with a formal sequential system, suggesting that innovation control could be improved by implementing its decision-making principles selectively without compromising the responsiveness required in a service-based training organisation.</w:t>
      </w:r>
    </w:p>
    <w:p w14:paraId="4EC65BD4" w14:textId="4838054F" w:rsidR="552A7D72" w:rsidRPr="00731BD0" w:rsidRDefault="552A7D72" w:rsidP="6BA6FA28">
      <w:pPr>
        <w:pStyle w:val="Heading2"/>
        <w:spacing w:before="299" w:after="299" w:line="360" w:lineRule="auto"/>
        <w:rPr>
          <w:rFonts w:asciiTheme="minorHAnsi" w:eastAsiaTheme="minorEastAsia" w:hAnsiTheme="minorHAnsi" w:cstheme="minorBidi"/>
          <w:b/>
          <w:bCs/>
        </w:rPr>
      </w:pPr>
      <w:bookmarkStart w:id="5" w:name="_Toc238972687"/>
      <w:r w:rsidRPr="00731BD0">
        <w:rPr>
          <w:rFonts w:asciiTheme="minorHAnsi" w:eastAsiaTheme="minorEastAsia" w:hAnsiTheme="minorHAnsi" w:cstheme="minorBidi"/>
          <w:b/>
          <w:bCs/>
        </w:rPr>
        <w:lastRenderedPageBreak/>
        <w:t>Recognised Model of Innovation Two – [</w:t>
      </w:r>
      <w:r w:rsidR="2B5BA4F8" w:rsidRPr="00731BD0">
        <w:rPr>
          <w:rFonts w:asciiTheme="minorHAnsi" w:eastAsiaTheme="minorEastAsia" w:hAnsiTheme="minorHAnsi" w:cstheme="minorBidi"/>
          <w:b/>
          <w:bCs/>
        </w:rPr>
        <w:t>Chesbrough’s Open Innovation Model</w:t>
      </w:r>
      <w:r w:rsidRPr="00731BD0">
        <w:rPr>
          <w:rFonts w:asciiTheme="minorHAnsi" w:eastAsiaTheme="minorEastAsia" w:hAnsiTheme="minorHAnsi" w:cstheme="minorBidi"/>
          <w:b/>
          <w:bCs/>
        </w:rPr>
        <w:t>]</w:t>
      </w:r>
      <w:bookmarkEnd w:id="5"/>
    </w:p>
    <w:p w14:paraId="1EE7DB7C" w14:textId="7A2A5EDE" w:rsidR="447ADF86" w:rsidRPr="00731BD0" w:rsidRDefault="447ADF86" w:rsidP="6BA6FA28">
      <w:pPr>
        <w:spacing w:before="240" w:after="240" w:line="360" w:lineRule="auto"/>
      </w:pPr>
      <w:r w:rsidRPr="00731BD0">
        <w:t xml:space="preserve">By questioning the notion that innovation should primarily begin and evolve within organisational bounds, </w:t>
      </w:r>
      <w:r w:rsidR="72DE44C2" w:rsidRPr="00731BD0">
        <w:t>o</w:t>
      </w:r>
      <w:r w:rsidRPr="00731BD0">
        <w:t xml:space="preserve">pen </w:t>
      </w:r>
      <w:r w:rsidR="43E531A3" w:rsidRPr="00731BD0">
        <w:t>i</w:t>
      </w:r>
      <w:r w:rsidRPr="00731BD0">
        <w:t>nnovation offers an alternate viewpoint to the organised method of Stage-Gate.</w:t>
      </w:r>
      <w:r w:rsidR="1BC67E3A" w:rsidRPr="00731BD0">
        <w:t xml:space="preserve"> According to (Chesbrough, 2003), businesses can enhance creativity by purposefully utilising both internal and external information, acknowledging that useful concepts and knowledge might exist outside the organisation</w:t>
      </w:r>
      <w:r w:rsidR="4E281348" w:rsidRPr="00731BD0">
        <w:t xml:space="preserve">. </w:t>
      </w:r>
      <w:r w:rsidR="071FD7AE" w:rsidRPr="00731BD0">
        <w:t>To</w:t>
      </w:r>
      <w:r w:rsidR="38921C8A" w:rsidRPr="00731BD0">
        <w:t xml:space="preserve"> support this claim, (West &amp; Bogers, 2013</w:t>
      </w:r>
      <w:r w:rsidR="55AF3D83" w:rsidRPr="00731BD0">
        <w:t>a</w:t>
      </w:r>
      <w:r w:rsidR="38921C8A" w:rsidRPr="00731BD0">
        <w:t xml:space="preserve">) outline a procedure that companies use to acquire, incorporate, and market outside ideas while working with outside partners. Their analysis of 291 publications on open innovation highlights the value of obtaining outside expertise, but it also finds </w:t>
      </w:r>
      <w:r w:rsidR="15C3CAC3" w:rsidRPr="00731BD0">
        <w:t>little</w:t>
      </w:r>
      <w:r w:rsidR="38921C8A" w:rsidRPr="00731BD0">
        <w:t xml:space="preserve"> study on how businesses effectively incorporate and market that expertise.</w:t>
      </w:r>
      <w:r w:rsidR="4D5CBD2D" w:rsidRPr="00731BD0">
        <w:t xml:space="preserve"> </w:t>
      </w:r>
      <w:r w:rsidR="7D9B1B1B" w:rsidRPr="00731BD0">
        <w:t xml:space="preserve">Furthermore, </w:t>
      </w:r>
      <w:r w:rsidR="4D5CBD2D" w:rsidRPr="00731BD0">
        <w:t>(Laursen &amp; Salter, 2005)</w:t>
      </w:r>
      <w:r w:rsidR="4FD16603" w:rsidRPr="00731BD0">
        <w:t xml:space="preserve"> question the premise that greater openness always results in better outcomes. </w:t>
      </w:r>
      <w:r w:rsidR="117D0FF1" w:rsidRPr="00731BD0">
        <w:t xml:space="preserve">Their results showed an inverse U-shaped relationship between the depth and breadth of external information searches and innovation performance, suggesting that searching too deeply or widely may eventually have negative effects. According to organisational experience, external knowledge from customers, awarding and certification organisations, industry developments, and evolving training requirements can offer significant opportunities for service improvement. However, attempting to address every external </w:t>
      </w:r>
      <w:r w:rsidR="718F6B1A" w:rsidRPr="00731BD0">
        <w:t>influence</w:t>
      </w:r>
      <w:r w:rsidR="117D0FF1" w:rsidRPr="00731BD0">
        <w:t xml:space="preserve"> could take funds away from projects that help the company and its clients.</w:t>
      </w:r>
      <w:r w:rsidR="59F8E914" w:rsidRPr="00731BD0">
        <w:t xml:space="preserve"> </w:t>
      </w:r>
      <w:r w:rsidR="016786FD" w:rsidRPr="00731BD0">
        <w:t xml:space="preserve">Because knowledge outside of organisations influences innovation in health and safety training, Chesbrough's Open Innovation model </w:t>
      </w:r>
      <w:r w:rsidR="2AD53471" w:rsidRPr="00731BD0">
        <w:t>is</w:t>
      </w:r>
      <w:r w:rsidR="016786FD" w:rsidRPr="00731BD0">
        <w:t xml:space="preserve"> very applicable to Alpha. However, Laursen and Salter's findings provide a crucial qualification. Therefore, rather than being open without strategic constraints, effective open innovation in Alpha's environment should involve the selective identification, assessment, and incorporation of relevant external knowledge.</w:t>
      </w:r>
    </w:p>
    <w:p w14:paraId="69BFF88C" w14:textId="6A3C42DC" w:rsidR="6BA6FA28" w:rsidRPr="00731BD0" w:rsidRDefault="6BA6FA28" w:rsidP="6BA6FA28">
      <w:pPr>
        <w:pStyle w:val="Heading2"/>
        <w:spacing w:before="299" w:after="299" w:line="360" w:lineRule="auto"/>
        <w:rPr>
          <w:rFonts w:asciiTheme="minorHAnsi" w:eastAsiaTheme="minorEastAsia" w:hAnsiTheme="minorHAnsi" w:cstheme="minorBidi"/>
          <w:b/>
          <w:bCs/>
          <w:sz w:val="36"/>
          <w:szCs w:val="36"/>
        </w:rPr>
      </w:pPr>
    </w:p>
    <w:p w14:paraId="382C1290" w14:textId="382846CB" w:rsidR="552A7D72" w:rsidRPr="00731BD0" w:rsidRDefault="552A7D72" w:rsidP="6BA6FA28">
      <w:pPr>
        <w:pStyle w:val="Heading2"/>
        <w:spacing w:before="299" w:after="299" w:line="360" w:lineRule="auto"/>
        <w:rPr>
          <w:rFonts w:asciiTheme="minorHAnsi" w:eastAsiaTheme="minorEastAsia" w:hAnsiTheme="minorHAnsi" w:cstheme="minorBidi"/>
          <w:b/>
          <w:bCs/>
        </w:rPr>
      </w:pPr>
      <w:bookmarkStart w:id="6" w:name="_Toc238972688"/>
      <w:r w:rsidRPr="00731BD0">
        <w:rPr>
          <w:rFonts w:asciiTheme="minorHAnsi" w:eastAsiaTheme="minorEastAsia" w:hAnsiTheme="minorHAnsi" w:cstheme="minorBidi"/>
          <w:b/>
          <w:bCs/>
        </w:rPr>
        <w:t>Application of Innovation Model Two to Alpha Safety Training</w:t>
      </w:r>
      <w:bookmarkEnd w:id="6"/>
    </w:p>
    <w:p w14:paraId="3E90B61D" w14:textId="31D04EB8" w:rsidR="1C46DDEC" w:rsidRPr="00731BD0" w:rsidRDefault="1C46DDEC" w:rsidP="6BA6FA28">
      <w:pPr>
        <w:spacing w:before="240" w:after="240" w:line="360" w:lineRule="auto"/>
      </w:pPr>
      <w:r w:rsidRPr="00731BD0">
        <w:rPr>
          <w:color w:val="000000" w:themeColor="text1"/>
        </w:rPr>
        <w:t xml:space="preserve">Open Innovation </w:t>
      </w:r>
      <w:r w:rsidR="5BC427C9" w:rsidRPr="00731BD0">
        <w:rPr>
          <w:color w:val="000000" w:themeColor="text1"/>
        </w:rPr>
        <w:t>is</w:t>
      </w:r>
      <w:r w:rsidRPr="00731BD0">
        <w:rPr>
          <w:color w:val="000000" w:themeColor="text1"/>
        </w:rPr>
        <w:t xml:space="preserve"> particularly relevant to Alpha Safety Training because organisational development in the health and safety training sector is dependent on knowledge generated both internally and externally. According to (West &amp; Bogers, 2013b), companies can benefit from external innovation by acquiring, integrating, and commercialising external knowledge, as well as continuing to communicate with external partners.</w:t>
      </w:r>
      <w:r w:rsidRPr="00731BD0">
        <w:t xml:space="preserve"> When applied to Alpha, external information might come from clients recognising evolving training needs, </w:t>
      </w:r>
      <w:r w:rsidR="0E68BC22" w:rsidRPr="00731BD0">
        <w:t>accrediting,</w:t>
      </w:r>
      <w:r w:rsidRPr="00731BD0">
        <w:t xml:space="preserve"> and awarding organisations setting standards, industry and regulatory advancements, and </w:t>
      </w:r>
      <w:r w:rsidR="5802F843" w:rsidRPr="00731BD0">
        <w:rPr>
          <w:rFonts w:eastAsia="Cambria" w:cs="Cambria"/>
        </w:rPr>
        <w:t>trainers providing specialised expertise</w:t>
      </w:r>
      <w:r w:rsidRPr="00731BD0">
        <w:t>.</w:t>
      </w:r>
      <w:r w:rsidR="2DDEBC12" w:rsidRPr="00731BD0">
        <w:t xml:space="preserve"> </w:t>
      </w:r>
      <w:r w:rsidR="16B2983A" w:rsidRPr="00731BD0">
        <w:t xml:space="preserve">However, accessing external knowledge does not guarantee effective innovation. According to (Cohen </w:t>
      </w:r>
      <w:r w:rsidR="74BD861E" w:rsidRPr="00731BD0">
        <w:t>&amp; Levinthal</w:t>
      </w:r>
      <w:r w:rsidR="16B2983A" w:rsidRPr="00731BD0">
        <w:t>, 1990), an organisation's absorptive capacity—its ability to perceive the value of external knowledge, digest it, and apply it commercially—is critical to its inventive aptitude. When applied to Alpha, this perspective may provide an important limitation to Open Innovation, as receiving information from customers or industry sources adds little organisational value unless employees and management have the knowledge and capacity to interpret and implement it effectively.</w:t>
      </w:r>
      <w:r w:rsidR="4E9C5622" w:rsidRPr="00731BD0">
        <w:t xml:space="preserve"> </w:t>
      </w:r>
      <w:r w:rsidR="7391E730" w:rsidRPr="00731BD0">
        <w:t xml:space="preserve">As a result, Alpha's potential to benefit from Open Innovation is dependent on its ability to selectively discover, absorb, and combine important external knowledge with its workers' internal expertise, rather than merely being open to </w:t>
      </w:r>
      <w:bookmarkStart w:id="7" w:name="_Int_MiT3P6eR"/>
      <w:r w:rsidR="7391E730" w:rsidRPr="00731BD0">
        <w:t>new ideas</w:t>
      </w:r>
      <w:bookmarkEnd w:id="7"/>
      <w:r w:rsidR="7391E730" w:rsidRPr="00731BD0">
        <w:t xml:space="preserve">. As a result, Open Innovation presents a compelling explanation of how Alpha can uncover growth opportunities; yet effective innovation </w:t>
      </w:r>
      <w:r w:rsidR="683EE95D" w:rsidRPr="00731BD0">
        <w:t>depends</w:t>
      </w:r>
      <w:r w:rsidR="7391E730" w:rsidRPr="00731BD0">
        <w:t xml:space="preserve"> on the organi</w:t>
      </w:r>
      <w:r w:rsidR="7A492C67" w:rsidRPr="00731BD0">
        <w:t>s</w:t>
      </w:r>
      <w:r w:rsidR="7391E730" w:rsidRPr="00731BD0">
        <w:t>ation's capacity to turn external knowledge into enhancements that generate true consumer and organisational value.</w:t>
      </w:r>
    </w:p>
    <w:p w14:paraId="39813778" w14:textId="742657CC" w:rsidR="6BA6FA28" w:rsidRPr="00731BD0" w:rsidRDefault="6BA6FA28" w:rsidP="6BA6FA28">
      <w:pPr>
        <w:spacing w:before="240" w:after="240" w:line="360" w:lineRule="auto"/>
      </w:pPr>
    </w:p>
    <w:p w14:paraId="4D3B92D8" w14:textId="6BC61BE3" w:rsidR="552A7D72" w:rsidRPr="00731BD0" w:rsidRDefault="552A7D72" w:rsidP="6BA6FA28">
      <w:pPr>
        <w:pStyle w:val="Heading2"/>
        <w:spacing w:before="240" w:after="240" w:line="360" w:lineRule="auto"/>
        <w:rPr>
          <w:rFonts w:asciiTheme="minorHAnsi" w:eastAsiaTheme="minorEastAsia" w:hAnsiTheme="minorHAnsi" w:cstheme="minorBidi"/>
          <w:b/>
          <w:bCs/>
        </w:rPr>
      </w:pPr>
      <w:bookmarkStart w:id="8" w:name="_Toc238972689"/>
      <w:r w:rsidRPr="00731BD0">
        <w:rPr>
          <w:rFonts w:asciiTheme="minorHAnsi" w:eastAsiaTheme="minorEastAsia" w:hAnsiTheme="minorHAnsi" w:cstheme="minorBidi"/>
          <w:b/>
          <w:bCs/>
        </w:rPr>
        <w:lastRenderedPageBreak/>
        <w:t>Critical Comparison of the Two Models of Innovation</w:t>
      </w:r>
      <w:bookmarkEnd w:id="8"/>
    </w:p>
    <w:p w14:paraId="66BF813B" w14:textId="1F9A09AC" w:rsidR="7B56BDA0" w:rsidRPr="00731BD0" w:rsidRDefault="7B56BDA0" w:rsidP="6BA6FA28">
      <w:pPr>
        <w:spacing w:line="360" w:lineRule="auto"/>
      </w:pPr>
      <w:r w:rsidRPr="00731BD0">
        <w:t>Although Stage-Gate and Open Innovation offer contrasting perspectives, their value to Alpha Safety may lie in their complementary rather than competing characteristics.</w:t>
      </w:r>
      <w:r w:rsidR="0F9EBF9F" w:rsidRPr="00731BD0">
        <w:t xml:space="preserve"> (Cooper, 2008</w:t>
      </w:r>
      <w:r w:rsidR="05CD5122" w:rsidRPr="00731BD0">
        <w:t>b</w:t>
      </w:r>
      <w:r w:rsidR="0F9EBF9F" w:rsidRPr="00731BD0">
        <w:t>) defines Stage-Gate as an adaptable approach for evaluating and progressing innovation utilising stages and decision points, giving businesses better structure when deciding whether to devote resources to an opportunity.</w:t>
      </w:r>
      <w:r w:rsidR="39A685B9" w:rsidRPr="00731BD0">
        <w:t xml:space="preserve"> In contrast (Chesbrough, 2004) argues that organisations should realise the growing relevance of information beyond organisational borders, implying that effective innovation can utilise both internal and external sources. While Open Innovation may provide Alpha with a more comprehensive method for recognising opportunities through customers, industry experts, and awarding or certification agencies, it provides less advice on how these chances should be evaluated and handled.</w:t>
      </w:r>
      <w:r w:rsidR="79F87A00" w:rsidRPr="00731BD0">
        <w:t xml:space="preserve"> </w:t>
      </w:r>
      <w:r w:rsidR="6F188D6E" w:rsidRPr="00731BD0">
        <w:t>Conversely</w:t>
      </w:r>
      <w:r w:rsidR="79F87A00" w:rsidRPr="00731BD0">
        <w:t>, Stage-Gate gives more process structure but does not place as much focus on systematic access to external knowledge.</w:t>
      </w:r>
      <w:r w:rsidR="6F2D6BAA" w:rsidRPr="00731BD0">
        <w:t xml:space="preserve"> This distinction is essential because </w:t>
      </w:r>
      <w:r w:rsidR="5B9885E5" w:rsidRPr="00731BD0">
        <w:t>(Dahlander &amp; Gann, 2010)</w:t>
      </w:r>
      <w:r w:rsidR="6F2D6BAA" w:rsidRPr="00731BD0">
        <w:t xml:space="preserve"> suggest that openness has both advantages and downsides, including the benefits of obtaining other expertise as well as the costs of seeking out and managing external relationships.</w:t>
      </w:r>
      <w:r w:rsidR="7AF47ADB" w:rsidRPr="00731BD0">
        <w:t xml:space="preserve"> Based on organisational experience, Open Innovation more accurately reflects how potential opportunities may emerge from interactions with customers and the larger health and safety training environment, whereas Stage-Gate principles provide a more solid foundation for determining whether those opportunities are viable before allocating resources. Rather than identifying one model as universally superior, it is possible that Alpha would benefit the most from combining the two approaches: Open Innovation can broaden the sources of valuable ideas and knowledge, whereas a flexible Stage-Gate process can provide the structure needed to evaluate and implement them. This combination may strike a compromise between the openness and responsiveness required inside a service organi</w:t>
      </w:r>
      <w:r w:rsidR="5EE14C16" w:rsidRPr="00731BD0">
        <w:t>s</w:t>
      </w:r>
      <w:r w:rsidR="7AF47ADB" w:rsidRPr="00731BD0">
        <w:t>ation and the control required to ensure that innovation delivers long-term organisational and consumer benefit.</w:t>
      </w:r>
    </w:p>
    <w:p w14:paraId="325F0539" w14:textId="3BE9EA7F" w:rsidR="6BA6FA28" w:rsidRPr="00731BD0" w:rsidRDefault="6BA6FA28" w:rsidP="6BA6FA28">
      <w:pPr>
        <w:pStyle w:val="Heading2"/>
        <w:spacing w:before="299" w:after="299" w:line="360" w:lineRule="auto"/>
        <w:rPr>
          <w:rFonts w:asciiTheme="minorHAnsi" w:eastAsiaTheme="minorEastAsia" w:hAnsiTheme="minorHAnsi" w:cstheme="minorBidi"/>
          <w:b/>
          <w:bCs/>
          <w:sz w:val="36"/>
          <w:szCs w:val="36"/>
        </w:rPr>
      </w:pPr>
    </w:p>
    <w:p w14:paraId="6F52538B" w14:textId="2167D3DA" w:rsidR="552A7D72" w:rsidRPr="00731BD0" w:rsidRDefault="552A7D72" w:rsidP="6BA6FA28">
      <w:pPr>
        <w:pStyle w:val="Heading2"/>
        <w:spacing w:before="299" w:after="299" w:line="360" w:lineRule="auto"/>
        <w:rPr>
          <w:rFonts w:asciiTheme="minorHAnsi" w:eastAsiaTheme="minorEastAsia" w:hAnsiTheme="minorHAnsi" w:cstheme="minorBidi"/>
          <w:b/>
          <w:bCs/>
        </w:rPr>
      </w:pPr>
      <w:bookmarkStart w:id="9" w:name="_Toc238972690"/>
      <w:r w:rsidRPr="00731BD0">
        <w:rPr>
          <w:rFonts w:asciiTheme="minorHAnsi" w:eastAsiaTheme="minorEastAsia" w:hAnsiTheme="minorHAnsi" w:cstheme="minorBidi"/>
          <w:b/>
          <w:bCs/>
        </w:rPr>
        <w:t>Alpha Safety Training's Ability to Innovate Effectively</w:t>
      </w:r>
      <w:bookmarkEnd w:id="9"/>
    </w:p>
    <w:p w14:paraId="79ACF39C" w14:textId="4C4AE007" w:rsidR="2FE72C2E" w:rsidRPr="00731BD0" w:rsidRDefault="2FE72C2E" w:rsidP="6BA6FA28">
      <w:pPr>
        <w:spacing w:line="360" w:lineRule="auto"/>
      </w:pPr>
      <w:r w:rsidRPr="00731BD0">
        <w:t>Alpha Safety's capacity to innovate effectively appears to be dependent not only on the generation of opportunities, but also on whether its leadership, people, knowledge, and resources work together to transform those opportunities into valuable improvements.</w:t>
      </w:r>
      <w:r w:rsidR="15AAF299" w:rsidRPr="00731BD0">
        <w:t xml:space="preserve"> </w:t>
      </w:r>
      <w:r w:rsidR="77616FC9" w:rsidRPr="00731BD0">
        <w:t xml:space="preserve">(Damanpour, 1991) defines managerial attitudes toward change, technical expertise, resources, and internal and external communication as important predictors of organisational innovation. Where (Hogan et al., 2011) identify client-, marketing-, and technology-focused aspects of innovation capability within professional service organisations, (O’Cass &amp; Sok, 2013) contend that managers and employees contribute to service innovation capability and the generation of customer value. </w:t>
      </w:r>
      <w:r w:rsidR="6B3B07D8" w:rsidRPr="00731BD0">
        <w:t xml:space="preserve">These findings are relevant even though Alpha differs from the professional services Hogan et al. examined because Alpha's training program likewise heavily relies on client interaction and specialised knowledge. Employees' awareness of training, customer demands, and industry advancements can be key sources of innovation, according to Alpha's organisational experience; nonetheless, this knowledge has little value if it is not shared, analysed, and transformed into organisational action. </w:t>
      </w:r>
      <w:r w:rsidR="77616FC9" w:rsidRPr="00731BD0">
        <w:t>However, too much openness could spread scarce resources over too many opportunities, while too much structure could limit Alpha's reactivity. As a result, Alpha can be seen as capable of effective innovation when leadership skilfully strikes a balance between staff expertise and outside information with wise decision-making and resource allocation. Therefore, its ability to identify pertinent opportunities, mobilise organisational knowledge, and consistently translate these into long-lasting improvements for both customers and the organi</w:t>
      </w:r>
      <w:r w:rsidR="410AF5C2" w:rsidRPr="00731BD0">
        <w:t>s</w:t>
      </w:r>
      <w:r w:rsidR="77616FC9" w:rsidRPr="00731BD0">
        <w:t>ation should be used to evaluate its innovation competence rather than the number of changes implemented.</w:t>
      </w:r>
    </w:p>
    <w:p w14:paraId="0D92540A" w14:textId="6C92E3BC" w:rsidR="552A7D72" w:rsidRPr="00731BD0" w:rsidRDefault="552A7D72" w:rsidP="6BA6FA28">
      <w:pPr>
        <w:pStyle w:val="Heading1"/>
        <w:spacing w:before="322" w:after="322" w:line="360" w:lineRule="auto"/>
        <w:rPr>
          <w:rFonts w:asciiTheme="minorHAnsi" w:eastAsiaTheme="minorEastAsia" w:hAnsiTheme="minorHAnsi" w:cstheme="minorBidi"/>
          <w:b/>
          <w:bCs/>
        </w:rPr>
      </w:pPr>
      <w:bookmarkStart w:id="10" w:name="_Toc238972691"/>
      <w:r w:rsidRPr="00731BD0">
        <w:rPr>
          <w:rFonts w:asciiTheme="minorHAnsi" w:eastAsiaTheme="minorEastAsia" w:hAnsiTheme="minorHAnsi" w:cstheme="minorBidi"/>
          <w:b/>
          <w:bCs/>
        </w:rPr>
        <w:lastRenderedPageBreak/>
        <w:t>Evaluate an organisation's ability to harness creativity and foster a creative culture in the workplace.</w:t>
      </w:r>
      <w:bookmarkEnd w:id="10"/>
    </w:p>
    <w:p w14:paraId="01B19382" w14:textId="51CA2B20" w:rsidR="552A7D72" w:rsidRPr="00731BD0" w:rsidRDefault="552A7D72" w:rsidP="6BA6FA28">
      <w:pPr>
        <w:pStyle w:val="Heading2"/>
        <w:rPr>
          <w:rFonts w:asciiTheme="minorHAnsi" w:eastAsiaTheme="minorEastAsia" w:hAnsiTheme="minorHAnsi" w:cstheme="minorBidi"/>
          <w:b/>
          <w:bCs/>
        </w:rPr>
      </w:pPr>
      <w:bookmarkStart w:id="11" w:name="_Toc238972692"/>
      <w:r w:rsidRPr="00731BD0">
        <w:rPr>
          <w:rFonts w:asciiTheme="minorHAnsi" w:eastAsiaTheme="minorEastAsia" w:hAnsiTheme="minorHAnsi" w:cstheme="minorBidi"/>
          <w:b/>
          <w:bCs/>
        </w:rPr>
        <w:t>The Concept of Creativity in the Workplace</w:t>
      </w:r>
      <w:bookmarkEnd w:id="11"/>
    </w:p>
    <w:p w14:paraId="5D757B60" w14:textId="458B9371" w:rsidR="13AE29A0" w:rsidRPr="00731BD0" w:rsidRDefault="13AE29A0" w:rsidP="6BA6FA28">
      <w:pPr>
        <w:spacing w:line="360" w:lineRule="auto"/>
      </w:pPr>
      <w:r w:rsidRPr="00731BD0">
        <w:t>Depending on whether the focus is on individual idea production or the larger organisational environment in which such ideas develop, creativity in the workplace can be understood differently.</w:t>
      </w:r>
      <w:r w:rsidR="2DF189D2" w:rsidRPr="00731BD0">
        <w:t xml:space="preserve"> (Amabile &amp; Pratt, 2016</w:t>
      </w:r>
      <w:r w:rsidR="4BB03C57" w:rsidRPr="00731BD0">
        <w:t>a</w:t>
      </w:r>
      <w:r w:rsidR="2DF189D2" w:rsidRPr="00731BD0">
        <w:t xml:space="preserve">) describes creativity as </w:t>
      </w:r>
      <w:r w:rsidR="4A59C3A8" w:rsidRPr="00731BD0">
        <w:t>producing</w:t>
      </w:r>
      <w:r w:rsidR="2DF189D2" w:rsidRPr="00731BD0">
        <w:t xml:space="preserve"> original and practical ideas. He contends that task motivation, domain-relevant skills, and creativity-relevant abilities all have an impact on an individual's creativity.</w:t>
      </w:r>
      <w:r w:rsidR="0B190C07" w:rsidRPr="00731BD0">
        <w:t xml:space="preserve"> A more comprehensive interactionist viewpoint is put out by (Woodman et al., 1993), who contend that complex interactions between human traits and contextual effects at the person, group, and organisational levels lead to organisational innovation. This calls into question an unduly individualistic conception of creativity because, in situations where organisational structures, leadership, or team settings limit their participation, even knowledgeable and driven people may find it difficult to contribute creatively.</w:t>
      </w:r>
      <w:r w:rsidR="6D435059" w:rsidRPr="00731BD0">
        <w:t xml:space="preserve"> </w:t>
      </w:r>
      <w:r w:rsidR="53A50426" w:rsidRPr="00731BD0">
        <w:t>More recently, (Anderson et al., 2014a) have also highlighted the multifaceted nature of workplace innovation and creativity, but they distinguish innovation from creativity as the process of putting new and practical ideas into practice.</w:t>
      </w:r>
      <w:r w:rsidR="7583B27E" w:rsidRPr="00731BD0">
        <w:t xml:space="preserve"> Organisational experience shows that individual expertise, especially knowledge acquired through customer interaction and training delivery, can offer a valuable foundation for identifying </w:t>
      </w:r>
      <w:bookmarkStart w:id="12" w:name="_Int_BiiCXisi"/>
      <w:r w:rsidR="7583B27E" w:rsidRPr="00731BD0">
        <w:t>new approaches</w:t>
      </w:r>
      <w:bookmarkEnd w:id="12"/>
      <w:r w:rsidR="7583B27E" w:rsidRPr="00731BD0">
        <w:t xml:space="preserve"> and improvements. As a result, creativity at Alpha should be viewed as a process impacted by interactions between individuals, teams, and the larger organisational environment rather than just an individual employee's capacity to </w:t>
      </w:r>
      <w:r w:rsidR="6BC5D008" w:rsidRPr="00731BD0">
        <w:t>produce</w:t>
      </w:r>
      <w:r w:rsidR="7583B27E" w:rsidRPr="00731BD0">
        <w:t xml:space="preserve"> unique ideas. As a result, Alpha's capacity to leverage creativity depends on both the employees' capacity for creativity and the organisational settings that allow their thoughts and knowledge to contribute to advancements and, eventually, innovation.</w:t>
      </w:r>
    </w:p>
    <w:p w14:paraId="6721CB31" w14:textId="6A32A5FE" w:rsidR="6BA6FA28" w:rsidRPr="00731BD0" w:rsidRDefault="6BA6FA28" w:rsidP="6BA6FA28">
      <w:pPr>
        <w:pStyle w:val="Heading2"/>
        <w:spacing w:before="299" w:after="299" w:line="360" w:lineRule="auto"/>
        <w:rPr>
          <w:rFonts w:asciiTheme="minorHAnsi" w:eastAsiaTheme="minorEastAsia" w:hAnsiTheme="minorHAnsi" w:cstheme="minorBidi"/>
          <w:b/>
          <w:bCs/>
          <w:sz w:val="36"/>
          <w:szCs w:val="36"/>
        </w:rPr>
      </w:pPr>
    </w:p>
    <w:p w14:paraId="4CD3F247" w14:textId="18BCA4EE" w:rsidR="552A7D72" w:rsidRPr="00731BD0" w:rsidRDefault="552A7D72" w:rsidP="6BA6FA28">
      <w:pPr>
        <w:pStyle w:val="Heading2"/>
        <w:spacing w:before="299" w:after="299" w:line="360" w:lineRule="auto"/>
        <w:rPr>
          <w:rFonts w:asciiTheme="minorHAnsi" w:eastAsiaTheme="minorEastAsia" w:hAnsiTheme="minorHAnsi" w:cstheme="minorBidi"/>
          <w:b/>
          <w:bCs/>
        </w:rPr>
      </w:pPr>
      <w:bookmarkStart w:id="13" w:name="_Toc238972693"/>
      <w:r w:rsidRPr="00731BD0">
        <w:rPr>
          <w:rFonts w:asciiTheme="minorHAnsi" w:eastAsiaTheme="minorEastAsia" w:hAnsiTheme="minorHAnsi" w:cstheme="minorBidi"/>
          <w:b/>
          <w:bCs/>
        </w:rPr>
        <w:t>Theoretical Perspectives on Organisational Creativity</w:t>
      </w:r>
      <w:bookmarkEnd w:id="13"/>
    </w:p>
    <w:p w14:paraId="210870A6" w14:textId="21362CFA" w:rsidR="76A1F6B6" w:rsidRPr="00731BD0" w:rsidRDefault="76A1F6B6" w:rsidP="6BA6FA28">
      <w:pPr>
        <w:spacing w:line="360" w:lineRule="auto"/>
      </w:pPr>
      <w:r w:rsidRPr="00731BD0">
        <w:t>(Amabile &amp; Pratt, 2016b)</w:t>
      </w:r>
      <w:r w:rsidR="2984DDB1" w:rsidRPr="00731BD0">
        <w:t xml:space="preserve"> Dynamic Componential Model, which argues that creative performance arises from an interaction between individual capabilities and the larger work environment, offers a helpful framework for comprehending organisational creativity. According to the concept, employees' domain-relevant abilities, creativity-relevant processes, and task motivation all have an impact on creativity, and organisational elements like management styles, resources, and innovation incentive can either encourage or hinder these individual elements.</w:t>
      </w:r>
      <w:r w:rsidR="58506895" w:rsidRPr="00731BD0">
        <w:t xml:space="preserve"> Crucially, (Amabile &amp; Pratt, 2016c) acknowledge that meaningful labour, progress, affect, and some types of extrinsic motivation can also positively contribute to creativity, reversing the prior emphasis on internal drive.</w:t>
      </w:r>
      <w:r w:rsidR="6F6AACE2" w:rsidRPr="00731BD0">
        <w:t xml:space="preserve"> </w:t>
      </w:r>
      <w:r w:rsidR="544FC421" w:rsidRPr="00731BD0">
        <w:t>However, (Shalley et al., 2004), who conducted a systematic review of workplace creativity research, offer a more comprehensive viewpoint by showing that a variety of contextual and personal factors affect creativity and warning that the connections between specific organisational conditions and creativity are still complicated.</w:t>
      </w:r>
      <w:r w:rsidR="17563891" w:rsidRPr="00731BD0">
        <w:t xml:space="preserve"> From the perspective of Alpha Safety, Amabile and Pratt's model seems extremely pertinent because employees' industry knowledge and specialised training provide domain expertise, and organisational experience indicates that chances to solve customer problems, modify working procedures, and contribute ideas can foster creative thinking. Consequently, Shalley et al.'s findings show that creativity cannot be generated by a set combination of organisational practices, even while the model offers a useful framework for assessing creativity at Alpha. Rather, Alpha's capacity to leverage creativity will </w:t>
      </w:r>
      <w:r w:rsidR="40757156" w:rsidRPr="00731BD0">
        <w:t>rely</w:t>
      </w:r>
      <w:r w:rsidR="17563891" w:rsidRPr="00731BD0">
        <w:t xml:space="preserve"> on how well individual knowledge and drive connect with a flexible and encouraging workplace.</w:t>
      </w:r>
    </w:p>
    <w:p w14:paraId="62B2A82F" w14:textId="7BF62AEE" w:rsidR="552A7D72" w:rsidRPr="00731BD0" w:rsidRDefault="552A7D72" w:rsidP="6BA6FA28">
      <w:pPr>
        <w:pStyle w:val="Heading2"/>
        <w:spacing w:before="299" w:after="299" w:line="360" w:lineRule="auto"/>
        <w:rPr>
          <w:rFonts w:asciiTheme="minorHAnsi" w:eastAsiaTheme="minorEastAsia" w:hAnsiTheme="minorHAnsi" w:cstheme="minorBidi"/>
          <w:b/>
          <w:bCs/>
        </w:rPr>
      </w:pPr>
      <w:bookmarkStart w:id="14" w:name="_Toc238972694"/>
      <w:r w:rsidRPr="00731BD0">
        <w:rPr>
          <w:rFonts w:asciiTheme="minorHAnsi" w:eastAsiaTheme="minorEastAsia" w:hAnsiTheme="minorHAnsi" w:cstheme="minorBidi"/>
          <w:b/>
          <w:bCs/>
        </w:rPr>
        <w:t>Alpha Safety's Ability to Harness Creativity</w:t>
      </w:r>
      <w:bookmarkEnd w:id="14"/>
    </w:p>
    <w:p w14:paraId="145DBEE7" w14:textId="282C8855" w:rsidR="5A50B9B7" w:rsidRPr="00731BD0" w:rsidRDefault="5A50B9B7" w:rsidP="6BA6FA28">
      <w:pPr>
        <w:spacing w:line="360" w:lineRule="auto"/>
      </w:pPr>
      <w:r w:rsidRPr="00731BD0">
        <w:t xml:space="preserve">Alpha Safety's capacity to </w:t>
      </w:r>
      <w:r w:rsidR="458E2667" w:rsidRPr="00731BD0">
        <w:t>harness</w:t>
      </w:r>
      <w:r w:rsidRPr="00731BD0">
        <w:t xml:space="preserve"> creativity depends not only on staff members having the necessary knowledge, but also on whether the company offers chances for that knowledge to be communicated, shared, and transformed into practical concepts.</w:t>
      </w:r>
      <w:r w:rsidR="2CDF28F1" w:rsidRPr="00731BD0">
        <w:t xml:space="preserve"> According to (Zhou &amp; Hoever, 2014), hiring competent people by themselves does not </w:t>
      </w:r>
      <w:r w:rsidR="2CDF28F1" w:rsidRPr="00731BD0">
        <w:lastRenderedPageBreak/>
        <w:t>ensure creative results because workplace creativity is impacted by the interplay between individual traits and environmental circumstances.</w:t>
      </w:r>
      <w:r w:rsidR="4BDD5435" w:rsidRPr="00731BD0">
        <w:t xml:space="preserve"> On the other hand, a meta-analysis by (Carnevale et al., 2017) focuses especially on leadership relationships and finds that positive leader-member interchange is linked to employee voice, creativity, and innovative behaviour. </w:t>
      </w:r>
      <w:r w:rsidR="21AB5314" w:rsidRPr="00731BD0">
        <w:t xml:space="preserve">This argument is especially relevant to Alpha's organisational experience because employees and trainers gain specialised knowledge through training delivery, customer interaction, and real-world industry experience. This knowledge can help them identify issues and potential improvements that may not be immediately apparent at the management level. However, unless staff members </w:t>
      </w:r>
      <w:r w:rsidR="75BF01EE" w:rsidRPr="00731BD0">
        <w:t>can</w:t>
      </w:r>
      <w:r w:rsidR="21AB5314" w:rsidRPr="00731BD0">
        <w:t xml:space="preserve"> share these ideas and management is open to taking them into consideration, the availability of such knowledge does not prove that Alpha is effectively utilising creativity.</w:t>
      </w:r>
    </w:p>
    <w:p w14:paraId="6804C92B" w14:textId="72926D08" w:rsidR="47839072" w:rsidRPr="00731BD0" w:rsidRDefault="47839072" w:rsidP="6BA6FA28">
      <w:pPr>
        <w:spacing w:line="360" w:lineRule="auto"/>
      </w:pPr>
      <w:r w:rsidRPr="00731BD0">
        <w:t xml:space="preserve">(Miao et al., 2020) discovered that while psychological safety can increase employees' readiness to share ideas focused on development, employee voice partially mediates the association between high-performance work practices and innovative behaviour. However, encouraging staff members to voice their opinions does not guarantee that their recommendations will be carried out, so </w:t>
      </w:r>
      <w:r w:rsidR="326DD5A3" w:rsidRPr="00731BD0">
        <w:t>it is</w:t>
      </w:r>
      <w:r w:rsidRPr="00731BD0">
        <w:t xml:space="preserve"> important to distinguish between offering chances for creativity and really utilising it.</w:t>
      </w:r>
      <w:r w:rsidR="3F068353" w:rsidRPr="00731BD0">
        <w:t xml:space="preserve"> From Alpha's point of view, employees can contribute ideas through informal communication, teamwork, and customer-facing experiences; however, more value is obtained when pertinent suggestions are shared among teams, assessed by management, and converted into process or service enhancements. Therefore, the success of the entire process—from individual expertise and idea production to team knowledge-sharing and employee voice to organisational evaluation and action—should be used to assess Alpha's capacity to harness creativity. Therefore, where supporting leadership allows staff knowledge to advance beyond individual ideas and become a communal resource for organisational advancement, Alpha can most successfully harness creativity.</w:t>
      </w:r>
    </w:p>
    <w:p w14:paraId="268AB4E0" w14:textId="02508DC1" w:rsidR="552A7D72" w:rsidRPr="00731BD0" w:rsidRDefault="552A7D72" w:rsidP="6BA6FA28">
      <w:pPr>
        <w:pStyle w:val="Heading2"/>
        <w:spacing w:before="299" w:after="299" w:line="360" w:lineRule="auto"/>
        <w:rPr>
          <w:rFonts w:asciiTheme="minorHAnsi" w:eastAsiaTheme="minorEastAsia" w:hAnsiTheme="minorHAnsi" w:cstheme="minorBidi"/>
          <w:b/>
          <w:bCs/>
        </w:rPr>
      </w:pPr>
      <w:bookmarkStart w:id="15" w:name="_Toc238972695"/>
      <w:r w:rsidRPr="00731BD0">
        <w:rPr>
          <w:rFonts w:asciiTheme="minorHAnsi" w:eastAsiaTheme="minorEastAsia" w:hAnsiTheme="minorHAnsi" w:cstheme="minorBidi"/>
          <w:b/>
          <w:bCs/>
        </w:rPr>
        <w:lastRenderedPageBreak/>
        <w:t>Factors Supporting and Restricting Creativity at Alpha Safety Training</w:t>
      </w:r>
      <w:bookmarkEnd w:id="15"/>
    </w:p>
    <w:p w14:paraId="1ED00D2A" w14:textId="4E6787AF" w:rsidR="5D25EF41" w:rsidRPr="00731BD0" w:rsidRDefault="5D25EF41" w:rsidP="6BA6FA28">
      <w:pPr>
        <w:spacing w:line="360" w:lineRule="auto"/>
      </w:pPr>
      <w:r w:rsidRPr="00731BD0">
        <w:t xml:space="preserve">Organisational circumstances at Alpha Safety have an impact on creativity since they can both facilitate and hinder staff members' capacity to generate </w:t>
      </w:r>
      <w:bookmarkStart w:id="16" w:name="_Int_RqqVa1Wd"/>
      <w:r w:rsidRPr="00731BD0">
        <w:t>new ideas</w:t>
      </w:r>
      <w:bookmarkEnd w:id="16"/>
      <w:r w:rsidRPr="00731BD0">
        <w:t>.</w:t>
      </w:r>
      <w:r w:rsidR="395A65AA" w:rsidRPr="00731BD0">
        <w:t xml:space="preserve"> According to (Shalley &amp; Gilson, 2017), there is an inherent conflict in organisations between standardisation, which ensures consistency in the way work is done, and creativity, which necessitates enough latitude to develop alternative strategies. Because health and safety training complies with regulations pertaining to certification, course standards, and consistent delivery, this conflict is especially pertinent to Alpha.</w:t>
      </w:r>
      <w:r w:rsidR="44B12BCF" w:rsidRPr="00731BD0">
        <w:t xml:space="preserve"> Such rules, which specify what must be taught and how specific standards must be met, could be seen as limiting trainer autonomy based on organisational experience.</w:t>
      </w:r>
      <w:r w:rsidR="648E7C9D" w:rsidRPr="00731BD0">
        <w:t xml:space="preserve"> (Gilson et al., 2005), however, contest the notion that standardisation and originality are mutually exclusive. Standardised working procedures and innovation can function in tandem, impacting both performance and customer happiness, according to their study of ninety empowered service teams.</w:t>
      </w:r>
    </w:p>
    <w:p w14:paraId="54F70742" w14:textId="2BE0676D" w:rsidR="0D445AC2" w:rsidRPr="00731BD0" w:rsidRDefault="0D445AC2" w:rsidP="6BA6FA28">
      <w:pPr>
        <w:spacing w:line="360" w:lineRule="auto"/>
      </w:pPr>
      <w:r w:rsidRPr="00731BD0">
        <w:t>Although its link to incremental creativity is more nuanced, (Zhang et al., 2023) discovered that time constraints can limit radical creativity by decreasing employees' external knowledge scanning. This is important for Alpha because workers may be encouraged to prioritise urgent training and customer needs over investigating significantly alternative ways due to workload and operational obligations.</w:t>
      </w:r>
      <w:r w:rsidR="3CCBEE10" w:rsidRPr="00731BD0">
        <w:t xml:space="preserve"> As a result, Alpha's controlled environment </w:t>
      </w:r>
      <w:r w:rsidR="219555BD" w:rsidRPr="00731BD0">
        <w:t>should not</w:t>
      </w:r>
      <w:r w:rsidR="3CCBEE10" w:rsidRPr="00731BD0">
        <w:t xml:space="preserve"> always be seen as a hindrance to innovation; rather, its capacity to foster innovation depends on striking the right balance between essential standardisation and adequate employee discretion. As a result, Alpha is most likely to encourage innovation when standards provide the necessary results and employees have the right amount of latitude to decide how to develop and add value for customers.</w:t>
      </w:r>
    </w:p>
    <w:p w14:paraId="098F8C13" w14:textId="64CF9CE2" w:rsidR="6BA6FA28" w:rsidRPr="00731BD0" w:rsidRDefault="6BA6FA28" w:rsidP="6BA6FA28">
      <w:pPr>
        <w:spacing w:line="360" w:lineRule="auto"/>
      </w:pPr>
    </w:p>
    <w:p w14:paraId="2933E420" w14:textId="7110813B" w:rsidR="552A7D72" w:rsidRPr="00731BD0" w:rsidRDefault="552A7D72" w:rsidP="6BA6FA28">
      <w:pPr>
        <w:pStyle w:val="Heading2"/>
        <w:spacing w:before="299" w:after="299" w:line="360" w:lineRule="auto"/>
        <w:rPr>
          <w:rFonts w:asciiTheme="minorHAnsi" w:eastAsiaTheme="minorEastAsia" w:hAnsiTheme="minorHAnsi" w:cstheme="minorBidi"/>
          <w:b/>
          <w:bCs/>
        </w:rPr>
      </w:pPr>
      <w:bookmarkStart w:id="17" w:name="_Toc238972696"/>
      <w:r w:rsidRPr="00731BD0">
        <w:rPr>
          <w:rFonts w:asciiTheme="minorHAnsi" w:eastAsiaTheme="minorEastAsia" w:hAnsiTheme="minorHAnsi" w:cstheme="minorBidi"/>
          <w:b/>
          <w:bCs/>
        </w:rPr>
        <w:lastRenderedPageBreak/>
        <w:t>Organisational Culture and Creative Culture</w:t>
      </w:r>
      <w:bookmarkEnd w:id="17"/>
    </w:p>
    <w:p w14:paraId="0E87E56B" w14:textId="4DEBBF05" w:rsidR="4DF3B134" w:rsidRPr="00731BD0" w:rsidRDefault="4DF3B134" w:rsidP="6BA6FA28">
      <w:pPr>
        <w:spacing w:line="360" w:lineRule="auto"/>
      </w:pPr>
      <w:r w:rsidRPr="00731BD0">
        <w:t xml:space="preserve">Because employees' perceptions of </w:t>
      </w:r>
      <w:bookmarkStart w:id="18" w:name="_Int_zMV06O2I"/>
      <w:r w:rsidRPr="00731BD0">
        <w:t>new ideas</w:t>
      </w:r>
      <w:bookmarkEnd w:id="18"/>
      <w:r w:rsidRPr="00731BD0">
        <w:t>, experimentation, and challenging established procedures are shaped by shared values and presumptions, organisational culture can have a substantial impact on creativity.</w:t>
      </w:r>
      <w:r w:rsidR="7E3900F1" w:rsidRPr="00731BD0">
        <w:t xml:space="preserve"> Three interrelated levels—visible artefacts, stated ideas and ideals, and underlying presumptions that get ingrained in organisational </w:t>
      </w:r>
      <w:r w:rsidR="264057CF" w:rsidRPr="00731BD0">
        <w:t>behaviour</w:t>
      </w:r>
      <w:r w:rsidR="7E3900F1" w:rsidRPr="00731BD0">
        <w:t>—are utilised by (Schein, 2010</w:t>
      </w:r>
      <w:r w:rsidR="44E8621A" w:rsidRPr="00731BD0">
        <w:t>a</w:t>
      </w:r>
      <w:r w:rsidR="7E3900F1" w:rsidRPr="00731BD0">
        <w:t>) to conceptualise culture. According to this viewpoint, an organi</w:t>
      </w:r>
      <w:r w:rsidR="7323A296" w:rsidRPr="00731BD0">
        <w:t>s</w:t>
      </w:r>
      <w:r w:rsidR="7E3900F1" w:rsidRPr="00731BD0">
        <w:t>ation cannot be deemed creatively helpful just because innovation manifests itself in its declared ideals; the underlying presumptions that shape employees' daily behaviour must also foster creativity.</w:t>
      </w:r>
      <w:r w:rsidR="416D0379" w:rsidRPr="00731BD0">
        <w:t xml:space="preserve"> (Martins &amp; Terblanche, 2003</w:t>
      </w:r>
      <w:r w:rsidR="3E6B4CA0" w:rsidRPr="00731BD0">
        <w:t>a</w:t>
      </w:r>
      <w:r w:rsidR="416D0379" w:rsidRPr="00731BD0">
        <w:t>) expand on this claim by mentioning organisational structure, strategy, support systems, innovative conduct, and open communication as cultural factors that can either foster or impede creativity and innovation. On the other hand, this might suggest that some cultural traits will always result in creative solutions.</w:t>
      </w:r>
      <w:r w:rsidR="46FAAF18" w:rsidRPr="00731BD0">
        <w:t xml:space="preserve"> Through their meta-analysis of 43 studies involving 6,341 organisations, (Büschgens et al., 2013) offer a more nuanced viewpoint. They discover that developmental cultures that are flexible and externally orientated are most strongly linked to innovation, while acknowledging that other cultural forms may still be appropriate depending on organisational goals.</w:t>
      </w:r>
    </w:p>
    <w:p w14:paraId="721C1352" w14:textId="495E08E4" w:rsidR="2CA657CA" w:rsidRPr="00731BD0" w:rsidRDefault="2CA657CA" w:rsidP="6BA6FA28">
      <w:pPr>
        <w:spacing w:line="360" w:lineRule="auto"/>
      </w:pPr>
      <w:r w:rsidRPr="00731BD0">
        <w:t xml:space="preserve">From Alpha Safety's point of view, this certification is especially crucial since </w:t>
      </w:r>
      <w:r w:rsidR="17B08CA1" w:rsidRPr="00731BD0">
        <w:t>an adaptable</w:t>
      </w:r>
      <w:r w:rsidRPr="00731BD0">
        <w:t xml:space="preserve"> culture would not be suitable in a setting that demands uniformity, accreditation, and compliance. According to organisational experience, people are more likely to be creative when they feel free to share ideas and question established methods while also being aware of the legal and professional constraints related to health and safety training. As a result, Schein's paradigm offers a useful foundation for investigating whether Alpha's outward actions and declared principles are backed by more fundamental presumptions that </w:t>
      </w:r>
      <w:r w:rsidR="70C48CFB" w:rsidRPr="00731BD0">
        <w:t>promote</w:t>
      </w:r>
      <w:r w:rsidRPr="00731BD0">
        <w:t xml:space="preserve"> employee involvement.</w:t>
      </w:r>
      <w:r w:rsidR="5AF6B3BF" w:rsidRPr="00731BD0">
        <w:t xml:space="preserve"> Th</w:t>
      </w:r>
      <w:r w:rsidR="384143DB" w:rsidRPr="00731BD0">
        <w:t>is suggests that</w:t>
      </w:r>
      <w:r w:rsidR="5AF6B3BF" w:rsidRPr="00731BD0">
        <w:t xml:space="preserve"> a creative culture at Alpha should be evaluated by whether its fundamental beliefs and working procedures offer enough transparency, trust, and employee voice to support innovation while upholding essential professional standards, rather than by unconstrained flexibility.</w:t>
      </w:r>
    </w:p>
    <w:p w14:paraId="2720D310" w14:textId="4F535721" w:rsidR="6BA6FA28" w:rsidRPr="00731BD0" w:rsidRDefault="6BA6FA28" w:rsidP="6BA6FA28">
      <w:pPr>
        <w:spacing w:line="360" w:lineRule="auto"/>
      </w:pPr>
    </w:p>
    <w:p w14:paraId="64A6B390" w14:textId="3DA1C3DC" w:rsidR="552A7D72" w:rsidRPr="00731BD0" w:rsidRDefault="552A7D72" w:rsidP="6BA6FA28">
      <w:pPr>
        <w:pStyle w:val="Heading2"/>
        <w:spacing w:before="299" w:after="299" w:line="360" w:lineRule="auto"/>
        <w:rPr>
          <w:rFonts w:asciiTheme="minorHAnsi" w:eastAsiaTheme="minorEastAsia" w:hAnsiTheme="minorHAnsi" w:cstheme="minorBidi"/>
          <w:b/>
          <w:bCs/>
        </w:rPr>
      </w:pPr>
      <w:bookmarkStart w:id="19" w:name="_Toc238972697"/>
      <w:r w:rsidRPr="00731BD0">
        <w:rPr>
          <w:rFonts w:asciiTheme="minorHAnsi" w:eastAsiaTheme="minorEastAsia" w:hAnsiTheme="minorHAnsi" w:cstheme="minorBidi"/>
          <w:b/>
          <w:bCs/>
        </w:rPr>
        <w:lastRenderedPageBreak/>
        <w:t>Alpha Safety Training's Ability to Foster a Creative Culture</w:t>
      </w:r>
      <w:bookmarkEnd w:id="19"/>
    </w:p>
    <w:p w14:paraId="21BF1FB5" w14:textId="11CC0E32" w:rsidR="711FD3D5" w:rsidRPr="00731BD0" w:rsidRDefault="711FD3D5" w:rsidP="6BA6FA28">
      <w:pPr>
        <w:spacing w:line="360" w:lineRule="auto"/>
      </w:pPr>
      <w:r w:rsidRPr="00731BD0">
        <w:t>The potential of Alpha Safety to promote a creative culture may be assessed by looking at how consistently its stated principles, visible practices, and underlying presumptions encourage employee experimentation and participation.</w:t>
      </w:r>
      <w:r w:rsidR="1E66AF85" w:rsidRPr="00731BD0">
        <w:t xml:space="preserve"> According to (Schein, 2010b), organisational culture functions on several levels, therefore outward manifestations and stated ideals could not fully capture the underlying presumptions that influence behaviour. This is crucial since a company may openly promote </w:t>
      </w:r>
      <w:r w:rsidR="251140DC" w:rsidRPr="00731BD0">
        <w:t>innovation,</w:t>
      </w:r>
      <w:r w:rsidR="1E66AF85" w:rsidRPr="00731BD0">
        <w:t xml:space="preserve"> but staff members have little autonomy or are hesitant to question accepted procedures.</w:t>
      </w:r>
      <w:r w:rsidR="57FB60DC" w:rsidRPr="00731BD0">
        <w:t xml:space="preserve"> </w:t>
      </w:r>
      <w:r w:rsidR="6F8D0446" w:rsidRPr="00731BD0">
        <w:t>Like</w:t>
      </w:r>
      <w:r w:rsidR="2232C6A7" w:rsidRPr="00731BD0">
        <w:t xml:space="preserve"> this, (Martins &amp; Terblanche, 2003b) contend that open communication, encouraging organisational structures, and innovative behaviours foster creativity. They contend that organisational practices, rather than just declarations, give culture significance.</w:t>
      </w:r>
      <w:r w:rsidR="0B67A517" w:rsidRPr="00731BD0">
        <w:t xml:space="preserve"> According to Alpha's organisational experience, communication between staff members, trainers, and management can foster the emergence of ideas, especially when practical training issues or customer needs call for different strategies. Communication alone, however, does not necessarily indicate a creative culture unless staff members feel that their ideas will be considered and that proper experimentation is encouraged.</w:t>
      </w:r>
    </w:p>
    <w:p w14:paraId="6F2AEC01" w14:textId="04C7947D" w:rsidR="5737C560" w:rsidRPr="00731BD0" w:rsidRDefault="5737C560" w:rsidP="6BA6FA28">
      <w:pPr>
        <w:spacing w:line="360" w:lineRule="auto"/>
      </w:pPr>
      <w:r w:rsidRPr="00731BD0">
        <w:t>Therefore, psychological safety offers a crucial extra viewpoint.</w:t>
      </w:r>
      <w:r w:rsidR="1CB5E930" w:rsidRPr="00731BD0">
        <w:t xml:space="preserve"> (Edmondson, 1999) discovered that when team members feel comfortable taking interpersonal risks, including owning up to mistakes, asking questions, or offering different strategies, they are more likely to participate in learning behaviours. This is especially pertinent to Alpha since innovation in a controlled training setting necessitates that staff members question established practices without compromising professional or certification requirements. According to organisational experience, Alpha's culture </w:t>
      </w:r>
      <w:r w:rsidR="1E55C0B2" w:rsidRPr="00731BD0">
        <w:t>is</w:t>
      </w:r>
      <w:r w:rsidR="1CB5E930" w:rsidRPr="00731BD0">
        <w:t xml:space="preserve"> most effective at fostering innovation when staff members are trusted to apply their knowledge, exchange ideas, and modify strategies within defined parameters. Therefore, just because change is allowed does not mean that Alpha is </w:t>
      </w:r>
      <w:r w:rsidR="41ED4106" w:rsidRPr="00731BD0">
        <w:t>creatively supportive</w:t>
      </w:r>
      <w:r w:rsidR="1CB5E930" w:rsidRPr="00731BD0">
        <w:t>; a truly creative culture depends on whether employees feel psychologically safe, heard, and able to influence improvement. Therefore, maintaining a balance between professional control and an atmosphere of transparency, trust, and constructive challenge is essential to Alpha's capacity to cultivate a creative culture.</w:t>
      </w:r>
    </w:p>
    <w:p w14:paraId="46C39DE3" w14:textId="4C0EECE5" w:rsidR="552A7D72" w:rsidRPr="00731BD0" w:rsidRDefault="552A7D72" w:rsidP="6BA6FA28">
      <w:pPr>
        <w:pStyle w:val="Heading2"/>
        <w:spacing w:before="299" w:after="299" w:line="360" w:lineRule="auto"/>
        <w:rPr>
          <w:rFonts w:asciiTheme="minorHAnsi" w:eastAsiaTheme="minorEastAsia" w:hAnsiTheme="minorHAnsi" w:cstheme="minorBidi"/>
          <w:b/>
          <w:bCs/>
        </w:rPr>
      </w:pPr>
      <w:bookmarkStart w:id="20" w:name="_Toc238972698"/>
      <w:r w:rsidRPr="00731BD0">
        <w:rPr>
          <w:rFonts w:asciiTheme="minorHAnsi" w:eastAsiaTheme="minorEastAsia" w:hAnsiTheme="minorHAnsi" w:cstheme="minorBidi"/>
          <w:b/>
          <w:bCs/>
        </w:rPr>
        <w:lastRenderedPageBreak/>
        <w:t xml:space="preserve">The Relationship Between Creativity, </w:t>
      </w:r>
      <w:r w:rsidR="0261FAD4" w:rsidRPr="00731BD0">
        <w:rPr>
          <w:rFonts w:asciiTheme="minorHAnsi" w:eastAsiaTheme="minorEastAsia" w:hAnsiTheme="minorHAnsi" w:cstheme="minorBidi"/>
          <w:b/>
          <w:bCs/>
        </w:rPr>
        <w:t>Culture,</w:t>
      </w:r>
      <w:r w:rsidRPr="00731BD0">
        <w:rPr>
          <w:rFonts w:asciiTheme="minorHAnsi" w:eastAsiaTheme="minorEastAsia" w:hAnsiTheme="minorHAnsi" w:cstheme="minorBidi"/>
          <w:b/>
          <w:bCs/>
        </w:rPr>
        <w:t xml:space="preserve"> and Innovation at Alpha Safety Training</w:t>
      </w:r>
      <w:bookmarkEnd w:id="20"/>
    </w:p>
    <w:p w14:paraId="287C5C49" w14:textId="618B8F47" w:rsidR="225F95B8" w:rsidRPr="00731BD0" w:rsidRDefault="225F95B8" w:rsidP="6BA6FA28">
      <w:pPr>
        <w:spacing w:line="360" w:lineRule="auto"/>
      </w:pPr>
      <w:r w:rsidRPr="00731BD0">
        <w:t xml:space="preserve">Innovation, organisational culture, and creativity </w:t>
      </w:r>
      <w:r w:rsidR="59D3D809" w:rsidRPr="00731BD0">
        <w:t>should not</w:t>
      </w:r>
      <w:r w:rsidRPr="00731BD0">
        <w:t xml:space="preserve"> be seen as separate organisational competencies because Alpha Safety's capacity to innovate </w:t>
      </w:r>
      <w:r w:rsidR="775C7BBE" w:rsidRPr="00731BD0">
        <w:t>depends</w:t>
      </w:r>
      <w:r w:rsidRPr="00731BD0">
        <w:t xml:space="preserve"> on whether innovative concepts can move via a supportive environment to execution.</w:t>
      </w:r>
      <w:r w:rsidR="1D487AAE" w:rsidRPr="00731BD0">
        <w:t xml:space="preserve"> </w:t>
      </w:r>
      <w:r w:rsidR="01C5C0B9" w:rsidRPr="00731BD0">
        <w:t>To</w:t>
      </w:r>
      <w:r w:rsidR="1D487AAE" w:rsidRPr="00731BD0">
        <w:t xml:space="preserve"> show that creativity by itself does not ensure organisational improvement, (Anderson et al., 2014b) separate innovation as the procedures via which ideas are subsequently implemented from creativity as the generation of new and </w:t>
      </w:r>
      <w:r w:rsidR="5D332936" w:rsidRPr="00731BD0">
        <w:t>innovative ideas</w:t>
      </w:r>
      <w:r w:rsidR="1D487AAE" w:rsidRPr="00731BD0">
        <w:t>.</w:t>
      </w:r>
      <w:r w:rsidR="6E8CB1AF" w:rsidRPr="00731BD0">
        <w:t xml:space="preserve"> </w:t>
      </w:r>
      <w:r w:rsidR="5D725323" w:rsidRPr="00731BD0">
        <w:t>However, (Amabile &amp; Pratt, 2016d) contend that organisational innovation and individual creativity are dynamically related, with successful creative results having an impact on the organisational environment and individual creativity being influenced by the work environment. This implies that culture, creativity, and invention have a reciprocal rather than linear relationship</w:t>
      </w:r>
      <w:r w:rsidR="7FCF4E49" w:rsidRPr="00731BD0">
        <w:t xml:space="preserve">. From Alpha's point of view, this interpretation seems especially plausible since employees' specialised knowledge and interactions with customers may produce ideas for enhancing training delivery or services, but their organisational value depends on whether Alpha's culture permits those ideas to be shared, assessed, and developed. </w:t>
      </w:r>
    </w:p>
    <w:p w14:paraId="54F33132" w14:textId="0F844489" w:rsidR="7A49DDEF" w:rsidRPr="00731BD0" w:rsidRDefault="7A49DDEF" w:rsidP="6BA6FA28">
      <w:pPr>
        <w:spacing w:line="360" w:lineRule="auto"/>
      </w:pPr>
      <w:r w:rsidRPr="00731BD0">
        <w:t>However, a culture that fosters creativity cannot guarantee that every concept will be implemented.</w:t>
      </w:r>
      <w:r w:rsidR="0E7DF539" w:rsidRPr="00731BD0">
        <w:t xml:space="preserve"> According to (Crossan &amp; Apaydin, 2010</w:t>
      </w:r>
      <w:r w:rsidR="39C5B8E1" w:rsidRPr="00731BD0">
        <w:t>b</w:t>
      </w:r>
      <w:r w:rsidR="0E7DF539" w:rsidRPr="00731BD0">
        <w:t xml:space="preserve">), innovation encompasses both process and result, highlighting the necessity for businesses to transform suitable concepts into significant outcomes. This has a clear connection to the innovation models discussed in Heading 1. While a flexible Stage-Gate strategy can offer tools for determining whether opportunities warrant continued development, Open Innovation can allow Alpha to gather ideas and information from staff members, clients, and outside industry sources. Therefore, organisational experience indicates that Alpha's greatest capacity for innovation occurs when ideas are generated by individual expertise and outside knowledge, their communication and development are facilitated by a supportive culture, and the implementation of those ideas is determined by suitable organisational procedures. Therefore, creativity serves as the basis for prospective innovation at Alpha, but </w:t>
      </w:r>
      <w:r w:rsidR="03D0A1A8" w:rsidRPr="00731BD0">
        <w:t>whether</w:t>
      </w:r>
      <w:r w:rsidR="0E7DF539" w:rsidRPr="00731BD0">
        <w:t xml:space="preserve"> that creative potential eventually leads to </w:t>
      </w:r>
      <w:r w:rsidR="0E7DF539" w:rsidRPr="00731BD0">
        <w:lastRenderedPageBreak/>
        <w:t>organisational improvement and competitive advantage depends on culture and efficient innovation management.</w:t>
      </w:r>
    </w:p>
    <w:p w14:paraId="5C5D040E" w14:textId="2DFB4733" w:rsidR="552A7D72" w:rsidRPr="00731BD0" w:rsidRDefault="552A7D72" w:rsidP="6BA6FA28">
      <w:pPr>
        <w:pStyle w:val="Heading2"/>
        <w:spacing w:before="299" w:after="299" w:line="360" w:lineRule="auto"/>
        <w:rPr>
          <w:rFonts w:asciiTheme="minorHAnsi" w:eastAsiaTheme="minorEastAsia" w:hAnsiTheme="minorHAnsi" w:cstheme="minorBidi"/>
          <w:b/>
          <w:bCs/>
        </w:rPr>
      </w:pPr>
      <w:bookmarkStart w:id="21" w:name="_Toc238972699"/>
      <w:r w:rsidRPr="00731BD0">
        <w:rPr>
          <w:rFonts w:asciiTheme="minorHAnsi" w:eastAsiaTheme="minorEastAsia" w:hAnsiTheme="minorHAnsi" w:cstheme="minorBidi"/>
          <w:b/>
          <w:bCs/>
        </w:rPr>
        <w:t>Overall Evaluation and Areas for Improvement</w:t>
      </w:r>
      <w:bookmarkEnd w:id="21"/>
    </w:p>
    <w:p w14:paraId="20DDCA1D" w14:textId="6AD17449" w:rsidR="0EF003EB" w:rsidRPr="00731BD0" w:rsidRDefault="0EF003EB" w:rsidP="6BA6FA28">
      <w:pPr>
        <w:spacing w:line="360" w:lineRule="auto"/>
      </w:pPr>
      <w:r w:rsidRPr="00731BD0">
        <w:t>Given the circumstances</w:t>
      </w:r>
      <w:r w:rsidR="65C880EF" w:rsidRPr="00731BD0">
        <w:t xml:space="preserve">, Alpha Safety exhibits the capacity to harness creativity and cultivate a creative culture; nevertheless, this capacity may be reinforced by making sure that employee knowledge and ideas are constantly recorded and </w:t>
      </w:r>
      <w:r w:rsidR="4F0941B3" w:rsidRPr="00731BD0">
        <w:t>considered</w:t>
      </w:r>
      <w:r w:rsidR="65C880EF" w:rsidRPr="00731BD0">
        <w:t>. Organisational experience indicates that customer connection, employee expertise, and outside knowledge offer significant chances for improvement; on the other hand, innovation increases organisational value when suitable ideas are put into practice. Thus, frequent chances for staff members to offer suggestions for enhancements and get feedback on their growth could be advantageous for Alpha. However, over-formali</w:t>
      </w:r>
      <w:r w:rsidR="7CF624FD" w:rsidRPr="00731BD0">
        <w:t>s</w:t>
      </w:r>
      <w:r w:rsidR="65C880EF" w:rsidRPr="00731BD0">
        <w:t>ation may limit creativity and reactivity. As a result, Alpha should preserve enough flexibility and employee autonomy while offering suitable procedures for assessing concepts while adhering to the legal and professional criteria of health and safety training.</w:t>
      </w:r>
    </w:p>
    <w:p w14:paraId="6C2CCED9" w14:textId="63006E0C" w:rsidR="6BA6FA28" w:rsidRPr="00731BD0" w:rsidRDefault="6BA6FA28" w:rsidP="6BA6FA28">
      <w:pPr>
        <w:spacing w:after="0" w:line="360" w:lineRule="auto"/>
      </w:pPr>
    </w:p>
    <w:p w14:paraId="4AB728E1" w14:textId="5215903C" w:rsidR="552A7D72" w:rsidRPr="00731BD0" w:rsidRDefault="552A7D72" w:rsidP="6BA6FA28">
      <w:pPr>
        <w:pStyle w:val="Heading1"/>
        <w:spacing w:before="322" w:after="322" w:line="360" w:lineRule="auto"/>
        <w:rPr>
          <w:rFonts w:asciiTheme="minorHAnsi" w:eastAsiaTheme="minorEastAsia" w:hAnsiTheme="minorHAnsi" w:cstheme="minorBidi"/>
          <w:b/>
          <w:bCs/>
        </w:rPr>
      </w:pPr>
      <w:bookmarkStart w:id="22" w:name="_Toc238972700"/>
      <w:r w:rsidRPr="00731BD0">
        <w:rPr>
          <w:rFonts w:asciiTheme="minorHAnsi" w:eastAsiaTheme="minorEastAsia" w:hAnsiTheme="minorHAnsi" w:cstheme="minorBidi"/>
          <w:b/>
          <w:bCs/>
        </w:rPr>
        <w:t>Conclusion</w:t>
      </w:r>
      <w:bookmarkEnd w:id="22"/>
    </w:p>
    <w:p w14:paraId="6B652789" w14:textId="1937247A" w:rsidR="0F94CFC8" w:rsidRPr="00731BD0" w:rsidRDefault="0F94CFC8" w:rsidP="6BA6FA28">
      <w:pPr>
        <w:spacing w:line="360" w:lineRule="auto"/>
      </w:pPr>
      <w:r w:rsidRPr="00731BD0">
        <w:t xml:space="preserve">In summary, Alpha Safety Training exhibits a capacity for creativity and innovation, but its success hinges on striking a balance between adaptability and suitable organisational structure. According to the analysis, neither Stage-Gate nor Open Innovation offer a comprehensive strategy on their own. While flexible Stage-Gate principles offer more flexibility when assessing opportunities requiring substantial resources or accreditation, Open Innovation allows Alpha to leverage valuable internal and external information. In a similar vein, creativity is enhanced when ideas may be developed and implemented due to staff competence, communication, and supportive organisational settings. </w:t>
      </w:r>
      <w:r w:rsidR="4A77B1A2" w:rsidRPr="00731BD0">
        <w:rPr>
          <w:rFonts w:eastAsia="Cambria" w:cs="Cambria"/>
        </w:rPr>
        <w:t>However, Alpha's regulatory environment means that creativity and innovation must operate within appropriate professional and accreditation requirements</w:t>
      </w:r>
      <w:r w:rsidRPr="00731BD0">
        <w:t xml:space="preserve">. As a result, Alpha's most effective strategy blends outside expertise, staff knowledge, a creative culture that fosters innovation, and appropriate innovation </w:t>
      </w:r>
      <w:r w:rsidRPr="00731BD0">
        <w:lastRenderedPageBreak/>
        <w:t>procedures. By keeping this equilibrium, Alpha may continue to respond to market trends and customer needs while making sure that innovation and creativity support long-term organisational growth.</w:t>
      </w:r>
    </w:p>
    <w:p w14:paraId="6674B4FA" w14:textId="4B000D04" w:rsidR="6BA6FA28" w:rsidRPr="00731BD0" w:rsidRDefault="6BA6FA28" w:rsidP="6BA6FA28">
      <w:pPr>
        <w:spacing w:after="0" w:line="360" w:lineRule="auto"/>
      </w:pPr>
    </w:p>
    <w:p w14:paraId="7A4DF64B" w14:textId="41871090" w:rsidR="00B34AF3" w:rsidRPr="00731BD0" w:rsidRDefault="00B34AF3" w:rsidP="6BA6FA28">
      <w:pPr>
        <w:spacing w:line="360" w:lineRule="auto"/>
      </w:pPr>
    </w:p>
    <w:p w14:paraId="0828090C" w14:textId="32360929" w:rsidR="00B34AF3" w:rsidRPr="00731BD0" w:rsidRDefault="00B34AF3" w:rsidP="6BA6FA28">
      <w:pPr>
        <w:spacing w:line="360" w:lineRule="auto"/>
      </w:pPr>
    </w:p>
    <w:p w14:paraId="287022EB" w14:textId="5C16F9DC" w:rsidR="00B34AF3" w:rsidRPr="00731BD0" w:rsidRDefault="00B34AF3" w:rsidP="6BA6FA28">
      <w:pPr>
        <w:spacing w:line="360" w:lineRule="auto"/>
      </w:pPr>
    </w:p>
    <w:p w14:paraId="147AFC3C" w14:textId="4277483D" w:rsidR="00B34AF3" w:rsidRPr="00731BD0" w:rsidRDefault="00B34AF3" w:rsidP="6BA6FA28">
      <w:pPr>
        <w:pStyle w:val="Heading1"/>
        <w:rPr>
          <w:rFonts w:asciiTheme="minorHAnsi" w:eastAsiaTheme="minorEastAsia" w:hAnsiTheme="minorHAnsi" w:cstheme="minorBidi"/>
          <w:b/>
          <w:bCs/>
        </w:rPr>
      </w:pPr>
    </w:p>
    <w:p w14:paraId="23157150" w14:textId="660A3807" w:rsidR="00B34AF3" w:rsidRPr="00731BD0" w:rsidRDefault="00B34AF3" w:rsidP="6BA6FA28"/>
    <w:p w14:paraId="44F71845" w14:textId="22A028E5" w:rsidR="00B34AF3" w:rsidRPr="00731BD0" w:rsidRDefault="00B34AF3" w:rsidP="6BA6FA28"/>
    <w:p w14:paraId="44D26B82" w14:textId="3FAFE1DD" w:rsidR="00B34AF3" w:rsidRPr="00731BD0" w:rsidRDefault="00B34AF3" w:rsidP="6BA6FA28"/>
    <w:p w14:paraId="3858540E" w14:textId="15522FBA" w:rsidR="00B34AF3" w:rsidRPr="00731BD0" w:rsidRDefault="00B34AF3" w:rsidP="6BA6FA28"/>
    <w:p w14:paraId="3E65D4D2" w14:textId="10AF1C8B" w:rsidR="00B34AF3" w:rsidRPr="00731BD0" w:rsidRDefault="00B34AF3" w:rsidP="6BA6FA28"/>
    <w:p w14:paraId="121C6484" w14:textId="4BB3582E" w:rsidR="00B34AF3" w:rsidRPr="00731BD0" w:rsidRDefault="00B34AF3" w:rsidP="6BA6FA28"/>
    <w:p w14:paraId="577D7DCC" w14:textId="4ADF0B6F" w:rsidR="00B34AF3" w:rsidRPr="00731BD0" w:rsidRDefault="00B34AF3" w:rsidP="6BA6FA28"/>
    <w:p w14:paraId="0983B63C" w14:textId="2DFA8B88" w:rsidR="00B34AF3" w:rsidRPr="00731BD0" w:rsidRDefault="00B34AF3" w:rsidP="6BA6FA28"/>
    <w:p w14:paraId="64972F8E" w14:textId="453918D2" w:rsidR="00B34AF3" w:rsidRPr="00731BD0" w:rsidRDefault="00B34AF3" w:rsidP="6BA6FA28"/>
    <w:p w14:paraId="65CD0C1E" w14:textId="1BE33268" w:rsidR="00B34AF3" w:rsidRPr="00731BD0" w:rsidRDefault="00B34AF3" w:rsidP="6BA6FA28"/>
    <w:p w14:paraId="6B6C5C76" w14:textId="72C37AE4" w:rsidR="00B34AF3" w:rsidRPr="00731BD0" w:rsidRDefault="00B34AF3" w:rsidP="6BA6FA28"/>
    <w:p w14:paraId="2FB5B555" w14:textId="483171C5" w:rsidR="00B34AF3" w:rsidRPr="00731BD0" w:rsidRDefault="00B34AF3" w:rsidP="6BA6FA28"/>
    <w:p w14:paraId="1B42341F" w14:textId="6AEE147E" w:rsidR="00B34AF3" w:rsidRPr="00731BD0" w:rsidRDefault="00B34AF3" w:rsidP="6BA6FA28"/>
    <w:p w14:paraId="689F7DFA" w14:textId="44DCC1AE" w:rsidR="00B34AF3" w:rsidRPr="00731BD0" w:rsidRDefault="00B34AF3" w:rsidP="6BA6FA28"/>
    <w:p w14:paraId="3EA00A4F" w14:textId="57054F90" w:rsidR="00B34AF3" w:rsidRPr="00731BD0" w:rsidRDefault="00B34AF3" w:rsidP="6BA6FA28"/>
    <w:p w14:paraId="30238334" w14:textId="718CEBF3" w:rsidR="00B34AF3" w:rsidRPr="00731BD0" w:rsidRDefault="00B34AF3" w:rsidP="6BA6FA28"/>
    <w:p w14:paraId="2B3E58C6" w14:textId="0DA473A0" w:rsidR="00B34AF3" w:rsidRPr="00731BD0" w:rsidRDefault="00B34AF3" w:rsidP="6BA6FA28"/>
    <w:p w14:paraId="53B0268A" w14:textId="2D9B58C2" w:rsidR="00B34AF3" w:rsidRPr="00731BD0" w:rsidRDefault="6342AA2F" w:rsidP="6BA6FA28">
      <w:pPr>
        <w:pStyle w:val="Heading1"/>
        <w:rPr>
          <w:rFonts w:asciiTheme="minorHAnsi" w:eastAsiaTheme="minorEastAsia" w:hAnsiTheme="minorHAnsi" w:cstheme="minorBidi"/>
          <w:b/>
          <w:bCs/>
        </w:rPr>
      </w:pPr>
      <w:bookmarkStart w:id="23" w:name="_Toc238972701"/>
      <w:r w:rsidRPr="00731BD0">
        <w:rPr>
          <w:rFonts w:asciiTheme="minorHAnsi" w:eastAsiaTheme="minorEastAsia" w:hAnsiTheme="minorHAnsi" w:cstheme="minorBidi"/>
          <w:b/>
          <w:bCs/>
        </w:rPr>
        <w:lastRenderedPageBreak/>
        <w:t>References</w:t>
      </w:r>
      <w:bookmarkEnd w:id="23"/>
    </w:p>
    <w:p w14:paraId="2970A63A" w14:textId="69C9281B" w:rsidR="00B34AF3" w:rsidRPr="00731BD0" w:rsidRDefault="6342AA2F" w:rsidP="6BA6FA28">
      <w:pPr>
        <w:spacing w:after="0" w:line="240" w:lineRule="auto"/>
        <w:ind w:left="720" w:hanging="720"/>
        <w:jc w:val="both"/>
      </w:pPr>
      <w:r w:rsidRPr="00731BD0">
        <w:t xml:space="preserve">Amabile, T. M., &amp; Pratt, M. G. (2016a). The dynamic componential model of creativity and innovation in organizations: Making progress, making meaning. </w:t>
      </w:r>
      <w:r w:rsidRPr="00731BD0">
        <w:rPr>
          <w:i/>
          <w:iCs/>
        </w:rPr>
        <w:t>Research in Organizational Behavior</w:t>
      </w:r>
      <w:r w:rsidRPr="00731BD0">
        <w:t xml:space="preserve">, </w:t>
      </w:r>
      <w:r w:rsidRPr="00731BD0">
        <w:rPr>
          <w:i/>
          <w:iCs/>
        </w:rPr>
        <w:t>36</w:t>
      </w:r>
      <w:r w:rsidRPr="00731BD0">
        <w:t xml:space="preserve">(1), 157–183. </w:t>
      </w:r>
      <w:hyperlink r:id="rId9">
        <w:r w:rsidRPr="00731BD0">
          <w:rPr>
            <w:rStyle w:val="Hyperlink"/>
          </w:rPr>
          <w:t>https://doi.org/https://doi.org/10.1016/j.riob.2016.10.001</w:t>
        </w:r>
      </w:hyperlink>
    </w:p>
    <w:p w14:paraId="6E64E650" w14:textId="5342BEA7" w:rsidR="00B34AF3" w:rsidRPr="00731BD0" w:rsidRDefault="6342AA2F" w:rsidP="6BA6FA28">
      <w:pPr>
        <w:spacing w:after="0" w:line="240" w:lineRule="auto"/>
        <w:ind w:left="720" w:hanging="720"/>
        <w:jc w:val="both"/>
      </w:pPr>
      <w:r w:rsidRPr="00731BD0">
        <w:t xml:space="preserve">Amabile, T. M., &amp; Pratt, M. G. (2016b). The dynamic componential model of creativity and innovation in organizations: Making progress, making meaning. </w:t>
      </w:r>
      <w:r w:rsidRPr="00731BD0">
        <w:rPr>
          <w:i/>
          <w:iCs/>
        </w:rPr>
        <w:t>Research in Organizational Behavior</w:t>
      </w:r>
      <w:r w:rsidRPr="00731BD0">
        <w:t xml:space="preserve">, </w:t>
      </w:r>
      <w:r w:rsidRPr="00731BD0">
        <w:rPr>
          <w:i/>
          <w:iCs/>
        </w:rPr>
        <w:t>36</w:t>
      </w:r>
      <w:r w:rsidRPr="00731BD0">
        <w:t xml:space="preserve">(36), 157–183. </w:t>
      </w:r>
      <w:hyperlink r:id="rId10">
        <w:r w:rsidRPr="00731BD0">
          <w:rPr>
            <w:rStyle w:val="Hyperlink"/>
          </w:rPr>
          <w:t>https://doi.org/10.1016/j.riob.2016.10.001</w:t>
        </w:r>
      </w:hyperlink>
    </w:p>
    <w:p w14:paraId="69002EE4" w14:textId="07E7CCE9" w:rsidR="00B34AF3" w:rsidRPr="00731BD0" w:rsidRDefault="6342AA2F" w:rsidP="6BA6FA28">
      <w:pPr>
        <w:spacing w:after="0" w:line="240" w:lineRule="auto"/>
        <w:ind w:left="720" w:hanging="720"/>
        <w:jc w:val="both"/>
      </w:pPr>
      <w:r w:rsidRPr="00731BD0">
        <w:t xml:space="preserve">Amabile, T. M., &amp; Pratt, M. G. (2016c). The dynamic componential model of creativity and innovation in organizations: Making progress, making meaning. </w:t>
      </w:r>
      <w:r w:rsidRPr="00731BD0">
        <w:rPr>
          <w:i/>
          <w:iCs/>
        </w:rPr>
        <w:t>Research in Organizational Behavior</w:t>
      </w:r>
      <w:r w:rsidRPr="00731BD0">
        <w:t xml:space="preserve">, </w:t>
      </w:r>
      <w:r w:rsidRPr="00731BD0">
        <w:rPr>
          <w:i/>
          <w:iCs/>
        </w:rPr>
        <w:t>36</w:t>
      </w:r>
      <w:r w:rsidRPr="00731BD0">
        <w:t xml:space="preserve">(36), 157–183. </w:t>
      </w:r>
      <w:hyperlink r:id="rId11">
        <w:r w:rsidRPr="00731BD0">
          <w:rPr>
            <w:rStyle w:val="Hyperlink"/>
          </w:rPr>
          <w:t>https://doi.org/10.1016/j.riob.2016.10.001</w:t>
        </w:r>
      </w:hyperlink>
    </w:p>
    <w:p w14:paraId="2008A98F" w14:textId="41039A68" w:rsidR="00B34AF3" w:rsidRPr="00731BD0" w:rsidRDefault="6342AA2F" w:rsidP="6BA6FA28">
      <w:pPr>
        <w:spacing w:after="0" w:line="240" w:lineRule="auto"/>
        <w:ind w:left="720" w:hanging="720"/>
        <w:jc w:val="both"/>
      </w:pPr>
      <w:r w:rsidRPr="00731BD0">
        <w:t xml:space="preserve">Amabile, T. M., &amp; Pratt, M. G. (2016d). The dynamic componential model of creativity and innovation in organizations: Making progress, making meaning. </w:t>
      </w:r>
      <w:r w:rsidRPr="00731BD0">
        <w:rPr>
          <w:i/>
          <w:iCs/>
        </w:rPr>
        <w:t>Research in Organizational Behavior</w:t>
      </w:r>
      <w:r w:rsidRPr="00731BD0">
        <w:t xml:space="preserve">, </w:t>
      </w:r>
      <w:r w:rsidRPr="00731BD0">
        <w:rPr>
          <w:i/>
          <w:iCs/>
        </w:rPr>
        <w:t>36</w:t>
      </w:r>
      <w:r w:rsidRPr="00731BD0">
        <w:t xml:space="preserve">(36), 157–183. </w:t>
      </w:r>
      <w:hyperlink r:id="rId12">
        <w:r w:rsidRPr="00731BD0">
          <w:rPr>
            <w:rStyle w:val="Hyperlink"/>
          </w:rPr>
          <w:t>https://doi.org/10.1016/j.riob.2016.10.001</w:t>
        </w:r>
      </w:hyperlink>
    </w:p>
    <w:p w14:paraId="49F9C273" w14:textId="66198380" w:rsidR="00B34AF3" w:rsidRPr="00731BD0" w:rsidRDefault="6342AA2F" w:rsidP="6BA6FA28">
      <w:pPr>
        <w:spacing w:after="0" w:line="240" w:lineRule="auto"/>
        <w:ind w:left="720" w:hanging="720"/>
        <w:jc w:val="both"/>
      </w:pPr>
      <w:r w:rsidRPr="00731BD0">
        <w:t xml:space="preserve">Anderson, N., Potočnik, K., &amp; Zhou, J. (2014a). Innovation and Creativity in Organizations. </w:t>
      </w:r>
      <w:r w:rsidRPr="00731BD0">
        <w:rPr>
          <w:i/>
          <w:iCs/>
        </w:rPr>
        <w:t>Journal of Management</w:t>
      </w:r>
      <w:r w:rsidRPr="00731BD0">
        <w:t xml:space="preserve">, </w:t>
      </w:r>
      <w:r w:rsidRPr="00731BD0">
        <w:rPr>
          <w:i/>
          <w:iCs/>
        </w:rPr>
        <w:t>40</w:t>
      </w:r>
      <w:r w:rsidRPr="00731BD0">
        <w:t xml:space="preserve">(5), 1297–1333. </w:t>
      </w:r>
      <w:hyperlink r:id="rId13">
        <w:r w:rsidRPr="00731BD0">
          <w:rPr>
            <w:rStyle w:val="Hyperlink"/>
          </w:rPr>
          <w:t>https://doi.org/10.1177/0149206314527128</w:t>
        </w:r>
      </w:hyperlink>
    </w:p>
    <w:p w14:paraId="147F25F1" w14:textId="71FCA95D" w:rsidR="00B34AF3" w:rsidRPr="00731BD0" w:rsidRDefault="6342AA2F" w:rsidP="6BA6FA28">
      <w:pPr>
        <w:spacing w:after="0" w:line="240" w:lineRule="auto"/>
        <w:ind w:left="720" w:hanging="720"/>
        <w:jc w:val="both"/>
      </w:pPr>
      <w:r w:rsidRPr="00731BD0">
        <w:t xml:space="preserve">Anderson, N., Potočnik, K., &amp; Zhou, J. (2014b). Innovation and creativity in organizations: A state-of-the-science review, prospective commentary, and guiding framework. </w:t>
      </w:r>
      <w:r w:rsidRPr="00731BD0">
        <w:rPr>
          <w:i/>
          <w:iCs/>
        </w:rPr>
        <w:t>Journal of Management</w:t>
      </w:r>
      <w:r w:rsidRPr="00731BD0">
        <w:t xml:space="preserve">, </w:t>
      </w:r>
      <w:r w:rsidRPr="00731BD0">
        <w:rPr>
          <w:i/>
          <w:iCs/>
        </w:rPr>
        <w:t>40</w:t>
      </w:r>
      <w:r w:rsidRPr="00731BD0">
        <w:t xml:space="preserve">(5), 1297–1333. </w:t>
      </w:r>
      <w:hyperlink r:id="rId14">
        <w:r w:rsidRPr="00731BD0">
          <w:rPr>
            <w:rStyle w:val="Hyperlink"/>
          </w:rPr>
          <w:t>https://doi.org/10.1177/0149206314527128</w:t>
        </w:r>
      </w:hyperlink>
    </w:p>
    <w:p w14:paraId="4CB79B36" w14:textId="465283A3" w:rsidR="00B34AF3" w:rsidRPr="00731BD0" w:rsidRDefault="6342AA2F" w:rsidP="6BA6FA28">
      <w:pPr>
        <w:spacing w:after="0" w:line="240" w:lineRule="auto"/>
        <w:ind w:left="720" w:hanging="720"/>
        <w:jc w:val="both"/>
      </w:pPr>
      <w:r w:rsidRPr="00731BD0">
        <w:t xml:space="preserve">Büschgens, T., Bausch, A., &amp; Balkin, D. B. (2013). Organizational culture and innovation: A meta‐analytic review. </w:t>
      </w:r>
      <w:r w:rsidRPr="00731BD0">
        <w:rPr>
          <w:i/>
          <w:iCs/>
        </w:rPr>
        <w:t>Journal of Product Innovation Management</w:t>
      </w:r>
      <w:r w:rsidRPr="00731BD0">
        <w:t xml:space="preserve">, </w:t>
      </w:r>
      <w:r w:rsidRPr="00731BD0">
        <w:rPr>
          <w:i/>
          <w:iCs/>
        </w:rPr>
        <w:t>30</w:t>
      </w:r>
      <w:r w:rsidRPr="00731BD0">
        <w:t xml:space="preserve">(4), 763–781. </w:t>
      </w:r>
      <w:hyperlink r:id="rId15">
        <w:r w:rsidRPr="00731BD0">
          <w:rPr>
            <w:rStyle w:val="Hyperlink"/>
          </w:rPr>
          <w:t>https://doi.org/10.1111/jpim.12021</w:t>
        </w:r>
      </w:hyperlink>
    </w:p>
    <w:p w14:paraId="043A7A27" w14:textId="07D17EAB" w:rsidR="00B34AF3" w:rsidRPr="00731BD0" w:rsidRDefault="6342AA2F" w:rsidP="6BA6FA28">
      <w:pPr>
        <w:spacing w:after="0" w:line="240" w:lineRule="auto"/>
        <w:ind w:left="720" w:hanging="720"/>
        <w:jc w:val="both"/>
      </w:pPr>
      <w:r w:rsidRPr="00731BD0">
        <w:t xml:space="preserve">Carnevale, J. B., Huang, L., Crede, M., Harms, P., &amp; Uhl‐Bien, M. (2017). Leading to stimulate employees’ ideas: A quantitative review of leader–member exchange, employee voice, creativity, and innovative behavior. </w:t>
      </w:r>
      <w:r w:rsidRPr="00731BD0">
        <w:rPr>
          <w:i/>
          <w:iCs/>
        </w:rPr>
        <w:t>Applied Psychology</w:t>
      </w:r>
      <w:r w:rsidRPr="00731BD0">
        <w:t xml:space="preserve">, </w:t>
      </w:r>
      <w:r w:rsidRPr="00731BD0">
        <w:rPr>
          <w:i/>
          <w:iCs/>
        </w:rPr>
        <w:t>66</w:t>
      </w:r>
      <w:r w:rsidRPr="00731BD0">
        <w:t xml:space="preserve">(4), 517–552. </w:t>
      </w:r>
      <w:hyperlink r:id="rId16">
        <w:r w:rsidRPr="00731BD0">
          <w:rPr>
            <w:rStyle w:val="Hyperlink"/>
          </w:rPr>
          <w:t>https://doi.org/10.1111/apps.12102</w:t>
        </w:r>
      </w:hyperlink>
    </w:p>
    <w:p w14:paraId="056B1108" w14:textId="6DDD2159" w:rsidR="00B34AF3" w:rsidRPr="00731BD0" w:rsidRDefault="6342AA2F" w:rsidP="6BA6FA28">
      <w:pPr>
        <w:spacing w:after="0" w:line="240" w:lineRule="auto"/>
        <w:ind w:left="720" w:hanging="720"/>
        <w:jc w:val="both"/>
      </w:pPr>
      <w:r w:rsidRPr="00731BD0">
        <w:t xml:space="preserve">Chesbrough, H. (2003). </w:t>
      </w:r>
      <w:r w:rsidRPr="00731BD0">
        <w:rPr>
          <w:i/>
          <w:iCs/>
        </w:rPr>
        <w:t>Open innovation: The new imperative for creating and profiting from technology</w:t>
      </w:r>
      <w:r w:rsidRPr="00731BD0">
        <w:t xml:space="preserve">. Harvard Business School Press. </w:t>
      </w:r>
      <w:hyperlink r:id="rId17">
        <w:r w:rsidRPr="00731BD0">
          <w:rPr>
            <w:rStyle w:val="Hyperlink"/>
          </w:rPr>
          <w:t>https://www.researchgate.net/profile/Wim-Vanhaverbeke/publication/232957368_Open_Innovation_Researching_A_New_Paradigm/links/0912f50c638616b4b2000000/Open-Innovation-Researching-A-New-Paradigm.pdf</w:t>
        </w:r>
      </w:hyperlink>
    </w:p>
    <w:p w14:paraId="118A0007" w14:textId="02998B8C" w:rsidR="00B34AF3" w:rsidRPr="00731BD0" w:rsidRDefault="6342AA2F" w:rsidP="6BA6FA28">
      <w:pPr>
        <w:spacing w:after="0" w:line="240" w:lineRule="auto"/>
        <w:ind w:left="720" w:hanging="720"/>
        <w:jc w:val="both"/>
      </w:pPr>
      <w:r w:rsidRPr="00731BD0">
        <w:t xml:space="preserve">Chesbrough, H. (2004). Managing open innovation. </w:t>
      </w:r>
      <w:r w:rsidRPr="00731BD0">
        <w:rPr>
          <w:i/>
          <w:iCs/>
        </w:rPr>
        <w:t>Research-Technology Management</w:t>
      </w:r>
      <w:r w:rsidRPr="00731BD0">
        <w:t xml:space="preserve">, </w:t>
      </w:r>
      <w:r w:rsidRPr="00731BD0">
        <w:rPr>
          <w:i/>
          <w:iCs/>
        </w:rPr>
        <w:t>47</w:t>
      </w:r>
      <w:r w:rsidRPr="00731BD0">
        <w:t xml:space="preserve">(1), 23–26. </w:t>
      </w:r>
      <w:hyperlink r:id="rId18">
        <w:r w:rsidRPr="00731BD0">
          <w:rPr>
            <w:rStyle w:val="Hyperlink"/>
          </w:rPr>
          <w:t>https://doi.org/10.1080/08956308.2004.11671604</w:t>
        </w:r>
      </w:hyperlink>
    </w:p>
    <w:p w14:paraId="4B1D584C" w14:textId="25C11234" w:rsidR="00B34AF3" w:rsidRPr="00731BD0" w:rsidRDefault="6342AA2F" w:rsidP="6BA6FA28">
      <w:pPr>
        <w:spacing w:after="0" w:line="240" w:lineRule="auto"/>
        <w:ind w:left="720" w:hanging="720"/>
        <w:jc w:val="both"/>
      </w:pPr>
      <w:r w:rsidRPr="00731BD0">
        <w:t xml:space="preserve">Cohen, W. M., &amp; Levinthal, D. A. (1990). Absorptive capacity: A new perspective on learning and innovation. </w:t>
      </w:r>
      <w:r w:rsidRPr="00731BD0">
        <w:rPr>
          <w:i/>
          <w:iCs/>
        </w:rPr>
        <w:t>Administrative Science Quarterly</w:t>
      </w:r>
      <w:r w:rsidRPr="00731BD0">
        <w:t xml:space="preserve">, </w:t>
      </w:r>
      <w:r w:rsidRPr="00731BD0">
        <w:rPr>
          <w:i/>
          <w:iCs/>
        </w:rPr>
        <w:t>35</w:t>
      </w:r>
      <w:r w:rsidRPr="00731BD0">
        <w:t xml:space="preserve">(1), 128–152. </w:t>
      </w:r>
      <w:hyperlink r:id="rId19">
        <w:r w:rsidRPr="00731BD0">
          <w:rPr>
            <w:rStyle w:val="Hyperlink"/>
          </w:rPr>
          <w:t>https://doi.org/https://doi.org/10.2307/2393553</w:t>
        </w:r>
      </w:hyperlink>
    </w:p>
    <w:p w14:paraId="2DEB8437" w14:textId="5288566B" w:rsidR="00B34AF3" w:rsidRPr="00731BD0" w:rsidRDefault="6342AA2F" w:rsidP="6BA6FA28">
      <w:pPr>
        <w:spacing w:after="0" w:line="240" w:lineRule="auto"/>
        <w:ind w:left="720" w:hanging="720"/>
        <w:jc w:val="both"/>
      </w:pPr>
      <w:r w:rsidRPr="00731BD0">
        <w:t>Cooper, R. G. (2008a). Perspective: The stage‐gate</w:t>
      </w:r>
      <w:r w:rsidRPr="00731BD0">
        <w:rPr>
          <w:vertAlign w:val="superscript"/>
        </w:rPr>
        <w:t>®</w:t>
      </w:r>
      <w:r w:rsidRPr="00731BD0">
        <w:t xml:space="preserve"> idea‐to‐launch process—Update, what’s new, and NexGen systems</w:t>
      </w:r>
      <w:r w:rsidRPr="00731BD0">
        <w:rPr>
          <w:vertAlign w:val="superscript"/>
        </w:rPr>
        <w:t>*</w:t>
      </w:r>
      <w:r w:rsidRPr="00731BD0">
        <w:t xml:space="preserve">. </w:t>
      </w:r>
      <w:r w:rsidRPr="00731BD0">
        <w:rPr>
          <w:i/>
          <w:iCs/>
        </w:rPr>
        <w:t>Journal of Product Innovation Management</w:t>
      </w:r>
      <w:r w:rsidRPr="00731BD0">
        <w:t xml:space="preserve">, </w:t>
      </w:r>
      <w:r w:rsidRPr="00731BD0">
        <w:rPr>
          <w:i/>
          <w:iCs/>
        </w:rPr>
        <w:t>25</w:t>
      </w:r>
      <w:r w:rsidRPr="00731BD0">
        <w:t xml:space="preserve">(3), 213–232. </w:t>
      </w:r>
      <w:hyperlink r:id="rId20">
        <w:r w:rsidRPr="00731BD0">
          <w:rPr>
            <w:rStyle w:val="Hyperlink"/>
          </w:rPr>
          <w:t>https://doi.org/10.1111/j.1540-5885.2008.00296.x</w:t>
        </w:r>
      </w:hyperlink>
    </w:p>
    <w:p w14:paraId="53722DC0" w14:textId="2C6126FC" w:rsidR="00B34AF3" w:rsidRPr="00731BD0" w:rsidRDefault="6342AA2F" w:rsidP="6BA6FA28">
      <w:pPr>
        <w:spacing w:after="0" w:line="240" w:lineRule="auto"/>
        <w:ind w:left="720" w:hanging="720"/>
        <w:jc w:val="both"/>
      </w:pPr>
      <w:r w:rsidRPr="00731BD0">
        <w:t>Cooper, R. G. (2008b). Perspective: The stage‐gate</w:t>
      </w:r>
      <w:r w:rsidRPr="00731BD0">
        <w:rPr>
          <w:vertAlign w:val="superscript"/>
        </w:rPr>
        <w:t>®</w:t>
      </w:r>
      <w:r w:rsidRPr="00731BD0">
        <w:t xml:space="preserve"> idea‐to‐launch process—Update, what’s new, and NexGen systems</w:t>
      </w:r>
      <w:r w:rsidRPr="00731BD0">
        <w:rPr>
          <w:vertAlign w:val="superscript"/>
        </w:rPr>
        <w:t>*</w:t>
      </w:r>
      <w:r w:rsidRPr="00731BD0">
        <w:t xml:space="preserve">. </w:t>
      </w:r>
      <w:r w:rsidRPr="00731BD0">
        <w:rPr>
          <w:i/>
          <w:iCs/>
        </w:rPr>
        <w:t>Journal of Product Innovation Management</w:t>
      </w:r>
      <w:r w:rsidRPr="00731BD0">
        <w:t xml:space="preserve">, </w:t>
      </w:r>
      <w:r w:rsidRPr="00731BD0">
        <w:rPr>
          <w:i/>
          <w:iCs/>
        </w:rPr>
        <w:t>25</w:t>
      </w:r>
      <w:r w:rsidRPr="00731BD0">
        <w:t xml:space="preserve">(3), 213–232. </w:t>
      </w:r>
      <w:hyperlink r:id="rId21">
        <w:r w:rsidRPr="00731BD0">
          <w:rPr>
            <w:rStyle w:val="Hyperlink"/>
          </w:rPr>
          <w:t>https://doi.org/10.1111/j.1540-5885.2008.00296.x</w:t>
        </w:r>
      </w:hyperlink>
    </w:p>
    <w:p w14:paraId="33C8B00E" w14:textId="37232A6E" w:rsidR="00B34AF3" w:rsidRPr="00731BD0" w:rsidRDefault="6342AA2F" w:rsidP="6BA6FA28">
      <w:pPr>
        <w:spacing w:after="0" w:line="240" w:lineRule="auto"/>
        <w:ind w:left="720" w:hanging="720"/>
        <w:jc w:val="both"/>
      </w:pPr>
      <w:r w:rsidRPr="00731BD0">
        <w:lastRenderedPageBreak/>
        <w:t xml:space="preserve">Cooper, R. G. (2025). Eco-stage-gate: Building sustainability into product innovation. </w:t>
      </w:r>
      <w:r w:rsidRPr="00731BD0">
        <w:rPr>
          <w:i/>
          <w:iCs/>
        </w:rPr>
        <w:t>IEEE Engineering Management Review</w:t>
      </w:r>
      <w:r w:rsidRPr="00731BD0">
        <w:t xml:space="preserve">, </w:t>
      </w:r>
      <w:r w:rsidRPr="00731BD0">
        <w:rPr>
          <w:i/>
          <w:iCs/>
        </w:rPr>
        <w:t>53</w:t>
      </w:r>
      <w:r w:rsidRPr="00731BD0">
        <w:t xml:space="preserve">(5), 25–32. </w:t>
      </w:r>
      <w:hyperlink r:id="rId22">
        <w:r w:rsidRPr="00731BD0">
          <w:rPr>
            <w:rStyle w:val="Hyperlink"/>
          </w:rPr>
          <w:t>https://doi.org/10.1109/emr.2024.3493492</w:t>
        </w:r>
      </w:hyperlink>
    </w:p>
    <w:p w14:paraId="28E220CB" w14:textId="72F9BFE9" w:rsidR="00B34AF3" w:rsidRPr="00731BD0" w:rsidRDefault="6342AA2F" w:rsidP="6BA6FA28">
      <w:pPr>
        <w:spacing w:after="0" w:line="240" w:lineRule="auto"/>
        <w:ind w:left="720" w:hanging="720"/>
        <w:jc w:val="both"/>
      </w:pPr>
      <w:r w:rsidRPr="00731BD0">
        <w:t xml:space="preserve">Crossan, M. M., &amp; Apaydin, M. (2010a). A multi-dimensional framework of organizational innovation: A systematic review of the literature. </w:t>
      </w:r>
      <w:r w:rsidRPr="00731BD0">
        <w:rPr>
          <w:i/>
          <w:iCs/>
        </w:rPr>
        <w:t>Journal of Management Studies</w:t>
      </w:r>
      <w:r w:rsidRPr="00731BD0">
        <w:t xml:space="preserve">, </w:t>
      </w:r>
      <w:r w:rsidRPr="00731BD0">
        <w:rPr>
          <w:i/>
          <w:iCs/>
        </w:rPr>
        <w:t>47</w:t>
      </w:r>
      <w:r w:rsidRPr="00731BD0">
        <w:t xml:space="preserve">(6), 1154–1191. </w:t>
      </w:r>
      <w:hyperlink r:id="rId23">
        <w:r w:rsidRPr="00731BD0">
          <w:rPr>
            <w:rStyle w:val="Hyperlink"/>
          </w:rPr>
          <w:t>https://doi.org/https://doi.org/10.1111/j.1467-6486.2009.00880.x</w:t>
        </w:r>
      </w:hyperlink>
    </w:p>
    <w:p w14:paraId="78F9C778" w14:textId="7543690B" w:rsidR="00B34AF3" w:rsidRPr="00731BD0" w:rsidRDefault="6342AA2F" w:rsidP="6BA6FA28">
      <w:pPr>
        <w:spacing w:after="0" w:line="240" w:lineRule="auto"/>
        <w:ind w:left="720" w:hanging="720"/>
        <w:jc w:val="both"/>
      </w:pPr>
      <w:r w:rsidRPr="00731BD0">
        <w:t xml:space="preserve">Crossan, M. M., &amp; Apaydin, M. (2010b). A multi-dimensional framework of organizational innovation: A systematic review of the literature. </w:t>
      </w:r>
      <w:r w:rsidRPr="00731BD0">
        <w:rPr>
          <w:i/>
          <w:iCs/>
        </w:rPr>
        <w:t>Journal of Management Studies</w:t>
      </w:r>
      <w:r w:rsidRPr="00731BD0">
        <w:t xml:space="preserve">, </w:t>
      </w:r>
      <w:r w:rsidRPr="00731BD0">
        <w:rPr>
          <w:i/>
          <w:iCs/>
        </w:rPr>
        <w:t>47</w:t>
      </w:r>
      <w:r w:rsidRPr="00731BD0">
        <w:t xml:space="preserve">(6), 1154–1191. </w:t>
      </w:r>
      <w:hyperlink r:id="rId24">
        <w:r w:rsidRPr="00731BD0">
          <w:rPr>
            <w:rStyle w:val="Hyperlink"/>
          </w:rPr>
          <w:t>https://doi.org/https://doi.org/10.1111/j.1467-6486.2009.00880.x</w:t>
        </w:r>
      </w:hyperlink>
    </w:p>
    <w:p w14:paraId="0BC139B8" w14:textId="2ACBB463" w:rsidR="00B34AF3" w:rsidRPr="00731BD0" w:rsidRDefault="6342AA2F" w:rsidP="6BA6FA28">
      <w:pPr>
        <w:spacing w:after="0" w:line="240" w:lineRule="auto"/>
        <w:ind w:left="720" w:hanging="720"/>
        <w:jc w:val="both"/>
      </w:pPr>
      <w:r w:rsidRPr="00731BD0">
        <w:t xml:space="preserve">Dahlander, L., &amp; Gann, D. M. (2010). How open is innovation? </w:t>
      </w:r>
      <w:r w:rsidRPr="00731BD0">
        <w:rPr>
          <w:i/>
          <w:iCs/>
        </w:rPr>
        <w:t>Research Policy</w:t>
      </w:r>
      <w:r w:rsidRPr="00731BD0">
        <w:t xml:space="preserve">, </w:t>
      </w:r>
      <w:r w:rsidRPr="00731BD0">
        <w:rPr>
          <w:i/>
          <w:iCs/>
        </w:rPr>
        <w:t>39</w:t>
      </w:r>
      <w:r w:rsidRPr="00731BD0">
        <w:t xml:space="preserve">(6), 699–709. </w:t>
      </w:r>
      <w:hyperlink r:id="rId25">
        <w:r w:rsidRPr="00731BD0">
          <w:rPr>
            <w:rStyle w:val="Hyperlink"/>
          </w:rPr>
          <w:t>https://doi.org/10.1016/j.respol.2010.01.013</w:t>
        </w:r>
      </w:hyperlink>
    </w:p>
    <w:p w14:paraId="1EC7ECCD" w14:textId="14D11C49" w:rsidR="00B34AF3" w:rsidRPr="00731BD0" w:rsidRDefault="6342AA2F" w:rsidP="6BA6FA28">
      <w:pPr>
        <w:spacing w:after="0" w:line="240" w:lineRule="auto"/>
        <w:ind w:left="720" w:hanging="720"/>
        <w:jc w:val="both"/>
      </w:pPr>
      <w:r w:rsidRPr="00731BD0">
        <w:t xml:space="preserve">Damanpour, F. (1991). Organizational innovation: A meta-analysis of effects of determinants and moderators. </w:t>
      </w:r>
      <w:r w:rsidRPr="00731BD0">
        <w:rPr>
          <w:i/>
          <w:iCs/>
        </w:rPr>
        <w:t>Academy of Management Journal</w:t>
      </w:r>
      <w:r w:rsidRPr="00731BD0">
        <w:t xml:space="preserve">, </w:t>
      </w:r>
      <w:r w:rsidRPr="00731BD0">
        <w:rPr>
          <w:i/>
          <w:iCs/>
        </w:rPr>
        <w:t>34</w:t>
      </w:r>
      <w:r w:rsidRPr="00731BD0">
        <w:t xml:space="preserve">(3), 555–590. </w:t>
      </w:r>
      <w:hyperlink r:id="rId26">
        <w:r w:rsidRPr="00731BD0">
          <w:rPr>
            <w:rStyle w:val="Hyperlink"/>
          </w:rPr>
          <w:t>https://doi.org/10.2307/256406</w:t>
        </w:r>
      </w:hyperlink>
    </w:p>
    <w:p w14:paraId="498797B7" w14:textId="625541BC" w:rsidR="00B34AF3" w:rsidRPr="00731BD0" w:rsidRDefault="6342AA2F" w:rsidP="6BA6FA28">
      <w:pPr>
        <w:spacing w:after="0" w:line="240" w:lineRule="auto"/>
        <w:ind w:left="720" w:hanging="720"/>
        <w:jc w:val="both"/>
      </w:pPr>
      <w:r w:rsidRPr="00731BD0">
        <w:t xml:space="preserve">Edmondson, A. (1999). Psychological safety and learning behavior in work teams. </w:t>
      </w:r>
      <w:r w:rsidRPr="00731BD0">
        <w:rPr>
          <w:i/>
          <w:iCs/>
        </w:rPr>
        <w:t>Administrative Science Quarterly</w:t>
      </w:r>
      <w:r w:rsidRPr="00731BD0">
        <w:t xml:space="preserve">, </w:t>
      </w:r>
      <w:r w:rsidRPr="00731BD0">
        <w:rPr>
          <w:i/>
          <w:iCs/>
        </w:rPr>
        <w:t>44</w:t>
      </w:r>
      <w:r w:rsidRPr="00731BD0">
        <w:t xml:space="preserve">(2), 350–383. </w:t>
      </w:r>
      <w:hyperlink r:id="rId27">
        <w:r w:rsidRPr="00731BD0">
          <w:rPr>
            <w:rStyle w:val="Hyperlink"/>
          </w:rPr>
          <w:t>https://doi.org/https://doi.org/10.2307/2666999</w:t>
        </w:r>
      </w:hyperlink>
    </w:p>
    <w:p w14:paraId="2A520314" w14:textId="21B6C3A1" w:rsidR="00B34AF3" w:rsidRPr="00731BD0" w:rsidRDefault="6342AA2F" w:rsidP="6BA6FA28">
      <w:pPr>
        <w:spacing w:after="0" w:line="240" w:lineRule="auto"/>
        <w:ind w:left="720" w:hanging="720"/>
        <w:jc w:val="both"/>
      </w:pPr>
      <w:r w:rsidRPr="00731BD0">
        <w:t xml:space="preserve">Gilson, L. L., Mathieu, J. E., Shalley, C. E., &amp; Ruddy, T. M. (2005). Creativity and standardization: Complementary or conflicting drivers of team effectiveness? </w:t>
      </w:r>
      <w:r w:rsidRPr="00731BD0">
        <w:rPr>
          <w:i/>
          <w:iCs/>
        </w:rPr>
        <w:t>Academy of Management Journal</w:t>
      </w:r>
      <w:r w:rsidRPr="00731BD0">
        <w:t xml:space="preserve">, </w:t>
      </w:r>
      <w:r w:rsidRPr="00731BD0">
        <w:rPr>
          <w:i/>
          <w:iCs/>
        </w:rPr>
        <w:t>48</w:t>
      </w:r>
      <w:r w:rsidRPr="00731BD0">
        <w:t xml:space="preserve">(3), 521–531. </w:t>
      </w:r>
      <w:hyperlink r:id="rId28">
        <w:r w:rsidRPr="00731BD0">
          <w:rPr>
            <w:rStyle w:val="Hyperlink"/>
          </w:rPr>
          <w:t>https://doi.org/10.5465/amj.2005.17407916</w:t>
        </w:r>
      </w:hyperlink>
    </w:p>
    <w:p w14:paraId="6FBEE2AF" w14:textId="6AEA6C0B" w:rsidR="00B34AF3" w:rsidRPr="00731BD0" w:rsidRDefault="6342AA2F" w:rsidP="6BA6FA28">
      <w:pPr>
        <w:spacing w:after="0" w:line="240" w:lineRule="auto"/>
        <w:ind w:left="720" w:hanging="720"/>
        <w:jc w:val="both"/>
      </w:pPr>
      <w:r w:rsidRPr="00731BD0">
        <w:t xml:space="preserve">Hogan, S. J., Soutar, G. N., McColl-Kennedy, J. R., &amp; Sweeney, J. C. (2011). Reconceptualizing professional service firm innovation capability: Scale development. </w:t>
      </w:r>
      <w:r w:rsidRPr="00731BD0">
        <w:rPr>
          <w:i/>
          <w:iCs/>
        </w:rPr>
        <w:t>Industrial Marketing Management</w:t>
      </w:r>
      <w:r w:rsidRPr="00731BD0">
        <w:t xml:space="preserve">, </w:t>
      </w:r>
      <w:r w:rsidRPr="00731BD0">
        <w:rPr>
          <w:i/>
          <w:iCs/>
        </w:rPr>
        <w:t>40</w:t>
      </w:r>
      <w:r w:rsidRPr="00731BD0">
        <w:t xml:space="preserve">(8), 1264–1273. </w:t>
      </w:r>
      <w:hyperlink r:id="rId29">
        <w:r w:rsidRPr="00731BD0">
          <w:rPr>
            <w:rStyle w:val="Hyperlink"/>
          </w:rPr>
          <w:t>https://doi.org/10.1016/j.indmarman.2011.10.002</w:t>
        </w:r>
      </w:hyperlink>
    </w:p>
    <w:p w14:paraId="17D0431A" w14:textId="152B81D7" w:rsidR="00B34AF3" w:rsidRPr="00731BD0" w:rsidRDefault="6342AA2F" w:rsidP="6BA6FA28">
      <w:pPr>
        <w:spacing w:after="0" w:line="240" w:lineRule="auto"/>
        <w:ind w:left="720" w:hanging="720"/>
        <w:jc w:val="both"/>
      </w:pPr>
      <w:r w:rsidRPr="00731BD0">
        <w:t xml:space="preserve">Klein, K. J., &amp; Sorra, J. S. (1996). The challenge of innovation implementation. </w:t>
      </w:r>
      <w:r w:rsidRPr="00731BD0">
        <w:rPr>
          <w:i/>
          <w:iCs/>
        </w:rPr>
        <w:t>The Academy of Management Review</w:t>
      </w:r>
      <w:r w:rsidRPr="00731BD0">
        <w:t xml:space="preserve">, </w:t>
      </w:r>
      <w:r w:rsidRPr="00731BD0">
        <w:rPr>
          <w:i/>
          <w:iCs/>
        </w:rPr>
        <w:t>21</w:t>
      </w:r>
      <w:r w:rsidRPr="00731BD0">
        <w:t xml:space="preserve">(4), 1055. </w:t>
      </w:r>
      <w:hyperlink r:id="rId30">
        <w:r w:rsidRPr="00731BD0">
          <w:rPr>
            <w:rStyle w:val="Hyperlink"/>
          </w:rPr>
          <w:t>https://doi.org/10.2307/259164</w:t>
        </w:r>
      </w:hyperlink>
    </w:p>
    <w:p w14:paraId="65DA4E26" w14:textId="5F71439A" w:rsidR="00B34AF3" w:rsidRPr="00731BD0" w:rsidRDefault="6342AA2F" w:rsidP="6BA6FA28">
      <w:pPr>
        <w:spacing w:after="0" w:line="240" w:lineRule="auto"/>
        <w:ind w:left="720" w:hanging="720"/>
        <w:jc w:val="both"/>
      </w:pPr>
      <w:r w:rsidRPr="00731BD0">
        <w:t xml:space="preserve">Laursen, K., &amp; Salter, A. (2005). Open for innovation: The role of openness in explaining innovation performance among U.K. manufacturing firms. </w:t>
      </w:r>
      <w:r w:rsidRPr="00731BD0">
        <w:rPr>
          <w:i/>
          <w:iCs/>
        </w:rPr>
        <w:t>Strategic Management Journal</w:t>
      </w:r>
      <w:r w:rsidRPr="00731BD0">
        <w:t xml:space="preserve">, </w:t>
      </w:r>
      <w:r w:rsidRPr="00731BD0">
        <w:rPr>
          <w:i/>
          <w:iCs/>
        </w:rPr>
        <w:t>27</w:t>
      </w:r>
      <w:r w:rsidRPr="00731BD0">
        <w:t xml:space="preserve">(2), 131–150. </w:t>
      </w:r>
      <w:hyperlink r:id="rId31">
        <w:r w:rsidRPr="00731BD0">
          <w:rPr>
            <w:rStyle w:val="Hyperlink"/>
          </w:rPr>
          <w:t>https://doi.org/10.1002/smj.507</w:t>
        </w:r>
      </w:hyperlink>
    </w:p>
    <w:p w14:paraId="71BC30FD" w14:textId="7EFC720D" w:rsidR="00B34AF3" w:rsidRPr="00731BD0" w:rsidRDefault="6342AA2F" w:rsidP="6BA6FA28">
      <w:pPr>
        <w:spacing w:after="0" w:line="240" w:lineRule="auto"/>
        <w:ind w:left="720" w:hanging="720"/>
        <w:jc w:val="both"/>
      </w:pPr>
      <w:r w:rsidRPr="00731BD0">
        <w:t xml:space="preserve">Martins, E. C., &amp; Terblanche, F. (2003a). Building organisational culture that stimulates creativity and innovation. </w:t>
      </w:r>
      <w:r w:rsidRPr="00731BD0">
        <w:rPr>
          <w:i/>
          <w:iCs/>
        </w:rPr>
        <w:t>European Journal of Innovation Management</w:t>
      </w:r>
      <w:r w:rsidRPr="00731BD0">
        <w:t xml:space="preserve">, </w:t>
      </w:r>
      <w:r w:rsidRPr="00731BD0">
        <w:rPr>
          <w:i/>
          <w:iCs/>
        </w:rPr>
        <w:t>6</w:t>
      </w:r>
      <w:r w:rsidRPr="00731BD0">
        <w:t xml:space="preserve">(1), 64–74. </w:t>
      </w:r>
      <w:hyperlink r:id="rId32">
        <w:r w:rsidRPr="00731BD0">
          <w:rPr>
            <w:rStyle w:val="Hyperlink"/>
          </w:rPr>
          <w:t>https://doi.org/10.1108/14601060310456337</w:t>
        </w:r>
      </w:hyperlink>
    </w:p>
    <w:p w14:paraId="7023DE82" w14:textId="5683BAA0" w:rsidR="00B34AF3" w:rsidRPr="00731BD0" w:rsidRDefault="6342AA2F" w:rsidP="6BA6FA28">
      <w:pPr>
        <w:spacing w:after="0" w:line="240" w:lineRule="auto"/>
        <w:ind w:left="720" w:hanging="720"/>
        <w:jc w:val="both"/>
      </w:pPr>
      <w:r w:rsidRPr="00731BD0">
        <w:t xml:space="preserve">Martins, E. C., &amp; Terblanche, F. (2003b). Building organisational culture that stimulates creativity and innovation. </w:t>
      </w:r>
      <w:r w:rsidRPr="00731BD0">
        <w:rPr>
          <w:i/>
          <w:iCs/>
        </w:rPr>
        <w:t>European Journal of Innovation Management</w:t>
      </w:r>
      <w:r w:rsidRPr="00731BD0">
        <w:t xml:space="preserve">, </w:t>
      </w:r>
      <w:r w:rsidRPr="00731BD0">
        <w:rPr>
          <w:i/>
          <w:iCs/>
        </w:rPr>
        <w:t>6</w:t>
      </w:r>
      <w:r w:rsidRPr="00731BD0">
        <w:t xml:space="preserve">(1), 64–74. </w:t>
      </w:r>
      <w:hyperlink r:id="rId33">
        <w:r w:rsidRPr="00731BD0">
          <w:rPr>
            <w:rStyle w:val="Hyperlink"/>
          </w:rPr>
          <w:t>https://doi.org/10.1108/14601060310456337</w:t>
        </w:r>
      </w:hyperlink>
    </w:p>
    <w:p w14:paraId="79C891EA" w14:textId="0419C049" w:rsidR="00B34AF3" w:rsidRPr="00731BD0" w:rsidRDefault="6342AA2F" w:rsidP="6BA6FA28">
      <w:pPr>
        <w:spacing w:after="0" w:line="240" w:lineRule="auto"/>
        <w:ind w:left="720" w:hanging="720"/>
        <w:jc w:val="both"/>
      </w:pPr>
      <w:r w:rsidRPr="00731BD0">
        <w:t xml:space="preserve">Miao, R., Lu, L., Cao, Y., &amp; Du, Q. (2020). The high-performance work system, employee voice, and innovative behavior: The moderating role of psychological safety. </w:t>
      </w:r>
      <w:r w:rsidRPr="00731BD0">
        <w:rPr>
          <w:i/>
          <w:iCs/>
        </w:rPr>
        <w:t>International Journal of Environmental Research and Public Health</w:t>
      </w:r>
      <w:r w:rsidRPr="00731BD0">
        <w:t xml:space="preserve">, </w:t>
      </w:r>
      <w:r w:rsidRPr="00731BD0">
        <w:rPr>
          <w:i/>
          <w:iCs/>
        </w:rPr>
        <w:t>17</w:t>
      </w:r>
      <w:r w:rsidRPr="00731BD0">
        <w:t xml:space="preserve">(4), 1150. </w:t>
      </w:r>
      <w:hyperlink r:id="rId34">
        <w:r w:rsidRPr="00731BD0">
          <w:rPr>
            <w:rStyle w:val="Hyperlink"/>
          </w:rPr>
          <w:t>https://doi.org/10.3390/ijerph17041150</w:t>
        </w:r>
      </w:hyperlink>
    </w:p>
    <w:p w14:paraId="4775A250" w14:textId="14861E28" w:rsidR="00B34AF3" w:rsidRPr="00731BD0" w:rsidRDefault="6342AA2F" w:rsidP="6BA6FA28">
      <w:pPr>
        <w:spacing w:after="0" w:line="240" w:lineRule="auto"/>
        <w:ind w:left="720" w:hanging="720"/>
        <w:jc w:val="both"/>
      </w:pPr>
      <w:r w:rsidRPr="00731BD0">
        <w:t xml:space="preserve">O’Cass, A., &amp; Sok, P. (2013). Exploring innovation driven value creation in B2B service firms: The roles of the manager, employees, and customers in value creation. </w:t>
      </w:r>
      <w:r w:rsidRPr="00731BD0">
        <w:rPr>
          <w:i/>
          <w:iCs/>
        </w:rPr>
        <w:t>Journal of Business Research</w:t>
      </w:r>
      <w:r w:rsidRPr="00731BD0">
        <w:t xml:space="preserve">, </w:t>
      </w:r>
      <w:r w:rsidRPr="00731BD0">
        <w:rPr>
          <w:i/>
          <w:iCs/>
        </w:rPr>
        <w:t>66</w:t>
      </w:r>
      <w:r w:rsidRPr="00731BD0">
        <w:t xml:space="preserve">(8), 1074–1084. </w:t>
      </w:r>
      <w:hyperlink r:id="rId35">
        <w:r w:rsidRPr="00731BD0">
          <w:rPr>
            <w:rStyle w:val="Hyperlink"/>
          </w:rPr>
          <w:t>https://doi.org/10.1016/j.jbusres.2012.03.004</w:t>
        </w:r>
      </w:hyperlink>
    </w:p>
    <w:p w14:paraId="310A21B3" w14:textId="7D9E8941" w:rsidR="00B34AF3" w:rsidRPr="00731BD0" w:rsidRDefault="6342AA2F" w:rsidP="6BA6FA28">
      <w:pPr>
        <w:spacing w:after="0" w:line="240" w:lineRule="auto"/>
        <w:ind w:left="720" w:hanging="720"/>
        <w:jc w:val="both"/>
      </w:pPr>
      <w:r w:rsidRPr="00731BD0">
        <w:t xml:space="preserve">Schein, E. H. (2010a). </w:t>
      </w:r>
      <w:r w:rsidRPr="00731BD0">
        <w:rPr>
          <w:i/>
          <w:iCs/>
        </w:rPr>
        <w:t>Organizational culture and leadership</w:t>
      </w:r>
      <w:r w:rsidRPr="00731BD0">
        <w:t xml:space="preserve"> (5th edn). Hoboken, New Jersey Wiley.</w:t>
      </w:r>
    </w:p>
    <w:p w14:paraId="411DAF44" w14:textId="6CE34764" w:rsidR="00B34AF3" w:rsidRPr="00731BD0" w:rsidRDefault="6342AA2F" w:rsidP="6BA6FA28">
      <w:pPr>
        <w:spacing w:after="0" w:line="240" w:lineRule="auto"/>
        <w:ind w:left="720" w:hanging="720"/>
        <w:jc w:val="both"/>
      </w:pPr>
      <w:r w:rsidRPr="00731BD0">
        <w:lastRenderedPageBreak/>
        <w:t xml:space="preserve">Schein, E. H. (2010b). </w:t>
      </w:r>
      <w:r w:rsidRPr="00731BD0">
        <w:rPr>
          <w:i/>
          <w:iCs/>
        </w:rPr>
        <w:t>Organizational culture and leadership</w:t>
      </w:r>
      <w:r w:rsidRPr="00731BD0">
        <w:t xml:space="preserve"> (5th edn). Hoboken, New Jersey Wiley.</w:t>
      </w:r>
    </w:p>
    <w:p w14:paraId="18A2FA7B" w14:textId="4DEAF12F" w:rsidR="00B34AF3" w:rsidRPr="00731BD0" w:rsidRDefault="6342AA2F" w:rsidP="6BA6FA28">
      <w:pPr>
        <w:spacing w:after="0" w:line="240" w:lineRule="auto"/>
        <w:ind w:left="720" w:hanging="720"/>
        <w:jc w:val="both"/>
      </w:pPr>
      <w:r w:rsidRPr="00731BD0">
        <w:t xml:space="preserve">Schultz, C., Globocnik, D., Kock, A., &amp; Salomo, S. (2018). Application and performance impact of stage–gate systems – the role services in the firm’s business focus. </w:t>
      </w:r>
      <w:r w:rsidRPr="00731BD0">
        <w:rPr>
          <w:i/>
          <w:iCs/>
        </w:rPr>
        <w:t>R&amp;D Management</w:t>
      </w:r>
      <w:r w:rsidRPr="00731BD0">
        <w:t xml:space="preserve">, </w:t>
      </w:r>
      <w:r w:rsidRPr="00731BD0">
        <w:rPr>
          <w:i/>
          <w:iCs/>
        </w:rPr>
        <w:t>49</w:t>
      </w:r>
      <w:r w:rsidRPr="00731BD0">
        <w:t xml:space="preserve">(4), 534–554. </w:t>
      </w:r>
      <w:hyperlink r:id="rId36">
        <w:r w:rsidRPr="00731BD0">
          <w:rPr>
            <w:rStyle w:val="Hyperlink"/>
          </w:rPr>
          <w:t>https://doi.org/10.1111/radm.12341</w:t>
        </w:r>
      </w:hyperlink>
    </w:p>
    <w:p w14:paraId="5D0F97CE" w14:textId="5546888B" w:rsidR="00B34AF3" w:rsidRPr="00731BD0" w:rsidRDefault="6342AA2F" w:rsidP="6BA6FA28">
      <w:pPr>
        <w:spacing w:after="0" w:line="240" w:lineRule="auto"/>
        <w:ind w:left="720" w:hanging="720"/>
        <w:jc w:val="both"/>
      </w:pPr>
      <w:r w:rsidRPr="00731BD0">
        <w:t xml:space="preserve">Shalley, C. E., &amp; Gilson, L. L. (2017). Creativity and the management of technology: Balancing creativity and standardization. </w:t>
      </w:r>
      <w:r w:rsidRPr="00731BD0">
        <w:rPr>
          <w:i/>
          <w:iCs/>
        </w:rPr>
        <w:t>Production and Operations Management</w:t>
      </w:r>
      <w:r w:rsidRPr="00731BD0">
        <w:t xml:space="preserve">, </w:t>
      </w:r>
      <w:r w:rsidRPr="00731BD0">
        <w:rPr>
          <w:i/>
          <w:iCs/>
        </w:rPr>
        <w:t>26</w:t>
      </w:r>
      <w:r w:rsidRPr="00731BD0">
        <w:t xml:space="preserve">(4), 605–616. </w:t>
      </w:r>
      <w:hyperlink r:id="rId37">
        <w:r w:rsidRPr="00731BD0">
          <w:rPr>
            <w:rStyle w:val="Hyperlink"/>
          </w:rPr>
          <w:t>https://doi.org/10.1111/poms.12639</w:t>
        </w:r>
      </w:hyperlink>
    </w:p>
    <w:p w14:paraId="7122D8BD" w14:textId="287E605E" w:rsidR="00B34AF3" w:rsidRPr="00731BD0" w:rsidRDefault="6342AA2F" w:rsidP="6BA6FA28">
      <w:pPr>
        <w:spacing w:after="0" w:line="240" w:lineRule="auto"/>
        <w:ind w:left="720" w:hanging="720"/>
        <w:jc w:val="both"/>
      </w:pPr>
      <w:r w:rsidRPr="00731BD0">
        <w:t xml:space="preserve">Shalley, C. E., Zhou, J., &amp; Oldham, G. R. (2004). The effects of personal and contextual characteristics on creativity: Where should we go from here? </w:t>
      </w:r>
      <w:r w:rsidRPr="00731BD0">
        <w:rPr>
          <w:i/>
          <w:iCs/>
        </w:rPr>
        <w:t>Journal of Management</w:t>
      </w:r>
      <w:r w:rsidRPr="00731BD0">
        <w:t xml:space="preserve">, </w:t>
      </w:r>
      <w:r w:rsidRPr="00731BD0">
        <w:rPr>
          <w:i/>
          <w:iCs/>
        </w:rPr>
        <w:t>30</w:t>
      </w:r>
      <w:r w:rsidRPr="00731BD0">
        <w:t xml:space="preserve">(6), 933–958. </w:t>
      </w:r>
      <w:hyperlink r:id="rId38">
        <w:r w:rsidRPr="00731BD0">
          <w:rPr>
            <w:rStyle w:val="Hyperlink"/>
          </w:rPr>
          <w:t>https://doi.org/10.1016/j.jm.2004.06.007</w:t>
        </w:r>
      </w:hyperlink>
    </w:p>
    <w:p w14:paraId="602B9B54" w14:textId="57242F69" w:rsidR="00B34AF3" w:rsidRPr="00731BD0" w:rsidRDefault="6342AA2F" w:rsidP="6BA6FA28">
      <w:pPr>
        <w:spacing w:after="0" w:line="240" w:lineRule="auto"/>
        <w:ind w:left="720" w:hanging="720"/>
        <w:jc w:val="both"/>
      </w:pPr>
      <w:r w:rsidRPr="00731BD0">
        <w:t xml:space="preserve">West, J., &amp; Bogers, M. (2013a). Leveraging external sources of innovation: A review of research on open innovation. </w:t>
      </w:r>
      <w:r w:rsidRPr="00731BD0">
        <w:rPr>
          <w:i/>
          <w:iCs/>
        </w:rPr>
        <w:t>Journal of Product Innovation Management</w:t>
      </w:r>
      <w:r w:rsidRPr="00731BD0">
        <w:t xml:space="preserve">, </w:t>
      </w:r>
      <w:r w:rsidRPr="00731BD0">
        <w:rPr>
          <w:i/>
          <w:iCs/>
        </w:rPr>
        <w:t>31</w:t>
      </w:r>
      <w:r w:rsidRPr="00731BD0">
        <w:t xml:space="preserve">(4), 814–831. </w:t>
      </w:r>
      <w:hyperlink r:id="rId39">
        <w:r w:rsidRPr="00731BD0">
          <w:rPr>
            <w:rStyle w:val="Hyperlink"/>
          </w:rPr>
          <w:t>https://doi.org/10.1111/jpim.12125</w:t>
        </w:r>
      </w:hyperlink>
    </w:p>
    <w:p w14:paraId="13E32D87" w14:textId="2925F944" w:rsidR="00B34AF3" w:rsidRPr="00731BD0" w:rsidRDefault="6342AA2F" w:rsidP="6BA6FA28">
      <w:pPr>
        <w:spacing w:after="0" w:line="240" w:lineRule="auto"/>
        <w:ind w:left="720" w:hanging="720"/>
        <w:jc w:val="both"/>
      </w:pPr>
      <w:r w:rsidRPr="00731BD0">
        <w:t xml:space="preserve">West, J., &amp; Bogers, M. (2013b). Leveraging external sources of innovation: A review of research on open innovation. </w:t>
      </w:r>
      <w:r w:rsidRPr="00731BD0">
        <w:rPr>
          <w:i/>
          <w:iCs/>
        </w:rPr>
        <w:t>Journal of Product Innovation Management</w:t>
      </w:r>
      <w:r w:rsidRPr="00731BD0">
        <w:t xml:space="preserve">, </w:t>
      </w:r>
      <w:r w:rsidRPr="00731BD0">
        <w:rPr>
          <w:i/>
          <w:iCs/>
        </w:rPr>
        <w:t>31</w:t>
      </w:r>
      <w:r w:rsidRPr="00731BD0">
        <w:t xml:space="preserve">(4), 814–831. </w:t>
      </w:r>
      <w:hyperlink r:id="rId40">
        <w:r w:rsidRPr="00731BD0">
          <w:rPr>
            <w:rStyle w:val="Hyperlink"/>
          </w:rPr>
          <w:t>https://doi.org/10.1111/jpim.12125</w:t>
        </w:r>
      </w:hyperlink>
    </w:p>
    <w:p w14:paraId="21220534" w14:textId="29D0616F" w:rsidR="00B34AF3" w:rsidRPr="00731BD0" w:rsidRDefault="6342AA2F" w:rsidP="6BA6FA28">
      <w:pPr>
        <w:spacing w:after="0" w:line="240" w:lineRule="auto"/>
        <w:ind w:left="720" w:hanging="720"/>
        <w:jc w:val="both"/>
      </w:pPr>
      <w:r w:rsidRPr="00731BD0">
        <w:t xml:space="preserve">Woodman, R. W., Sawyer, J. E., &amp; Griffin, R. W. (1993). Toward a theory of organizational creativity. </w:t>
      </w:r>
      <w:r w:rsidRPr="00731BD0">
        <w:rPr>
          <w:i/>
          <w:iCs/>
        </w:rPr>
        <w:t>The Academy of Management Review</w:t>
      </w:r>
      <w:r w:rsidRPr="00731BD0">
        <w:t xml:space="preserve">, </w:t>
      </w:r>
      <w:r w:rsidRPr="00731BD0">
        <w:rPr>
          <w:i/>
          <w:iCs/>
        </w:rPr>
        <w:t>18</w:t>
      </w:r>
      <w:r w:rsidRPr="00731BD0">
        <w:t xml:space="preserve">(2), 293. </w:t>
      </w:r>
      <w:hyperlink r:id="rId41">
        <w:r w:rsidRPr="00731BD0">
          <w:rPr>
            <w:rStyle w:val="Hyperlink"/>
          </w:rPr>
          <w:t>https://doi.org/10.2307/258761</w:t>
        </w:r>
      </w:hyperlink>
    </w:p>
    <w:p w14:paraId="6D403CFD" w14:textId="253D803C" w:rsidR="00B34AF3" w:rsidRPr="00731BD0" w:rsidRDefault="6342AA2F" w:rsidP="6BA6FA28">
      <w:pPr>
        <w:spacing w:after="0" w:line="240" w:lineRule="auto"/>
        <w:ind w:left="720" w:hanging="720"/>
        <w:jc w:val="both"/>
      </w:pPr>
      <w:r w:rsidRPr="00731BD0">
        <w:t xml:space="preserve">Zhang, Y., Qu, H., Walter, F., Liu, W., &amp; Wang, M. (2023). A new perspective on time pressure and creativity: Distinguishing employees’ radical versus incremental creativity. </w:t>
      </w:r>
      <w:r w:rsidRPr="00731BD0">
        <w:rPr>
          <w:i/>
          <w:iCs/>
        </w:rPr>
        <w:t>Journal of Organizational Behavior</w:t>
      </w:r>
      <w:r w:rsidRPr="00731BD0">
        <w:t xml:space="preserve">, </w:t>
      </w:r>
      <w:r w:rsidRPr="00731BD0">
        <w:rPr>
          <w:i/>
          <w:iCs/>
        </w:rPr>
        <w:t>44</w:t>
      </w:r>
      <w:r w:rsidRPr="00731BD0">
        <w:t xml:space="preserve">(9), 1400–1418. </w:t>
      </w:r>
      <w:hyperlink r:id="rId42">
        <w:r w:rsidRPr="00731BD0">
          <w:rPr>
            <w:rStyle w:val="Hyperlink"/>
          </w:rPr>
          <w:t>https://doi.org/10.1002/job.2742</w:t>
        </w:r>
      </w:hyperlink>
    </w:p>
    <w:p w14:paraId="0E1B83B5" w14:textId="55E0FE2C" w:rsidR="00B34AF3" w:rsidRPr="00731BD0" w:rsidRDefault="6342AA2F" w:rsidP="6BA6FA28">
      <w:pPr>
        <w:spacing w:after="0" w:line="240" w:lineRule="auto"/>
        <w:ind w:left="720" w:hanging="720"/>
        <w:jc w:val="both"/>
      </w:pPr>
      <w:r w:rsidRPr="00731BD0">
        <w:t xml:space="preserve">Zhou, J., &amp; Hoever, I. J. (2014). Research on workplace creativity: A review and redirection. </w:t>
      </w:r>
      <w:r w:rsidRPr="00731BD0">
        <w:rPr>
          <w:i/>
          <w:iCs/>
        </w:rPr>
        <w:t>Annual Review of Organizational Psychology and Organizational Behavior</w:t>
      </w:r>
      <w:r w:rsidRPr="00731BD0">
        <w:t xml:space="preserve">, </w:t>
      </w:r>
      <w:r w:rsidRPr="00731BD0">
        <w:rPr>
          <w:i/>
          <w:iCs/>
        </w:rPr>
        <w:t>1</w:t>
      </w:r>
      <w:r w:rsidRPr="00731BD0">
        <w:t xml:space="preserve">(1), 333–359. </w:t>
      </w:r>
      <w:hyperlink r:id="rId43">
        <w:r w:rsidRPr="00731BD0">
          <w:rPr>
            <w:rStyle w:val="Hyperlink"/>
          </w:rPr>
          <w:t>https://doi.org/10.1146/annurev-orgpsych-031413-091226</w:t>
        </w:r>
      </w:hyperlink>
    </w:p>
    <w:p w14:paraId="5E5787A5" w14:textId="10E02D27" w:rsidR="00B34AF3" w:rsidRPr="00731BD0" w:rsidRDefault="00B34AF3" w:rsidP="6BA6FA28">
      <w:pPr>
        <w:spacing w:line="240" w:lineRule="auto"/>
        <w:jc w:val="both"/>
      </w:pPr>
    </w:p>
    <w:sectPr w:rsidR="00B34AF3" w:rsidRPr="00731BD0">
      <w:headerReference w:type="default" r:id="rId44"/>
      <w:footerReference w:type="default" r:id="rId45"/>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C0B13F" w14:textId="77777777" w:rsidR="0094657B" w:rsidRDefault="0094657B">
      <w:pPr>
        <w:spacing w:after="0" w:line="240" w:lineRule="auto"/>
      </w:pPr>
      <w:r>
        <w:separator/>
      </w:r>
    </w:p>
  </w:endnote>
  <w:endnote w:type="continuationSeparator" w:id="0">
    <w:p w14:paraId="01A9351D" w14:textId="77777777" w:rsidR="0094657B" w:rsidRDefault="009465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6BA6FA28" w14:paraId="073875FB" w14:textId="77777777" w:rsidTr="6BA6FA28">
      <w:trPr>
        <w:trHeight w:val="300"/>
      </w:trPr>
      <w:tc>
        <w:tcPr>
          <w:tcW w:w="3005" w:type="dxa"/>
        </w:tcPr>
        <w:p w14:paraId="2C845212" w14:textId="0D8F7C15" w:rsidR="6BA6FA28" w:rsidRDefault="6BA6FA28" w:rsidP="6BA6FA28">
          <w:pPr>
            <w:pStyle w:val="Header"/>
            <w:ind w:left="-115"/>
          </w:pPr>
        </w:p>
      </w:tc>
      <w:tc>
        <w:tcPr>
          <w:tcW w:w="3005" w:type="dxa"/>
        </w:tcPr>
        <w:p w14:paraId="54524327" w14:textId="1FF0ADAF" w:rsidR="6BA6FA28" w:rsidRDefault="6BA6FA28" w:rsidP="6BA6FA28">
          <w:pPr>
            <w:pStyle w:val="Header"/>
            <w:jc w:val="center"/>
          </w:pPr>
          <w:r>
            <w:fldChar w:fldCharType="begin"/>
          </w:r>
          <w:r>
            <w:instrText>PAGE</w:instrText>
          </w:r>
          <w:r>
            <w:fldChar w:fldCharType="separate"/>
          </w:r>
          <w:r w:rsidR="00731BD0">
            <w:rPr>
              <w:noProof/>
            </w:rPr>
            <w:t>1</w:t>
          </w:r>
          <w:r>
            <w:fldChar w:fldCharType="end"/>
          </w:r>
        </w:p>
      </w:tc>
      <w:tc>
        <w:tcPr>
          <w:tcW w:w="3005" w:type="dxa"/>
        </w:tcPr>
        <w:p w14:paraId="40AE06ED" w14:textId="0C1D4B0C" w:rsidR="6BA6FA28" w:rsidRDefault="6BA6FA28" w:rsidP="6BA6FA28">
          <w:pPr>
            <w:pStyle w:val="Header"/>
            <w:ind w:right="-115"/>
            <w:jc w:val="right"/>
          </w:pPr>
        </w:p>
      </w:tc>
    </w:tr>
  </w:tbl>
  <w:p w14:paraId="283F62B4" w14:textId="21C23DF8" w:rsidR="6BA6FA28" w:rsidRDefault="6BA6FA28" w:rsidP="6BA6FA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6B420F" w14:textId="77777777" w:rsidR="0094657B" w:rsidRDefault="0094657B">
      <w:pPr>
        <w:spacing w:after="0" w:line="240" w:lineRule="auto"/>
      </w:pPr>
      <w:r>
        <w:separator/>
      </w:r>
    </w:p>
  </w:footnote>
  <w:footnote w:type="continuationSeparator" w:id="0">
    <w:p w14:paraId="1A2ECD8B" w14:textId="77777777" w:rsidR="0094657B" w:rsidRDefault="0094657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6BA6FA28" w14:paraId="5D5CF525" w14:textId="77777777" w:rsidTr="6BA6FA28">
      <w:trPr>
        <w:trHeight w:val="300"/>
      </w:trPr>
      <w:tc>
        <w:tcPr>
          <w:tcW w:w="3005" w:type="dxa"/>
        </w:tcPr>
        <w:p w14:paraId="2D36A529" w14:textId="6146E0E8" w:rsidR="6BA6FA28" w:rsidRDefault="6BA6FA28" w:rsidP="6BA6FA28">
          <w:pPr>
            <w:pStyle w:val="Header"/>
            <w:ind w:left="-115"/>
          </w:pPr>
        </w:p>
      </w:tc>
      <w:tc>
        <w:tcPr>
          <w:tcW w:w="3005" w:type="dxa"/>
        </w:tcPr>
        <w:p w14:paraId="0DA33D1A" w14:textId="432BA9D2" w:rsidR="6BA6FA28" w:rsidRDefault="6BA6FA28" w:rsidP="6BA6FA28">
          <w:pPr>
            <w:pStyle w:val="Header"/>
            <w:jc w:val="center"/>
          </w:pPr>
        </w:p>
      </w:tc>
      <w:tc>
        <w:tcPr>
          <w:tcW w:w="3005" w:type="dxa"/>
        </w:tcPr>
        <w:p w14:paraId="48D53B1E" w14:textId="526F4309" w:rsidR="6BA6FA28" w:rsidRDefault="6BA6FA28" w:rsidP="6BA6FA28">
          <w:pPr>
            <w:pStyle w:val="Header"/>
            <w:ind w:right="-115"/>
            <w:jc w:val="right"/>
          </w:pPr>
        </w:p>
      </w:tc>
    </w:tr>
  </w:tbl>
  <w:p w14:paraId="3B17C4ED" w14:textId="5E808F04" w:rsidR="6BA6FA28" w:rsidRDefault="6BA6FA28" w:rsidP="6BA6FA28">
    <w:pPr>
      <w:pStyle w:val="Header"/>
    </w:pPr>
  </w:p>
</w:hdr>
</file>

<file path=word/intelligence2.xml><?xml version="1.0" encoding="utf-8"?>
<int2:intelligence xmlns:int2="http://schemas.microsoft.com/office/intelligence/2020/intelligence" xmlns:oel="http://schemas.microsoft.com/office/2019/extlst">
  <int2:observations>
    <int2:textHash int2:hashCode="Y7rxyEYEGk+h8X" int2:id="ITMn7Q9w">
      <int2:state int2:value="Rejected" int2:type="spell"/>
    </int2:textHash>
    <int2:textHash int2:hashCode="ewnzblLx/mgkkY" int2:id="E6Cb5yX2">
      <int2:state int2:value="Rejected" int2:type="spell"/>
    </int2:textHash>
    <int2:textHash int2:hashCode="q9JwpB+swx4FyA" int2:id="yuNISSYd">
      <int2:state int2:value="Rejected" int2:type="spell"/>
    </int2:textHash>
    <int2:textHash int2:hashCode="oUsq07ilZSlna/" int2:id="qDmmM73s">
      <int2:state int2:value="Rejected" int2:type="spell"/>
    </int2:textHash>
    <int2:textHash int2:hashCode="y6lDi3yD5VBwhc" int2:id="Ap4h6keu">
      <int2:state int2:value="Rejected" int2:type="spell"/>
    </int2:textHash>
    <int2:textHash int2:hashCode="tvTGGH22Fcu5ha" int2:id="UBrIk2gH">
      <int2:state int2:value="Rejected" int2:type="spell"/>
    </int2:textHash>
    <int2:textHash int2:hashCode="YkTYCAVaN+Vim+" int2:id="QPzJvsfo">
      <int2:state int2:value="Rejected" int2:type="spell"/>
    </int2:textHash>
    <int2:textHash int2:hashCode="9gAMKNeIS3klyK" int2:id="8w8lwCSK">
      <int2:state int2:value="Rejected" int2:type="spell"/>
    </int2:textHash>
    <int2:bookmark int2:bookmarkName="_Int_zMV06O2I" int2:invalidationBookmarkName="" int2:hashCode="YqqI4Vi4b11W3T" int2:id="IfxNe0wi">
      <int2:state int2:value="Rejected" int2:type="style"/>
    </int2:bookmark>
    <int2:bookmark int2:bookmarkName="_Int_RqqVa1Wd" int2:invalidationBookmarkName="" int2:hashCode="YqqI4Vi4b11W3T" int2:id="qhsYKY8w">
      <int2:state int2:value="Rejected" int2:type="style"/>
    </int2:bookmark>
    <int2:bookmark int2:bookmarkName="_Int_BiiCXisi" int2:invalidationBookmarkName="" int2:hashCode="vIAI7sbmPlhgjO" int2:id="ptu7UFdw">
      <int2:state int2:value="Rejected" int2:type="style"/>
    </int2:bookmark>
    <int2:bookmark int2:bookmarkName="_Int_MiT3P6eR" int2:invalidationBookmarkName="" int2:hashCode="YqqI4Vi4b11W3T" int2:id="X9RGgqUl">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78567E"/>
    <w:multiLevelType w:val="hybridMultilevel"/>
    <w:tmpl w:val="D8A8658A"/>
    <w:lvl w:ilvl="0" w:tplc="BE6E278E">
      <w:start w:val="1"/>
      <w:numFmt w:val="bullet"/>
      <w:lvlText w:val=""/>
      <w:lvlJc w:val="left"/>
      <w:pPr>
        <w:ind w:left="720" w:hanging="360"/>
      </w:pPr>
      <w:rPr>
        <w:rFonts w:ascii="Symbol" w:hAnsi="Symbol" w:hint="default"/>
      </w:rPr>
    </w:lvl>
    <w:lvl w:ilvl="1" w:tplc="F0241428">
      <w:start w:val="1"/>
      <w:numFmt w:val="bullet"/>
      <w:lvlText w:val="o"/>
      <w:lvlJc w:val="left"/>
      <w:pPr>
        <w:ind w:left="1440" w:hanging="360"/>
      </w:pPr>
      <w:rPr>
        <w:rFonts w:ascii="Courier New" w:hAnsi="Courier New" w:hint="default"/>
      </w:rPr>
    </w:lvl>
    <w:lvl w:ilvl="2" w:tplc="B38C8F6E">
      <w:start w:val="1"/>
      <w:numFmt w:val="bullet"/>
      <w:lvlText w:val=""/>
      <w:lvlJc w:val="left"/>
      <w:pPr>
        <w:ind w:left="2160" w:hanging="360"/>
      </w:pPr>
      <w:rPr>
        <w:rFonts w:ascii="Wingdings" w:hAnsi="Wingdings" w:hint="default"/>
      </w:rPr>
    </w:lvl>
    <w:lvl w:ilvl="3" w:tplc="119294F2">
      <w:start w:val="1"/>
      <w:numFmt w:val="bullet"/>
      <w:lvlText w:val=""/>
      <w:lvlJc w:val="left"/>
      <w:pPr>
        <w:ind w:left="2880" w:hanging="360"/>
      </w:pPr>
      <w:rPr>
        <w:rFonts w:ascii="Symbol" w:hAnsi="Symbol" w:hint="default"/>
      </w:rPr>
    </w:lvl>
    <w:lvl w:ilvl="4" w:tplc="736A44A4">
      <w:start w:val="1"/>
      <w:numFmt w:val="bullet"/>
      <w:lvlText w:val="o"/>
      <w:lvlJc w:val="left"/>
      <w:pPr>
        <w:ind w:left="3600" w:hanging="360"/>
      </w:pPr>
      <w:rPr>
        <w:rFonts w:ascii="Courier New" w:hAnsi="Courier New" w:hint="default"/>
      </w:rPr>
    </w:lvl>
    <w:lvl w:ilvl="5" w:tplc="D6D2EBD0">
      <w:start w:val="1"/>
      <w:numFmt w:val="bullet"/>
      <w:lvlText w:val=""/>
      <w:lvlJc w:val="left"/>
      <w:pPr>
        <w:ind w:left="4320" w:hanging="360"/>
      </w:pPr>
      <w:rPr>
        <w:rFonts w:ascii="Wingdings" w:hAnsi="Wingdings" w:hint="default"/>
      </w:rPr>
    </w:lvl>
    <w:lvl w:ilvl="6" w:tplc="51A46FAC">
      <w:start w:val="1"/>
      <w:numFmt w:val="bullet"/>
      <w:lvlText w:val=""/>
      <w:lvlJc w:val="left"/>
      <w:pPr>
        <w:ind w:left="5040" w:hanging="360"/>
      </w:pPr>
      <w:rPr>
        <w:rFonts w:ascii="Symbol" w:hAnsi="Symbol" w:hint="default"/>
      </w:rPr>
    </w:lvl>
    <w:lvl w:ilvl="7" w:tplc="78B4F1D6">
      <w:start w:val="1"/>
      <w:numFmt w:val="bullet"/>
      <w:lvlText w:val="o"/>
      <w:lvlJc w:val="left"/>
      <w:pPr>
        <w:ind w:left="5760" w:hanging="360"/>
      </w:pPr>
      <w:rPr>
        <w:rFonts w:ascii="Courier New" w:hAnsi="Courier New" w:hint="default"/>
      </w:rPr>
    </w:lvl>
    <w:lvl w:ilvl="8" w:tplc="3E165C88">
      <w:start w:val="1"/>
      <w:numFmt w:val="bullet"/>
      <w:lvlText w:val=""/>
      <w:lvlJc w:val="left"/>
      <w:pPr>
        <w:ind w:left="6480" w:hanging="360"/>
      </w:pPr>
      <w:rPr>
        <w:rFonts w:ascii="Wingdings" w:hAnsi="Wingdings" w:hint="default"/>
      </w:rPr>
    </w:lvl>
  </w:abstractNum>
  <w:abstractNum w:abstractNumId="1" w15:restartNumberingAfterBreak="0">
    <w:nsid w:val="0982FBF1"/>
    <w:multiLevelType w:val="hybridMultilevel"/>
    <w:tmpl w:val="B06C9520"/>
    <w:lvl w:ilvl="0" w:tplc="8EFAB04E">
      <w:start w:val="1"/>
      <w:numFmt w:val="bullet"/>
      <w:lvlText w:val=""/>
      <w:lvlJc w:val="left"/>
      <w:pPr>
        <w:ind w:left="720" w:hanging="360"/>
      </w:pPr>
      <w:rPr>
        <w:rFonts w:ascii="Symbol" w:hAnsi="Symbol" w:hint="default"/>
      </w:rPr>
    </w:lvl>
    <w:lvl w:ilvl="1" w:tplc="40C639D6">
      <w:start w:val="1"/>
      <w:numFmt w:val="bullet"/>
      <w:lvlText w:val="o"/>
      <w:lvlJc w:val="left"/>
      <w:pPr>
        <w:ind w:left="1440" w:hanging="360"/>
      </w:pPr>
      <w:rPr>
        <w:rFonts w:ascii="Courier New" w:hAnsi="Courier New" w:hint="default"/>
      </w:rPr>
    </w:lvl>
    <w:lvl w:ilvl="2" w:tplc="443286F4">
      <w:start w:val="1"/>
      <w:numFmt w:val="bullet"/>
      <w:lvlText w:val=""/>
      <w:lvlJc w:val="left"/>
      <w:pPr>
        <w:ind w:left="2160" w:hanging="360"/>
      </w:pPr>
      <w:rPr>
        <w:rFonts w:ascii="Wingdings" w:hAnsi="Wingdings" w:hint="default"/>
      </w:rPr>
    </w:lvl>
    <w:lvl w:ilvl="3" w:tplc="9D927EDC">
      <w:start w:val="1"/>
      <w:numFmt w:val="bullet"/>
      <w:lvlText w:val=""/>
      <w:lvlJc w:val="left"/>
      <w:pPr>
        <w:ind w:left="2880" w:hanging="360"/>
      </w:pPr>
      <w:rPr>
        <w:rFonts w:ascii="Symbol" w:hAnsi="Symbol" w:hint="default"/>
      </w:rPr>
    </w:lvl>
    <w:lvl w:ilvl="4" w:tplc="582E30EE">
      <w:start w:val="1"/>
      <w:numFmt w:val="bullet"/>
      <w:lvlText w:val="o"/>
      <w:lvlJc w:val="left"/>
      <w:pPr>
        <w:ind w:left="3600" w:hanging="360"/>
      </w:pPr>
      <w:rPr>
        <w:rFonts w:ascii="Courier New" w:hAnsi="Courier New" w:hint="default"/>
      </w:rPr>
    </w:lvl>
    <w:lvl w:ilvl="5" w:tplc="679A0BF0">
      <w:start w:val="1"/>
      <w:numFmt w:val="bullet"/>
      <w:lvlText w:val=""/>
      <w:lvlJc w:val="left"/>
      <w:pPr>
        <w:ind w:left="4320" w:hanging="360"/>
      </w:pPr>
      <w:rPr>
        <w:rFonts w:ascii="Wingdings" w:hAnsi="Wingdings" w:hint="default"/>
      </w:rPr>
    </w:lvl>
    <w:lvl w:ilvl="6" w:tplc="31E451C0">
      <w:start w:val="1"/>
      <w:numFmt w:val="bullet"/>
      <w:lvlText w:val=""/>
      <w:lvlJc w:val="left"/>
      <w:pPr>
        <w:ind w:left="5040" w:hanging="360"/>
      </w:pPr>
      <w:rPr>
        <w:rFonts w:ascii="Symbol" w:hAnsi="Symbol" w:hint="default"/>
      </w:rPr>
    </w:lvl>
    <w:lvl w:ilvl="7" w:tplc="87069A02">
      <w:start w:val="1"/>
      <w:numFmt w:val="bullet"/>
      <w:lvlText w:val="o"/>
      <w:lvlJc w:val="left"/>
      <w:pPr>
        <w:ind w:left="5760" w:hanging="360"/>
      </w:pPr>
      <w:rPr>
        <w:rFonts w:ascii="Courier New" w:hAnsi="Courier New" w:hint="default"/>
      </w:rPr>
    </w:lvl>
    <w:lvl w:ilvl="8" w:tplc="CA361F06">
      <w:start w:val="1"/>
      <w:numFmt w:val="bullet"/>
      <w:lvlText w:val=""/>
      <w:lvlJc w:val="left"/>
      <w:pPr>
        <w:ind w:left="6480" w:hanging="360"/>
      </w:pPr>
      <w:rPr>
        <w:rFonts w:ascii="Wingdings" w:hAnsi="Wingdings" w:hint="default"/>
      </w:rPr>
    </w:lvl>
  </w:abstractNum>
  <w:abstractNum w:abstractNumId="2" w15:restartNumberingAfterBreak="0">
    <w:nsid w:val="0C331B88"/>
    <w:multiLevelType w:val="hybridMultilevel"/>
    <w:tmpl w:val="794CBBBC"/>
    <w:lvl w:ilvl="0" w:tplc="9552E7C2">
      <w:start w:val="1"/>
      <w:numFmt w:val="bullet"/>
      <w:lvlText w:val=""/>
      <w:lvlJc w:val="left"/>
      <w:pPr>
        <w:ind w:left="720" w:hanging="360"/>
      </w:pPr>
      <w:rPr>
        <w:rFonts w:ascii="Symbol" w:hAnsi="Symbol" w:hint="default"/>
      </w:rPr>
    </w:lvl>
    <w:lvl w:ilvl="1" w:tplc="AD947F36">
      <w:start w:val="1"/>
      <w:numFmt w:val="bullet"/>
      <w:lvlText w:val="o"/>
      <w:lvlJc w:val="left"/>
      <w:pPr>
        <w:ind w:left="1440" w:hanging="360"/>
      </w:pPr>
      <w:rPr>
        <w:rFonts w:ascii="Courier New" w:hAnsi="Courier New" w:hint="default"/>
      </w:rPr>
    </w:lvl>
    <w:lvl w:ilvl="2" w:tplc="C54C68B2">
      <w:start w:val="1"/>
      <w:numFmt w:val="bullet"/>
      <w:lvlText w:val=""/>
      <w:lvlJc w:val="left"/>
      <w:pPr>
        <w:ind w:left="2160" w:hanging="360"/>
      </w:pPr>
      <w:rPr>
        <w:rFonts w:ascii="Wingdings" w:hAnsi="Wingdings" w:hint="default"/>
      </w:rPr>
    </w:lvl>
    <w:lvl w:ilvl="3" w:tplc="CEAC5978">
      <w:start w:val="1"/>
      <w:numFmt w:val="bullet"/>
      <w:lvlText w:val=""/>
      <w:lvlJc w:val="left"/>
      <w:pPr>
        <w:ind w:left="2880" w:hanging="360"/>
      </w:pPr>
      <w:rPr>
        <w:rFonts w:ascii="Symbol" w:hAnsi="Symbol" w:hint="default"/>
      </w:rPr>
    </w:lvl>
    <w:lvl w:ilvl="4" w:tplc="AF48EAC2">
      <w:start w:val="1"/>
      <w:numFmt w:val="bullet"/>
      <w:lvlText w:val="o"/>
      <w:lvlJc w:val="left"/>
      <w:pPr>
        <w:ind w:left="3600" w:hanging="360"/>
      </w:pPr>
      <w:rPr>
        <w:rFonts w:ascii="Courier New" w:hAnsi="Courier New" w:hint="default"/>
      </w:rPr>
    </w:lvl>
    <w:lvl w:ilvl="5" w:tplc="BBA2D90A">
      <w:start w:val="1"/>
      <w:numFmt w:val="bullet"/>
      <w:lvlText w:val=""/>
      <w:lvlJc w:val="left"/>
      <w:pPr>
        <w:ind w:left="4320" w:hanging="360"/>
      </w:pPr>
      <w:rPr>
        <w:rFonts w:ascii="Wingdings" w:hAnsi="Wingdings" w:hint="default"/>
      </w:rPr>
    </w:lvl>
    <w:lvl w:ilvl="6" w:tplc="F6909118">
      <w:start w:val="1"/>
      <w:numFmt w:val="bullet"/>
      <w:lvlText w:val=""/>
      <w:lvlJc w:val="left"/>
      <w:pPr>
        <w:ind w:left="5040" w:hanging="360"/>
      </w:pPr>
      <w:rPr>
        <w:rFonts w:ascii="Symbol" w:hAnsi="Symbol" w:hint="default"/>
      </w:rPr>
    </w:lvl>
    <w:lvl w:ilvl="7" w:tplc="C45C9CA0">
      <w:start w:val="1"/>
      <w:numFmt w:val="bullet"/>
      <w:lvlText w:val="o"/>
      <w:lvlJc w:val="left"/>
      <w:pPr>
        <w:ind w:left="5760" w:hanging="360"/>
      </w:pPr>
      <w:rPr>
        <w:rFonts w:ascii="Courier New" w:hAnsi="Courier New" w:hint="default"/>
      </w:rPr>
    </w:lvl>
    <w:lvl w:ilvl="8" w:tplc="1FE4C2AA">
      <w:start w:val="1"/>
      <w:numFmt w:val="bullet"/>
      <w:lvlText w:val=""/>
      <w:lvlJc w:val="left"/>
      <w:pPr>
        <w:ind w:left="6480" w:hanging="360"/>
      </w:pPr>
      <w:rPr>
        <w:rFonts w:ascii="Wingdings" w:hAnsi="Wingdings" w:hint="default"/>
      </w:rPr>
    </w:lvl>
  </w:abstractNum>
  <w:abstractNum w:abstractNumId="3" w15:restartNumberingAfterBreak="0">
    <w:nsid w:val="0DF9920B"/>
    <w:multiLevelType w:val="hybridMultilevel"/>
    <w:tmpl w:val="0B1ECCB2"/>
    <w:lvl w:ilvl="0" w:tplc="85E87E82">
      <w:start w:val="1"/>
      <w:numFmt w:val="bullet"/>
      <w:lvlText w:val=""/>
      <w:lvlJc w:val="left"/>
      <w:pPr>
        <w:ind w:left="720" w:hanging="360"/>
      </w:pPr>
      <w:rPr>
        <w:rFonts w:ascii="Symbol" w:hAnsi="Symbol" w:hint="default"/>
      </w:rPr>
    </w:lvl>
    <w:lvl w:ilvl="1" w:tplc="A880C078">
      <w:start w:val="1"/>
      <w:numFmt w:val="bullet"/>
      <w:lvlText w:val="o"/>
      <w:lvlJc w:val="left"/>
      <w:pPr>
        <w:ind w:left="1440" w:hanging="360"/>
      </w:pPr>
      <w:rPr>
        <w:rFonts w:ascii="Courier New" w:hAnsi="Courier New" w:hint="default"/>
      </w:rPr>
    </w:lvl>
    <w:lvl w:ilvl="2" w:tplc="5FE8BC94">
      <w:start w:val="1"/>
      <w:numFmt w:val="bullet"/>
      <w:lvlText w:val=""/>
      <w:lvlJc w:val="left"/>
      <w:pPr>
        <w:ind w:left="2160" w:hanging="360"/>
      </w:pPr>
      <w:rPr>
        <w:rFonts w:ascii="Wingdings" w:hAnsi="Wingdings" w:hint="default"/>
      </w:rPr>
    </w:lvl>
    <w:lvl w:ilvl="3" w:tplc="1F206DAE">
      <w:start w:val="1"/>
      <w:numFmt w:val="bullet"/>
      <w:lvlText w:val=""/>
      <w:lvlJc w:val="left"/>
      <w:pPr>
        <w:ind w:left="2880" w:hanging="360"/>
      </w:pPr>
      <w:rPr>
        <w:rFonts w:ascii="Symbol" w:hAnsi="Symbol" w:hint="default"/>
      </w:rPr>
    </w:lvl>
    <w:lvl w:ilvl="4" w:tplc="4F087BE0">
      <w:start w:val="1"/>
      <w:numFmt w:val="bullet"/>
      <w:lvlText w:val="o"/>
      <w:lvlJc w:val="left"/>
      <w:pPr>
        <w:ind w:left="3600" w:hanging="360"/>
      </w:pPr>
      <w:rPr>
        <w:rFonts w:ascii="Courier New" w:hAnsi="Courier New" w:hint="default"/>
      </w:rPr>
    </w:lvl>
    <w:lvl w:ilvl="5" w:tplc="BA04A6FA">
      <w:start w:val="1"/>
      <w:numFmt w:val="bullet"/>
      <w:lvlText w:val=""/>
      <w:lvlJc w:val="left"/>
      <w:pPr>
        <w:ind w:left="4320" w:hanging="360"/>
      </w:pPr>
      <w:rPr>
        <w:rFonts w:ascii="Wingdings" w:hAnsi="Wingdings" w:hint="default"/>
      </w:rPr>
    </w:lvl>
    <w:lvl w:ilvl="6" w:tplc="438A8AA0">
      <w:start w:val="1"/>
      <w:numFmt w:val="bullet"/>
      <w:lvlText w:val=""/>
      <w:lvlJc w:val="left"/>
      <w:pPr>
        <w:ind w:left="5040" w:hanging="360"/>
      </w:pPr>
      <w:rPr>
        <w:rFonts w:ascii="Symbol" w:hAnsi="Symbol" w:hint="default"/>
      </w:rPr>
    </w:lvl>
    <w:lvl w:ilvl="7" w:tplc="7E5E6338">
      <w:start w:val="1"/>
      <w:numFmt w:val="bullet"/>
      <w:lvlText w:val="o"/>
      <w:lvlJc w:val="left"/>
      <w:pPr>
        <w:ind w:left="5760" w:hanging="360"/>
      </w:pPr>
      <w:rPr>
        <w:rFonts w:ascii="Courier New" w:hAnsi="Courier New" w:hint="default"/>
      </w:rPr>
    </w:lvl>
    <w:lvl w:ilvl="8" w:tplc="BB16CDF6">
      <w:start w:val="1"/>
      <w:numFmt w:val="bullet"/>
      <w:lvlText w:val=""/>
      <w:lvlJc w:val="left"/>
      <w:pPr>
        <w:ind w:left="6480" w:hanging="360"/>
      </w:pPr>
      <w:rPr>
        <w:rFonts w:ascii="Wingdings" w:hAnsi="Wingdings" w:hint="default"/>
      </w:rPr>
    </w:lvl>
  </w:abstractNum>
  <w:abstractNum w:abstractNumId="4" w15:restartNumberingAfterBreak="0">
    <w:nsid w:val="10091EC4"/>
    <w:multiLevelType w:val="hybridMultilevel"/>
    <w:tmpl w:val="4926AB32"/>
    <w:lvl w:ilvl="0" w:tplc="10D86D8A">
      <w:start w:val="1"/>
      <w:numFmt w:val="bullet"/>
      <w:lvlText w:val=""/>
      <w:lvlJc w:val="left"/>
      <w:pPr>
        <w:ind w:left="720" w:hanging="360"/>
      </w:pPr>
      <w:rPr>
        <w:rFonts w:ascii="Symbol" w:hAnsi="Symbol" w:hint="default"/>
      </w:rPr>
    </w:lvl>
    <w:lvl w:ilvl="1" w:tplc="C940425E">
      <w:start w:val="1"/>
      <w:numFmt w:val="bullet"/>
      <w:lvlText w:val="o"/>
      <w:lvlJc w:val="left"/>
      <w:pPr>
        <w:ind w:left="1440" w:hanging="360"/>
      </w:pPr>
      <w:rPr>
        <w:rFonts w:ascii="Courier New" w:hAnsi="Courier New" w:hint="default"/>
      </w:rPr>
    </w:lvl>
    <w:lvl w:ilvl="2" w:tplc="825C6E70">
      <w:start w:val="1"/>
      <w:numFmt w:val="bullet"/>
      <w:lvlText w:val=""/>
      <w:lvlJc w:val="left"/>
      <w:pPr>
        <w:ind w:left="2160" w:hanging="360"/>
      </w:pPr>
      <w:rPr>
        <w:rFonts w:ascii="Wingdings" w:hAnsi="Wingdings" w:hint="default"/>
      </w:rPr>
    </w:lvl>
    <w:lvl w:ilvl="3" w:tplc="40B281D0">
      <w:start w:val="1"/>
      <w:numFmt w:val="bullet"/>
      <w:lvlText w:val=""/>
      <w:lvlJc w:val="left"/>
      <w:pPr>
        <w:ind w:left="2880" w:hanging="360"/>
      </w:pPr>
      <w:rPr>
        <w:rFonts w:ascii="Symbol" w:hAnsi="Symbol" w:hint="default"/>
      </w:rPr>
    </w:lvl>
    <w:lvl w:ilvl="4" w:tplc="7E46C428">
      <w:start w:val="1"/>
      <w:numFmt w:val="bullet"/>
      <w:lvlText w:val="o"/>
      <w:lvlJc w:val="left"/>
      <w:pPr>
        <w:ind w:left="3600" w:hanging="360"/>
      </w:pPr>
      <w:rPr>
        <w:rFonts w:ascii="Courier New" w:hAnsi="Courier New" w:hint="default"/>
      </w:rPr>
    </w:lvl>
    <w:lvl w:ilvl="5" w:tplc="EF461682">
      <w:start w:val="1"/>
      <w:numFmt w:val="bullet"/>
      <w:lvlText w:val=""/>
      <w:lvlJc w:val="left"/>
      <w:pPr>
        <w:ind w:left="4320" w:hanging="360"/>
      </w:pPr>
      <w:rPr>
        <w:rFonts w:ascii="Wingdings" w:hAnsi="Wingdings" w:hint="default"/>
      </w:rPr>
    </w:lvl>
    <w:lvl w:ilvl="6" w:tplc="BE569E84">
      <w:start w:val="1"/>
      <w:numFmt w:val="bullet"/>
      <w:lvlText w:val=""/>
      <w:lvlJc w:val="left"/>
      <w:pPr>
        <w:ind w:left="5040" w:hanging="360"/>
      </w:pPr>
      <w:rPr>
        <w:rFonts w:ascii="Symbol" w:hAnsi="Symbol" w:hint="default"/>
      </w:rPr>
    </w:lvl>
    <w:lvl w:ilvl="7" w:tplc="CCC41B36">
      <w:start w:val="1"/>
      <w:numFmt w:val="bullet"/>
      <w:lvlText w:val="o"/>
      <w:lvlJc w:val="left"/>
      <w:pPr>
        <w:ind w:left="5760" w:hanging="360"/>
      </w:pPr>
      <w:rPr>
        <w:rFonts w:ascii="Courier New" w:hAnsi="Courier New" w:hint="default"/>
      </w:rPr>
    </w:lvl>
    <w:lvl w:ilvl="8" w:tplc="5396F720">
      <w:start w:val="1"/>
      <w:numFmt w:val="bullet"/>
      <w:lvlText w:val=""/>
      <w:lvlJc w:val="left"/>
      <w:pPr>
        <w:ind w:left="6480" w:hanging="360"/>
      </w:pPr>
      <w:rPr>
        <w:rFonts w:ascii="Wingdings" w:hAnsi="Wingdings" w:hint="default"/>
      </w:rPr>
    </w:lvl>
  </w:abstractNum>
  <w:abstractNum w:abstractNumId="5" w15:restartNumberingAfterBreak="0">
    <w:nsid w:val="1475ED17"/>
    <w:multiLevelType w:val="hybridMultilevel"/>
    <w:tmpl w:val="E8742944"/>
    <w:lvl w:ilvl="0" w:tplc="866439F4">
      <w:start w:val="1"/>
      <w:numFmt w:val="bullet"/>
      <w:lvlText w:val=""/>
      <w:lvlJc w:val="left"/>
      <w:pPr>
        <w:ind w:left="720" w:hanging="360"/>
      </w:pPr>
      <w:rPr>
        <w:rFonts w:ascii="Symbol" w:hAnsi="Symbol" w:hint="default"/>
      </w:rPr>
    </w:lvl>
    <w:lvl w:ilvl="1" w:tplc="AA8A067E">
      <w:start w:val="1"/>
      <w:numFmt w:val="bullet"/>
      <w:lvlText w:val="o"/>
      <w:lvlJc w:val="left"/>
      <w:pPr>
        <w:ind w:left="1440" w:hanging="360"/>
      </w:pPr>
      <w:rPr>
        <w:rFonts w:ascii="Courier New" w:hAnsi="Courier New" w:hint="default"/>
      </w:rPr>
    </w:lvl>
    <w:lvl w:ilvl="2" w:tplc="7E4CAAE8">
      <w:start w:val="1"/>
      <w:numFmt w:val="bullet"/>
      <w:lvlText w:val=""/>
      <w:lvlJc w:val="left"/>
      <w:pPr>
        <w:ind w:left="2160" w:hanging="360"/>
      </w:pPr>
      <w:rPr>
        <w:rFonts w:ascii="Wingdings" w:hAnsi="Wingdings" w:hint="default"/>
      </w:rPr>
    </w:lvl>
    <w:lvl w:ilvl="3" w:tplc="31FE4B28">
      <w:start w:val="1"/>
      <w:numFmt w:val="bullet"/>
      <w:lvlText w:val=""/>
      <w:lvlJc w:val="left"/>
      <w:pPr>
        <w:ind w:left="2880" w:hanging="360"/>
      </w:pPr>
      <w:rPr>
        <w:rFonts w:ascii="Symbol" w:hAnsi="Symbol" w:hint="default"/>
      </w:rPr>
    </w:lvl>
    <w:lvl w:ilvl="4" w:tplc="8E72139E">
      <w:start w:val="1"/>
      <w:numFmt w:val="bullet"/>
      <w:lvlText w:val="o"/>
      <w:lvlJc w:val="left"/>
      <w:pPr>
        <w:ind w:left="3600" w:hanging="360"/>
      </w:pPr>
      <w:rPr>
        <w:rFonts w:ascii="Courier New" w:hAnsi="Courier New" w:hint="default"/>
      </w:rPr>
    </w:lvl>
    <w:lvl w:ilvl="5" w:tplc="03A40888">
      <w:start w:val="1"/>
      <w:numFmt w:val="bullet"/>
      <w:lvlText w:val=""/>
      <w:lvlJc w:val="left"/>
      <w:pPr>
        <w:ind w:left="4320" w:hanging="360"/>
      </w:pPr>
      <w:rPr>
        <w:rFonts w:ascii="Wingdings" w:hAnsi="Wingdings" w:hint="default"/>
      </w:rPr>
    </w:lvl>
    <w:lvl w:ilvl="6" w:tplc="9F145FF8">
      <w:start w:val="1"/>
      <w:numFmt w:val="bullet"/>
      <w:lvlText w:val=""/>
      <w:lvlJc w:val="left"/>
      <w:pPr>
        <w:ind w:left="5040" w:hanging="360"/>
      </w:pPr>
      <w:rPr>
        <w:rFonts w:ascii="Symbol" w:hAnsi="Symbol" w:hint="default"/>
      </w:rPr>
    </w:lvl>
    <w:lvl w:ilvl="7" w:tplc="2FEA7970">
      <w:start w:val="1"/>
      <w:numFmt w:val="bullet"/>
      <w:lvlText w:val="o"/>
      <w:lvlJc w:val="left"/>
      <w:pPr>
        <w:ind w:left="5760" w:hanging="360"/>
      </w:pPr>
      <w:rPr>
        <w:rFonts w:ascii="Courier New" w:hAnsi="Courier New" w:hint="default"/>
      </w:rPr>
    </w:lvl>
    <w:lvl w:ilvl="8" w:tplc="246E0B4A">
      <w:start w:val="1"/>
      <w:numFmt w:val="bullet"/>
      <w:lvlText w:val=""/>
      <w:lvlJc w:val="left"/>
      <w:pPr>
        <w:ind w:left="6480" w:hanging="360"/>
      </w:pPr>
      <w:rPr>
        <w:rFonts w:ascii="Wingdings" w:hAnsi="Wingdings" w:hint="default"/>
      </w:rPr>
    </w:lvl>
  </w:abstractNum>
  <w:abstractNum w:abstractNumId="6" w15:restartNumberingAfterBreak="0">
    <w:nsid w:val="1C08CBE3"/>
    <w:multiLevelType w:val="hybridMultilevel"/>
    <w:tmpl w:val="A3EE6A7C"/>
    <w:lvl w:ilvl="0" w:tplc="9F0E599C">
      <w:start w:val="1"/>
      <w:numFmt w:val="bullet"/>
      <w:lvlText w:val=""/>
      <w:lvlJc w:val="left"/>
      <w:pPr>
        <w:ind w:left="720" w:hanging="360"/>
      </w:pPr>
      <w:rPr>
        <w:rFonts w:ascii="Symbol" w:hAnsi="Symbol" w:hint="default"/>
      </w:rPr>
    </w:lvl>
    <w:lvl w:ilvl="1" w:tplc="1F44F8D6">
      <w:start w:val="1"/>
      <w:numFmt w:val="bullet"/>
      <w:lvlText w:val="o"/>
      <w:lvlJc w:val="left"/>
      <w:pPr>
        <w:ind w:left="1440" w:hanging="360"/>
      </w:pPr>
      <w:rPr>
        <w:rFonts w:ascii="Courier New" w:hAnsi="Courier New" w:hint="default"/>
      </w:rPr>
    </w:lvl>
    <w:lvl w:ilvl="2" w:tplc="D6BC7836">
      <w:start w:val="1"/>
      <w:numFmt w:val="bullet"/>
      <w:lvlText w:val=""/>
      <w:lvlJc w:val="left"/>
      <w:pPr>
        <w:ind w:left="2160" w:hanging="360"/>
      </w:pPr>
      <w:rPr>
        <w:rFonts w:ascii="Wingdings" w:hAnsi="Wingdings" w:hint="default"/>
      </w:rPr>
    </w:lvl>
    <w:lvl w:ilvl="3" w:tplc="2DE890E4">
      <w:start w:val="1"/>
      <w:numFmt w:val="bullet"/>
      <w:lvlText w:val=""/>
      <w:lvlJc w:val="left"/>
      <w:pPr>
        <w:ind w:left="2880" w:hanging="360"/>
      </w:pPr>
      <w:rPr>
        <w:rFonts w:ascii="Symbol" w:hAnsi="Symbol" w:hint="default"/>
      </w:rPr>
    </w:lvl>
    <w:lvl w:ilvl="4" w:tplc="267EFF58">
      <w:start w:val="1"/>
      <w:numFmt w:val="bullet"/>
      <w:lvlText w:val="o"/>
      <w:lvlJc w:val="left"/>
      <w:pPr>
        <w:ind w:left="3600" w:hanging="360"/>
      </w:pPr>
      <w:rPr>
        <w:rFonts w:ascii="Courier New" w:hAnsi="Courier New" w:hint="default"/>
      </w:rPr>
    </w:lvl>
    <w:lvl w:ilvl="5" w:tplc="7D164208">
      <w:start w:val="1"/>
      <w:numFmt w:val="bullet"/>
      <w:lvlText w:val=""/>
      <w:lvlJc w:val="left"/>
      <w:pPr>
        <w:ind w:left="4320" w:hanging="360"/>
      </w:pPr>
      <w:rPr>
        <w:rFonts w:ascii="Wingdings" w:hAnsi="Wingdings" w:hint="default"/>
      </w:rPr>
    </w:lvl>
    <w:lvl w:ilvl="6" w:tplc="931ADB26">
      <w:start w:val="1"/>
      <w:numFmt w:val="bullet"/>
      <w:lvlText w:val=""/>
      <w:lvlJc w:val="left"/>
      <w:pPr>
        <w:ind w:left="5040" w:hanging="360"/>
      </w:pPr>
      <w:rPr>
        <w:rFonts w:ascii="Symbol" w:hAnsi="Symbol" w:hint="default"/>
      </w:rPr>
    </w:lvl>
    <w:lvl w:ilvl="7" w:tplc="EB5016FC">
      <w:start w:val="1"/>
      <w:numFmt w:val="bullet"/>
      <w:lvlText w:val="o"/>
      <w:lvlJc w:val="left"/>
      <w:pPr>
        <w:ind w:left="5760" w:hanging="360"/>
      </w:pPr>
      <w:rPr>
        <w:rFonts w:ascii="Courier New" w:hAnsi="Courier New" w:hint="default"/>
      </w:rPr>
    </w:lvl>
    <w:lvl w:ilvl="8" w:tplc="04ACA446">
      <w:start w:val="1"/>
      <w:numFmt w:val="bullet"/>
      <w:lvlText w:val=""/>
      <w:lvlJc w:val="left"/>
      <w:pPr>
        <w:ind w:left="6480" w:hanging="360"/>
      </w:pPr>
      <w:rPr>
        <w:rFonts w:ascii="Wingdings" w:hAnsi="Wingdings" w:hint="default"/>
      </w:rPr>
    </w:lvl>
  </w:abstractNum>
  <w:abstractNum w:abstractNumId="7" w15:restartNumberingAfterBreak="0">
    <w:nsid w:val="1C0CFADE"/>
    <w:multiLevelType w:val="hybridMultilevel"/>
    <w:tmpl w:val="086A3100"/>
    <w:lvl w:ilvl="0" w:tplc="5A12F7F4">
      <w:start w:val="1"/>
      <w:numFmt w:val="bullet"/>
      <w:lvlText w:val=""/>
      <w:lvlJc w:val="left"/>
      <w:pPr>
        <w:ind w:left="720" w:hanging="360"/>
      </w:pPr>
      <w:rPr>
        <w:rFonts w:ascii="Symbol" w:hAnsi="Symbol" w:hint="default"/>
      </w:rPr>
    </w:lvl>
    <w:lvl w:ilvl="1" w:tplc="E064F7BC">
      <w:start w:val="1"/>
      <w:numFmt w:val="bullet"/>
      <w:lvlText w:val="o"/>
      <w:lvlJc w:val="left"/>
      <w:pPr>
        <w:ind w:left="1440" w:hanging="360"/>
      </w:pPr>
      <w:rPr>
        <w:rFonts w:ascii="Courier New" w:hAnsi="Courier New" w:hint="default"/>
      </w:rPr>
    </w:lvl>
    <w:lvl w:ilvl="2" w:tplc="75B0821C">
      <w:start w:val="1"/>
      <w:numFmt w:val="bullet"/>
      <w:lvlText w:val=""/>
      <w:lvlJc w:val="left"/>
      <w:pPr>
        <w:ind w:left="2160" w:hanging="360"/>
      </w:pPr>
      <w:rPr>
        <w:rFonts w:ascii="Wingdings" w:hAnsi="Wingdings" w:hint="default"/>
      </w:rPr>
    </w:lvl>
    <w:lvl w:ilvl="3" w:tplc="ED8E28B6">
      <w:start w:val="1"/>
      <w:numFmt w:val="bullet"/>
      <w:lvlText w:val=""/>
      <w:lvlJc w:val="left"/>
      <w:pPr>
        <w:ind w:left="2880" w:hanging="360"/>
      </w:pPr>
      <w:rPr>
        <w:rFonts w:ascii="Symbol" w:hAnsi="Symbol" w:hint="default"/>
      </w:rPr>
    </w:lvl>
    <w:lvl w:ilvl="4" w:tplc="51DCD77A">
      <w:start w:val="1"/>
      <w:numFmt w:val="bullet"/>
      <w:lvlText w:val="o"/>
      <w:lvlJc w:val="left"/>
      <w:pPr>
        <w:ind w:left="3600" w:hanging="360"/>
      </w:pPr>
      <w:rPr>
        <w:rFonts w:ascii="Courier New" w:hAnsi="Courier New" w:hint="default"/>
      </w:rPr>
    </w:lvl>
    <w:lvl w:ilvl="5" w:tplc="FE06C018">
      <w:start w:val="1"/>
      <w:numFmt w:val="bullet"/>
      <w:lvlText w:val=""/>
      <w:lvlJc w:val="left"/>
      <w:pPr>
        <w:ind w:left="4320" w:hanging="360"/>
      </w:pPr>
      <w:rPr>
        <w:rFonts w:ascii="Wingdings" w:hAnsi="Wingdings" w:hint="default"/>
      </w:rPr>
    </w:lvl>
    <w:lvl w:ilvl="6" w:tplc="0A6AD400">
      <w:start w:val="1"/>
      <w:numFmt w:val="bullet"/>
      <w:lvlText w:val=""/>
      <w:lvlJc w:val="left"/>
      <w:pPr>
        <w:ind w:left="5040" w:hanging="360"/>
      </w:pPr>
      <w:rPr>
        <w:rFonts w:ascii="Symbol" w:hAnsi="Symbol" w:hint="default"/>
      </w:rPr>
    </w:lvl>
    <w:lvl w:ilvl="7" w:tplc="B0AE796A">
      <w:start w:val="1"/>
      <w:numFmt w:val="bullet"/>
      <w:lvlText w:val="o"/>
      <w:lvlJc w:val="left"/>
      <w:pPr>
        <w:ind w:left="5760" w:hanging="360"/>
      </w:pPr>
      <w:rPr>
        <w:rFonts w:ascii="Courier New" w:hAnsi="Courier New" w:hint="default"/>
      </w:rPr>
    </w:lvl>
    <w:lvl w:ilvl="8" w:tplc="3508FB46">
      <w:start w:val="1"/>
      <w:numFmt w:val="bullet"/>
      <w:lvlText w:val=""/>
      <w:lvlJc w:val="left"/>
      <w:pPr>
        <w:ind w:left="6480" w:hanging="360"/>
      </w:pPr>
      <w:rPr>
        <w:rFonts w:ascii="Wingdings" w:hAnsi="Wingdings" w:hint="default"/>
      </w:rPr>
    </w:lvl>
  </w:abstractNum>
  <w:abstractNum w:abstractNumId="8" w15:restartNumberingAfterBreak="0">
    <w:nsid w:val="1EAC5A30"/>
    <w:multiLevelType w:val="hybridMultilevel"/>
    <w:tmpl w:val="98B26F94"/>
    <w:lvl w:ilvl="0" w:tplc="12406302">
      <w:start w:val="1"/>
      <w:numFmt w:val="bullet"/>
      <w:lvlText w:val=""/>
      <w:lvlJc w:val="left"/>
      <w:pPr>
        <w:ind w:left="720" w:hanging="360"/>
      </w:pPr>
      <w:rPr>
        <w:rFonts w:ascii="Symbol" w:hAnsi="Symbol" w:hint="default"/>
      </w:rPr>
    </w:lvl>
    <w:lvl w:ilvl="1" w:tplc="C72ED41A">
      <w:start w:val="1"/>
      <w:numFmt w:val="bullet"/>
      <w:lvlText w:val="o"/>
      <w:lvlJc w:val="left"/>
      <w:pPr>
        <w:ind w:left="1440" w:hanging="360"/>
      </w:pPr>
      <w:rPr>
        <w:rFonts w:ascii="Courier New" w:hAnsi="Courier New" w:hint="default"/>
      </w:rPr>
    </w:lvl>
    <w:lvl w:ilvl="2" w:tplc="8D08DD62">
      <w:start w:val="1"/>
      <w:numFmt w:val="bullet"/>
      <w:lvlText w:val=""/>
      <w:lvlJc w:val="left"/>
      <w:pPr>
        <w:ind w:left="2160" w:hanging="360"/>
      </w:pPr>
      <w:rPr>
        <w:rFonts w:ascii="Wingdings" w:hAnsi="Wingdings" w:hint="default"/>
      </w:rPr>
    </w:lvl>
    <w:lvl w:ilvl="3" w:tplc="92B82362">
      <w:start w:val="1"/>
      <w:numFmt w:val="bullet"/>
      <w:lvlText w:val=""/>
      <w:lvlJc w:val="left"/>
      <w:pPr>
        <w:ind w:left="2880" w:hanging="360"/>
      </w:pPr>
      <w:rPr>
        <w:rFonts w:ascii="Symbol" w:hAnsi="Symbol" w:hint="default"/>
      </w:rPr>
    </w:lvl>
    <w:lvl w:ilvl="4" w:tplc="C20243DA">
      <w:start w:val="1"/>
      <w:numFmt w:val="bullet"/>
      <w:lvlText w:val="o"/>
      <w:lvlJc w:val="left"/>
      <w:pPr>
        <w:ind w:left="3600" w:hanging="360"/>
      </w:pPr>
      <w:rPr>
        <w:rFonts w:ascii="Courier New" w:hAnsi="Courier New" w:hint="default"/>
      </w:rPr>
    </w:lvl>
    <w:lvl w:ilvl="5" w:tplc="85F8DE9E">
      <w:start w:val="1"/>
      <w:numFmt w:val="bullet"/>
      <w:lvlText w:val=""/>
      <w:lvlJc w:val="left"/>
      <w:pPr>
        <w:ind w:left="4320" w:hanging="360"/>
      </w:pPr>
      <w:rPr>
        <w:rFonts w:ascii="Wingdings" w:hAnsi="Wingdings" w:hint="default"/>
      </w:rPr>
    </w:lvl>
    <w:lvl w:ilvl="6" w:tplc="DF764746">
      <w:start w:val="1"/>
      <w:numFmt w:val="bullet"/>
      <w:lvlText w:val=""/>
      <w:lvlJc w:val="left"/>
      <w:pPr>
        <w:ind w:left="5040" w:hanging="360"/>
      </w:pPr>
      <w:rPr>
        <w:rFonts w:ascii="Symbol" w:hAnsi="Symbol" w:hint="default"/>
      </w:rPr>
    </w:lvl>
    <w:lvl w:ilvl="7" w:tplc="A2643D7E">
      <w:start w:val="1"/>
      <w:numFmt w:val="bullet"/>
      <w:lvlText w:val="o"/>
      <w:lvlJc w:val="left"/>
      <w:pPr>
        <w:ind w:left="5760" w:hanging="360"/>
      </w:pPr>
      <w:rPr>
        <w:rFonts w:ascii="Courier New" w:hAnsi="Courier New" w:hint="default"/>
      </w:rPr>
    </w:lvl>
    <w:lvl w:ilvl="8" w:tplc="89088378">
      <w:start w:val="1"/>
      <w:numFmt w:val="bullet"/>
      <w:lvlText w:val=""/>
      <w:lvlJc w:val="left"/>
      <w:pPr>
        <w:ind w:left="6480" w:hanging="360"/>
      </w:pPr>
      <w:rPr>
        <w:rFonts w:ascii="Wingdings" w:hAnsi="Wingdings" w:hint="default"/>
      </w:rPr>
    </w:lvl>
  </w:abstractNum>
  <w:abstractNum w:abstractNumId="9" w15:restartNumberingAfterBreak="0">
    <w:nsid w:val="349F3398"/>
    <w:multiLevelType w:val="hybridMultilevel"/>
    <w:tmpl w:val="4EE2C33A"/>
    <w:lvl w:ilvl="0" w:tplc="35A2E126">
      <w:start w:val="1"/>
      <w:numFmt w:val="bullet"/>
      <w:lvlText w:val=""/>
      <w:lvlJc w:val="left"/>
      <w:pPr>
        <w:ind w:left="720" w:hanging="360"/>
      </w:pPr>
      <w:rPr>
        <w:rFonts w:ascii="Symbol" w:hAnsi="Symbol" w:hint="default"/>
      </w:rPr>
    </w:lvl>
    <w:lvl w:ilvl="1" w:tplc="181C3FE8">
      <w:start w:val="1"/>
      <w:numFmt w:val="bullet"/>
      <w:lvlText w:val="o"/>
      <w:lvlJc w:val="left"/>
      <w:pPr>
        <w:ind w:left="1440" w:hanging="360"/>
      </w:pPr>
      <w:rPr>
        <w:rFonts w:ascii="Courier New" w:hAnsi="Courier New" w:hint="default"/>
      </w:rPr>
    </w:lvl>
    <w:lvl w:ilvl="2" w:tplc="2A0A4AD8">
      <w:start w:val="1"/>
      <w:numFmt w:val="bullet"/>
      <w:lvlText w:val=""/>
      <w:lvlJc w:val="left"/>
      <w:pPr>
        <w:ind w:left="2160" w:hanging="360"/>
      </w:pPr>
      <w:rPr>
        <w:rFonts w:ascii="Wingdings" w:hAnsi="Wingdings" w:hint="default"/>
      </w:rPr>
    </w:lvl>
    <w:lvl w:ilvl="3" w:tplc="A89A9330">
      <w:start w:val="1"/>
      <w:numFmt w:val="bullet"/>
      <w:lvlText w:val=""/>
      <w:lvlJc w:val="left"/>
      <w:pPr>
        <w:ind w:left="2880" w:hanging="360"/>
      </w:pPr>
      <w:rPr>
        <w:rFonts w:ascii="Symbol" w:hAnsi="Symbol" w:hint="default"/>
      </w:rPr>
    </w:lvl>
    <w:lvl w:ilvl="4" w:tplc="1B225A20">
      <w:start w:val="1"/>
      <w:numFmt w:val="bullet"/>
      <w:lvlText w:val="o"/>
      <w:lvlJc w:val="left"/>
      <w:pPr>
        <w:ind w:left="3600" w:hanging="360"/>
      </w:pPr>
      <w:rPr>
        <w:rFonts w:ascii="Courier New" w:hAnsi="Courier New" w:hint="default"/>
      </w:rPr>
    </w:lvl>
    <w:lvl w:ilvl="5" w:tplc="D7628580">
      <w:start w:val="1"/>
      <w:numFmt w:val="bullet"/>
      <w:lvlText w:val=""/>
      <w:lvlJc w:val="left"/>
      <w:pPr>
        <w:ind w:left="4320" w:hanging="360"/>
      </w:pPr>
      <w:rPr>
        <w:rFonts w:ascii="Wingdings" w:hAnsi="Wingdings" w:hint="default"/>
      </w:rPr>
    </w:lvl>
    <w:lvl w:ilvl="6" w:tplc="F392D142">
      <w:start w:val="1"/>
      <w:numFmt w:val="bullet"/>
      <w:lvlText w:val=""/>
      <w:lvlJc w:val="left"/>
      <w:pPr>
        <w:ind w:left="5040" w:hanging="360"/>
      </w:pPr>
      <w:rPr>
        <w:rFonts w:ascii="Symbol" w:hAnsi="Symbol" w:hint="default"/>
      </w:rPr>
    </w:lvl>
    <w:lvl w:ilvl="7" w:tplc="87D456B6">
      <w:start w:val="1"/>
      <w:numFmt w:val="bullet"/>
      <w:lvlText w:val="o"/>
      <w:lvlJc w:val="left"/>
      <w:pPr>
        <w:ind w:left="5760" w:hanging="360"/>
      </w:pPr>
      <w:rPr>
        <w:rFonts w:ascii="Courier New" w:hAnsi="Courier New" w:hint="default"/>
      </w:rPr>
    </w:lvl>
    <w:lvl w:ilvl="8" w:tplc="D8ACCF7E">
      <w:start w:val="1"/>
      <w:numFmt w:val="bullet"/>
      <w:lvlText w:val=""/>
      <w:lvlJc w:val="left"/>
      <w:pPr>
        <w:ind w:left="6480" w:hanging="360"/>
      </w:pPr>
      <w:rPr>
        <w:rFonts w:ascii="Wingdings" w:hAnsi="Wingdings" w:hint="default"/>
      </w:rPr>
    </w:lvl>
  </w:abstractNum>
  <w:abstractNum w:abstractNumId="10" w15:restartNumberingAfterBreak="0">
    <w:nsid w:val="3D710326"/>
    <w:multiLevelType w:val="hybridMultilevel"/>
    <w:tmpl w:val="A73E7A66"/>
    <w:lvl w:ilvl="0" w:tplc="16D8BF66">
      <w:start w:val="1"/>
      <w:numFmt w:val="bullet"/>
      <w:lvlText w:val=""/>
      <w:lvlJc w:val="left"/>
      <w:pPr>
        <w:ind w:left="720" w:hanging="360"/>
      </w:pPr>
      <w:rPr>
        <w:rFonts w:ascii="Symbol" w:hAnsi="Symbol" w:hint="default"/>
      </w:rPr>
    </w:lvl>
    <w:lvl w:ilvl="1" w:tplc="36A23D94">
      <w:start w:val="1"/>
      <w:numFmt w:val="bullet"/>
      <w:lvlText w:val="o"/>
      <w:lvlJc w:val="left"/>
      <w:pPr>
        <w:ind w:left="1440" w:hanging="360"/>
      </w:pPr>
      <w:rPr>
        <w:rFonts w:ascii="Courier New" w:hAnsi="Courier New" w:hint="default"/>
      </w:rPr>
    </w:lvl>
    <w:lvl w:ilvl="2" w:tplc="C80E3DC6">
      <w:start w:val="1"/>
      <w:numFmt w:val="bullet"/>
      <w:lvlText w:val=""/>
      <w:lvlJc w:val="left"/>
      <w:pPr>
        <w:ind w:left="2160" w:hanging="360"/>
      </w:pPr>
      <w:rPr>
        <w:rFonts w:ascii="Wingdings" w:hAnsi="Wingdings" w:hint="default"/>
      </w:rPr>
    </w:lvl>
    <w:lvl w:ilvl="3" w:tplc="454AA5AE">
      <w:start w:val="1"/>
      <w:numFmt w:val="bullet"/>
      <w:lvlText w:val=""/>
      <w:lvlJc w:val="left"/>
      <w:pPr>
        <w:ind w:left="2880" w:hanging="360"/>
      </w:pPr>
      <w:rPr>
        <w:rFonts w:ascii="Symbol" w:hAnsi="Symbol" w:hint="default"/>
      </w:rPr>
    </w:lvl>
    <w:lvl w:ilvl="4" w:tplc="7DA836AE">
      <w:start w:val="1"/>
      <w:numFmt w:val="bullet"/>
      <w:lvlText w:val="o"/>
      <w:lvlJc w:val="left"/>
      <w:pPr>
        <w:ind w:left="3600" w:hanging="360"/>
      </w:pPr>
      <w:rPr>
        <w:rFonts w:ascii="Courier New" w:hAnsi="Courier New" w:hint="default"/>
      </w:rPr>
    </w:lvl>
    <w:lvl w:ilvl="5" w:tplc="0E8C4F1A">
      <w:start w:val="1"/>
      <w:numFmt w:val="bullet"/>
      <w:lvlText w:val=""/>
      <w:lvlJc w:val="left"/>
      <w:pPr>
        <w:ind w:left="4320" w:hanging="360"/>
      </w:pPr>
      <w:rPr>
        <w:rFonts w:ascii="Wingdings" w:hAnsi="Wingdings" w:hint="default"/>
      </w:rPr>
    </w:lvl>
    <w:lvl w:ilvl="6" w:tplc="FD0C5176">
      <w:start w:val="1"/>
      <w:numFmt w:val="bullet"/>
      <w:lvlText w:val=""/>
      <w:lvlJc w:val="left"/>
      <w:pPr>
        <w:ind w:left="5040" w:hanging="360"/>
      </w:pPr>
      <w:rPr>
        <w:rFonts w:ascii="Symbol" w:hAnsi="Symbol" w:hint="default"/>
      </w:rPr>
    </w:lvl>
    <w:lvl w:ilvl="7" w:tplc="A3FC8AA8">
      <w:start w:val="1"/>
      <w:numFmt w:val="bullet"/>
      <w:lvlText w:val="o"/>
      <w:lvlJc w:val="left"/>
      <w:pPr>
        <w:ind w:left="5760" w:hanging="360"/>
      </w:pPr>
      <w:rPr>
        <w:rFonts w:ascii="Courier New" w:hAnsi="Courier New" w:hint="default"/>
      </w:rPr>
    </w:lvl>
    <w:lvl w:ilvl="8" w:tplc="B254EBEA">
      <w:start w:val="1"/>
      <w:numFmt w:val="bullet"/>
      <w:lvlText w:val=""/>
      <w:lvlJc w:val="left"/>
      <w:pPr>
        <w:ind w:left="6480" w:hanging="360"/>
      </w:pPr>
      <w:rPr>
        <w:rFonts w:ascii="Wingdings" w:hAnsi="Wingdings" w:hint="default"/>
      </w:rPr>
    </w:lvl>
  </w:abstractNum>
  <w:abstractNum w:abstractNumId="11" w15:restartNumberingAfterBreak="0">
    <w:nsid w:val="4375A22A"/>
    <w:multiLevelType w:val="hybridMultilevel"/>
    <w:tmpl w:val="87EE33B6"/>
    <w:lvl w:ilvl="0" w:tplc="2F5AF9D4">
      <w:start w:val="1"/>
      <w:numFmt w:val="bullet"/>
      <w:lvlText w:val=""/>
      <w:lvlJc w:val="left"/>
      <w:pPr>
        <w:ind w:left="720" w:hanging="360"/>
      </w:pPr>
      <w:rPr>
        <w:rFonts w:ascii="Symbol" w:hAnsi="Symbol" w:hint="default"/>
      </w:rPr>
    </w:lvl>
    <w:lvl w:ilvl="1" w:tplc="C04477D0">
      <w:start w:val="1"/>
      <w:numFmt w:val="bullet"/>
      <w:lvlText w:val="o"/>
      <w:lvlJc w:val="left"/>
      <w:pPr>
        <w:ind w:left="1440" w:hanging="360"/>
      </w:pPr>
      <w:rPr>
        <w:rFonts w:ascii="Courier New" w:hAnsi="Courier New" w:hint="default"/>
      </w:rPr>
    </w:lvl>
    <w:lvl w:ilvl="2" w:tplc="00C4BCDA">
      <w:start w:val="1"/>
      <w:numFmt w:val="bullet"/>
      <w:lvlText w:val=""/>
      <w:lvlJc w:val="left"/>
      <w:pPr>
        <w:ind w:left="2160" w:hanging="360"/>
      </w:pPr>
      <w:rPr>
        <w:rFonts w:ascii="Wingdings" w:hAnsi="Wingdings" w:hint="default"/>
      </w:rPr>
    </w:lvl>
    <w:lvl w:ilvl="3" w:tplc="87100EE0">
      <w:start w:val="1"/>
      <w:numFmt w:val="bullet"/>
      <w:lvlText w:val=""/>
      <w:lvlJc w:val="left"/>
      <w:pPr>
        <w:ind w:left="2880" w:hanging="360"/>
      </w:pPr>
      <w:rPr>
        <w:rFonts w:ascii="Symbol" w:hAnsi="Symbol" w:hint="default"/>
      </w:rPr>
    </w:lvl>
    <w:lvl w:ilvl="4" w:tplc="2BAA77D8">
      <w:start w:val="1"/>
      <w:numFmt w:val="bullet"/>
      <w:lvlText w:val="o"/>
      <w:lvlJc w:val="left"/>
      <w:pPr>
        <w:ind w:left="3600" w:hanging="360"/>
      </w:pPr>
      <w:rPr>
        <w:rFonts w:ascii="Courier New" w:hAnsi="Courier New" w:hint="default"/>
      </w:rPr>
    </w:lvl>
    <w:lvl w:ilvl="5" w:tplc="207C8F4A">
      <w:start w:val="1"/>
      <w:numFmt w:val="bullet"/>
      <w:lvlText w:val=""/>
      <w:lvlJc w:val="left"/>
      <w:pPr>
        <w:ind w:left="4320" w:hanging="360"/>
      </w:pPr>
      <w:rPr>
        <w:rFonts w:ascii="Wingdings" w:hAnsi="Wingdings" w:hint="default"/>
      </w:rPr>
    </w:lvl>
    <w:lvl w:ilvl="6" w:tplc="B6382B6C">
      <w:start w:val="1"/>
      <w:numFmt w:val="bullet"/>
      <w:lvlText w:val=""/>
      <w:lvlJc w:val="left"/>
      <w:pPr>
        <w:ind w:left="5040" w:hanging="360"/>
      </w:pPr>
      <w:rPr>
        <w:rFonts w:ascii="Symbol" w:hAnsi="Symbol" w:hint="default"/>
      </w:rPr>
    </w:lvl>
    <w:lvl w:ilvl="7" w:tplc="25F48EB2">
      <w:start w:val="1"/>
      <w:numFmt w:val="bullet"/>
      <w:lvlText w:val="o"/>
      <w:lvlJc w:val="left"/>
      <w:pPr>
        <w:ind w:left="5760" w:hanging="360"/>
      </w:pPr>
      <w:rPr>
        <w:rFonts w:ascii="Courier New" w:hAnsi="Courier New" w:hint="default"/>
      </w:rPr>
    </w:lvl>
    <w:lvl w:ilvl="8" w:tplc="CB26EE60">
      <w:start w:val="1"/>
      <w:numFmt w:val="bullet"/>
      <w:lvlText w:val=""/>
      <w:lvlJc w:val="left"/>
      <w:pPr>
        <w:ind w:left="6480" w:hanging="360"/>
      </w:pPr>
      <w:rPr>
        <w:rFonts w:ascii="Wingdings" w:hAnsi="Wingdings" w:hint="default"/>
      </w:rPr>
    </w:lvl>
  </w:abstractNum>
  <w:abstractNum w:abstractNumId="12" w15:restartNumberingAfterBreak="0">
    <w:nsid w:val="48E5CB36"/>
    <w:multiLevelType w:val="hybridMultilevel"/>
    <w:tmpl w:val="E7DEE7FA"/>
    <w:lvl w:ilvl="0" w:tplc="272E813A">
      <w:start w:val="1"/>
      <w:numFmt w:val="bullet"/>
      <w:lvlText w:val=""/>
      <w:lvlJc w:val="left"/>
      <w:pPr>
        <w:ind w:left="720" w:hanging="360"/>
      </w:pPr>
      <w:rPr>
        <w:rFonts w:ascii="Symbol" w:hAnsi="Symbol" w:hint="default"/>
      </w:rPr>
    </w:lvl>
    <w:lvl w:ilvl="1" w:tplc="20442168">
      <w:start w:val="1"/>
      <w:numFmt w:val="bullet"/>
      <w:lvlText w:val="o"/>
      <w:lvlJc w:val="left"/>
      <w:pPr>
        <w:ind w:left="1440" w:hanging="360"/>
      </w:pPr>
      <w:rPr>
        <w:rFonts w:ascii="Courier New" w:hAnsi="Courier New" w:hint="default"/>
      </w:rPr>
    </w:lvl>
    <w:lvl w:ilvl="2" w:tplc="F76A377E">
      <w:start w:val="1"/>
      <w:numFmt w:val="bullet"/>
      <w:lvlText w:val=""/>
      <w:lvlJc w:val="left"/>
      <w:pPr>
        <w:ind w:left="2160" w:hanging="360"/>
      </w:pPr>
      <w:rPr>
        <w:rFonts w:ascii="Wingdings" w:hAnsi="Wingdings" w:hint="default"/>
      </w:rPr>
    </w:lvl>
    <w:lvl w:ilvl="3" w:tplc="498E51EE">
      <w:start w:val="1"/>
      <w:numFmt w:val="bullet"/>
      <w:lvlText w:val=""/>
      <w:lvlJc w:val="left"/>
      <w:pPr>
        <w:ind w:left="2880" w:hanging="360"/>
      </w:pPr>
      <w:rPr>
        <w:rFonts w:ascii="Symbol" w:hAnsi="Symbol" w:hint="default"/>
      </w:rPr>
    </w:lvl>
    <w:lvl w:ilvl="4" w:tplc="7ABE706E">
      <w:start w:val="1"/>
      <w:numFmt w:val="bullet"/>
      <w:lvlText w:val="o"/>
      <w:lvlJc w:val="left"/>
      <w:pPr>
        <w:ind w:left="3600" w:hanging="360"/>
      </w:pPr>
      <w:rPr>
        <w:rFonts w:ascii="Courier New" w:hAnsi="Courier New" w:hint="default"/>
      </w:rPr>
    </w:lvl>
    <w:lvl w:ilvl="5" w:tplc="CF9C2B10">
      <w:start w:val="1"/>
      <w:numFmt w:val="bullet"/>
      <w:lvlText w:val=""/>
      <w:lvlJc w:val="left"/>
      <w:pPr>
        <w:ind w:left="4320" w:hanging="360"/>
      </w:pPr>
      <w:rPr>
        <w:rFonts w:ascii="Wingdings" w:hAnsi="Wingdings" w:hint="default"/>
      </w:rPr>
    </w:lvl>
    <w:lvl w:ilvl="6" w:tplc="89005436">
      <w:start w:val="1"/>
      <w:numFmt w:val="bullet"/>
      <w:lvlText w:val=""/>
      <w:lvlJc w:val="left"/>
      <w:pPr>
        <w:ind w:left="5040" w:hanging="360"/>
      </w:pPr>
      <w:rPr>
        <w:rFonts w:ascii="Symbol" w:hAnsi="Symbol" w:hint="default"/>
      </w:rPr>
    </w:lvl>
    <w:lvl w:ilvl="7" w:tplc="FAC2A96C">
      <w:start w:val="1"/>
      <w:numFmt w:val="bullet"/>
      <w:lvlText w:val="o"/>
      <w:lvlJc w:val="left"/>
      <w:pPr>
        <w:ind w:left="5760" w:hanging="360"/>
      </w:pPr>
      <w:rPr>
        <w:rFonts w:ascii="Courier New" w:hAnsi="Courier New" w:hint="default"/>
      </w:rPr>
    </w:lvl>
    <w:lvl w:ilvl="8" w:tplc="03926F7E">
      <w:start w:val="1"/>
      <w:numFmt w:val="bullet"/>
      <w:lvlText w:val=""/>
      <w:lvlJc w:val="left"/>
      <w:pPr>
        <w:ind w:left="6480" w:hanging="360"/>
      </w:pPr>
      <w:rPr>
        <w:rFonts w:ascii="Wingdings" w:hAnsi="Wingdings" w:hint="default"/>
      </w:rPr>
    </w:lvl>
  </w:abstractNum>
  <w:abstractNum w:abstractNumId="13" w15:restartNumberingAfterBreak="0">
    <w:nsid w:val="566B1927"/>
    <w:multiLevelType w:val="hybridMultilevel"/>
    <w:tmpl w:val="62D63F06"/>
    <w:lvl w:ilvl="0" w:tplc="1BA6045E">
      <w:start w:val="1"/>
      <w:numFmt w:val="bullet"/>
      <w:lvlText w:val=""/>
      <w:lvlJc w:val="left"/>
      <w:pPr>
        <w:ind w:left="720" w:hanging="360"/>
      </w:pPr>
      <w:rPr>
        <w:rFonts w:ascii="Symbol" w:hAnsi="Symbol" w:hint="default"/>
      </w:rPr>
    </w:lvl>
    <w:lvl w:ilvl="1" w:tplc="D95C2558">
      <w:start w:val="1"/>
      <w:numFmt w:val="bullet"/>
      <w:lvlText w:val="o"/>
      <w:lvlJc w:val="left"/>
      <w:pPr>
        <w:ind w:left="1440" w:hanging="360"/>
      </w:pPr>
      <w:rPr>
        <w:rFonts w:ascii="Courier New" w:hAnsi="Courier New" w:hint="default"/>
      </w:rPr>
    </w:lvl>
    <w:lvl w:ilvl="2" w:tplc="0C72F0C8">
      <w:start w:val="1"/>
      <w:numFmt w:val="bullet"/>
      <w:lvlText w:val=""/>
      <w:lvlJc w:val="left"/>
      <w:pPr>
        <w:ind w:left="2160" w:hanging="360"/>
      </w:pPr>
      <w:rPr>
        <w:rFonts w:ascii="Wingdings" w:hAnsi="Wingdings" w:hint="default"/>
      </w:rPr>
    </w:lvl>
    <w:lvl w:ilvl="3" w:tplc="E24AE52A">
      <w:start w:val="1"/>
      <w:numFmt w:val="bullet"/>
      <w:lvlText w:val=""/>
      <w:lvlJc w:val="left"/>
      <w:pPr>
        <w:ind w:left="2880" w:hanging="360"/>
      </w:pPr>
      <w:rPr>
        <w:rFonts w:ascii="Symbol" w:hAnsi="Symbol" w:hint="default"/>
      </w:rPr>
    </w:lvl>
    <w:lvl w:ilvl="4" w:tplc="1F1A8DD8">
      <w:start w:val="1"/>
      <w:numFmt w:val="bullet"/>
      <w:lvlText w:val="o"/>
      <w:lvlJc w:val="left"/>
      <w:pPr>
        <w:ind w:left="3600" w:hanging="360"/>
      </w:pPr>
      <w:rPr>
        <w:rFonts w:ascii="Courier New" w:hAnsi="Courier New" w:hint="default"/>
      </w:rPr>
    </w:lvl>
    <w:lvl w:ilvl="5" w:tplc="142C5336">
      <w:start w:val="1"/>
      <w:numFmt w:val="bullet"/>
      <w:lvlText w:val=""/>
      <w:lvlJc w:val="left"/>
      <w:pPr>
        <w:ind w:left="4320" w:hanging="360"/>
      </w:pPr>
      <w:rPr>
        <w:rFonts w:ascii="Wingdings" w:hAnsi="Wingdings" w:hint="default"/>
      </w:rPr>
    </w:lvl>
    <w:lvl w:ilvl="6" w:tplc="BDD62FD4">
      <w:start w:val="1"/>
      <w:numFmt w:val="bullet"/>
      <w:lvlText w:val=""/>
      <w:lvlJc w:val="left"/>
      <w:pPr>
        <w:ind w:left="5040" w:hanging="360"/>
      </w:pPr>
      <w:rPr>
        <w:rFonts w:ascii="Symbol" w:hAnsi="Symbol" w:hint="default"/>
      </w:rPr>
    </w:lvl>
    <w:lvl w:ilvl="7" w:tplc="595C76BC">
      <w:start w:val="1"/>
      <w:numFmt w:val="bullet"/>
      <w:lvlText w:val="o"/>
      <w:lvlJc w:val="left"/>
      <w:pPr>
        <w:ind w:left="5760" w:hanging="360"/>
      </w:pPr>
      <w:rPr>
        <w:rFonts w:ascii="Courier New" w:hAnsi="Courier New" w:hint="default"/>
      </w:rPr>
    </w:lvl>
    <w:lvl w:ilvl="8" w:tplc="86003D5E">
      <w:start w:val="1"/>
      <w:numFmt w:val="bullet"/>
      <w:lvlText w:val=""/>
      <w:lvlJc w:val="left"/>
      <w:pPr>
        <w:ind w:left="6480" w:hanging="360"/>
      </w:pPr>
      <w:rPr>
        <w:rFonts w:ascii="Wingdings" w:hAnsi="Wingdings" w:hint="default"/>
      </w:rPr>
    </w:lvl>
  </w:abstractNum>
  <w:abstractNum w:abstractNumId="14" w15:restartNumberingAfterBreak="0">
    <w:nsid w:val="5F973E80"/>
    <w:multiLevelType w:val="hybridMultilevel"/>
    <w:tmpl w:val="2606FDEC"/>
    <w:lvl w:ilvl="0" w:tplc="DBF034D4">
      <w:start w:val="1"/>
      <w:numFmt w:val="decimal"/>
      <w:lvlText w:val="%1."/>
      <w:lvlJc w:val="left"/>
      <w:pPr>
        <w:ind w:left="720" w:hanging="360"/>
      </w:pPr>
    </w:lvl>
    <w:lvl w:ilvl="1" w:tplc="F1284DAE">
      <w:start w:val="1"/>
      <w:numFmt w:val="lowerLetter"/>
      <w:lvlText w:val="%2."/>
      <w:lvlJc w:val="left"/>
      <w:pPr>
        <w:ind w:left="1440" w:hanging="360"/>
      </w:pPr>
    </w:lvl>
    <w:lvl w:ilvl="2" w:tplc="73589BC0">
      <w:start w:val="1"/>
      <w:numFmt w:val="lowerRoman"/>
      <w:lvlText w:val="%3."/>
      <w:lvlJc w:val="right"/>
      <w:pPr>
        <w:ind w:left="2160" w:hanging="180"/>
      </w:pPr>
    </w:lvl>
    <w:lvl w:ilvl="3" w:tplc="9996BBCE">
      <w:start w:val="1"/>
      <w:numFmt w:val="decimal"/>
      <w:lvlText w:val="%4."/>
      <w:lvlJc w:val="left"/>
      <w:pPr>
        <w:ind w:left="2880" w:hanging="360"/>
      </w:pPr>
    </w:lvl>
    <w:lvl w:ilvl="4" w:tplc="6D40A64C">
      <w:start w:val="1"/>
      <w:numFmt w:val="lowerLetter"/>
      <w:lvlText w:val="%5."/>
      <w:lvlJc w:val="left"/>
      <w:pPr>
        <w:ind w:left="3600" w:hanging="360"/>
      </w:pPr>
    </w:lvl>
    <w:lvl w:ilvl="5" w:tplc="5B5A1750">
      <w:start w:val="1"/>
      <w:numFmt w:val="lowerRoman"/>
      <w:lvlText w:val="%6."/>
      <w:lvlJc w:val="right"/>
      <w:pPr>
        <w:ind w:left="4320" w:hanging="180"/>
      </w:pPr>
    </w:lvl>
    <w:lvl w:ilvl="6" w:tplc="DB5E3BA2">
      <w:start w:val="1"/>
      <w:numFmt w:val="decimal"/>
      <w:lvlText w:val="%7."/>
      <w:lvlJc w:val="left"/>
      <w:pPr>
        <w:ind w:left="5040" w:hanging="360"/>
      </w:pPr>
    </w:lvl>
    <w:lvl w:ilvl="7" w:tplc="0B54D940">
      <w:start w:val="1"/>
      <w:numFmt w:val="lowerLetter"/>
      <w:lvlText w:val="%8."/>
      <w:lvlJc w:val="left"/>
      <w:pPr>
        <w:ind w:left="5760" w:hanging="360"/>
      </w:pPr>
    </w:lvl>
    <w:lvl w:ilvl="8" w:tplc="257429FC">
      <w:start w:val="1"/>
      <w:numFmt w:val="lowerRoman"/>
      <w:lvlText w:val="%9."/>
      <w:lvlJc w:val="right"/>
      <w:pPr>
        <w:ind w:left="6480" w:hanging="180"/>
      </w:pPr>
    </w:lvl>
  </w:abstractNum>
  <w:abstractNum w:abstractNumId="15" w15:restartNumberingAfterBreak="0">
    <w:nsid w:val="66E2B3E1"/>
    <w:multiLevelType w:val="hybridMultilevel"/>
    <w:tmpl w:val="0D50F6B2"/>
    <w:lvl w:ilvl="0" w:tplc="C2C485F4">
      <w:start w:val="1"/>
      <w:numFmt w:val="bullet"/>
      <w:lvlText w:val=""/>
      <w:lvlJc w:val="left"/>
      <w:pPr>
        <w:ind w:left="720" w:hanging="360"/>
      </w:pPr>
      <w:rPr>
        <w:rFonts w:ascii="Symbol" w:hAnsi="Symbol" w:hint="default"/>
      </w:rPr>
    </w:lvl>
    <w:lvl w:ilvl="1" w:tplc="8B54777A">
      <w:start w:val="1"/>
      <w:numFmt w:val="bullet"/>
      <w:lvlText w:val="o"/>
      <w:lvlJc w:val="left"/>
      <w:pPr>
        <w:ind w:left="1440" w:hanging="360"/>
      </w:pPr>
      <w:rPr>
        <w:rFonts w:ascii="Courier New" w:hAnsi="Courier New" w:hint="default"/>
      </w:rPr>
    </w:lvl>
    <w:lvl w:ilvl="2" w:tplc="24DC652E">
      <w:start w:val="1"/>
      <w:numFmt w:val="bullet"/>
      <w:lvlText w:val=""/>
      <w:lvlJc w:val="left"/>
      <w:pPr>
        <w:ind w:left="2160" w:hanging="360"/>
      </w:pPr>
      <w:rPr>
        <w:rFonts w:ascii="Wingdings" w:hAnsi="Wingdings" w:hint="default"/>
      </w:rPr>
    </w:lvl>
    <w:lvl w:ilvl="3" w:tplc="F6B893C6">
      <w:start w:val="1"/>
      <w:numFmt w:val="bullet"/>
      <w:lvlText w:val=""/>
      <w:lvlJc w:val="left"/>
      <w:pPr>
        <w:ind w:left="2880" w:hanging="360"/>
      </w:pPr>
      <w:rPr>
        <w:rFonts w:ascii="Symbol" w:hAnsi="Symbol" w:hint="default"/>
      </w:rPr>
    </w:lvl>
    <w:lvl w:ilvl="4" w:tplc="B2620CA0">
      <w:start w:val="1"/>
      <w:numFmt w:val="bullet"/>
      <w:lvlText w:val="o"/>
      <w:lvlJc w:val="left"/>
      <w:pPr>
        <w:ind w:left="3600" w:hanging="360"/>
      </w:pPr>
      <w:rPr>
        <w:rFonts w:ascii="Courier New" w:hAnsi="Courier New" w:hint="default"/>
      </w:rPr>
    </w:lvl>
    <w:lvl w:ilvl="5" w:tplc="C634504E">
      <w:start w:val="1"/>
      <w:numFmt w:val="bullet"/>
      <w:lvlText w:val=""/>
      <w:lvlJc w:val="left"/>
      <w:pPr>
        <w:ind w:left="4320" w:hanging="360"/>
      </w:pPr>
      <w:rPr>
        <w:rFonts w:ascii="Wingdings" w:hAnsi="Wingdings" w:hint="default"/>
      </w:rPr>
    </w:lvl>
    <w:lvl w:ilvl="6" w:tplc="2196FBCC">
      <w:start w:val="1"/>
      <w:numFmt w:val="bullet"/>
      <w:lvlText w:val=""/>
      <w:lvlJc w:val="left"/>
      <w:pPr>
        <w:ind w:left="5040" w:hanging="360"/>
      </w:pPr>
      <w:rPr>
        <w:rFonts w:ascii="Symbol" w:hAnsi="Symbol" w:hint="default"/>
      </w:rPr>
    </w:lvl>
    <w:lvl w:ilvl="7" w:tplc="7834C8C8">
      <w:start w:val="1"/>
      <w:numFmt w:val="bullet"/>
      <w:lvlText w:val="o"/>
      <w:lvlJc w:val="left"/>
      <w:pPr>
        <w:ind w:left="5760" w:hanging="360"/>
      </w:pPr>
      <w:rPr>
        <w:rFonts w:ascii="Courier New" w:hAnsi="Courier New" w:hint="default"/>
      </w:rPr>
    </w:lvl>
    <w:lvl w:ilvl="8" w:tplc="1A3853F0">
      <w:start w:val="1"/>
      <w:numFmt w:val="bullet"/>
      <w:lvlText w:val=""/>
      <w:lvlJc w:val="left"/>
      <w:pPr>
        <w:ind w:left="6480" w:hanging="360"/>
      </w:pPr>
      <w:rPr>
        <w:rFonts w:ascii="Wingdings" w:hAnsi="Wingdings" w:hint="default"/>
      </w:rPr>
    </w:lvl>
  </w:abstractNum>
  <w:abstractNum w:abstractNumId="16" w15:restartNumberingAfterBreak="0">
    <w:nsid w:val="7CE3C5AA"/>
    <w:multiLevelType w:val="hybridMultilevel"/>
    <w:tmpl w:val="C112412A"/>
    <w:lvl w:ilvl="0" w:tplc="575CF848">
      <w:start w:val="1"/>
      <w:numFmt w:val="bullet"/>
      <w:lvlText w:val=""/>
      <w:lvlJc w:val="left"/>
      <w:pPr>
        <w:ind w:left="720" w:hanging="360"/>
      </w:pPr>
      <w:rPr>
        <w:rFonts w:ascii="Symbol" w:hAnsi="Symbol" w:hint="default"/>
      </w:rPr>
    </w:lvl>
    <w:lvl w:ilvl="1" w:tplc="8C9E252E">
      <w:start w:val="1"/>
      <w:numFmt w:val="bullet"/>
      <w:lvlText w:val="o"/>
      <w:lvlJc w:val="left"/>
      <w:pPr>
        <w:ind w:left="1440" w:hanging="360"/>
      </w:pPr>
      <w:rPr>
        <w:rFonts w:ascii="Courier New" w:hAnsi="Courier New" w:hint="default"/>
      </w:rPr>
    </w:lvl>
    <w:lvl w:ilvl="2" w:tplc="D6B42EA0">
      <w:start w:val="1"/>
      <w:numFmt w:val="bullet"/>
      <w:lvlText w:val=""/>
      <w:lvlJc w:val="left"/>
      <w:pPr>
        <w:ind w:left="2160" w:hanging="360"/>
      </w:pPr>
      <w:rPr>
        <w:rFonts w:ascii="Wingdings" w:hAnsi="Wingdings" w:hint="default"/>
      </w:rPr>
    </w:lvl>
    <w:lvl w:ilvl="3" w:tplc="3D08BB3C">
      <w:start w:val="1"/>
      <w:numFmt w:val="bullet"/>
      <w:lvlText w:val=""/>
      <w:lvlJc w:val="left"/>
      <w:pPr>
        <w:ind w:left="2880" w:hanging="360"/>
      </w:pPr>
      <w:rPr>
        <w:rFonts w:ascii="Symbol" w:hAnsi="Symbol" w:hint="default"/>
      </w:rPr>
    </w:lvl>
    <w:lvl w:ilvl="4" w:tplc="7B3AF032">
      <w:start w:val="1"/>
      <w:numFmt w:val="bullet"/>
      <w:lvlText w:val="o"/>
      <w:lvlJc w:val="left"/>
      <w:pPr>
        <w:ind w:left="3600" w:hanging="360"/>
      </w:pPr>
      <w:rPr>
        <w:rFonts w:ascii="Courier New" w:hAnsi="Courier New" w:hint="default"/>
      </w:rPr>
    </w:lvl>
    <w:lvl w:ilvl="5" w:tplc="42FA03FE">
      <w:start w:val="1"/>
      <w:numFmt w:val="bullet"/>
      <w:lvlText w:val=""/>
      <w:lvlJc w:val="left"/>
      <w:pPr>
        <w:ind w:left="4320" w:hanging="360"/>
      </w:pPr>
      <w:rPr>
        <w:rFonts w:ascii="Wingdings" w:hAnsi="Wingdings" w:hint="default"/>
      </w:rPr>
    </w:lvl>
    <w:lvl w:ilvl="6" w:tplc="9912EFC4">
      <w:start w:val="1"/>
      <w:numFmt w:val="bullet"/>
      <w:lvlText w:val=""/>
      <w:lvlJc w:val="left"/>
      <w:pPr>
        <w:ind w:left="5040" w:hanging="360"/>
      </w:pPr>
      <w:rPr>
        <w:rFonts w:ascii="Symbol" w:hAnsi="Symbol" w:hint="default"/>
      </w:rPr>
    </w:lvl>
    <w:lvl w:ilvl="7" w:tplc="CF1E721A">
      <w:start w:val="1"/>
      <w:numFmt w:val="bullet"/>
      <w:lvlText w:val="o"/>
      <w:lvlJc w:val="left"/>
      <w:pPr>
        <w:ind w:left="5760" w:hanging="360"/>
      </w:pPr>
      <w:rPr>
        <w:rFonts w:ascii="Courier New" w:hAnsi="Courier New" w:hint="default"/>
      </w:rPr>
    </w:lvl>
    <w:lvl w:ilvl="8" w:tplc="F190B85C">
      <w:start w:val="1"/>
      <w:numFmt w:val="bullet"/>
      <w:lvlText w:val=""/>
      <w:lvlJc w:val="left"/>
      <w:pPr>
        <w:ind w:left="6480" w:hanging="360"/>
      </w:pPr>
      <w:rPr>
        <w:rFonts w:ascii="Wingdings" w:hAnsi="Wingdings" w:hint="default"/>
      </w:rPr>
    </w:lvl>
  </w:abstractNum>
  <w:num w:numId="1" w16cid:durableId="635718737">
    <w:abstractNumId w:val="10"/>
  </w:num>
  <w:num w:numId="2" w16cid:durableId="375932736">
    <w:abstractNumId w:val="9"/>
  </w:num>
  <w:num w:numId="3" w16cid:durableId="1269239559">
    <w:abstractNumId w:val="3"/>
  </w:num>
  <w:num w:numId="4" w16cid:durableId="602808966">
    <w:abstractNumId w:val="7"/>
  </w:num>
  <w:num w:numId="5" w16cid:durableId="373585331">
    <w:abstractNumId w:val="4"/>
  </w:num>
  <w:num w:numId="6" w16cid:durableId="952172663">
    <w:abstractNumId w:val="5"/>
  </w:num>
  <w:num w:numId="7" w16cid:durableId="383410591">
    <w:abstractNumId w:val="6"/>
  </w:num>
  <w:num w:numId="8" w16cid:durableId="1154569623">
    <w:abstractNumId w:val="16"/>
  </w:num>
  <w:num w:numId="9" w16cid:durableId="1203859868">
    <w:abstractNumId w:val="12"/>
  </w:num>
  <w:num w:numId="10" w16cid:durableId="2138328964">
    <w:abstractNumId w:val="15"/>
  </w:num>
  <w:num w:numId="11" w16cid:durableId="298153491">
    <w:abstractNumId w:val="8"/>
  </w:num>
  <w:num w:numId="12" w16cid:durableId="1528790066">
    <w:abstractNumId w:val="11"/>
  </w:num>
  <w:num w:numId="13" w16cid:durableId="1056391346">
    <w:abstractNumId w:val="2"/>
  </w:num>
  <w:num w:numId="14" w16cid:durableId="419180771">
    <w:abstractNumId w:val="13"/>
  </w:num>
  <w:num w:numId="15" w16cid:durableId="394814371">
    <w:abstractNumId w:val="0"/>
  </w:num>
  <w:num w:numId="16" w16cid:durableId="537358073">
    <w:abstractNumId w:val="1"/>
  </w:num>
  <w:num w:numId="17" w16cid:durableId="209222467">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1"/>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EE04DA9"/>
    <w:rsid w:val="00731BD0"/>
    <w:rsid w:val="0094657B"/>
    <w:rsid w:val="00A241C8"/>
    <w:rsid w:val="00B34AF3"/>
    <w:rsid w:val="00DAD7B9"/>
    <w:rsid w:val="0102F8BF"/>
    <w:rsid w:val="016786FD"/>
    <w:rsid w:val="01AF2F07"/>
    <w:rsid w:val="01C5C0B9"/>
    <w:rsid w:val="01D7B9BC"/>
    <w:rsid w:val="01FE47E1"/>
    <w:rsid w:val="0261FAD4"/>
    <w:rsid w:val="02C193EF"/>
    <w:rsid w:val="0322AF77"/>
    <w:rsid w:val="03D0A1A8"/>
    <w:rsid w:val="03FD61B6"/>
    <w:rsid w:val="044713D3"/>
    <w:rsid w:val="0490F24C"/>
    <w:rsid w:val="050FB6E1"/>
    <w:rsid w:val="0528380A"/>
    <w:rsid w:val="05CD5122"/>
    <w:rsid w:val="061C10CE"/>
    <w:rsid w:val="06E960EC"/>
    <w:rsid w:val="0704327E"/>
    <w:rsid w:val="071FD7AE"/>
    <w:rsid w:val="07B81045"/>
    <w:rsid w:val="082B5C2D"/>
    <w:rsid w:val="08E89E0F"/>
    <w:rsid w:val="08E9996B"/>
    <w:rsid w:val="0A78305E"/>
    <w:rsid w:val="0B190C07"/>
    <w:rsid w:val="0B67A517"/>
    <w:rsid w:val="0C4063C1"/>
    <w:rsid w:val="0CFFFA47"/>
    <w:rsid w:val="0D26A599"/>
    <w:rsid w:val="0D445AC2"/>
    <w:rsid w:val="0E384D3D"/>
    <w:rsid w:val="0E45C018"/>
    <w:rsid w:val="0E65C5D1"/>
    <w:rsid w:val="0E68BC22"/>
    <w:rsid w:val="0E7DF539"/>
    <w:rsid w:val="0EF003EB"/>
    <w:rsid w:val="0F94CFC8"/>
    <w:rsid w:val="0F9EBF9F"/>
    <w:rsid w:val="0FFB41A3"/>
    <w:rsid w:val="100C3AAC"/>
    <w:rsid w:val="1041509F"/>
    <w:rsid w:val="10A06468"/>
    <w:rsid w:val="10E4E498"/>
    <w:rsid w:val="1100213E"/>
    <w:rsid w:val="111A9D39"/>
    <w:rsid w:val="117D0FF1"/>
    <w:rsid w:val="118FE301"/>
    <w:rsid w:val="11E320CA"/>
    <w:rsid w:val="1275232D"/>
    <w:rsid w:val="12795C69"/>
    <w:rsid w:val="1316C8D1"/>
    <w:rsid w:val="13734EC4"/>
    <w:rsid w:val="13AE29A0"/>
    <w:rsid w:val="14201040"/>
    <w:rsid w:val="14E88B7B"/>
    <w:rsid w:val="15054C55"/>
    <w:rsid w:val="1514D66E"/>
    <w:rsid w:val="1541546E"/>
    <w:rsid w:val="1551EB96"/>
    <w:rsid w:val="155D6697"/>
    <w:rsid w:val="15AAF299"/>
    <w:rsid w:val="15C3CAC3"/>
    <w:rsid w:val="15E83AE3"/>
    <w:rsid w:val="16306892"/>
    <w:rsid w:val="16B2983A"/>
    <w:rsid w:val="16E4F53B"/>
    <w:rsid w:val="17563891"/>
    <w:rsid w:val="17B08CA1"/>
    <w:rsid w:val="17C210C4"/>
    <w:rsid w:val="1843BB4A"/>
    <w:rsid w:val="1847093A"/>
    <w:rsid w:val="187712FD"/>
    <w:rsid w:val="18B31A53"/>
    <w:rsid w:val="19427F3E"/>
    <w:rsid w:val="19A92550"/>
    <w:rsid w:val="19D5D711"/>
    <w:rsid w:val="1A1A32FB"/>
    <w:rsid w:val="1A482584"/>
    <w:rsid w:val="1AE0F8A2"/>
    <w:rsid w:val="1AF8A50D"/>
    <w:rsid w:val="1B40BCD6"/>
    <w:rsid w:val="1B724858"/>
    <w:rsid w:val="1BC67E3A"/>
    <w:rsid w:val="1BCF2115"/>
    <w:rsid w:val="1C00D959"/>
    <w:rsid w:val="1C46DDEC"/>
    <w:rsid w:val="1CB5E930"/>
    <w:rsid w:val="1D487AAE"/>
    <w:rsid w:val="1D7645E9"/>
    <w:rsid w:val="1DA4C29C"/>
    <w:rsid w:val="1E55C0B2"/>
    <w:rsid w:val="1E66AF85"/>
    <w:rsid w:val="1E86673A"/>
    <w:rsid w:val="1F6819F1"/>
    <w:rsid w:val="1FAFBE69"/>
    <w:rsid w:val="203FD6D6"/>
    <w:rsid w:val="20A11126"/>
    <w:rsid w:val="2122CAD8"/>
    <w:rsid w:val="213B17EC"/>
    <w:rsid w:val="219555BD"/>
    <w:rsid w:val="21AB5314"/>
    <w:rsid w:val="2232C6A7"/>
    <w:rsid w:val="223D146A"/>
    <w:rsid w:val="225F95B8"/>
    <w:rsid w:val="2280707D"/>
    <w:rsid w:val="22FD2784"/>
    <w:rsid w:val="2360C75B"/>
    <w:rsid w:val="23C1BD0B"/>
    <w:rsid w:val="241DC62B"/>
    <w:rsid w:val="24D1CF01"/>
    <w:rsid w:val="251140DC"/>
    <w:rsid w:val="25680200"/>
    <w:rsid w:val="256BE470"/>
    <w:rsid w:val="25A131D8"/>
    <w:rsid w:val="25AA1B6B"/>
    <w:rsid w:val="261DFF17"/>
    <w:rsid w:val="264057CF"/>
    <w:rsid w:val="265C2872"/>
    <w:rsid w:val="26C2B6B5"/>
    <w:rsid w:val="27F6FA0B"/>
    <w:rsid w:val="27F854E6"/>
    <w:rsid w:val="281977CD"/>
    <w:rsid w:val="28523525"/>
    <w:rsid w:val="28C44EBD"/>
    <w:rsid w:val="291F67E8"/>
    <w:rsid w:val="292588AB"/>
    <w:rsid w:val="29601BB8"/>
    <w:rsid w:val="2962360D"/>
    <w:rsid w:val="2984DDB1"/>
    <w:rsid w:val="29B394DB"/>
    <w:rsid w:val="2AD53471"/>
    <w:rsid w:val="2B5BA4F8"/>
    <w:rsid w:val="2B829D00"/>
    <w:rsid w:val="2C0566CD"/>
    <w:rsid w:val="2CA657CA"/>
    <w:rsid w:val="2CDF28F1"/>
    <w:rsid w:val="2D88D698"/>
    <w:rsid w:val="2DDEBC12"/>
    <w:rsid w:val="2DF189D2"/>
    <w:rsid w:val="2E65F80C"/>
    <w:rsid w:val="2EA6D619"/>
    <w:rsid w:val="2EE04DA9"/>
    <w:rsid w:val="2F5E1237"/>
    <w:rsid w:val="2F743BA2"/>
    <w:rsid w:val="2F99FD5B"/>
    <w:rsid w:val="2FB873D3"/>
    <w:rsid w:val="2FE72C2E"/>
    <w:rsid w:val="301352C0"/>
    <w:rsid w:val="3055920F"/>
    <w:rsid w:val="3097E253"/>
    <w:rsid w:val="314A9744"/>
    <w:rsid w:val="31CAACCE"/>
    <w:rsid w:val="32477F53"/>
    <w:rsid w:val="32620D3D"/>
    <w:rsid w:val="326DD5A3"/>
    <w:rsid w:val="328EA741"/>
    <w:rsid w:val="32BC6A4F"/>
    <w:rsid w:val="33630D45"/>
    <w:rsid w:val="33D9B7AB"/>
    <w:rsid w:val="3419276D"/>
    <w:rsid w:val="3419DEAD"/>
    <w:rsid w:val="346469B5"/>
    <w:rsid w:val="3647D4D7"/>
    <w:rsid w:val="36CB787E"/>
    <w:rsid w:val="371B52CB"/>
    <w:rsid w:val="376552E6"/>
    <w:rsid w:val="3782D02C"/>
    <w:rsid w:val="379F092B"/>
    <w:rsid w:val="384143DB"/>
    <w:rsid w:val="38921C8A"/>
    <w:rsid w:val="395A65AA"/>
    <w:rsid w:val="39A685B9"/>
    <w:rsid w:val="39C5B8E1"/>
    <w:rsid w:val="3BBDFFC6"/>
    <w:rsid w:val="3C55EE4C"/>
    <w:rsid w:val="3CCBEE10"/>
    <w:rsid w:val="3CF3E877"/>
    <w:rsid w:val="3D6275DA"/>
    <w:rsid w:val="3E05EAED"/>
    <w:rsid w:val="3E6B4CA0"/>
    <w:rsid w:val="3E82A57E"/>
    <w:rsid w:val="3F068353"/>
    <w:rsid w:val="3F1E5EDF"/>
    <w:rsid w:val="3F42EE46"/>
    <w:rsid w:val="3F83EC03"/>
    <w:rsid w:val="3FBD6006"/>
    <w:rsid w:val="40757156"/>
    <w:rsid w:val="40E28C57"/>
    <w:rsid w:val="410AF5C2"/>
    <w:rsid w:val="416D0379"/>
    <w:rsid w:val="41ED4106"/>
    <w:rsid w:val="421E23F0"/>
    <w:rsid w:val="427E641E"/>
    <w:rsid w:val="4282F539"/>
    <w:rsid w:val="42A0B1D2"/>
    <w:rsid w:val="432FFE61"/>
    <w:rsid w:val="43678D26"/>
    <w:rsid w:val="43886C28"/>
    <w:rsid w:val="43E531A3"/>
    <w:rsid w:val="44444A36"/>
    <w:rsid w:val="447ADF86"/>
    <w:rsid w:val="44B12BCF"/>
    <w:rsid w:val="44B64635"/>
    <w:rsid w:val="44E8621A"/>
    <w:rsid w:val="453DC4D3"/>
    <w:rsid w:val="458E2667"/>
    <w:rsid w:val="4668CCE0"/>
    <w:rsid w:val="468DA0C7"/>
    <w:rsid w:val="46AFC0EC"/>
    <w:rsid w:val="46FAAF18"/>
    <w:rsid w:val="47433576"/>
    <w:rsid w:val="4767DE40"/>
    <w:rsid w:val="47839072"/>
    <w:rsid w:val="48046CF7"/>
    <w:rsid w:val="488F1DA2"/>
    <w:rsid w:val="492085C4"/>
    <w:rsid w:val="49468D91"/>
    <w:rsid w:val="4978552D"/>
    <w:rsid w:val="49C48F83"/>
    <w:rsid w:val="4A59C3A8"/>
    <w:rsid w:val="4A77B1A2"/>
    <w:rsid w:val="4A7F4DA7"/>
    <w:rsid w:val="4A878123"/>
    <w:rsid w:val="4B27394D"/>
    <w:rsid w:val="4B90E6EA"/>
    <w:rsid w:val="4B98A80E"/>
    <w:rsid w:val="4BB03C57"/>
    <w:rsid w:val="4BDD5435"/>
    <w:rsid w:val="4C875A8C"/>
    <w:rsid w:val="4D08547D"/>
    <w:rsid w:val="4D1CC66C"/>
    <w:rsid w:val="4D5CBD2D"/>
    <w:rsid w:val="4DF3B134"/>
    <w:rsid w:val="4E281348"/>
    <w:rsid w:val="4E9C5622"/>
    <w:rsid w:val="4EA3B234"/>
    <w:rsid w:val="4ED2FDC5"/>
    <w:rsid w:val="4EE47654"/>
    <w:rsid w:val="4F0941B3"/>
    <w:rsid w:val="4FD16603"/>
    <w:rsid w:val="50781A84"/>
    <w:rsid w:val="509AB7FD"/>
    <w:rsid w:val="51B36031"/>
    <w:rsid w:val="527CF082"/>
    <w:rsid w:val="5296110E"/>
    <w:rsid w:val="531C5FED"/>
    <w:rsid w:val="531D0FF2"/>
    <w:rsid w:val="535CAE13"/>
    <w:rsid w:val="5374AC79"/>
    <w:rsid w:val="53A50426"/>
    <w:rsid w:val="542B9B91"/>
    <w:rsid w:val="544FC421"/>
    <w:rsid w:val="54DC00DE"/>
    <w:rsid w:val="54F58C44"/>
    <w:rsid w:val="552A7D72"/>
    <w:rsid w:val="5546D43B"/>
    <w:rsid w:val="55AF3D83"/>
    <w:rsid w:val="55C0671A"/>
    <w:rsid w:val="56743C43"/>
    <w:rsid w:val="567E6110"/>
    <w:rsid w:val="56BE74AA"/>
    <w:rsid w:val="56BEF4DA"/>
    <w:rsid w:val="56E5A033"/>
    <w:rsid w:val="572555B5"/>
    <w:rsid w:val="5737C560"/>
    <w:rsid w:val="57945E22"/>
    <w:rsid w:val="57A31B30"/>
    <w:rsid w:val="57D52273"/>
    <w:rsid w:val="57FB60DC"/>
    <w:rsid w:val="5802F843"/>
    <w:rsid w:val="582A1BA7"/>
    <w:rsid w:val="58506895"/>
    <w:rsid w:val="58A7A98B"/>
    <w:rsid w:val="590E32C1"/>
    <w:rsid w:val="59565EDF"/>
    <w:rsid w:val="5991B67A"/>
    <w:rsid w:val="59D3D809"/>
    <w:rsid w:val="59F8E914"/>
    <w:rsid w:val="59FDF542"/>
    <w:rsid w:val="5A32C6F9"/>
    <w:rsid w:val="5A50B9B7"/>
    <w:rsid w:val="5AF6B3BF"/>
    <w:rsid w:val="5B5389CB"/>
    <w:rsid w:val="5B5D8479"/>
    <w:rsid w:val="5B9885E5"/>
    <w:rsid w:val="5BC427C9"/>
    <w:rsid w:val="5BD1453E"/>
    <w:rsid w:val="5BFE29F2"/>
    <w:rsid w:val="5C539415"/>
    <w:rsid w:val="5C5C75C2"/>
    <w:rsid w:val="5CDBE120"/>
    <w:rsid w:val="5CF61FC3"/>
    <w:rsid w:val="5D25EF41"/>
    <w:rsid w:val="5D2EBFA1"/>
    <w:rsid w:val="5D332936"/>
    <w:rsid w:val="5D725323"/>
    <w:rsid w:val="5E6AC045"/>
    <w:rsid w:val="5EBF7C48"/>
    <w:rsid w:val="5EE14C16"/>
    <w:rsid w:val="600D2E6A"/>
    <w:rsid w:val="603DD35E"/>
    <w:rsid w:val="6055E9D2"/>
    <w:rsid w:val="6062FFC3"/>
    <w:rsid w:val="60B80D5B"/>
    <w:rsid w:val="60D36926"/>
    <w:rsid w:val="60E280A0"/>
    <w:rsid w:val="611DA17B"/>
    <w:rsid w:val="61BCA752"/>
    <w:rsid w:val="61C427E1"/>
    <w:rsid w:val="6337C592"/>
    <w:rsid w:val="6342AA2F"/>
    <w:rsid w:val="635206C8"/>
    <w:rsid w:val="6407DCA6"/>
    <w:rsid w:val="643B83C8"/>
    <w:rsid w:val="647DCC18"/>
    <w:rsid w:val="6481FF15"/>
    <w:rsid w:val="648E7C9D"/>
    <w:rsid w:val="64CE918E"/>
    <w:rsid w:val="65C880EF"/>
    <w:rsid w:val="662DED40"/>
    <w:rsid w:val="66458ACC"/>
    <w:rsid w:val="664E2084"/>
    <w:rsid w:val="665E826A"/>
    <w:rsid w:val="6667CB49"/>
    <w:rsid w:val="66FBF583"/>
    <w:rsid w:val="670236F1"/>
    <w:rsid w:val="670EBC13"/>
    <w:rsid w:val="67303BDA"/>
    <w:rsid w:val="67361052"/>
    <w:rsid w:val="6736635B"/>
    <w:rsid w:val="6757D5EB"/>
    <w:rsid w:val="67E955C6"/>
    <w:rsid w:val="683EE95D"/>
    <w:rsid w:val="68FFAA99"/>
    <w:rsid w:val="691FC496"/>
    <w:rsid w:val="69F63111"/>
    <w:rsid w:val="6A01E821"/>
    <w:rsid w:val="6A12F6D3"/>
    <w:rsid w:val="6A4017E1"/>
    <w:rsid w:val="6A5C1773"/>
    <w:rsid w:val="6A6BCD40"/>
    <w:rsid w:val="6A6EF93A"/>
    <w:rsid w:val="6B3B07D8"/>
    <w:rsid w:val="6BA6FA28"/>
    <w:rsid w:val="6BB4A55F"/>
    <w:rsid w:val="6BC5D008"/>
    <w:rsid w:val="6BD87310"/>
    <w:rsid w:val="6BDB0469"/>
    <w:rsid w:val="6CAA4DFE"/>
    <w:rsid w:val="6CBFA21B"/>
    <w:rsid w:val="6CC74200"/>
    <w:rsid w:val="6D1675F2"/>
    <w:rsid w:val="6D2F1E2A"/>
    <w:rsid w:val="6D435059"/>
    <w:rsid w:val="6D55B9CC"/>
    <w:rsid w:val="6DBE9247"/>
    <w:rsid w:val="6DCD6AD3"/>
    <w:rsid w:val="6E48580A"/>
    <w:rsid w:val="6E8CB1AF"/>
    <w:rsid w:val="6ED1C500"/>
    <w:rsid w:val="6F188D6E"/>
    <w:rsid w:val="6F2D6BAA"/>
    <w:rsid w:val="6F6AACE2"/>
    <w:rsid w:val="6F8D0446"/>
    <w:rsid w:val="6FD63ADB"/>
    <w:rsid w:val="704E4BCE"/>
    <w:rsid w:val="70C48CFB"/>
    <w:rsid w:val="711FD3D5"/>
    <w:rsid w:val="718F6B1A"/>
    <w:rsid w:val="71A1359E"/>
    <w:rsid w:val="71E4DC17"/>
    <w:rsid w:val="727EA120"/>
    <w:rsid w:val="72DE44C2"/>
    <w:rsid w:val="72F21140"/>
    <w:rsid w:val="7323A296"/>
    <w:rsid w:val="7363B0FB"/>
    <w:rsid w:val="7391E730"/>
    <w:rsid w:val="73F990AC"/>
    <w:rsid w:val="74066B4F"/>
    <w:rsid w:val="744304B1"/>
    <w:rsid w:val="74BD861E"/>
    <w:rsid w:val="74EEB36C"/>
    <w:rsid w:val="7504400C"/>
    <w:rsid w:val="754970E3"/>
    <w:rsid w:val="7583651D"/>
    <w:rsid w:val="7583B27E"/>
    <w:rsid w:val="758C3A3C"/>
    <w:rsid w:val="75BF01EE"/>
    <w:rsid w:val="75E8B1A5"/>
    <w:rsid w:val="765A3C1D"/>
    <w:rsid w:val="76A1F6B6"/>
    <w:rsid w:val="775C7BBE"/>
    <w:rsid w:val="77616FC9"/>
    <w:rsid w:val="77A7FADF"/>
    <w:rsid w:val="77D35C50"/>
    <w:rsid w:val="78217B38"/>
    <w:rsid w:val="784FAA4A"/>
    <w:rsid w:val="78B31E69"/>
    <w:rsid w:val="79D8DA78"/>
    <w:rsid w:val="79F87A00"/>
    <w:rsid w:val="7A08ECE9"/>
    <w:rsid w:val="7A413261"/>
    <w:rsid w:val="7A492C67"/>
    <w:rsid w:val="7A49DDEF"/>
    <w:rsid w:val="7AC147E3"/>
    <w:rsid w:val="7AF47ADB"/>
    <w:rsid w:val="7B16858E"/>
    <w:rsid w:val="7B56BDA0"/>
    <w:rsid w:val="7B719901"/>
    <w:rsid w:val="7B8D746B"/>
    <w:rsid w:val="7BA6DB31"/>
    <w:rsid w:val="7BE63D39"/>
    <w:rsid w:val="7C1DAC94"/>
    <w:rsid w:val="7C357754"/>
    <w:rsid w:val="7CC511CD"/>
    <w:rsid w:val="7CE96B5A"/>
    <w:rsid w:val="7CF624FD"/>
    <w:rsid w:val="7D9B1B1B"/>
    <w:rsid w:val="7DC3B4DC"/>
    <w:rsid w:val="7E34B4FC"/>
    <w:rsid w:val="7E3900F1"/>
    <w:rsid w:val="7E6F8F38"/>
    <w:rsid w:val="7F27D632"/>
    <w:rsid w:val="7F878436"/>
    <w:rsid w:val="7F8CE18B"/>
    <w:rsid w:val="7FCF4E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E18B69"/>
  <w15:chartTrackingRefBased/>
  <w15:docId w15:val="{0E9D4643-543E-43DB-8323-05ABA1E263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6BA6FA2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paragraph" w:styleId="ListParagraph">
    <w:name w:val="List Paragraph"/>
    <w:basedOn w:val="Normal"/>
    <w:uiPriority w:val="34"/>
    <w:qFormat/>
    <w:rsid w:val="6BA6FA28"/>
    <w:pPr>
      <w:ind w:left="720"/>
      <w:contextualSpacing/>
    </w:pPr>
  </w:style>
  <w:style w:type="character" w:styleId="Hyperlink">
    <w:name w:val="Hyperlink"/>
    <w:basedOn w:val="DefaultParagraphFont"/>
    <w:uiPriority w:val="99"/>
    <w:unhideWhenUsed/>
    <w:rsid w:val="6BA6FA28"/>
    <w:rPr>
      <w:color w:val="467886"/>
      <w:u w:val="single"/>
    </w:rPr>
  </w:style>
  <w:style w:type="paragraph" w:styleId="Header">
    <w:name w:val="header"/>
    <w:basedOn w:val="Normal"/>
    <w:uiPriority w:val="99"/>
    <w:unhideWhenUsed/>
    <w:rsid w:val="6BA6FA28"/>
    <w:pPr>
      <w:tabs>
        <w:tab w:val="center" w:pos="4680"/>
        <w:tab w:val="right" w:pos="9360"/>
      </w:tabs>
      <w:spacing w:after="0" w:line="240" w:lineRule="auto"/>
    </w:pPr>
  </w:style>
  <w:style w:type="paragraph" w:styleId="Footer">
    <w:name w:val="footer"/>
    <w:basedOn w:val="Normal"/>
    <w:uiPriority w:val="99"/>
    <w:unhideWhenUsed/>
    <w:rsid w:val="6BA6FA28"/>
    <w:pPr>
      <w:tabs>
        <w:tab w:val="center" w:pos="4680"/>
        <w:tab w:val="right" w:pos="9360"/>
      </w:tabs>
      <w:spacing w:after="0" w:line="240" w:lineRule="auto"/>
    </w:pPr>
  </w:style>
  <w:style w:type="paragraph" w:styleId="TOCHeading">
    <w:name w:val="TOC Heading"/>
    <w:basedOn w:val="Heading1"/>
    <w:next w:val="Normal"/>
    <w:uiPriority w:val="39"/>
    <w:unhideWhenUsed/>
    <w:qFormat/>
    <w:rsid w:val="00731BD0"/>
    <w:pPr>
      <w:spacing w:before="480" w:after="0" w:line="276" w:lineRule="auto"/>
      <w:outlineLvl w:val="9"/>
    </w:pPr>
    <w:rPr>
      <w:b/>
      <w:bCs/>
      <w:sz w:val="28"/>
      <w:szCs w:val="28"/>
      <w:lang w:val="en-US" w:eastAsia="en-US"/>
    </w:rPr>
  </w:style>
  <w:style w:type="paragraph" w:styleId="TOC1">
    <w:name w:val="toc 1"/>
    <w:basedOn w:val="Normal"/>
    <w:next w:val="Normal"/>
    <w:autoRedefine/>
    <w:uiPriority w:val="39"/>
    <w:unhideWhenUsed/>
    <w:rsid w:val="00731BD0"/>
    <w:pPr>
      <w:spacing w:before="120" w:after="120"/>
    </w:pPr>
    <w:rPr>
      <w:b/>
      <w:bCs/>
      <w:caps/>
      <w:sz w:val="20"/>
      <w:szCs w:val="20"/>
    </w:rPr>
  </w:style>
  <w:style w:type="paragraph" w:styleId="TOC2">
    <w:name w:val="toc 2"/>
    <w:basedOn w:val="Normal"/>
    <w:next w:val="Normal"/>
    <w:autoRedefine/>
    <w:uiPriority w:val="39"/>
    <w:unhideWhenUsed/>
    <w:rsid w:val="00731BD0"/>
    <w:pPr>
      <w:spacing w:after="0"/>
      <w:ind w:left="240"/>
    </w:pPr>
    <w:rPr>
      <w:smallCaps/>
      <w:sz w:val="20"/>
      <w:szCs w:val="20"/>
    </w:rPr>
  </w:style>
  <w:style w:type="paragraph" w:styleId="TOC3">
    <w:name w:val="toc 3"/>
    <w:basedOn w:val="Normal"/>
    <w:next w:val="Normal"/>
    <w:autoRedefine/>
    <w:uiPriority w:val="39"/>
    <w:semiHidden/>
    <w:unhideWhenUsed/>
    <w:rsid w:val="00731BD0"/>
    <w:pPr>
      <w:spacing w:after="0"/>
      <w:ind w:left="480"/>
    </w:pPr>
    <w:rPr>
      <w:i/>
      <w:iCs/>
      <w:sz w:val="20"/>
      <w:szCs w:val="20"/>
    </w:rPr>
  </w:style>
  <w:style w:type="paragraph" w:styleId="TOC4">
    <w:name w:val="toc 4"/>
    <w:basedOn w:val="Normal"/>
    <w:next w:val="Normal"/>
    <w:autoRedefine/>
    <w:uiPriority w:val="39"/>
    <w:semiHidden/>
    <w:unhideWhenUsed/>
    <w:rsid w:val="00731BD0"/>
    <w:pPr>
      <w:spacing w:after="0"/>
      <w:ind w:left="720"/>
    </w:pPr>
    <w:rPr>
      <w:sz w:val="18"/>
      <w:szCs w:val="18"/>
    </w:rPr>
  </w:style>
  <w:style w:type="paragraph" w:styleId="TOC5">
    <w:name w:val="toc 5"/>
    <w:basedOn w:val="Normal"/>
    <w:next w:val="Normal"/>
    <w:autoRedefine/>
    <w:uiPriority w:val="39"/>
    <w:semiHidden/>
    <w:unhideWhenUsed/>
    <w:rsid w:val="00731BD0"/>
    <w:pPr>
      <w:spacing w:after="0"/>
      <w:ind w:left="960"/>
    </w:pPr>
    <w:rPr>
      <w:sz w:val="18"/>
      <w:szCs w:val="18"/>
    </w:rPr>
  </w:style>
  <w:style w:type="paragraph" w:styleId="TOC6">
    <w:name w:val="toc 6"/>
    <w:basedOn w:val="Normal"/>
    <w:next w:val="Normal"/>
    <w:autoRedefine/>
    <w:uiPriority w:val="39"/>
    <w:semiHidden/>
    <w:unhideWhenUsed/>
    <w:rsid w:val="00731BD0"/>
    <w:pPr>
      <w:spacing w:after="0"/>
      <w:ind w:left="1200"/>
    </w:pPr>
    <w:rPr>
      <w:sz w:val="18"/>
      <w:szCs w:val="18"/>
    </w:rPr>
  </w:style>
  <w:style w:type="paragraph" w:styleId="TOC7">
    <w:name w:val="toc 7"/>
    <w:basedOn w:val="Normal"/>
    <w:next w:val="Normal"/>
    <w:autoRedefine/>
    <w:uiPriority w:val="39"/>
    <w:semiHidden/>
    <w:unhideWhenUsed/>
    <w:rsid w:val="00731BD0"/>
    <w:pPr>
      <w:spacing w:after="0"/>
      <w:ind w:left="1440"/>
    </w:pPr>
    <w:rPr>
      <w:sz w:val="18"/>
      <w:szCs w:val="18"/>
    </w:rPr>
  </w:style>
  <w:style w:type="paragraph" w:styleId="TOC8">
    <w:name w:val="toc 8"/>
    <w:basedOn w:val="Normal"/>
    <w:next w:val="Normal"/>
    <w:autoRedefine/>
    <w:uiPriority w:val="39"/>
    <w:semiHidden/>
    <w:unhideWhenUsed/>
    <w:rsid w:val="00731BD0"/>
    <w:pPr>
      <w:spacing w:after="0"/>
      <w:ind w:left="1680"/>
    </w:pPr>
    <w:rPr>
      <w:sz w:val="18"/>
      <w:szCs w:val="18"/>
    </w:rPr>
  </w:style>
  <w:style w:type="paragraph" w:styleId="TOC9">
    <w:name w:val="toc 9"/>
    <w:basedOn w:val="Normal"/>
    <w:next w:val="Normal"/>
    <w:autoRedefine/>
    <w:uiPriority w:val="39"/>
    <w:semiHidden/>
    <w:unhideWhenUsed/>
    <w:rsid w:val="00731BD0"/>
    <w:pPr>
      <w:spacing w:after="0"/>
      <w:ind w:left="1920"/>
    </w:pPr>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77/0149206314527128" TargetMode="External"/><Relationship Id="rId18" Type="http://schemas.openxmlformats.org/officeDocument/2006/relationships/hyperlink" Target="https://doi.org/10.1080/08956308.2004.11671604" TargetMode="External"/><Relationship Id="rId26" Type="http://schemas.openxmlformats.org/officeDocument/2006/relationships/hyperlink" Target="https://doi.org/10.2307/256406" TargetMode="External"/><Relationship Id="rId39" Type="http://schemas.openxmlformats.org/officeDocument/2006/relationships/hyperlink" Target="https://doi.org/10.1111/jpim.12125" TargetMode="External"/><Relationship Id="rId21" Type="http://schemas.openxmlformats.org/officeDocument/2006/relationships/hyperlink" Target="https://doi.org/10.1111/j.1540-5885.2008.00296.x" TargetMode="External"/><Relationship Id="rId34" Type="http://schemas.openxmlformats.org/officeDocument/2006/relationships/hyperlink" Target="https://doi.org/10.3390/ijerph17041150" TargetMode="External"/><Relationship Id="rId42" Type="http://schemas.openxmlformats.org/officeDocument/2006/relationships/hyperlink" Target="https://doi.org/10.1002/job.2742" TargetMode="External"/><Relationship Id="rId47"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1111/apps.12102" TargetMode="External"/><Relationship Id="rId29" Type="http://schemas.openxmlformats.org/officeDocument/2006/relationships/hyperlink" Target="https://doi.org/10.1016/j.indmarman.2011.10.00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16/j.riob.2016.10.001" TargetMode="External"/><Relationship Id="rId24" Type="http://schemas.openxmlformats.org/officeDocument/2006/relationships/hyperlink" Target="https://doi.org/https://doi.org/10.1111/j.1467-6486.2009.00880.x" TargetMode="External"/><Relationship Id="rId32" Type="http://schemas.openxmlformats.org/officeDocument/2006/relationships/hyperlink" Target="https://doi.org/10.1108/14601060310456337" TargetMode="External"/><Relationship Id="rId37" Type="http://schemas.openxmlformats.org/officeDocument/2006/relationships/hyperlink" Target="https://doi.org/10.1111/poms.12639" TargetMode="External"/><Relationship Id="rId40" Type="http://schemas.openxmlformats.org/officeDocument/2006/relationships/hyperlink" Target="https://doi.org/10.1111/jpim.12125" TargetMode="External"/><Relationship Id="rId45"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doi.org/10.1111/jpim.12021" TargetMode="External"/><Relationship Id="rId23" Type="http://schemas.openxmlformats.org/officeDocument/2006/relationships/hyperlink" Target="https://doi.org/https://doi.org/10.1111/j.1467-6486.2009.00880.x" TargetMode="External"/><Relationship Id="rId28" Type="http://schemas.openxmlformats.org/officeDocument/2006/relationships/hyperlink" Target="https://doi.org/10.5465/amj.2005.17407916" TargetMode="External"/><Relationship Id="rId36" Type="http://schemas.openxmlformats.org/officeDocument/2006/relationships/hyperlink" Target="https://doi.org/10.1111/radm.12341" TargetMode="External"/><Relationship Id="rId10" Type="http://schemas.openxmlformats.org/officeDocument/2006/relationships/hyperlink" Target="https://doi.org/10.1016/j.riob.2016.10.001" TargetMode="External"/><Relationship Id="rId19" Type="http://schemas.openxmlformats.org/officeDocument/2006/relationships/hyperlink" Target="https://doi.org/https://doi.org/10.2307/2393553" TargetMode="External"/><Relationship Id="rId31" Type="http://schemas.openxmlformats.org/officeDocument/2006/relationships/hyperlink" Target="https://doi.org/10.1002/smj.507" TargetMode="External"/><Relationship Id="rId44"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doi.org/https://doi.org/10.1016/j.riob.2016.10.001" TargetMode="External"/><Relationship Id="rId14" Type="http://schemas.openxmlformats.org/officeDocument/2006/relationships/hyperlink" Target="https://doi.org/10.1177/0149206314527128" TargetMode="External"/><Relationship Id="rId22" Type="http://schemas.openxmlformats.org/officeDocument/2006/relationships/hyperlink" Target="https://doi.org/10.1109/emr.2024.3493492" TargetMode="External"/><Relationship Id="rId27" Type="http://schemas.openxmlformats.org/officeDocument/2006/relationships/hyperlink" Target="https://doi.org/https://doi.org/10.2307/2666999" TargetMode="External"/><Relationship Id="rId30" Type="http://schemas.openxmlformats.org/officeDocument/2006/relationships/hyperlink" Target="https://doi.org/10.2307/259164" TargetMode="External"/><Relationship Id="rId35" Type="http://schemas.openxmlformats.org/officeDocument/2006/relationships/hyperlink" Target="https://doi.org/10.1016/j.jbusres.2012.03.004" TargetMode="External"/><Relationship Id="rId43" Type="http://schemas.openxmlformats.org/officeDocument/2006/relationships/hyperlink" Target="https://doi.org/10.1146/annurev-orgpsych-031413-091226" TargetMode="External"/><Relationship Id="rId48" Type="http://schemas.microsoft.com/office/2020/10/relationships/intelligence" Target="intelligence2.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doi.org/10.1016/j.riob.2016.10.001" TargetMode="External"/><Relationship Id="rId17" Type="http://schemas.openxmlformats.org/officeDocument/2006/relationships/hyperlink" Target="https://www.researchgate.net/profile/Wim-Vanhaverbeke/publication/232957368_Open_Innovation_Researching_A_New_Paradigm/links/0912f50c638616b4b2000000/Open-Innovation-Researching-A-New-Paradigm.pdf" TargetMode="External"/><Relationship Id="rId25" Type="http://schemas.openxmlformats.org/officeDocument/2006/relationships/hyperlink" Target="https://doi.org/10.1016/j.respol.2010.01.013" TargetMode="External"/><Relationship Id="rId33" Type="http://schemas.openxmlformats.org/officeDocument/2006/relationships/hyperlink" Target="https://doi.org/10.1108/14601060310456337" TargetMode="External"/><Relationship Id="rId38" Type="http://schemas.openxmlformats.org/officeDocument/2006/relationships/hyperlink" Target="https://doi.org/10.1016/j.jm.2004.06.007" TargetMode="External"/><Relationship Id="rId46" Type="http://schemas.openxmlformats.org/officeDocument/2006/relationships/fontTable" Target="fontTable.xml"/><Relationship Id="rId20" Type="http://schemas.openxmlformats.org/officeDocument/2006/relationships/hyperlink" Target="https://doi.org/10.1111/j.1540-5885.2008.00296.x" TargetMode="External"/><Relationship Id="rId41" Type="http://schemas.openxmlformats.org/officeDocument/2006/relationships/hyperlink" Target="https://doi.org/10.2307/25876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110A0FC-D8F9-CF41-AB45-FEE253FEDD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21</Pages>
  <Words>6036</Words>
  <Characters>40081</Characters>
  <Application>Microsoft Office Word</Application>
  <DocSecurity>0</DocSecurity>
  <Lines>668</Lines>
  <Paragraphs>116</Paragraphs>
  <ScaleCrop>false</ScaleCrop>
  <Company/>
  <LinksUpToDate>false</LinksUpToDate>
  <CharactersWithSpaces>46001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Williams (2309068)</dc:creator>
  <cp:keywords/>
  <dc:description/>
  <cp:lastModifiedBy>Nicholas Lloyd</cp:lastModifiedBy>
  <cp:revision>4</cp:revision>
  <dcterms:created xsi:type="dcterms:W3CDTF">2026-08-01T09:00:00Z</dcterms:created>
  <dcterms:modified xsi:type="dcterms:W3CDTF">2026-08-30T08:01:00Z</dcterms:modified>
</cp:coreProperties>
</file>