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97AB6" w14:textId="30E9BC1E" w:rsidR="00AE0DF4" w:rsidRDefault="00546030" w:rsidP="004566FA">
      <w:pPr>
        <w:spacing w:line="276" w:lineRule="auto"/>
        <w:jc w:val="both"/>
        <w:rPr>
          <w:rFonts w:ascii="Arial" w:hAnsi="Arial" w:cs="Arial"/>
          <w:b/>
          <w:bCs/>
        </w:rPr>
      </w:pPr>
      <w:r w:rsidRPr="00546030">
        <w:rPr>
          <w:rFonts w:ascii="Arial" w:hAnsi="Arial" w:cs="Arial"/>
          <w:b/>
          <w:bCs/>
        </w:rPr>
        <w:t xml:space="preserve"> </w:t>
      </w:r>
      <w:r w:rsidR="00F14BE6" w:rsidRPr="00F14BE6">
        <w:rPr>
          <w:rFonts w:ascii="Arial" w:eastAsia="Aptos" w:hAnsi="Arial" w:cs="Arial"/>
          <w:noProof/>
        </w:rPr>
        <w:drawing>
          <wp:inline distT="0" distB="0" distL="0" distR="0" wp14:anchorId="11E2989A" wp14:editId="3D050D49">
            <wp:extent cx="2725420" cy="1396365"/>
            <wp:effectExtent l="0" t="0" r="0" b="0"/>
            <wp:docPr id="86335485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54854" name="Picture 1" descr="A black text on a white backgroun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5420" cy="1396365"/>
                    </a:xfrm>
                    <a:prstGeom prst="rect">
                      <a:avLst/>
                    </a:prstGeom>
                    <a:noFill/>
                  </pic:spPr>
                </pic:pic>
              </a:graphicData>
            </a:graphic>
          </wp:inline>
        </w:drawing>
      </w:r>
    </w:p>
    <w:p w14:paraId="4688406F" w14:textId="44696D66" w:rsidR="00F14BE6" w:rsidRDefault="00F14BE6" w:rsidP="004566FA">
      <w:pPr>
        <w:spacing w:line="276" w:lineRule="auto"/>
        <w:jc w:val="both"/>
        <w:rPr>
          <w:b/>
          <w:bCs/>
        </w:rPr>
      </w:pPr>
    </w:p>
    <w:p w14:paraId="0B4C2160" w14:textId="77777777" w:rsidR="00F14BE6" w:rsidRDefault="00F14BE6" w:rsidP="004566FA">
      <w:pPr>
        <w:spacing w:line="276" w:lineRule="auto"/>
        <w:jc w:val="both"/>
        <w:rPr>
          <w:b/>
          <w:bCs/>
        </w:rPr>
      </w:pPr>
    </w:p>
    <w:p w14:paraId="2D0761F8" w14:textId="77777777" w:rsidR="00F14BE6" w:rsidRDefault="00F14BE6" w:rsidP="004566FA">
      <w:pPr>
        <w:spacing w:line="276" w:lineRule="auto"/>
        <w:jc w:val="both"/>
        <w:rPr>
          <w:b/>
          <w:bCs/>
        </w:rPr>
      </w:pPr>
    </w:p>
    <w:p w14:paraId="7FFEAB66" w14:textId="4920609D" w:rsidR="00AE0DF4" w:rsidRDefault="00AE0DF4" w:rsidP="004566FA">
      <w:pPr>
        <w:spacing w:line="276" w:lineRule="auto"/>
        <w:jc w:val="both"/>
        <w:rPr>
          <w:b/>
          <w:bCs/>
        </w:rPr>
      </w:pPr>
      <w:r w:rsidRPr="00263471">
        <w:rPr>
          <w:b/>
          <w:bCs/>
        </w:rPr>
        <w:t>Student name:</w:t>
      </w:r>
      <w:r w:rsidR="00F14BE6">
        <w:rPr>
          <w:b/>
          <w:bCs/>
        </w:rPr>
        <w:t xml:space="preserve"> </w:t>
      </w:r>
      <w:r w:rsidR="00F14BE6" w:rsidRPr="00F14BE6">
        <w:t>Marie Louise Audrey Sombo Niamie</w:t>
      </w:r>
    </w:p>
    <w:p w14:paraId="34783D21" w14:textId="6C6C07D7" w:rsidR="00263471" w:rsidRPr="00263471" w:rsidRDefault="00F14BE6" w:rsidP="004566FA">
      <w:pPr>
        <w:spacing w:line="276" w:lineRule="auto"/>
        <w:jc w:val="both"/>
        <w:rPr>
          <w:b/>
          <w:bCs/>
        </w:rPr>
      </w:pPr>
      <w:r>
        <w:rPr>
          <w:b/>
          <w:bCs/>
        </w:rPr>
        <w:t>Student number:</w:t>
      </w:r>
      <w:r w:rsidRPr="00F14BE6">
        <w:t xml:space="preserve"> 2335747</w:t>
      </w:r>
    </w:p>
    <w:p w14:paraId="5FEE5596" w14:textId="48FF6321" w:rsidR="00AE0DF4" w:rsidRDefault="00AE0DF4" w:rsidP="004566FA">
      <w:pPr>
        <w:spacing w:line="276" w:lineRule="auto"/>
        <w:jc w:val="both"/>
      </w:pPr>
      <w:r w:rsidRPr="00263471">
        <w:rPr>
          <w:b/>
          <w:bCs/>
        </w:rPr>
        <w:t>Programme:</w:t>
      </w:r>
      <w:r>
        <w:t xml:space="preserve">                 BSc (Hons) Health and Social Care</w:t>
      </w:r>
    </w:p>
    <w:p w14:paraId="0F41BA2C" w14:textId="77777777" w:rsidR="00263471" w:rsidRDefault="00263471" w:rsidP="004566FA">
      <w:pPr>
        <w:spacing w:line="276" w:lineRule="auto"/>
        <w:jc w:val="both"/>
        <w:rPr>
          <w:rFonts w:ascii="Arial" w:hAnsi="Arial" w:cs="Arial"/>
          <w:b/>
          <w:bCs/>
        </w:rPr>
      </w:pPr>
    </w:p>
    <w:p w14:paraId="3F9A3B65" w14:textId="01DFDE9B" w:rsidR="00AE0DF4" w:rsidRDefault="00AE0DF4" w:rsidP="004566FA">
      <w:pPr>
        <w:spacing w:line="276" w:lineRule="auto"/>
        <w:jc w:val="both"/>
      </w:pPr>
      <w:r w:rsidRPr="00263471">
        <w:rPr>
          <w:b/>
          <w:bCs/>
        </w:rPr>
        <w:t>Module: Changemakers</w:t>
      </w:r>
      <w:r>
        <w:t>:  Creativity and Value Creation</w:t>
      </w:r>
    </w:p>
    <w:p w14:paraId="1865E48E" w14:textId="77777777" w:rsidR="00263471" w:rsidRDefault="00263471" w:rsidP="004566FA">
      <w:pPr>
        <w:spacing w:line="276" w:lineRule="auto"/>
        <w:jc w:val="both"/>
        <w:rPr>
          <w:rFonts w:ascii="Arial" w:hAnsi="Arial" w:cs="Arial"/>
          <w:b/>
          <w:bCs/>
        </w:rPr>
      </w:pPr>
    </w:p>
    <w:p w14:paraId="6FB6E26D" w14:textId="5557997B" w:rsidR="00AE0DF4" w:rsidRDefault="00263471" w:rsidP="004566FA">
      <w:pPr>
        <w:spacing w:line="276" w:lineRule="auto"/>
        <w:jc w:val="both"/>
      </w:pPr>
      <w:r w:rsidRPr="00263471">
        <w:rPr>
          <w:b/>
          <w:bCs/>
        </w:rPr>
        <w:t>Module code:</w:t>
      </w:r>
      <w:r>
        <w:t xml:space="preserve">       BMHP5014</w:t>
      </w:r>
    </w:p>
    <w:p w14:paraId="008458E6" w14:textId="77777777" w:rsidR="00263471" w:rsidRDefault="00263471" w:rsidP="004566FA">
      <w:pPr>
        <w:spacing w:line="276" w:lineRule="auto"/>
        <w:jc w:val="both"/>
        <w:rPr>
          <w:rFonts w:ascii="Arial" w:hAnsi="Arial" w:cs="Arial"/>
          <w:b/>
          <w:bCs/>
        </w:rPr>
      </w:pPr>
    </w:p>
    <w:p w14:paraId="28D47DF1" w14:textId="2FEC79A5" w:rsidR="00AE0DF4" w:rsidRDefault="00263471" w:rsidP="004566FA">
      <w:pPr>
        <w:spacing w:line="276" w:lineRule="auto"/>
        <w:jc w:val="both"/>
      </w:pPr>
      <w:r w:rsidRPr="00263471">
        <w:rPr>
          <w:b/>
          <w:bCs/>
        </w:rPr>
        <w:t>Lecturer:</w:t>
      </w:r>
      <w:r>
        <w:t xml:space="preserve">   Caroline Salami </w:t>
      </w:r>
    </w:p>
    <w:p w14:paraId="42A1627D" w14:textId="77777777" w:rsidR="00263471" w:rsidRDefault="00263471" w:rsidP="004566FA">
      <w:pPr>
        <w:spacing w:line="276" w:lineRule="auto"/>
        <w:jc w:val="both"/>
        <w:rPr>
          <w:rFonts w:ascii="Arial" w:hAnsi="Arial" w:cs="Arial"/>
          <w:b/>
          <w:bCs/>
        </w:rPr>
      </w:pPr>
    </w:p>
    <w:p w14:paraId="720AD55E" w14:textId="1E674771" w:rsidR="00AE0DF4" w:rsidRDefault="00263471" w:rsidP="004566FA">
      <w:pPr>
        <w:spacing w:line="276" w:lineRule="auto"/>
        <w:jc w:val="both"/>
        <w:rPr>
          <w:rFonts w:ascii="Arial" w:hAnsi="Arial" w:cs="Arial"/>
          <w:b/>
          <w:bCs/>
        </w:rPr>
      </w:pPr>
      <w:r w:rsidRPr="00263471">
        <w:rPr>
          <w:b/>
          <w:bCs/>
        </w:rPr>
        <w:t>Assignment Title:</w:t>
      </w:r>
      <w:r>
        <w:t xml:space="preserve">         Component </w:t>
      </w:r>
      <w:proofErr w:type="gramStart"/>
      <w:r>
        <w:t>1</w:t>
      </w:r>
      <w:r w:rsidR="002A12BF">
        <w:t xml:space="preserve"> :</w:t>
      </w:r>
      <w:proofErr w:type="gramEnd"/>
      <w:r w:rsidR="002A12BF">
        <w:t xml:space="preserve"> Online portfolio of set exercises</w:t>
      </w:r>
    </w:p>
    <w:p w14:paraId="6E9E41F0" w14:textId="77777777" w:rsidR="00AE0DF4" w:rsidRDefault="00AE0DF4" w:rsidP="004566FA">
      <w:pPr>
        <w:spacing w:line="276" w:lineRule="auto"/>
        <w:jc w:val="both"/>
        <w:rPr>
          <w:rFonts w:ascii="Arial" w:hAnsi="Arial" w:cs="Arial"/>
          <w:b/>
          <w:bCs/>
        </w:rPr>
      </w:pPr>
    </w:p>
    <w:p w14:paraId="6F747602" w14:textId="77777777" w:rsidR="00AE0DF4" w:rsidRDefault="00AE0DF4" w:rsidP="004566FA">
      <w:pPr>
        <w:spacing w:line="276" w:lineRule="auto"/>
        <w:jc w:val="both"/>
        <w:rPr>
          <w:rFonts w:ascii="Arial" w:hAnsi="Arial" w:cs="Arial"/>
          <w:b/>
          <w:bCs/>
        </w:rPr>
      </w:pPr>
    </w:p>
    <w:p w14:paraId="6BF08B6A" w14:textId="77777777" w:rsidR="00AE0DF4" w:rsidRDefault="00AE0DF4" w:rsidP="004566FA">
      <w:pPr>
        <w:spacing w:line="276" w:lineRule="auto"/>
        <w:jc w:val="both"/>
        <w:rPr>
          <w:rFonts w:ascii="Arial" w:hAnsi="Arial" w:cs="Arial"/>
          <w:b/>
          <w:bCs/>
        </w:rPr>
      </w:pPr>
    </w:p>
    <w:p w14:paraId="48C57F6A" w14:textId="77777777" w:rsidR="00AE0DF4" w:rsidRDefault="00AE0DF4" w:rsidP="004566FA">
      <w:pPr>
        <w:spacing w:line="276" w:lineRule="auto"/>
        <w:jc w:val="both"/>
        <w:rPr>
          <w:rFonts w:ascii="Arial" w:hAnsi="Arial" w:cs="Arial"/>
          <w:b/>
          <w:bCs/>
        </w:rPr>
      </w:pPr>
    </w:p>
    <w:p w14:paraId="6B93C782" w14:textId="77777777" w:rsidR="00AE0DF4" w:rsidRDefault="00AE0DF4" w:rsidP="004566FA">
      <w:pPr>
        <w:spacing w:line="276" w:lineRule="auto"/>
        <w:jc w:val="both"/>
        <w:rPr>
          <w:rFonts w:ascii="Arial" w:hAnsi="Arial" w:cs="Arial"/>
          <w:b/>
          <w:bCs/>
        </w:rPr>
      </w:pPr>
    </w:p>
    <w:p w14:paraId="529F95D0" w14:textId="77777777" w:rsidR="00AE0DF4" w:rsidRDefault="00AE0DF4" w:rsidP="004566FA">
      <w:pPr>
        <w:spacing w:line="276" w:lineRule="auto"/>
        <w:jc w:val="both"/>
        <w:rPr>
          <w:rFonts w:ascii="Arial" w:hAnsi="Arial" w:cs="Arial"/>
          <w:b/>
          <w:bCs/>
        </w:rPr>
      </w:pPr>
    </w:p>
    <w:p w14:paraId="5F0824DF" w14:textId="77777777" w:rsidR="00AE0DF4" w:rsidRDefault="00AE0DF4" w:rsidP="004566FA">
      <w:pPr>
        <w:spacing w:line="276" w:lineRule="auto"/>
        <w:jc w:val="both"/>
        <w:rPr>
          <w:rFonts w:ascii="Arial" w:hAnsi="Arial" w:cs="Arial"/>
          <w:b/>
          <w:bCs/>
        </w:rPr>
      </w:pPr>
    </w:p>
    <w:p w14:paraId="57EF33A1" w14:textId="77777777" w:rsidR="00AE0DF4" w:rsidRDefault="00AE0DF4" w:rsidP="004566FA">
      <w:pPr>
        <w:spacing w:line="276" w:lineRule="auto"/>
        <w:jc w:val="both"/>
        <w:rPr>
          <w:rFonts w:ascii="Arial" w:hAnsi="Arial" w:cs="Arial"/>
          <w:b/>
          <w:bCs/>
        </w:rPr>
      </w:pPr>
    </w:p>
    <w:p w14:paraId="274ACBF9" w14:textId="77777777" w:rsidR="00AE0DF4" w:rsidRDefault="00AE0DF4" w:rsidP="004566FA">
      <w:pPr>
        <w:spacing w:line="276" w:lineRule="auto"/>
        <w:jc w:val="both"/>
        <w:rPr>
          <w:rFonts w:ascii="Arial" w:hAnsi="Arial" w:cs="Arial"/>
          <w:b/>
          <w:bCs/>
        </w:rPr>
      </w:pPr>
    </w:p>
    <w:p w14:paraId="6FA279C7" w14:textId="77777777" w:rsidR="00AE0DF4" w:rsidRDefault="00AE0DF4" w:rsidP="004566FA">
      <w:pPr>
        <w:spacing w:line="276" w:lineRule="auto"/>
        <w:jc w:val="both"/>
        <w:rPr>
          <w:rFonts w:ascii="Arial" w:hAnsi="Arial" w:cs="Arial"/>
          <w:b/>
          <w:bCs/>
        </w:rPr>
      </w:pPr>
    </w:p>
    <w:p w14:paraId="34393679" w14:textId="77777777" w:rsidR="00AE0DF4" w:rsidRDefault="00AE0DF4" w:rsidP="004566FA">
      <w:pPr>
        <w:spacing w:line="276" w:lineRule="auto"/>
        <w:jc w:val="both"/>
        <w:rPr>
          <w:rFonts w:ascii="Arial" w:hAnsi="Arial" w:cs="Arial"/>
          <w:b/>
          <w:bCs/>
        </w:rPr>
      </w:pPr>
    </w:p>
    <w:p w14:paraId="03DF6243" w14:textId="587C4A99" w:rsidR="00546030" w:rsidRPr="00546030" w:rsidRDefault="00546030" w:rsidP="004566FA">
      <w:pPr>
        <w:spacing w:line="276" w:lineRule="auto"/>
        <w:jc w:val="both"/>
        <w:rPr>
          <w:rFonts w:ascii="Arial" w:hAnsi="Arial" w:cs="Arial"/>
          <w:b/>
          <w:bCs/>
        </w:rPr>
      </w:pPr>
      <w:r w:rsidRPr="00546030">
        <w:rPr>
          <w:rFonts w:ascii="Arial" w:hAnsi="Arial" w:cs="Arial"/>
          <w:b/>
          <w:bCs/>
        </w:rPr>
        <w:t>Innovation, Creativity, Value Creation, and Change</w:t>
      </w:r>
    </w:p>
    <w:p w14:paraId="2BC94995" w14:textId="60657E40" w:rsidR="00546030" w:rsidRPr="00546030" w:rsidRDefault="00546030" w:rsidP="004566FA">
      <w:pPr>
        <w:spacing w:line="276" w:lineRule="auto"/>
        <w:jc w:val="both"/>
        <w:rPr>
          <w:rFonts w:ascii="Arial" w:hAnsi="Arial" w:cs="Arial"/>
        </w:rPr>
      </w:pPr>
    </w:p>
    <w:p w14:paraId="6418972B" w14:textId="44A80733" w:rsidR="00546030" w:rsidRPr="00546030" w:rsidRDefault="00546030" w:rsidP="004566FA">
      <w:pPr>
        <w:spacing w:line="276" w:lineRule="auto"/>
        <w:jc w:val="both"/>
        <w:rPr>
          <w:rFonts w:ascii="Arial" w:hAnsi="Arial" w:cs="Arial"/>
        </w:rPr>
      </w:pPr>
      <w:r w:rsidRPr="00546030">
        <w:rPr>
          <w:rFonts w:ascii="Arial" w:hAnsi="Arial" w:cs="Arial"/>
        </w:rPr>
        <w:t xml:space="preserve">Innovation functions as a strategic lever for service optimisation across health and social care, representing the structured development and deployment of enhanced ideas, processes, or technologies that elevate delivery standards (Tidd &amp; Bessant, 2021). The sector’s operational pressures rising demand, workforce shortages, and complex long-term </w:t>
      </w:r>
      <w:r w:rsidR="00026147" w:rsidRPr="00546030">
        <w:rPr>
          <w:rFonts w:ascii="Arial" w:hAnsi="Arial" w:cs="Arial"/>
        </w:rPr>
        <w:t>conditions make</w:t>
      </w:r>
      <w:r w:rsidRPr="00546030">
        <w:rPr>
          <w:rFonts w:ascii="Arial" w:hAnsi="Arial" w:cs="Arial"/>
        </w:rPr>
        <w:t xml:space="preserve"> innovation non-negotiable for system sustainability. Although innovative models offer substantial potential, the sector often fails to fully leverage them due to fragmented adoption, cultural resistance, and inconsistent implementation strategies. Remote-care solutions such as virtual wards illustrate this gap; while they enable clinicians to maintain clinical oversight and reduce avoidable admissions, poorly executed rollouts risk widening inequalities and reducing relational care quality (Norman et al., 2023). This reinforces that innovation must be evidence-driven, user-centred, and ethically integrated rather than adopted for the sake of modernisation.</w:t>
      </w:r>
    </w:p>
    <w:p w14:paraId="1E6C35BF" w14:textId="77777777" w:rsidR="00546030" w:rsidRPr="00546030" w:rsidRDefault="00546030" w:rsidP="004566FA">
      <w:pPr>
        <w:spacing w:line="276" w:lineRule="auto"/>
        <w:jc w:val="both"/>
        <w:rPr>
          <w:rFonts w:ascii="Arial" w:hAnsi="Arial" w:cs="Arial"/>
        </w:rPr>
      </w:pPr>
      <w:r w:rsidRPr="00546030">
        <w:rPr>
          <w:rFonts w:ascii="Arial" w:hAnsi="Arial" w:cs="Arial"/>
        </w:rPr>
        <w:t>Creativity is a fundamental capability underpinning innovation. It involves generating original and valuable ideas through flexible, adaptive cognitive processes (Runco &amp; Jaeger, 2012). Within health and social care, practitioners must frequently navigate complex, ambiguous scenarios that exceed the limits of procedural responses. Creative problem-solving supports reframing barriers, tailoring interventions, and developing personalised approaches. Examples include arts-based interventions in mental health services, where music or expressive therapies enhance emotional expression and reduce distress. However, creativity is heavily influenced by organisational dynamics. Rigid, risk-averse cultures erode psychological safety, suppressing the ideation behaviours required to strengthen service models.</w:t>
      </w:r>
    </w:p>
    <w:p w14:paraId="3856B428" w14:textId="77777777" w:rsidR="00546030" w:rsidRPr="00546030" w:rsidRDefault="00546030" w:rsidP="004566FA">
      <w:pPr>
        <w:spacing w:line="276" w:lineRule="auto"/>
        <w:jc w:val="both"/>
        <w:rPr>
          <w:rFonts w:ascii="Arial" w:hAnsi="Arial" w:cs="Arial"/>
        </w:rPr>
      </w:pPr>
      <w:r w:rsidRPr="00546030">
        <w:rPr>
          <w:rFonts w:ascii="Arial" w:hAnsi="Arial" w:cs="Arial"/>
        </w:rPr>
        <w:t>Value creation focuses on achieving tangible benefits for service users, professionals, and organisations by improving outcomes relative to resources invested (Porter et al., 2021). With financial pressure increasing, value-driven systems prioritise person-centredness, effectiveness, and efficiency. Integrated care teams exemplify value creation by streamlining pathways, reducing duplication, and preventing unnecessary hospital activity. Crucially, value must be co-produced with service users, ensuring that interventions reflect real needs and not solely organisational targets.</w:t>
      </w:r>
    </w:p>
    <w:p w14:paraId="714A3F37" w14:textId="77777777" w:rsidR="00546030" w:rsidRPr="00546030" w:rsidRDefault="00546030" w:rsidP="004566FA">
      <w:pPr>
        <w:spacing w:line="276" w:lineRule="auto"/>
        <w:jc w:val="both"/>
        <w:rPr>
          <w:rFonts w:ascii="Arial" w:hAnsi="Arial" w:cs="Arial"/>
        </w:rPr>
      </w:pPr>
      <w:r w:rsidRPr="00546030">
        <w:rPr>
          <w:rFonts w:ascii="Arial" w:hAnsi="Arial" w:cs="Arial"/>
        </w:rPr>
        <w:t>Change represents the structured transition of individuals, teams, or systems towards new ways of working that drive improved performance (Burke, 2018). In health and social care, change is constant — driven by digitalisation, shifting demographics, and advancing clinical evidence. Successful change management depends on communication, leadership, workforce readiness, and structured implementation processes. For example, transitions to electronic health records require cultural realignment, workflow redesign, and upskilling. Absent a structured approach, organisations risk reduced performance and compromised patient safety.</w:t>
      </w:r>
    </w:p>
    <w:p w14:paraId="6C7C007C" w14:textId="6A4E8C8C" w:rsidR="00546030" w:rsidRPr="00546030" w:rsidRDefault="00546030" w:rsidP="004566FA">
      <w:pPr>
        <w:spacing w:line="276" w:lineRule="auto"/>
        <w:jc w:val="both"/>
        <w:rPr>
          <w:rFonts w:ascii="Arial" w:hAnsi="Arial" w:cs="Arial"/>
        </w:rPr>
      </w:pPr>
    </w:p>
    <w:p w14:paraId="5E6B7109" w14:textId="263543DF" w:rsidR="00546030" w:rsidRPr="00026147" w:rsidRDefault="00546030" w:rsidP="004566FA">
      <w:pPr>
        <w:spacing w:line="276" w:lineRule="auto"/>
        <w:jc w:val="both"/>
        <w:rPr>
          <w:rFonts w:ascii="Arial" w:hAnsi="Arial" w:cs="Arial"/>
          <w:b/>
          <w:bCs/>
        </w:rPr>
      </w:pPr>
      <w:r w:rsidRPr="00546030">
        <w:rPr>
          <w:rFonts w:ascii="Arial" w:hAnsi="Arial" w:cs="Arial"/>
          <w:b/>
          <w:bCs/>
        </w:rPr>
        <w:t>Mind Map</w:t>
      </w:r>
    </w:p>
    <w:p w14:paraId="5ADC3C36" w14:textId="24A8A2EE" w:rsidR="00546030" w:rsidRPr="00546030" w:rsidRDefault="00546030" w:rsidP="004566FA">
      <w:pPr>
        <w:spacing w:line="276" w:lineRule="auto"/>
        <w:jc w:val="both"/>
        <w:rPr>
          <w:rFonts w:ascii="Arial" w:hAnsi="Arial" w:cs="Arial"/>
        </w:rPr>
      </w:pPr>
      <w:r w:rsidRPr="00546030">
        <w:rPr>
          <w:rFonts w:ascii="Arial" w:hAnsi="Arial" w:cs="Arial"/>
        </w:rPr>
        <w:t xml:space="preserve">A mind map provides a high-value analytical framework for deconstructing complex challenges in health and social care and aligns directly with the module’s themes of creativity, innovation, and value creation. Its visual, non-linear structure supports flexible thinking, enabling practitioners to explore interdependencies and identify strategic opportunities for improvement. By positioning a central issue such as improving patient </w:t>
      </w:r>
      <w:r w:rsidR="00B25882" w:rsidRPr="00546030">
        <w:rPr>
          <w:rFonts w:ascii="Arial" w:hAnsi="Arial" w:cs="Arial"/>
        </w:rPr>
        <w:t>safety practitioners</w:t>
      </w:r>
      <w:r w:rsidRPr="00546030">
        <w:rPr>
          <w:rFonts w:ascii="Arial" w:hAnsi="Arial" w:cs="Arial"/>
        </w:rPr>
        <w:t xml:space="preserve"> can branch into associated domains including digital monitoring, virtual wards, and pathway redesign. Evidence already highlights that technologies such as remote monitoring can reduce avoidable admissions and improve treatment oversight (CQC, 2021), making the mind map a practical tool for identifying high-impact interventions.</w:t>
      </w:r>
    </w:p>
    <w:p w14:paraId="4DFECA91" w14:textId="77777777" w:rsidR="00546030" w:rsidRPr="00546030" w:rsidRDefault="00546030" w:rsidP="004566FA">
      <w:pPr>
        <w:spacing w:line="276" w:lineRule="auto"/>
        <w:jc w:val="both"/>
        <w:rPr>
          <w:rFonts w:ascii="Arial" w:hAnsi="Arial" w:cs="Arial"/>
        </w:rPr>
      </w:pPr>
      <w:r w:rsidRPr="00546030">
        <w:rPr>
          <w:rFonts w:ascii="Arial" w:hAnsi="Arial" w:cs="Arial"/>
        </w:rPr>
        <w:t>The creativity branch enables practitioners to reframe problems through user-centred perspectives, encouraging co-design approaches and ideation techniques that support the generation of novel solutions (Runco &amp; Jaeger, 2012). This strengthens the quality of decision-making by broadening the scope of possible interventions beyond routine practice.</w:t>
      </w:r>
    </w:p>
    <w:p w14:paraId="42AE0C8B" w14:textId="77777777" w:rsidR="00546030" w:rsidRPr="00546030" w:rsidRDefault="00546030" w:rsidP="004566FA">
      <w:pPr>
        <w:spacing w:line="276" w:lineRule="auto"/>
        <w:jc w:val="both"/>
        <w:rPr>
          <w:rFonts w:ascii="Arial" w:hAnsi="Arial" w:cs="Arial"/>
        </w:rPr>
      </w:pPr>
      <w:r w:rsidRPr="00546030">
        <w:rPr>
          <w:rFonts w:ascii="Arial" w:hAnsi="Arial" w:cs="Arial"/>
        </w:rPr>
        <w:t>The value-creation branch focuses on ensuring that proposed solutions deliver measurable benefits relative to system constraints. This includes reducing duplication, enhancing care continuity, or improving clinical outcomes (Porter et al., 2021).</w:t>
      </w:r>
    </w:p>
    <w:p w14:paraId="2A24119B" w14:textId="77777777" w:rsidR="00546030" w:rsidRPr="00546030" w:rsidRDefault="00546030" w:rsidP="004566FA">
      <w:pPr>
        <w:spacing w:line="276" w:lineRule="auto"/>
        <w:jc w:val="both"/>
        <w:rPr>
          <w:rFonts w:ascii="Arial" w:hAnsi="Arial" w:cs="Arial"/>
        </w:rPr>
      </w:pPr>
      <w:r w:rsidRPr="00546030">
        <w:rPr>
          <w:rFonts w:ascii="Arial" w:hAnsi="Arial" w:cs="Arial"/>
        </w:rPr>
        <w:t>The change branch highlights the leadership, communication, and workforce readiness required to convert conceptual ideas into operational improvements (Burke, 2018).</w:t>
      </w:r>
    </w:p>
    <w:p w14:paraId="44C42A5F" w14:textId="77777777" w:rsidR="00546030" w:rsidRPr="00546030" w:rsidRDefault="00546030" w:rsidP="004566FA">
      <w:pPr>
        <w:spacing w:line="276" w:lineRule="auto"/>
        <w:jc w:val="both"/>
        <w:rPr>
          <w:rFonts w:ascii="Arial" w:hAnsi="Arial" w:cs="Arial"/>
        </w:rPr>
      </w:pPr>
      <w:r w:rsidRPr="00546030">
        <w:rPr>
          <w:rFonts w:ascii="Arial" w:hAnsi="Arial" w:cs="Arial"/>
        </w:rPr>
        <w:t>Overall, the mind map drives integrated, forward-thinking reasoning, enabling practitioners to connect theory with actionable practice and produce structured, evidence-informed solutions.</w:t>
      </w:r>
    </w:p>
    <w:p w14:paraId="52BFE3B4" w14:textId="6272BA96" w:rsidR="00546030" w:rsidRPr="00546030" w:rsidRDefault="00546030" w:rsidP="004566FA">
      <w:pPr>
        <w:spacing w:line="276" w:lineRule="auto"/>
        <w:jc w:val="both"/>
        <w:rPr>
          <w:rFonts w:ascii="Arial" w:hAnsi="Arial" w:cs="Arial"/>
        </w:rPr>
      </w:pPr>
    </w:p>
    <w:p w14:paraId="65EB1F64" w14:textId="7C85ACFF" w:rsidR="00546030" w:rsidRPr="00026147" w:rsidRDefault="00546030" w:rsidP="004566FA">
      <w:pPr>
        <w:spacing w:line="276" w:lineRule="auto"/>
        <w:jc w:val="both"/>
        <w:rPr>
          <w:rFonts w:ascii="Arial" w:hAnsi="Arial" w:cs="Arial"/>
          <w:b/>
          <w:bCs/>
        </w:rPr>
      </w:pPr>
      <w:r w:rsidRPr="00546030">
        <w:rPr>
          <w:rFonts w:ascii="Arial" w:hAnsi="Arial" w:cs="Arial"/>
          <w:b/>
          <w:bCs/>
        </w:rPr>
        <w:t>Self-Reflection of Group Activity</w:t>
      </w:r>
    </w:p>
    <w:p w14:paraId="0820333F" w14:textId="77777777" w:rsidR="00546030" w:rsidRPr="00546030" w:rsidRDefault="00546030" w:rsidP="004566FA">
      <w:pPr>
        <w:spacing w:line="276" w:lineRule="auto"/>
        <w:jc w:val="both"/>
        <w:rPr>
          <w:rFonts w:ascii="Arial" w:hAnsi="Arial" w:cs="Arial"/>
        </w:rPr>
      </w:pPr>
      <w:r w:rsidRPr="00546030">
        <w:rPr>
          <w:rFonts w:ascii="Arial" w:hAnsi="Arial" w:cs="Arial"/>
        </w:rPr>
        <w:t>The group activity offered a constructive environment to examine how divergent and convergent thinking operate in real time. Divergent thinking facilitates the generation of multiple ideas without premature judgement, while convergent thinking evaluates and narrows these ideas to identify the most viable solution (Runco &amp; Acar, 2012). This combination is shown to underpin effective problem-solving, creating a balanced cognitive structure for resolving complex issues (Giancola et al., 2024).</w:t>
      </w:r>
    </w:p>
    <w:p w14:paraId="565AAB49" w14:textId="77777777" w:rsidR="00546030" w:rsidRPr="00546030" w:rsidRDefault="00546030" w:rsidP="004566FA">
      <w:pPr>
        <w:spacing w:line="276" w:lineRule="auto"/>
        <w:jc w:val="both"/>
        <w:rPr>
          <w:rFonts w:ascii="Arial" w:hAnsi="Arial" w:cs="Arial"/>
        </w:rPr>
      </w:pPr>
      <w:r w:rsidRPr="00546030">
        <w:rPr>
          <w:rFonts w:ascii="Arial" w:hAnsi="Arial" w:cs="Arial"/>
          <w:b/>
          <w:bCs/>
        </w:rPr>
        <w:t>Description:</w:t>
      </w:r>
      <w:r w:rsidRPr="00546030">
        <w:rPr>
          <w:rFonts w:ascii="Arial" w:hAnsi="Arial" w:cs="Arial"/>
        </w:rPr>
        <w:br/>
        <w:t>During the task, the group was required to produce an immediate solution to a health and social care problem. I contributed proactively, offering ideas that ranged from practical to exploratory. The activity encouraged creativity, and no suggestions were dismissed at the initial stage.</w:t>
      </w:r>
    </w:p>
    <w:p w14:paraId="6F6A0095" w14:textId="77777777" w:rsidR="00546030" w:rsidRPr="00546030" w:rsidRDefault="00546030" w:rsidP="004566FA">
      <w:pPr>
        <w:spacing w:line="276" w:lineRule="auto"/>
        <w:jc w:val="both"/>
        <w:rPr>
          <w:rFonts w:ascii="Arial" w:hAnsi="Arial" w:cs="Arial"/>
        </w:rPr>
      </w:pPr>
      <w:r w:rsidRPr="00546030">
        <w:rPr>
          <w:rFonts w:ascii="Arial" w:hAnsi="Arial" w:cs="Arial"/>
          <w:b/>
          <w:bCs/>
        </w:rPr>
        <w:lastRenderedPageBreak/>
        <w:t>Feelings:</w:t>
      </w:r>
      <w:r w:rsidRPr="00546030">
        <w:rPr>
          <w:rFonts w:ascii="Arial" w:hAnsi="Arial" w:cs="Arial"/>
        </w:rPr>
        <w:br/>
        <w:t>As contributions accumulated and the group embraced open dialogue, my confidence increased. The team dynamic was supportive, creating the psychological safety needed for idea generation.</w:t>
      </w:r>
    </w:p>
    <w:p w14:paraId="50A55801" w14:textId="77777777" w:rsidR="00546030" w:rsidRPr="00546030" w:rsidRDefault="00546030" w:rsidP="004566FA">
      <w:pPr>
        <w:spacing w:line="276" w:lineRule="auto"/>
        <w:jc w:val="both"/>
        <w:rPr>
          <w:rFonts w:ascii="Arial" w:hAnsi="Arial" w:cs="Arial"/>
        </w:rPr>
      </w:pPr>
      <w:r w:rsidRPr="00546030">
        <w:rPr>
          <w:rFonts w:ascii="Arial" w:hAnsi="Arial" w:cs="Arial"/>
          <w:b/>
          <w:bCs/>
        </w:rPr>
        <w:t>Evaluation:</w:t>
      </w:r>
      <w:r w:rsidRPr="00546030">
        <w:rPr>
          <w:rFonts w:ascii="Arial" w:hAnsi="Arial" w:cs="Arial"/>
        </w:rPr>
        <w:br/>
        <w:t>The divergent phase was energising, enabling the team to surface a wide range of options. The convergent stage was more challenging, as it demanded prioritisation, critical evaluation, and alignment. Reaching consensus required structured negotiation and shared rationale.</w:t>
      </w:r>
    </w:p>
    <w:p w14:paraId="722DEC36" w14:textId="77777777" w:rsidR="00546030" w:rsidRPr="00546030" w:rsidRDefault="00546030" w:rsidP="004566FA">
      <w:pPr>
        <w:spacing w:line="276" w:lineRule="auto"/>
        <w:jc w:val="both"/>
        <w:rPr>
          <w:rFonts w:ascii="Arial" w:hAnsi="Arial" w:cs="Arial"/>
        </w:rPr>
      </w:pPr>
      <w:r w:rsidRPr="00546030">
        <w:rPr>
          <w:rFonts w:ascii="Arial" w:hAnsi="Arial" w:cs="Arial"/>
          <w:b/>
          <w:bCs/>
        </w:rPr>
        <w:t>Analysis:</w:t>
      </w:r>
      <w:r w:rsidRPr="00546030">
        <w:rPr>
          <w:rFonts w:ascii="Arial" w:hAnsi="Arial" w:cs="Arial"/>
        </w:rPr>
        <w:br/>
        <w:t>I recognised a personal inclination towards convergent thinking, particularly valuing clarity, organisation, and structure. This experience highlighted the strategic importance of balancing both styles. Effective collaboration required active listening, constructive challenge, and equitable participation.</w:t>
      </w:r>
    </w:p>
    <w:p w14:paraId="66CBC941" w14:textId="77777777" w:rsidR="00546030" w:rsidRPr="00546030" w:rsidRDefault="00546030" w:rsidP="00871341">
      <w:pPr>
        <w:spacing w:line="276" w:lineRule="auto"/>
        <w:rPr>
          <w:rFonts w:ascii="Arial" w:hAnsi="Arial" w:cs="Arial"/>
        </w:rPr>
      </w:pPr>
      <w:r w:rsidRPr="00546030">
        <w:rPr>
          <w:rFonts w:ascii="Arial" w:hAnsi="Arial" w:cs="Arial"/>
          <w:b/>
          <w:bCs/>
        </w:rPr>
        <w:t>Conclusion and Action Plan:</w:t>
      </w:r>
      <w:r w:rsidRPr="00546030">
        <w:rPr>
          <w:rFonts w:ascii="Arial" w:hAnsi="Arial" w:cs="Arial"/>
        </w:rPr>
        <w:br/>
        <w:t>In future tasks, I intend to take a more deliberate approach during the brainstorming phase, ensuring space for novel contributions without premature filtering. I will also support the team by applying clearer decision-making criteria during the convergence stage to promote efficiency and quality of outcomes.</w:t>
      </w:r>
    </w:p>
    <w:p w14:paraId="18BF8230" w14:textId="33419DD3" w:rsidR="00546030" w:rsidRPr="00026147" w:rsidRDefault="00546030" w:rsidP="004566FA">
      <w:pPr>
        <w:spacing w:line="276" w:lineRule="auto"/>
        <w:jc w:val="both"/>
        <w:rPr>
          <w:rFonts w:ascii="Arial" w:hAnsi="Arial" w:cs="Arial"/>
          <w:b/>
          <w:bCs/>
        </w:rPr>
      </w:pPr>
      <w:r w:rsidRPr="00546030">
        <w:rPr>
          <w:rFonts w:ascii="Arial" w:hAnsi="Arial" w:cs="Arial"/>
          <w:b/>
          <w:bCs/>
        </w:rPr>
        <w:t>Case Study Analysis of a UK Innovation</w:t>
      </w:r>
    </w:p>
    <w:p w14:paraId="05F22763" w14:textId="77777777" w:rsidR="00546030" w:rsidRPr="00546030" w:rsidRDefault="00546030" w:rsidP="004566FA">
      <w:pPr>
        <w:spacing w:line="276" w:lineRule="auto"/>
        <w:jc w:val="both"/>
        <w:rPr>
          <w:rFonts w:ascii="Arial" w:hAnsi="Arial" w:cs="Arial"/>
        </w:rPr>
      </w:pPr>
      <w:r w:rsidRPr="00546030">
        <w:rPr>
          <w:rFonts w:ascii="Arial" w:hAnsi="Arial" w:cs="Arial"/>
        </w:rPr>
        <w:t>The NHS Digital Diabetes Self-Management Programme represents a strategic, system-level innovation designed to enhance long-term condition management across the UK. The initiative integrates mobile technology, structured online education, behaviour-change tools, and personalised coaching to support individuals with type 2 diabetes. This innovation directly responds to the escalating prevalence of diabetes, pressures on face-to-face services, and the need for improved glycaemic control among patients with limited access to in-person education (NHS England, 2020).</w:t>
      </w:r>
    </w:p>
    <w:p w14:paraId="35DDB112" w14:textId="650C0163" w:rsidR="00546030" w:rsidRPr="00546030" w:rsidRDefault="00546030" w:rsidP="004566FA">
      <w:pPr>
        <w:spacing w:line="276" w:lineRule="auto"/>
        <w:jc w:val="both"/>
        <w:rPr>
          <w:rFonts w:ascii="Arial" w:hAnsi="Arial" w:cs="Arial"/>
        </w:rPr>
      </w:pPr>
      <w:r w:rsidRPr="00546030">
        <w:rPr>
          <w:rFonts w:ascii="Arial" w:hAnsi="Arial" w:cs="Arial"/>
        </w:rPr>
        <w:t xml:space="preserve">The programme operationalises a hybrid model of digital self-management, using behavioural reinforcement, </w:t>
      </w:r>
      <w:r w:rsidR="00026147" w:rsidRPr="00546030">
        <w:rPr>
          <w:rFonts w:ascii="Arial" w:hAnsi="Arial" w:cs="Arial"/>
        </w:rPr>
        <w:t>goal setting</w:t>
      </w:r>
      <w:r w:rsidRPr="00546030">
        <w:rPr>
          <w:rFonts w:ascii="Arial" w:hAnsi="Arial" w:cs="Arial"/>
        </w:rPr>
        <w:t>, reminders, and gamification to enhance patient engagement. Patients receive tailored feedback and continuous support, enabling greater autonomy over daily disease management. This approach aligns with contemporary digital health strategies that emphasise personalisation and data-driven decision-making.</w:t>
      </w:r>
    </w:p>
    <w:p w14:paraId="14DECA8C" w14:textId="77777777" w:rsidR="00546030" w:rsidRPr="00546030" w:rsidRDefault="00546030" w:rsidP="004566FA">
      <w:pPr>
        <w:spacing w:line="276" w:lineRule="auto"/>
        <w:jc w:val="both"/>
        <w:rPr>
          <w:rFonts w:ascii="Arial" w:hAnsi="Arial" w:cs="Arial"/>
        </w:rPr>
      </w:pPr>
      <w:r w:rsidRPr="00546030">
        <w:rPr>
          <w:rFonts w:ascii="Arial" w:hAnsi="Arial" w:cs="Arial"/>
        </w:rPr>
        <w:t xml:space="preserve">Evidence demonstrates that the programme delivers measurable value across multiple domains. Users have shown improvements in HbA1c levels, physical activity, treatment adherence, and overall satisfaction with their self-management experience (Patel et al., 2025; </w:t>
      </w:r>
      <w:proofErr w:type="spellStart"/>
      <w:r w:rsidRPr="00546030">
        <w:rPr>
          <w:rFonts w:ascii="Arial" w:hAnsi="Arial" w:cs="Arial"/>
        </w:rPr>
        <w:t>Religioni</w:t>
      </w:r>
      <w:proofErr w:type="spellEnd"/>
      <w:r w:rsidRPr="00546030">
        <w:rPr>
          <w:rFonts w:ascii="Arial" w:hAnsi="Arial" w:cs="Arial"/>
        </w:rPr>
        <w:t xml:space="preserve"> et al., 2025). Healthcare teams benefit from enhanced data visibility, enabling earlier detection of deterioration and more informed clinical decisions. This facilitates proactive rather than reactive care, reducing demands for routine follow-ups and allowing clinicians to focus on complex cases.</w:t>
      </w:r>
    </w:p>
    <w:p w14:paraId="420D0984" w14:textId="77777777" w:rsidR="00546030" w:rsidRPr="00546030" w:rsidRDefault="00546030" w:rsidP="004566FA">
      <w:pPr>
        <w:spacing w:line="276" w:lineRule="auto"/>
        <w:jc w:val="both"/>
        <w:rPr>
          <w:rFonts w:ascii="Arial" w:hAnsi="Arial" w:cs="Arial"/>
        </w:rPr>
      </w:pPr>
      <w:r w:rsidRPr="00546030">
        <w:rPr>
          <w:rFonts w:ascii="Arial" w:hAnsi="Arial" w:cs="Arial"/>
        </w:rPr>
        <w:lastRenderedPageBreak/>
        <w:t>The initiative highlights how digital innovation can support system sustainability by improving patient outcomes while easing pressures on overstretched services. It reinforces the strategic importance of embedding digital tools within chronic disease pathways and demonstrates the operational gains achievable when technology is aligned with behavioural science and structured support.</w:t>
      </w:r>
    </w:p>
    <w:p w14:paraId="0932F0B0" w14:textId="77777777" w:rsidR="00546030" w:rsidRPr="00546030" w:rsidRDefault="00546030" w:rsidP="004566FA">
      <w:pPr>
        <w:spacing w:line="276" w:lineRule="auto"/>
        <w:jc w:val="both"/>
        <w:rPr>
          <w:rFonts w:ascii="Arial" w:hAnsi="Arial" w:cs="Arial"/>
        </w:rPr>
      </w:pPr>
      <w:r w:rsidRPr="00546030">
        <w:rPr>
          <w:rFonts w:ascii="Arial" w:hAnsi="Arial" w:cs="Arial"/>
        </w:rPr>
        <w:t>Overall, the NHS Digital Diabetes Self-Management Programme illustrates a high-impact innovation that strengthens the efficiency, responsiveness, and long-term sustainability of care for chronic conditions within the NHS.</w:t>
      </w:r>
    </w:p>
    <w:p w14:paraId="6AF238D3" w14:textId="0A7512F1" w:rsidR="00546030" w:rsidRPr="00546030" w:rsidRDefault="00546030" w:rsidP="004566FA">
      <w:pPr>
        <w:spacing w:line="276" w:lineRule="auto"/>
        <w:jc w:val="both"/>
        <w:rPr>
          <w:rFonts w:ascii="Arial" w:hAnsi="Arial" w:cs="Arial"/>
        </w:rPr>
      </w:pPr>
    </w:p>
    <w:p w14:paraId="2DBEBCE9" w14:textId="2FDA3F73" w:rsidR="00546030" w:rsidRPr="00026147" w:rsidRDefault="00546030" w:rsidP="004566FA">
      <w:pPr>
        <w:spacing w:line="276" w:lineRule="auto"/>
        <w:jc w:val="both"/>
        <w:rPr>
          <w:rFonts w:ascii="Arial" w:hAnsi="Arial" w:cs="Arial"/>
          <w:b/>
          <w:bCs/>
        </w:rPr>
      </w:pPr>
      <w:r w:rsidRPr="00546030">
        <w:rPr>
          <w:rFonts w:ascii="Arial" w:hAnsi="Arial" w:cs="Arial"/>
          <w:b/>
          <w:bCs/>
        </w:rPr>
        <w:t>Research Task: UK Health and Social Care Staff Burnout</w:t>
      </w:r>
    </w:p>
    <w:p w14:paraId="0961FDFB" w14:textId="77777777" w:rsidR="00546030" w:rsidRPr="00546030" w:rsidRDefault="00546030" w:rsidP="004566FA">
      <w:pPr>
        <w:spacing w:line="276" w:lineRule="auto"/>
        <w:jc w:val="both"/>
        <w:rPr>
          <w:rFonts w:ascii="Arial" w:hAnsi="Arial" w:cs="Arial"/>
        </w:rPr>
      </w:pPr>
      <w:r w:rsidRPr="00546030">
        <w:rPr>
          <w:rFonts w:ascii="Arial" w:hAnsi="Arial" w:cs="Arial"/>
        </w:rPr>
        <w:t>Burnout remains a critical systemic issue across the NHS and wider social care sector, driven by chronic workforce shortages, high workloads, and escalating service demands. It is no longer viewed as an individual resilience problem but as an organisational and structural challenge shaped by working conditions, staffing models, and operational pressures (Kinman et al., 2023). Research consistently identifies a pattern: when staff are required to work beyond capacity without adequate resources, rest, or support, the risk of burnout increases significantly.</w:t>
      </w:r>
    </w:p>
    <w:p w14:paraId="0F5936AA" w14:textId="77777777" w:rsidR="00546030" w:rsidRPr="00546030" w:rsidRDefault="00546030" w:rsidP="004566FA">
      <w:pPr>
        <w:spacing w:line="276" w:lineRule="auto"/>
        <w:jc w:val="both"/>
        <w:rPr>
          <w:rFonts w:ascii="Arial" w:hAnsi="Arial" w:cs="Arial"/>
        </w:rPr>
      </w:pPr>
      <w:r w:rsidRPr="00546030">
        <w:rPr>
          <w:rFonts w:ascii="Arial" w:hAnsi="Arial" w:cs="Arial"/>
        </w:rPr>
        <w:t>A cross-sectional study conducted during the COVID-19 pandemic demonstrated strong correlations between inadequate rest breaks, excessive workloads, concerns about PPE availability, and higher levels of work-related burnout among NHS staff (Gemine et al., 2021). These findings reinforced that burnout is closely linked to environmental and systemic factors rather than personal shortcomings. Similarly, a national survey of nurses revealed that long or rigid shift patterns — particularly 8–12 hour or 12-hour rotations — combined with insufficient staffing and limited control over scheduling were strongly associated with fatigue and burnout (</w:t>
      </w:r>
      <w:proofErr w:type="spellStart"/>
      <w:r w:rsidRPr="00546030">
        <w:rPr>
          <w:rFonts w:ascii="Arial" w:hAnsi="Arial" w:cs="Arial"/>
        </w:rPr>
        <w:t>Dall’Ora</w:t>
      </w:r>
      <w:proofErr w:type="spellEnd"/>
      <w:r w:rsidRPr="00546030">
        <w:rPr>
          <w:rFonts w:ascii="Arial" w:hAnsi="Arial" w:cs="Arial"/>
        </w:rPr>
        <w:t xml:space="preserve"> et al., 2023).</w:t>
      </w:r>
    </w:p>
    <w:p w14:paraId="6C92DF3D" w14:textId="77777777" w:rsidR="00546030" w:rsidRPr="00546030" w:rsidRDefault="00546030" w:rsidP="004566FA">
      <w:pPr>
        <w:spacing w:line="276" w:lineRule="auto"/>
        <w:jc w:val="both"/>
        <w:rPr>
          <w:rFonts w:ascii="Arial" w:hAnsi="Arial" w:cs="Arial"/>
        </w:rPr>
      </w:pPr>
      <w:r w:rsidRPr="00546030">
        <w:rPr>
          <w:rFonts w:ascii="Arial" w:hAnsi="Arial" w:cs="Arial"/>
        </w:rPr>
        <w:t>Evidence also indicates that insufficient time for rest, recovery, and sleep significantly heightens burnout risk, while adequate rest days and supportive rota design provide protective benefits. This highlights that improvement is contingent on organisational reform rather than individual coping strategies.</w:t>
      </w:r>
    </w:p>
    <w:p w14:paraId="598B0BF0" w14:textId="77777777" w:rsidR="00546030" w:rsidRPr="00546030" w:rsidRDefault="00546030" w:rsidP="004566FA">
      <w:pPr>
        <w:spacing w:line="276" w:lineRule="auto"/>
        <w:jc w:val="both"/>
        <w:rPr>
          <w:rFonts w:ascii="Arial" w:hAnsi="Arial" w:cs="Arial"/>
        </w:rPr>
      </w:pPr>
      <w:r w:rsidRPr="00546030">
        <w:rPr>
          <w:rFonts w:ascii="Arial" w:hAnsi="Arial" w:cs="Arial"/>
        </w:rPr>
        <w:t>Collectively, the research illustrates that burnout emerges from a complex interplay of workload intensity, shift patterns, staffing constraints, and operational pressures. Addressing it requires strategic workforce investment, flexible scheduling, protected rest periods, and accessible mental health support. Simply promoting resilience training without modifying the structural drivers of burnout is insufficient and risks placing responsibility on the workforce rather than the system. Sustainable improvement therefore depends on leadership commitment, redesign of workflows, and embedding wellbeing into workforce planning at organisational and system levels.</w:t>
      </w:r>
    </w:p>
    <w:p w14:paraId="74F3BEC0" w14:textId="77777777" w:rsidR="002A12BF" w:rsidRDefault="002A12BF" w:rsidP="004566FA">
      <w:pPr>
        <w:spacing w:line="276" w:lineRule="auto"/>
        <w:jc w:val="both"/>
        <w:rPr>
          <w:rFonts w:ascii="Arial" w:hAnsi="Arial" w:cs="Arial"/>
          <w:b/>
          <w:bCs/>
        </w:rPr>
      </w:pPr>
    </w:p>
    <w:p w14:paraId="7E6F0853" w14:textId="77777777" w:rsidR="002A12BF" w:rsidRDefault="002A12BF" w:rsidP="004566FA">
      <w:pPr>
        <w:spacing w:line="276" w:lineRule="auto"/>
        <w:jc w:val="both"/>
        <w:rPr>
          <w:rFonts w:ascii="Arial" w:hAnsi="Arial" w:cs="Arial"/>
          <w:b/>
          <w:bCs/>
        </w:rPr>
      </w:pPr>
    </w:p>
    <w:p w14:paraId="612531AD" w14:textId="0877FE9A" w:rsidR="00546030" w:rsidRPr="00026147" w:rsidRDefault="00546030" w:rsidP="004566FA">
      <w:pPr>
        <w:spacing w:line="276" w:lineRule="auto"/>
        <w:jc w:val="both"/>
        <w:rPr>
          <w:rFonts w:ascii="Arial" w:hAnsi="Arial" w:cs="Arial"/>
          <w:b/>
          <w:bCs/>
        </w:rPr>
      </w:pPr>
      <w:r w:rsidRPr="00546030">
        <w:rPr>
          <w:rFonts w:ascii="Arial" w:hAnsi="Arial" w:cs="Arial"/>
          <w:b/>
          <w:bCs/>
        </w:rPr>
        <w:lastRenderedPageBreak/>
        <w:t>Exploring Digital Innovation in Health and Social Care</w:t>
      </w:r>
    </w:p>
    <w:p w14:paraId="6AEFA97D" w14:textId="77777777" w:rsidR="00546030" w:rsidRPr="00546030" w:rsidRDefault="00546030" w:rsidP="004566FA">
      <w:pPr>
        <w:spacing w:line="276" w:lineRule="auto"/>
        <w:jc w:val="both"/>
        <w:rPr>
          <w:rFonts w:ascii="Arial" w:hAnsi="Arial" w:cs="Arial"/>
        </w:rPr>
      </w:pPr>
      <w:r w:rsidRPr="00546030">
        <w:rPr>
          <w:rFonts w:ascii="Arial" w:hAnsi="Arial" w:cs="Arial"/>
        </w:rPr>
        <w:t>Digital innovation has become a cornerstone of modern health and social care, driving improvements in disease management, communication, prevention, and system coordination. As pressures on health services intensify, technology-enabled solutions offer scalable, cost-effective mechanisms to enhance clinical outcomes and improve patient experience.</w:t>
      </w:r>
    </w:p>
    <w:p w14:paraId="074612FB" w14:textId="77777777" w:rsidR="00546030" w:rsidRPr="00546030" w:rsidRDefault="00546030" w:rsidP="004566FA">
      <w:pPr>
        <w:spacing w:line="276" w:lineRule="auto"/>
        <w:jc w:val="both"/>
        <w:rPr>
          <w:rFonts w:ascii="Arial" w:hAnsi="Arial" w:cs="Arial"/>
        </w:rPr>
      </w:pPr>
      <w:r w:rsidRPr="00546030">
        <w:rPr>
          <w:rFonts w:ascii="Arial" w:hAnsi="Arial" w:cs="Arial"/>
          <w:b/>
          <w:bCs/>
        </w:rPr>
        <w:t>Wearable Health Technologies for Chronic Condition Management</w:t>
      </w:r>
      <w:r w:rsidRPr="00546030">
        <w:rPr>
          <w:rFonts w:ascii="Arial" w:hAnsi="Arial" w:cs="Arial"/>
        </w:rPr>
        <w:br/>
        <w:t>Wearable health devices such as smartwatches, sensors, and continuous glucose monitoring systems have transformed the management of chronic conditions by enabling real-time tracking of vital signs and behavioural patterns. These devices can continuously monitor heart rate, blood pressure, glucose levels, and physical activity, providing users and clinicians with timely, actionable insight. For individuals with diabetes, for example, glucose monitors linked to smartwatches deliver instant alerts when blood sugar rises or falls, prompting rapid corrective action (</w:t>
      </w:r>
      <w:proofErr w:type="spellStart"/>
      <w:r w:rsidRPr="00546030">
        <w:rPr>
          <w:rFonts w:ascii="Arial" w:hAnsi="Arial" w:cs="Arial"/>
        </w:rPr>
        <w:t>Jafleh</w:t>
      </w:r>
      <w:proofErr w:type="spellEnd"/>
      <w:r w:rsidRPr="00546030">
        <w:rPr>
          <w:rFonts w:ascii="Arial" w:hAnsi="Arial" w:cs="Arial"/>
        </w:rPr>
        <w:t xml:space="preserve"> et al., 2024; NIBIB, 2024).</w:t>
      </w:r>
    </w:p>
    <w:p w14:paraId="2652D052" w14:textId="77777777" w:rsidR="00546030" w:rsidRPr="00546030" w:rsidRDefault="00546030" w:rsidP="004566FA">
      <w:pPr>
        <w:spacing w:line="276" w:lineRule="auto"/>
        <w:jc w:val="both"/>
        <w:rPr>
          <w:rFonts w:ascii="Arial" w:hAnsi="Arial" w:cs="Arial"/>
        </w:rPr>
      </w:pPr>
      <w:r w:rsidRPr="00546030">
        <w:rPr>
          <w:rFonts w:ascii="Arial" w:hAnsi="Arial" w:cs="Arial"/>
        </w:rPr>
        <w:t>The evidence demonstrates that continuous monitoring enhances treatment adherence, supports early detection of deterioration, and reduces hospital admissions, driving both improved outcomes and system efficiencies (</w:t>
      </w:r>
      <w:proofErr w:type="spellStart"/>
      <w:r w:rsidRPr="00546030">
        <w:rPr>
          <w:rFonts w:ascii="Arial" w:hAnsi="Arial" w:cs="Arial"/>
        </w:rPr>
        <w:t>Lodewyk</w:t>
      </w:r>
      <w:proofErr w:type="spellEnd"/>
      <w:r w:rsidRPr="00546030">
        <w:rPr>
          <w:rFonts w:ascii="Arial" w:hAnsi="Arial" w:cs="Arial"/>
        </w:rPr>
        <w:t xml:space="preserve"> et al., 2025; Vyas, 2023). Wearables therefore represent a significant advancement in personalised, proactive, and data-informed care.</w:t>
      </w:r>
    </w:p>
    <w:p w14:paraId="520EA8EA" w14:textId="77777777" w:rsidR="00546030" w:rsidRPr="00546030" w:rsidRDefault="00546030" w:rsidP="004566FA">
      <w:pPr>
        <w:spacing w:line="276" w:lineRule="auto"/>
        <w:jc w:val="both"/>
        <w:rPr>
          <w:rFonts w:ascii="Arial" w:hAnsi="Arial" w:cs="Arial"/>
        </w:rPr>
      </w:pPr>
      <w:r w:rsidRPr="00546030">
        <w:rPr>
          <w:rFonts w:ascii="Arial" w:hAnsi="Arial" w:cs="Arial"/>
          <w:b/>
          <w:bCs/>
        </w:rPr>
        <w:t>Electronic Health Records (EHRs) and Collaborative Care</w:t>
      </w:r>
      <w:r w:rsidRPr="00546030">
        <w:rPr>
          <w:rFonts w:ascii="Arial" w:hAnsi="Arial" w:cs="Arial"/>
        </w:rPr>
        <w:br/>
        <w:t xml:space="preserve">Electronic Health Records enhance communication and collaboration by centralising patient information in a single, accessible digital platform. Clinicians across different disciplines — including GPs, nurses, and specialists — can access patient histories, test results, medication lists, and care plans in real time, enabling seamless coordination. For example, a cardiologist reviewing a newly referred patient can immediately examine previous investigations and clinical notes, </w:t>
      </w:r>
      <w:proofErr w:type="gramStart"/>
      <w:r w:rsidRPr="00546030">
        <w:rPr>
          <w:rFonts w:ascii="Arial" w:hAnsi="Arial" w:cs="Arial"/>
        </w:rPr>
        <w:t>reducing</w:t>
      </w:r>
      <w:proofErr w:type="gramEnd"/>
      <w:r w:rsidRPr="00546030">
        <w:rPr>
          <w:rFonts w:ascii="Arial" w:hAnsi="Arial" w:cs="Arial"/>
        </w:rPr>
        <w:t xml:space="preserve"> duplication and improving decision-making quality (</w:t>
      </w:r>
      <w:proofErr w:type="spellStart"/>
      <w:r w:rsidRPr="00546030">
        <w:rPr>
          <w:rFonts w:ascii="Arial" w:hAnsi="Arial" w:cs="Arial"/>
        </w:rPr>
        <w:t>HealthIT</w:t>
      </w:r>
      <w:proofErr w:type="spellEnd"/>
      <w:r w:rsidRPr="00546030">
        <w:rPr>
          <w:rFonts w:ascii="Arial" w:hAnsi="Arial" w:cs="Arial"/>
        </w:rPr>
        <w:t>, 2024; Kao et al., 2020).</w:t>
      </w:r>
    </w:p>
    <w:p w14:paraId="1772EBA8" w14:textId="77777777" w:rsidR="00546030" w:rsidRPr="00546030" w:rsidRDefault="00546030" w:rsidP="004566FA">
      <w:pPr>
        <w:spacing w:line="276" w:lineRule="auto"/>
        <w:jc w:val="both"/>
        <w:rPr>
          <w:rFonts w:ascii="Arial" w:hAnsi="Arial" w:cs="Arial"/>
        </w:rPr>
      </w:pPr>
      <w:r w:rsidRPr="00546030">
        <w:rPr>
          <w:rFonts w:ascii="Arial" w:hAnsi="Arial" w:cs="Arial"/>
        </w:rPr>
        <w:t>EHRs also mitigate risks associated with medication errors, unnecessary repeat testing, and fragmented care. By enabling secure information exchange across settings, they reinforce continuity of care for individuals with complex or long-term needs (Vos et al., 2020).</w:t>
      </w:r>
    </w:p>
    <w:p w14:paraId="2EC74CEC" w14:textId="77777777" w:rsidR="00546030" w:rsidRPr="00546030" w:rsidRDefault="00546030" w:rsidP="004566FA">
      <w:pPr>
        <w:spacing w:line="276" w:lineRule="auto"/>
        <w:jc w:val="both"/>
        <w:rPr>
          <w:rFonts w:ascii="Arial" w:hAnsi="Arial" w:cs="Arial"/>
        </w:rPr>
      </w:pPr>
      <w:r w:rsidRPr="00546030">
        <w:rPr>
          <w:rFonts w:ascii="Arial" w:hAnsi="Arial" w:cs="Arial"/>
          <w:b/>
          <w:bCs/>
        </w:rPr>
        <w:t>Digital Technology Supporting Prevention and Health Promotion</w:t>
      </w:r>
      <w:r w:rsidRPr="00546030">
        <w:rPr>
          <w:rFonts w:ascii="Arial" w:hAnsi="Arial" w:cs="Arial"/>
        </w:rPr>
        <w:br/>
        <w:t xml:space="preserve">Digital tools also strengthen preventive care by enabling early detection, behaviour monitoring, and personalised health promotion. Wearables, health apps, and remote monitoring systems track factors such as physical activity, sleep, and heart rate, generating early warnings for at-risk individuals (MDIHA, 2023; Kang and </w:t>
      </w:r>
      <w:proofErr w:type="spellStart"/>
      <w:r w:rsidRPr="00546030">
        <w:rPr>
          <w:rFonts w:ascii="Arial" w:hAnsi="Arial" w:cs="Arial"/>
        </w:rPr>
        <w:t>Exworthy</w:t>
      </w:r>
      <w:proofErr w:type="spellEnd"/>
      <w:r w:rsidRPr="00546030">
        <w:rPr>
          <w:rFonts w:ascii="Arial" w:hAnsi="Arial" w:cs="Arial"/>
        </w:rPr>
        <w:t>, 2022).</w:t>
      </w:r>
    </w:p>
    <w:p w14:paraId="2EDEB8C0" w14:textId="77777777" w:rsidR="00546030" w:rsidRPr="00546030" w:rsidRDefault="00546030" w:rsidP="004566FA">
      <w:pPr>
        <w:spacing w:line="276" w:lineRule="auto"/>
        <w:jc w:val="both"/>
        <w:rPr>
          <w:rFonts w:ascii="Arial" w:hAnsi="Arial" w:cs="Arial"/>
        </w:rPr>
      </w:pPr>
      <w:r w:rsidRPr="00546030">
        <w:rPr>
          <w:rFonts w:ascii="Arial" w:hAnsi="Arial" w:cs="Arial"/>
        </w:rPr>
        <w:t xml:space="preserve">For example, a public health programme may distribute fitness trackers to people at elevated risk of cardiovascular disease. Real-time insights into sedentary behaviour </w:t>
      </w:r>
      <w:r w:rsidRPr="00546030">
        <w:rPr>
          <w:rFonts w:ascii="Arial" w:hAnsi="Arial" w:cs="Arial"/>
        </w:rPr>
        <w:lastRenderedPageBreak/>
        <w:t>or irregular heart-rate patterns allow clinicians to deliver targeted lifestyle guidance or early clinical assessment. This proactive approach reduces disease progression, enhances population health, and supports long-term system sustainability (</w:t>
      </w:r>
      <w:proofErr w:type="spellStart"/>
      <w:r w:rsidRPr="00546030">
        <w:rPr>
          <w:rFonts w:ascii="Arial" w:hAnsi="Arial" w:cs="Arial"/>
        </w:rPr>
        <w:t>MedTechNews</w:t>
      </w:r>
      <w:proofErr w:type="spellEnd"/>
      <w:r w:rsidRPr="00546030">
        <w:rPr>
          <w:rFonts w:ascii="Arial" w:hAnsi="Arial" w:cs="Arial"/>
        </w:rPr>
        <w:t xml:space="preserve"> UK, 2023; Vyas, 2023).</w:t>
      </w:r>
    </w:p>
    <w:p w14:paraId="31626E60" w14:textId="77777777" w:rsidR="00546030" w:rsidRPr="00546030" w:rsidRDefault="00546030" w:rsidP="004566FA">
      <w:pPr>
        <w:spacing w:line="276" w:lineRule="auto"/>
        <w:jc w:val="both"/>
        <w:rPr>
          <w:rFonts w:ascii="Arial" w:hAnsi="Arial" w:cs="Arial"/>
        </w:rPr>
      </w:pPr>
      <w:r w:rsidRPr="00546030">
        <w:rPr>
          <w:rFonts w:ascii="Arial" w:hAnsi="Arial" w:cs="Arial"/>
        </w:rPr>
        <w:t>Collectively, these developments demonstrate how digital innovation enhances service quality, patient empowerment, and operational efficiency, underscoring its critical role in future models of integrated health and social care.</w:t>
      </w:r>
    </w:p>
    <w:p w14:paraId="43BC65D6" w14:textId="48646A50" w:rsidR="00546030" w:rsidRPr="00546030" w:rsidRDefault="00546030" w:rsidP="004566FA">
      <w:pPr>
        <w:spacing w:line="276" w:lineRule="auto"/>
        <w:jc w:val="both"/>
        <w:rPr>
          <w:rFonts w:ascii="Arial" w:hAnsi="Arial" w:cs="Arial"/>
        </w:rPr>
      </w:pPr>
    </w:p>
    <w:p w14:paraId="47B5BC13" w14:textId="263AD015" w:rsidR="00546030" w:rsidRPr="00026147" w:rsidRDefault="00546030" w:rsidP="004566FA">
      <w:pPr>
        <w:spacing w:line="276" w:lineRule="auto"/>
        <w:jc w:val="both"/>
        <w:rPr>
          <w:rFonts w:ascii="Arial" w:hAnsi="Arial" w:cs="Arial"/>
          <w:b/>
          <w:bCs/>
        </w:rPr>
      </w:pPr>
      <w:r w:rsidRPr="00546030">
        <w:rPr>
          <w:rFonts w:ascii="Arial" w:hAnsi="Arial" w:cs="Arial"/>
          <w:b/>
          <w:bCs/>
        </w:rPr>
        <w:t>Understanding the NHS Leadership Framework &amp; Overall Reflection</w:t>
      </w:r>
    </w:p>
    <w:p w14:paraId="5000ABD7" w14:textId="606A75DB" w:rsidR="005D1CAF" w:rsidRDefault="00546030" w:rsidP="005D1CAF">
      <w:pPr>
        <w:spacing w:line="360" w:lineRule="auto"/>
        <w:jc w:val="both"/>
        <w:rPr>
          <w:rFonts w:ascii="Arial" w:eastAsia="Times New Roman" w:hAnsi="Arial" w:cs="Arial"/>
          <w:kern w:val="0"/>
          <w:lang w:eastAsia="en-GB"/>
          <w14:ligatures w14:val="none"/>
        </w:rPr>
      </w:pPr>
      <w:r w:rsidRPr="005D1CAF">
        <w:rPr>
          <w:rFonts w:ascii="Arial" w:hAnsi="Arial" w:cs="Arial"/>
        </w:rPr>
        <w:t xml:space="preserve">The NHS Leadership Framework establishes core behaviours required for ethical, future-focused leadership, supporting innovation, shared purpose, and team engagement (NHS Leadership Academy, 2013). The module strengthened my ability to integrate creativity, co-design, and value-driven thinking, reinforcing the importance of collaborative, sustainable improvement across health and social </w:t>
      </w:r>
      <w:r w:rsidR="005D1CAF" w:rsidRPr="005D1CAF">
        <w:rPr>
          <w:rFonts w:ascii="Arial" w:hAnsi="Arial" w:cs="Arial"/>
        </w:rPr>
        <w:t>care.</w:t>
      </w:r>
      <w:r w:rsidR="005D1CAF">
        <w:rPr>
          <w:rFonts w:ascii="Arial" w:eastAsia="Times New Roman" w:hAnsi="Arial" w:cs="Arial"/>
          <w:kern w:val="0"/>
          <w:lang w:eastAsia="en-GB"/>
          <w14:ligatures w14:val="none"/>
        </w:rPr>
        <w:t xml:space="preserve"> </w:t>
      </w:r>
      <w:r w:rsidR="005D1CAF" w:rsidRPr="005D1CAF">
        <w:rPr>
          <w:rFonts w:ascii="Arial" w:eastAsia="Times New Roman" w:hAnsi="Arial" w:cs="Arial"/>
          <w:kern w:val="0"/>
          <w:lang w:eastAsia="en-GB"/>
          <w14:ligatures w14:val="none"/>
        </w:rPr>
        <w:t>The framework underscores ethical practice, strategic thinking, and leadership at both personal and organisational levels. It is essential as it offers a reliable framework to enhance patient care, facilitate staff development, promote innovation, and guarantee sustainable, high-quality healthcare services (West et al., 2015).</w:t>
      </w:r>
    </w:p>
    <w:p w14:paraId="0CBA50EB" w14:textId="67EBBBEC" w:rsidR="00AE0DF4" w:rsidRDefault="005D1CAF" w:rsidP="00A76B3D">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One can argue the effective leadership in National health Service demands </w:t>
      </w:r>
      <w:r w:rsidR="00A76B3D">
        <w:rPr>
          <w:rFonts w:ascii="Arial" w:eastAsia="Times New Roman" w:hAnsi="Arial" w:cs="Arial"/>
          <w:kern w:val="0"/>
          <w:lang w:eastAsia="en-GB"/>
          <w14:ligatures w14:val="none"/>
        </w:rPr>
        <w:t>staff and</w:t>
      </w:r>
      <w:r>
        <w:rPr>
          <w:rFonts w:ascii="Arial" w:eastAsia="Times New Roman" w:hAnsi="Arial" w:cs="Arial"/>
          <w:kern w:val="0"/>
          <w:lang w:eastAsia="en-GB"/>
          <w14:ligatures w14:val="none"/>
        </w:rPr>
        <w:t xml:space="preserve"> colleagues to functional </w:t>
      </w:r>
      <w:r w:rsidR="00A76B3D">
        <w:rPr>
          <w:rFonts w:ascii="Arial" w:eastAsia="Times New Roman" w:hAnsi="Arial" w:cs="Arial"/>
          <w:kern w:val="0"/>
          <w:lang w:eastAsia="en-GB"/>
          <w14:ligatures w14:val="none"/>
        </w:rPr>
        <w:t>collectively as</w:t>
      </w:r>
      <w:r>
        <w:rPr>
          <w:rFonts w:ascii="Arial" w:eastAsia="Times New Roman" w:hAnsi="Arial" w:cs="Arial"/>
          <w:kern w:val="0"/>
          <w:lang w:eastAsia="en-GB"/>
          <w14:ligatures w14:val="none"/>
        </w:rPr>
        <w:t xml:space="preserve"> a </w:t>
      </w:r>
      <w:r w:rsidR="00A76B3D">
        <w:rPr>
          <w:rFonts w:ascii="Arial" w:eastAsia="Times New Roman" w:hAnsi="Arial" w:cs="Arial"/>
          <w:kern w:val="0"/>
          <w:lang w:eastAsia="en-GB"/>
          <w14:ligatures w14:val="none"/>
        </w:rPr>
        <w:t>team and</w:t>
      </w:r>
      <w:r>
        <w:rPr>
          <w:rFonts w:ascii="Arial" w:eastAsia="Times New Roman" w:hAnsi="Arial" w:cs="Arial"/>
          <w:kern w:val="0"/>
          <w:lang w:eastAsia="en-GB"/>
          <w14:ligatures w14:val="none"/>
        </w:rPr>
        <w:t xml:space="preserve"> </w:t>
      </w:r>
      <w:r w:rsidR="00A76B3D">
        <w:rPr>
          <w:rFonts w:ascii="Arial" w:eastAsia="Times New Roman" w:hAnsi="Arial" w:cs="Arial"/>
          <w:kern w:val="0"/>
          <w:lang w:eastAsia="en-GB"/>
          <w14:ligatures w14:val="none"/>
        </w:rPr>
        <w:t>network for</w:t>
      </w:r>
      <w:r>
        <w:rPr>
          <w:rFonts w:ascii="Arial" w:eastAsia="Times New Roman" w:hAnsi="Arial" w:cs="Arial"/>
          <w:kern w:val="0"/>
          <w:lang w:eastAsia="en-GB"/>
          <w14:ligatures w14:val="none"/>
        </w:rPr>
        <w:t xml:space="preserve"> them to </w:t>
      </w:r>
      <w:r w:rsidR="00A76B3D">
        <w:rPr>
          <w:rFonts w:ascii="Arial" w:eastAsia="Times New Roman" w:hAnsi="Arial" w:cs="Arial"/>
          <w:kern w:val="0"/>
          <w:lang w:eastAsia="en-GB"/>
          <w14:ligatures w14:val="none"/>
        </w:rPr>
        <w:t>deliver an improved service. Meanwhile, for leaders in this sector to accomplish the out standing services, leaders need to demonstrate effectiveness in areas like, development of network of people who can work in partnership with patients, stakeholders, servicer providers and colleagues across the sector to provide effective services. Leaders are required to build and maintain quality relationships as they do listen, support colleagues, gain trust and never fail to show understanding. Create new environment which encourage people to contribute and have opportunity to the service without been bias. Lastly, collaborate with the employees, understand their demand and train people to improve services (</w:t>
      </w:r>
      <w:r w:rsidR="000B5981">
        <w:rPr>
          <w:rFonts w:ascii="Arial" w:eastAsia="Times New Roman" w:hAnsi="Arial" w:cs="Arial"/>
          <w:kern w:val="0"/>
          <w:lang w:eastAsia="en-GB"/>
          <w14:ligatures w14:val="none"/>
        </w:rPr>
        <w:t>Buckwell-Nutt,2018</w:t>
      </w:r>
      <w:r w:rsidR="00A76B3D">
        <w:rPr>
          <w:rFonts w:ascii="Arial" w:eastAsia="Times New Roman" w:hAnsi="Arial" w:cs="Arial"/>
          <w:kern w:val="0"/>
          <w:lang w:eastAsia="en-GB"/>
          <w14:ligatures w14:val="none"/>
        </w:rPr>
        <w:t>).</w:t>
      </w:r>
    </w:p>
    <w:p w14:paraId="6869E950" w14:textId="06EDC97F" w:rsidR="00AE0DF4" w:rsidRPr="00AE0DF4" w:rsidRDefault="00AE0DF4" w:rsidP="00AE0DF4">
      <w:pPr>
        <w:spacing w:after="0" w:line="360" w:lineRule="auto"/>
        <w:jc w:val="both"/>
        <w:rPr>
          <w:rFonts w:ascii="Arial" w:eastAsia="Times New Roman" w:hAnsi="Arial" w:cs="Arial"/>
          <w:kern w:val="0"/>
          <w:lang w:eastAsia="en-GB"/>
          <w14:ligatures w14:val="none"/>
        </w:rPr>
      </w:pPr>
      <w:r w:rsidRPr="00AE0DF4">
        <w:rPr>
          <w:rFonts w:ascii="Arial" w:eastAsia="Times New Roman" w:hAnsi="Arial" w:cs="Arial"/>
          <w:kern w:val="0"/>
          <w:lang w:eastAsia="en-GB"/>
          <w14:ligatures w14:val="none"/>
        </w:rPr>
        <w:t xml:space="preserve">A leader who expresses an inspirational shared purpose can stimulate innovation and improve patient care by communicating a vision that resonates with organisational goals and patient needs. A team leader aiming to reduce patient falls should include staff in developing creative solutions, such as digital monitoring systems or new </w:t>
      </w:r>
      <w:r w:rsidRPr="00AE0DF4">
        <w:rPr>
          <w:rFonts w:ascii="Arial" w:eastAsia="Times New Roman" w:hAnsi="Arial" w:cs="Arial"/>
          <w:kern w:val="0"/>
          <w:lang w:eastAsia="en-GB"/>
          <w14:ligatures w14:val="none"/>
        </w:rPr>
        <w:lastRenderedPageBreak/>
        <w:t>treatment protocols. By fostering ownership and engagement, the leader motivates staff to propose innovative solutions and implement changes. This collaborative environment enhances patient outcomes, encourages inventive problem-solving, and cultivates a culture of continuous improvement (Kings Fund, 2021; NHS Leadership Academy, 2013).</w:t>
      </w:r>
    </w:p>
    <w:p w14:paraId="2E32E203" w14:textId="77777777" w:rsidR="00AE0DF4" w:rsidRDefault="00AE0DF4" w:rsidP="00A76B3D">
      <w:pPr>
        <w:spacing w:line="360" w:lineRule="auto"/>
        <w:jc w:val="both"/>
        <w:rPr>
          <w:rFonts w:ascii="Arial" w:eastAsia="Times New Roman" w:hAnsi="Arial" w:cs="Arial"/>
          <w:kern w:val="0"/>
          <w:lang w:eastAsia="en-GB"/>
          <w14:ligatures w14:val="none"/>
        </w:rPr>
      </w:pPr>
    </w:p>
    <w:p w14:paraId="5CA78F4E" w14:textId="77777777" w:rsidR="00AE0DF4" w:rsidRDefault="00AE0DF4" w:rsidP="00A76B3D">
      <w:pPr>
        <w:spacing w:line="360" w:lineRule="auto"/>
        <w:jc w:val="both"/>
        <w:rPr>
          <w:rFonts w:ascii="Arial" w:eastAsia="Times New Roman" w:hAnsi="Arial" w:cs="Arial"/>
          <w:kern w:val="0"/>
          <w:lang w:eastAsia="en-GB"/>
          <w14:ligatures w14:val="none"/>
        </w:rPr>
      </w:pPr>
    </w:p>
    <w:p w14:paraId="3E4565E1" w14:textId="77777777" w:rsidR="00AE0DF4" w:rsidRDefault="00AE0DF4" w:rsidP="00A76B3D">
      <w:pPr>
        <w:spacing w:line="360" w:lineRule="auto"/>
        <w:jc w:val="both"/>
        <w:rPr>
          <w:rFonts w:ascii="Arial" w:eastAsia="Times New Roman" w:hAnsi="Arial" w:cs="Arial"/>
          <w:kern w:val="0"/>
          <w:lang w:eastAsia="en-GB"/>
          <w14:ligatures w14:val="none"/>
        </w:rPr>
      </w:pPr>
    </w:p>
    <w:p w14:paraId="6025337D" w14:textId="77777777" w:rsidR="00AE0DF4" w:rsidRDefault="00AE0DF4" w:rsidP="00A76B3D">
      <w:pPr>
        <w:spacing w:line="360" w:lineRule="auto"/>
        <w:jc w:val="both"/>
        <w:rPr>
          <w:rFonts w:ascii="Arial" w:eastAsia="Times New Roman" w:hAnsi="Arial" w:cs="Arial"/>
          <w:kern w:val="0"/>
          <w:lang w:eastAsia="en-GB"/>
          <w14:ligatures w14:val="none"/>
        </w:rPr>
      </w:pPr>
    </w:p>
    <w:p w14:paraId="26CE91D2" w14:textId="77777777" w:rsidR="00AE0DF4" w:rsidRDefault="00AE0DF4" w:rsidP="00A76B3D">
      <w:pPr>
        <w:spacing w:line="360" w:lineRule="auto"/>
        <w:jc w:val="both"/>
        <w:rPr>
          <w:rFonts w:ascii="Arial" w:eastAsia="Times New Roman" w:hAnsi="Arial" w:cs="Arial"/>
          <w:kern w:val="0"/>
          <w:lang w:eastAsia="en-GB"/>
          <w14:ligatures w14:val="none"/>
        </w:rPr>
      </w:pPr>
    </w:p>
    <w:p w14:paraId="55BA2926" w14:textId="77777777" w:rsidR="004566FA" w:rsidRPr="004566FA" w:rsidRDefault="004566FA" w:rsidP="004566FA">
      <w:pPr>
        <w:spacing w:line="276" w:lineRule="auto"/>
        <w:jc w:val="both"/>
        <w:rPr>
          <w:rFonts w:ascii="Arial" w:hAnsi="Arial" w:cs="Arial"/>
        </w:rPr>
      </w:pPr>
    </w:p>
    <w:p w14:paraId="09B0C792" w14:textId="77777777" w:rsidR="004566FA" w:rsidRPr="004566FA" w:rsidRDefault="004566FA" w:rsidP="004566FA">
      <w:pPr>
        <w:spacing w:line="276" w:lineRule="auto"/>
        <w:jc w:val="both"/>
        <w:rPr>
          <w:rFonts w:ascii="Arial" w:hAnsi="Arial" w:cs="Arial"/>
        </w:rPr>
      </w:pPr>
    </w:p>
    <w:p w14:paraId="3250E641" w14:textId="4E26B72F" w:rsidR="004566FA" w:rsidRPr="00546030" w:rsidRDefault="004566FA" w:rsidP="00546030"/>
    <w:p w14:paraId="2A55BB5C" w14:textId="77777777" w:rsidR="004566FA" w:rsidRDefault="004566FA" w:rsidP="004566FA">
      <w:pPr>
        <w:rPr>
          <w:rFonts w:ascii="Arial" w:hAnsi="Arial" w:cs="Arial"/>
          <w:b/>
          <w:bCs/>
        </w:rPr>
      </w:pPr>
    </w:p>
    <w:p w14:paraId="711EF682" w14:textId="77777777" w:rsidR="004566FA" w:rsidRDefault="004566FA" w:rsidP="004566FA">
      <w:pPr>
        <w:rPr>
          <w:rFonts w:ascii="Arial" w:hAnsi="Arial" w:cs="Arial"/>
          <w:b/>
          <w:bCs/>
        </w:rPr>
      </w:pPr>
    </w:p>
    <w:p w14:paraId="7AE8F305" w14:textId="77777777" w:rsidR="004566FA" w:rsidRDefault="004566FA" w:rsidP="004566FA">
      <w:pPr>
        <w:rPr>
          <w:rFonts w:ascii="Arial" w:hAnsi="Arial" w:cs="Arial"/>
          <w:b/>
          <w:bCs/>
        </w:rPr>
      </w:pPr>
    </w:p>
    <w:p w14:paraId="3F84630C" w14:textId="77777777" w:rsidR="004566FA" w:rsidRDefault="004566FA" w:rsidP="004566FA">
      <w:pPr>
        <w:rPr>
          <w:rFonts w:ascii="Arial" w:hAnsi="Arial" w:cs="Arial"/>
          <w:b/>
          <w:bCs/>
        </w:rPr>
      </w:pPr>
    </w:p>
    <w:p w14:paraId="168C0E43" w14:textId="77777777" w:rsidR="004566FA" w:rsidRDefault="004566FA" w:rsidP="004566FA">
      <w:pPr>
        <w:rPr>
          <w:rFonts w:ascii="Arial" w:hAnsi="Arial" w:cs="Arial"/>
          <w:b/>
          <w:bCs/>
        </w:rPr>
      </w:pPr>
    </w:p>
    <w:p w14:paraId="5E4E3028" w14:textId="77777777" w:rsidR="004566FA" w:rsidRDefault="004566FA" w:rsidP="004566FA">
      <w:pPr>
        <w:rPr>
          <w:rFonts w:ascii="Arial" w:hAnsi="Arial" w:cs="Arial"/>
          <w:b/>
          <w:bCs/>
        </w:rPr>
      </w:pPr>
    </w:p>
    <w:p w14:paraId="6D7A97CD" w14:textId="77777777" w:rsidR="00026147" w:rsidRDefault="00026147" w:rsidP="004566FA">
      <w:pPr>
        <w:rPr>
          <w:rFonts w:ascii="Arial" w:hAnsi="Arial" w:cs="Arial"/>
          <w:b/>
          <w:bCs/>
        </w:rPr>
      </w:pPr>
    </w:p>
    <w:p w14:paraId="146DC41E" w14:textId="77777777" w:rsidR="00026147" w:rsidRDefault="00026147" w:rsidP="004566FA">
      <w:pPr>
        <w:rPr>
          <w:rFonts w:ascii="Arial" w:hAnsi="Arial" w:cs="Arial"/>
          <w:b/>
          <w:bCs/>
        </w:rPr>
      </w:pPr>
    </w:p>
    <w:p w14:paraId="50A8C004" w14:textId="77777777" w:rsidR="00026147" w:rsidRDefault="00026147" w:rsidP="004566FA">
      <w:pPr>
        <w:rPr>
          <w:rFonts w:ascii="Arial" w:hAnsi="Arial" w:cs="Arial"/>
          <w:b/>
          <w:bCs/>
        </w:rPr>
      </w:pPr>
    </w:p>
    <w:p w14:paraId="1A0EE19E" w14:textId="77777777" w:rsidR="00026147" w:rsidRDefault="00026147" w:rsidP="004566FA">
      <w:pPr>
        <w:rPr>
          <w:rFonts w:ascii="Arial" w:hAnsi="Arial" w:cs="Arial"/>
          <w:b/>
          <w:bCs/>
        </w:rPr>
      </w:pPr>
    </w:p>
    <w:p w14:paraId="2F28E3C5" w14:textId="77777777" w:rsidR="00026147" w:rsidRDefault="00026147" w:rsidP="004566FA">
      <w:pPr>
        <w:rPr>
          <w:rFonts w:ascii="Arial" w:hAnsi="Arial" w:cs="Arial"/>
          <w:b/>
          <w:bCs/>
        </w:rPr>
      </w:pPr>
    </w:p>
    <w:p w14:paraId="57F2DDF3" w14:textId="77777777" w:rsidR="00026147" w:rsidRDefault="00026147" w:rsidP="004566FA">
      <w:pPr>
        <w:rPr>
          <w:rFonts w:ascii="Arial" w:hAnsi="Arial" w:cs="Arial"/>
          <w:b/>
          <w:bCs/>
        </w:rPr>
      </w:pPr>
    </w:p>
    <w:p w14:paraId="0E42D765" w14:textId="77777777" w:rsidR="00026147" w:rsidRDefault="00026147" w:rsidP="004566FA">
      <w:pPr>
        <w:rPr>
          <w:rFonts w:ascii="Arial" w:hAnsi="Arial" w:cs="Arial"/>
          <w:b/>
          <w:bCs/>
        </w:rPr>
      </w:pPr>
    </w:p>
    <w:p w14:paraId="55C02C63" w14:textId="77777777" w:rsidR="004566FA" w:rsidRDefault="004566FA" w:rsidP="004566FA">
      <w:pPr>
        <w:rPr>
          <w:rFonts w:ascii="Arial" w:hAnsi="Arial" w:cs="Arial"/>
          <w:b/>
          <w:bCs/>
        </w:rPr>
      </w:pPr>
    </w:p>
    <w:p w14:paraId="47BDBCA7" w14:textId="77777777" w:rsidR="000B5981" w:rsidRDefault="000B5981" w:rsidP="004566FA">
      <w:pPr>
        <w:rPr>
          <w:rFonts w:ascii="Arial" w:hAnsi="Arial" w:cs="Arial"/>
          <w:b/>
          <w:bCs/>
        </w:rPr>
      </w:pPr>
    </w:p>
    <w:p w14:paraId="44BEB3B0" w14:textId="77777777" w:rsidR="000B5981" w:rsidRDefault="000B5981" w:rsidP="004566FA">
      <w:pPr>
        <w:rPr>
          <w:rFonts w:ascii="Arial" w:hAnsi="Arial" w:cs="Arial"/>
          <w:b/>
          <w:bCs/>
        </w:rPr>
      </w:pPr>
    </w:p>
    <w:p w14:paraId="1DE40B65" w14:textId="77777777" w:rsidR="000B5981" w:rsidRDefault="000B5981" w:rsidP="004566FA">
      <w:pPr>
        <w:rPr>
          <w:rFonts w:ascii="Arial" w:hAnsi="Arial" w:cs="Arial"/>
          <w:b/>
          <w:bCs/>
        </w:rPr>
      </w:pPr>
    </w:p>
    <w:p w14:paraId="06CC2F63" w14:textId="07CB20D5" w:rsidR="00026147" w:rsidRDefault="004566FA" w:rsidP="004566FA">
      <w:pPr>
        <w:rPr>
          <w:rFonts w:ascii="Arial" w:hAnsi="Arial" w:cs="Arial"/>
          <w:b/>
          <w:bCs/>
        </w:rPr>
      </w:pPr>
      <w:r w:rsidRPr="004566FA">
        <w:rPr>
          <w:rFonts w:ascii="Arial" w:hAnsi="Arial" w:cs="Arial"/>
          <w:b/>
          <w:bCs/>
        </w:rPr>
        <w:t>Reference</w:t>
      </w:r>
      <w:r w:rsidR="00BB30D7">
        <w:rPr>
          <w:rFonts w:ascii="Arial" w:hAnsi="Arial" w:cs="Arial"/>
          <w:b/>
          <w:bCs/>
        </w:rPr>
        <w:t>.</w:t>
      </w:r>
    </w:p>
    <w:p w14:paraId="6B3DE0A3" w14:textId="011615BD" w:rsidR="000B5981" w:rsidRPr="000B5981" w:rsidRDefault="000B5981" w:rsidP="000B5981">
      <w:pPr>
        <w:spacing w:line="360" w:lineRule="auto"/>
        <w:jc w:val="both"/>
        <w:rPr>
          <w:rFonts w:ascii="Arial" w:eastAsia="Times New Roman" w:hAnsi="Arial" w:cs="Arial"/>
          <w:kern w:val="0"/>
          <w:lang w:eastAsia="en-GB"/>
          <w14:ligatures w14:val="none"/>
        </w:rPr>
      </w:pPr>
      <w:r w:rsidRPr="000B5981">
        <w:rPr>
          <w:rFonts w:ascii="Arial" w:hAnsi="Arial" w:cs="Arial"/>
          <w:color w:val="222222"/>
          <w:shd w:val="clear" w:color="auto" w:fill="FFFFFF"/>
        </w:rPr>
        <w:t>Buckwell-Nutt, K., Francis-Shama, J. and Kellett, P. (2018). A framework for pre-qualifying nurses to build leadership skills. </w:t>
      </w:r>
      <w:r w:rsidRPr="000B5981">
        <w:rPr>
          <w:rFonts w:ascii="Arial" w:hAnsi="Arial" w:cs="Arial"/>
          <w:i/>
          <w:iCs/>
          <w:color w:val="222222"/>
          <w:shd w:val="clear" w:color="auto" w:fill="FFFFFF"/>
        </w:rPr>
        <w:t>Nursing management</w:t>
      </w:r>
      <w:r w:rsidRPr="000B5981">
        <w:rPr>
          <w:rFonts w:ascii="Arial" w:hAnsi="Arial" w:cs="Arial"/>
          <w:color w:val="222222"/>
          <w:shd w:val="clear" w:color="auto" w:fill="FFFFFF"/>
        </w:rPr>
        <w:t>, </w:t>
      </w:r>
      <w:r w:rsidRPr="000B5981">
        <w:rPr>
          <w:rFonts w:ascii="Arial" w:hAnsi="Arial" w:cs="Arial"/>
          <w:i/>
          <w:iCs/>
          <w:color w:val="222222"/>
          <w:shd w:val="clear" w:color="auto" w:fill="FFFFFF"/>
        </w:rPr>
        <w:t>21</w:t>
      </w:r>
      <w:r w:rsidRPr="000B5981">
        <w:rPr>
          <w:rFonts w:ascii="Arial" w:hAnsi="Arial" w:cs="Arial"/>
          <w:color w:val="222222"/>
          <w:shd w:val="clear" w:color="auto" w:fill="FFFFFF"/>
        </w:rPr>
        <w:t>(7).</w:t>
      </w:r>
    </w:p>
    <w:p w14:paraId="4ACC90E5" w14:textId="77777777" w:rsidR="00140445" w:rsidRPr="004566FA" w:rsidRDefault="00026147" w:rsidP="00140445">
      <w:pPr>
        <w:rPr>
          <w:rFonts w:ascii="Arial" w:hAnsi="Arial" w:cs="Arial"/>
        </w:rPr>
      </w:pPr>
      <w:r w:rsidRPr="004566FA">
        <w:rPr>
          <w:rFonts w:ascii="Arial" w:hAnsi="Arial" w:cs="Arial"/>
        </w:rPr>
        <w:t xml:space="preserve"> Burke, W. (2018). Organisation Change: Theory and Practice. </w:t>
      </w:r>
      <w:r w:rsidR="00140445">
        <w:rPr>
          <w:rFonts w:ascii="Arial" w:hAnsi="Arial" w:cs="Arial"/>
        </w:rPr>
        <w:t xml:space="preserve">Available at: </w:t>
      </w:r>
      <w:hyperlink r:id="rId10" w:history="1">
        <w:r w:rsidR="00140445" w:rsidRPr="00AA4396">
          <w:rPr>
            <w:rStyle w:val="Hyperlink"/>
            <w:rFonts w:ascii="Arial" w:hAnsi="Arial" w:cs="Arial"/>
          </w:rPr>
          <w:t>https://uk.sagepub.com</w:t>
        </w:r>
      </w:hyperlink>
      <w:r w:rsidR="00140445">
        <w:rPr>
          <w:rFonts w:ascii="Arial" w:hAnsi="Arial" w:cs="Arial"/>
        </w:rPr>
        <w:t xml:space="preserve"> </w:t>
      </w:r>
      <w:r w:rsidR="00140445">
        <w:rPr>
          <w:rFonts w:ascii="Arial" w:hAnsi="Arial" w:cs="Arial"/>
        </w:rPr>
        <w:t>Accessed 29/11/2025</w:t>
      </w:r>
    </w:p>
    <w:p w14:paraId="308F6BB0" w14:textId="77777777" w:rsidR="00026147" w:rsidRPr="004566FA" w:rsidRDefault="00026147" w:rsidP="004566FA">
      <w:pPr>
        <w:rPr>
          <w:rFonts w:ascii="Arial" w:hAnsi="Arial" w:cs="Arial"/>
        </w:rPr>
      </w:pPr>
      <w:r w:rsidRPr="004566FA">
        <w:rPr>
          <w:rFonts w:ascii="Arial" w:hAnsi="Arial" w:cs="Arial"/>
        </w:rPr>
        <w:t>Burke, W. W. (2018). Organization change: Theory and practice (5th ed.). SAGE.</w:t>
      </w:r>
    </w:p>
    <w:p w14:paraId="09231DBA" w14:textId="50C39D59" w:rsidR="00026147" w:rsidRPr="004566FA" w:rsidRDefault="00026147" w:rsidP="004566FA">
      <w:pPr>
        <w:rPr>
          <w:rFonts w:ascii="Arial" w:hAnsi="Arial" w:cs="Arial"/>
        </w:rPr>
      </w:pPr>
      <w:r w:rsidRPr="004566FA">
        <w:rPr>
          <w:rFonts w:ascii="Arial" w:hAnsi="Arial" w:cs="Arial"/>
        </w:rPr>
        <w:t xml:space="preserve">CQC. (2021). Driving Improvement Through Innovation. </w:t>
      </w:r>
      <w:r w:rsidR="00AE6272">
        <w:rPr>
          <w:rFonts w:ascii="Arial" w:hAnsi="Arial" w:cs="Arial"/>
        </w:rPr>
        <w:t xml:space="preserve">Available at: </w:t>
      </w:r>
      <w:hyperlink r:id="rId11" w:history="1">
        <w:r w:rsidR="00AE6272" w:rsidRPr="00AA4396">
          <w:rPr>
            <w:rStyle w:val="Hyperlink"/>
            <w:rFonts w:ascii="Arial" w:hAnsi="Arial" w:cs="Arial"/>
          </w:rPr>
          <w:t>https://www.cqc.org.uk</w:t>
        </w:r>
      </w:hyperlink>
      <w:r w:rsidR="00BB30D7">
        <w:rPr>
          <w:rFonts w:ascii="Arial" w:hAnsi="Arial" w:cs="Arial"/>
        </w:rPr>
        <w:t>. Accessed 29/11/2025</w:t>
      </w:r>
    </w:p>
    <w:p w14:paraId="2338136E" w14:textId="77777777" w:rsidR="00026147" w:rsidRPr="004566FA" w:rsidRDefault="00026147" w:rsidP="004566FA">
      <w:pPr>
        <w:rPr>
          <w:rFonts w:ascii="Arial" w:hAnsi="Arial" w:cs="Arial"/>
        </w:rPr>
      </w:pPr>
      <w:proofErr w:type="spellStart"/>
      <w:r w:rsidRPr="004566FA">
        <w:rPr>
          <w:rFonts w:ascii="Arial" w:hAnsi="Arial" w:cs="Arial"/>
        </w:rPr>
        <w:t>Dall’Ora</w:t>
      </w:r>
      <w:proofErr w:type="spellEnd"/>
      <w:r w:rsidRPr="004566FA">
        <w:rPr>
          <w:rFonts w:ascii="Arial" w:hAnsi="Arial" w:cs="Arial"/>
        </w:rPr>
        <w:t xml:space="preserve">, C., </w:t>
      </w:r>
      <w:proofErr w:type="spellStart"/>
      <w:r w:rsidRPr="004566FA">
        <w:rPr>
          <w:rFonts w:ascii="Arial" w:hAnsi="Arial" w:cs="Arial"/>
        </w:rPr>
        <w:t>Ejebu</w:t>
      </w:r>
      <w:proofErr w:type="spellEnd"/>
      <w:r w:rsidRPr="004566FA">
        <w:rPr>
          <w:rFonts w:ascii="Arial" w:hAnsi="Arial" w:cs="Arial"/>
        </w:rPr>
        <w:t>, O.Z., Ball, J. and Griffiths, P. (2023). Shift work characteristics and burnout among nurses: cross-sectional survey. Occupational Medicine, 73(4), pp.199-204.</w:t>
      </w:r>
    </w:p>
    <w:p w14:paraId="394E38E8" w14:textId="77777777" w:rsidR="00026147" w:rsidRPr="004566FA" w:rsidRDefault="00026147" w:rsidP="004566FA">
      <w:pPr>
        <w:rPr>
          <w:rFonts w:ascii="Arial" w:hAnsi="Arial" w:cs="Arial"/>
        </w:rPr>
      </w:pPr>
      <w:r w:rsidRPr="004566FA">
        <w:rPr>
          <w:rFonts w:ascii="Arial" w:hAnsi="Arial" w:cs="Arial"/>
        </w:rPr>
        <w:t>Gemine, R., Davies, G.R., Tarrant, S., Davies, R.M., James, M. and Lewis, K. (2021). Factors associated with work-related burnout in NHS staff during COVID-19: a cross-sectional mixed methods study. BMJ open, 11(1), p.e042591.</w:t>
      </w:r>
    </w:p>
    <w:p w14:paraId="08E9DCE0" w14:textId="77777777" w:rsidR="00026147" w:rsidRPr="004566FA" w:rsidRDefault="00026147" w:rsidP="004566FA">
      <w:pPr>
        <w:rPr>
          <w:rFonts w:ascii="Arial" w:hAnsi="Arial" w:cs="Arial"/>
        </w:rPr>
      </w:pPr>
      <w:r w:rsidRPr="004566FA">
        <w:rPr>
          <w:rFonts w:ascii="Arial" w:hAnsi="Arial" w:cs="Arial"/>
        </w:rPr>
        <w:t>Giancola, M., Palmiero, M. and D’Amico, S. (2024). Divergent but not convergent thinking mediates the trait emotional intelligence-real-world creativity link: An empirical study. Creativity Research Journal, 36(1), pp.15-23.</w:t>
      </w:r>
    </w:p>
    <w:p w14:paraId="7FEA5694" w14:textId="77777777" w:rsidR="0027763F" w:rsidRPr="004566FA" w:rsidRDefault="00026147" w:rsidP="0027763F">
      <w:pPr>
        <w:rPr>
          <w:rFonts w:ascii="Arial" w:hAnsi="Arial" w:cs="Arial"/>
        </w:rPr>
      </w:pPr>
      <w:proofErr w:type="spellStart"/>
      <w:r w:rsidRPr="004566FA">
        <w:rPr>
          <w:rFonts w:ascii="Arial" w:hAnsi="Arial" w:cs="Arial"/>
        </w:rPr>
        <w:t>HealthIT</w:t>
      </w:r>
      <w:proofErr w:type="spellEnd"/>
      <w:r w:rsidRPr="004566FA">
        <w:rPr>
          <w:rFonts w:ascii="Arial" w:hAnsi="Arial" w:cs="Arial"/>
        </w:rPr>
        <w:t xml:space="preserve">. (2024). How will adopting electronic health records improve my ability to care for patients? </w:t>
      </w:r>
      <w:r w:rsidR="0027763F">
        <w:rPr>
          <w:rFonts w:ascii="Arial" w:hAnsi="Arial" w:cs="Arial"/>
        </w:rPr>
        <w:t xml:space="preserve">Available at: </w:t>
      </w:r>
      <w:hyperlink r:id="rId12" w:history="1">
        <w:r w:rsidR="0027763F" w:rsidRPr="00AA4396">
          <w:rPr>
            <w:rStyle w:val="Hyperlink"/>
            <w:rFonts w:ascii="Arial" w:hAnsi="Arial" w:cs="Arial"/>
          </w:rPr>
          <w:t>https://www.healthit.gov/faq/how-will-adopting-electronic-health-records-improve-my-ability-care-patients</w:t>
        </w:r>
      </w:hyperlink>
      <w:r w:rsidR="0027763F">
        <w:rPr>
          <w:rFonts w:ascii="Arial" w:hAnsi="Arial" w:cs="Arial"/>
        </w:rPr>
        <w:t xml:space="preserve"> </w:t>
      </w:r>
      <w:r w:rsidR="0027763F">
        <w:rPr>
          <w:rFonts w:ascii="Arial" w:hAnsi="Arial" w:cs="Arial"/>
        </w:rPr>
        <w:t>Accessed on 29/11/2025</w:t>
      </w:r>
    </w:p>
    <w:p w14:paraId="21AB4910" w14:textId="5C087A0E" w:rsidR="00026147" w:rsidRPr="004566FA" w:rsidRDefault="00026147" w:rsidP="004566FA">
      <w:pPr>
        <w:rPr>
          <w:rFonts w:ascii="Arial" w:hAnsi="Arial" w:cs="Arial"/>
        </w:rPr>
      </w:pPr>
      <w:proofErr w:type="spellStart"/>
      <w:r w:rsidRPr="004566FA">
        <w:rPr>
          <w:rFonts w:ascii="Arial" w:hAnsi="Arial" w:cs="Arial"/>
        </w:rPr>
        <w:t>Jafleh</w:t>
      </w:r>
      <w:proofErr w:type="spellEnd"/>
      <w:r w:rsidRPr="004566FA">
        <w:rPr>
          <w:rFonts w:ascii="Arial" w:hAnsi="Arial" w:cs="Arial"/>
        </w:rPr>
        <w:t xml:space="preserve">, E.A., </w:t>
      </w:r>
      <w:proofErr w:type="spellStart"/>
      <w:r w:rsidRPr="004566FA">
        <w:rPr>
          <w:rFonts w:ascii="Arial" w:hAnsi="Arial" w:cs="Arial"/>
        </w:rPr>
        <w:t>Alnaqbi</w:t>
      </w:r>
      <w:proofErr w:type="spellEnd"/>
      <w:r w:rsidRPr="004566FA">
        <w:rPr>
          <w:rFonts w:ascii="Arial" w:hAnsi="Arial" w:cs="Arial"/>
        </w:rPr>
        <w:t xml:space="preserve">, F.A., </w:t>
      </w:r>
      <w:proofErr w:type="spellStart"/>
      <w:r w:rsidRPr="004566FA">
        <w:rPr>
          <w:rFonts w:ascii="Arial" w:hAnsi="Arial" w:cs="Arial"/>
        </w:rPr>
        <w:t>Almaeeni</w:t>
      </w:r>
      <w:proofErr w:type="spellEnd"/>
      <w:r w:rsidRPr="004566FA">
        <w:rPr>
          <w:rFonts w:ascii="Arial" w:hAnsi="Arial" w:cs="Arial"/>
        </w:rPr>
        <w:t xml:space="preserve">, H.A., Faqeeh, S., </w:t>
      </w:r>
      <w:proofErr w:type="spellStart"/>
      <w:r w:rsidRPr="004566FA">
        <w:rPr>
          <w:rFonts w:ascii="Arial" w:hAnsi="Arial" w:cs="Arial"/>
        </w:rPr>
        <w:t>Alzaabi</w:t>
      </w:r>
      <w:proofErr w:type="spellEnd"/>
      <w:r w:rsidRPr="004566FA">
        <w:rPr>
          <w:rFonts w:ascii="Arial" w:hAnsi="Arial" w:cs="Arial"/>
        </w:rPr>
        <w:t xml:space="preserve">, M.A., Al Zaman, K., </w:t>
      </w:r>
      <w:proofErr w:type="spellStart"/>
      <w:r w:rsidRPr="004566FA">
        <w:rPr>
          <w:rFonts w:ascii="Arial" w:hAnsi="Arial" w:cs="Arial"/>
        </w:rPr>
        <w:t>Alnaqbi</w:t>
      </w:r>
      <w:proofErr w:type="spellEnd"/>
      <w:r w:rsidRPr="004566FA">
        <w:rPr>
          <w:rFonts w:ascii="Arial" w:hAnsi="Arial" w:cs="Arial"/>
        </w:rPr>
        <w:t xml:space="preserve">, F., </w:t>
      </w:r>
      <w:proofErr w:type="spellStart"/>
      <w:r w:rsidRPr="004566FA">
        <w:rPr>
          <w:rFonts w:ascii="Arial" w:hAnsi="Arial" w:cs="Arial"/>
        </w:rPr>
        <w:t>Almaeeni</w:t>
      </w:r>
      <w:proofErr w:type="spellEnd"/>
      <w:r w:rsidRPr="004566FA">
        <w:rPr>
          <w:rFonts w:ascii="Arial" w:hAnsi="Arial" w:cs="Arial"/>
        </w:rPr>
        <w:t xml:space="preserve">, H. and </w:t>
      </w:r>
      <w:proofErr w:type="spellStart"/>
      <w:r w:rsidRPr="004566FA">
        <w:rPr>
          <w:rFonts w:ascii="Arial" w:hAnsi="Arial" w:cs="Arial"/>
        </w:rPr>
        <w:t>Alzaabi</w:t>
      </w:r>
      <w:proofErr w:type="spellEnd"/>
      <w:r w:rsidRPr="004566FA">
        <w:rPr>
          <w:rFonts w:ascii="Arial" w:hAnsi="Arial" w:cs="Arial"/>
        </w:rPr>
        <w:t>, M. (2024). The role of wearable devices in chronic disease monitoring and patient care: a comprehensive review. Cureus, 16(9).</w:t>
      </w:r>
    </w:p>
    <w:p w14:paraId="431EADE0" w14:textId="65450E57" w:rsidR="00026147" w:rsidRPr="004566FA" w:rsidRDefault="00026147" w:rsidP="004566FA">
      <w:pPr>
        <w:rPr>
          <w:rFonts w:ascii="Arial" w:hAnsi="Arial" w:cs="Arial"/>
        </w:rPr>
      </w:pPr>
      <w:r w:rsidRPr="004566FA">
        <w:rPr>
          <w:rFonts w:ascii="Arial" w:hAnsi="Arial" w:cs="Arial"/>
        </w:rPr>
        <w:t xml:space="preserve">Kang, H.S. and </w:t>
      </w:r>
      <w:proofErr w:type="spellStart"/>
      <w:r w:rsidRPr="004566FA">
        <w:rPr>
          <w:rFonts w:ascii="Arial" w:hAnsi="Arial" w:cs="Arial"/>
        </w:rPr>
        <w:t>Exworthy</w:t>
      </w:r>
      <w:proofErr w:type="spellEnd"/>
      <w:r w:rsidRPr="004566FA">
        <w:rPr>
          <w:rFonts w:ascii="Arial" w:hAnsi="Arial" w:cs="Arial"/>
        </w:rPr>
        <w:t xml:space="preserve">, M. (2022). Wearing the future—wearables to empower users to take greater responsibility for their health and care: scoping review. JMIR mHealth and </w:t>
      </w:r>
      <w:proofErr w:type="spellStart"/>
      <w:r w:rsidRPr="004566FA">
        <w:rPr>
          <w:rFonts w:ascii="Arial" w:hAnsi="Arial" w:cs="Arial"/>
        </w:rPr>
        <w:t>uHealth</w:t>
      </w:r>
      <w:proofErr w:type="spellEnd"/>
      <w:r w:rsidRPr="004566FA">
        <w:rPr>
          <w:rFonts w:ascii="Arial" w:hAnsi="Arial" w:cs="Arial"/>
        </w:rPr>
        <w:t>, 10(7), p.e35684</w:t>
      </w:r>
      <w:r w:rsidR="00BB30D7">
        <w:rPr>
          <w:rFonts w:ascii="Arial" w:hAnsi="Arial" w:cs="Arial"/>
        </w:rPr>
        <w:t xml:space="preserve">. </w:t>
      </w:r>
    </w:p>
    <w:p w14:paraId="0B0133A9" w14:textId="77777777" w:rsidR="00026147" w:rsidRPr="004566FA" w:rsidRDefault="00026147" w:rsidP="004566FA">
      <w:pPr>
        <w:rPr>
          <w:rFonts w:ascii="Arial" w:hAnsi="Arial" w:cs="Arial"/>
        </w:rPr>
      </w:pPr>
      <w:r w:rsidRPr="004566FA">
        <w:rPr>
          <w:rFonts w:ascii="Arial" w:hAnsi="Arial" w:cs="Arial"/>
        </w:rPr>
        <w:t>Kao, D.P., Trinkley, K.E. and Lin, C.T., 2020. Heart failure management innovation enabled by electronic health records. Heart Failure, 8(3), pp.223-233.</w:t>
      </w:r>
    </w:p>
    <w:p w14:paraId="4827803C" w14:textId="4E444172" w:rsidR="00026147" w:rsidRPr="004566FA" w:rsidRDefault="00026147" w:rsidP="004566FA">
      <w:pPr>
        <w:rPr>
          <w:rFonts w:ascii="Arial" w:hAnsi="Arial" w:cs="Arial"/>
        </w:rPr>
      </w:pPr>
      <w:r w:rsidRPr="004566FA">
        <w:rPr>
          <w:rFonts w:ascii="Arial" w:hAnsi="Arial" w:cs="Arial"/>
        </w:rPr>
        <w:t xml:space="preserve">Kings Fund. (2021). Leadership and leadership development in health care: The evidence base. </w:t>
      </w:r>
      <w:r w:rsidR="00AE6272">
        <w:rPr>
          <w:rFonts w:ascii="Arial" w:hAnsi="Arial" w:cs="Arial"/>
        </w:rPr>
        <w:t xml:space="preserve">Available at: </w:t>
      </w:r>
      <w:hyperlink r:id="rId13" w:history="1">
        <w:r w:rsidR="00AE6272" w:rsidRPr="00AA4396">
          <w:rPr>
            <w:rStyle w:val="Hyperlink"/>
            <w:rFonts w:ascii="Arial" w:hAnsi="Arial" w:cs="Arial"/>
          </w:rPr>
          <w:t>https://www.kingsfund.org.uk/publications/leadership-health-care</w:t>
        </w:r>
      </w:hyperlink>
      <w:r w:rsidR="00BB30D7">
        <w:rPr>
          <w:rFonts w:ascii="Arial" w:hAnsi="Arial" w:cs="Arial"/>
        </w:rPr>
        <w:t>. Accessed on 29/11/2025</w:t>
      </w:r>
    </w:p>
    <w:p w14:paraId="2E6F4D39" w14:textId="77777777" w:rsidR="00026147" w:rsidRPr="004566FA" w:rsidRDefault="00026147" w:rsidP="004566FA">
      <w:pPr>
        <w:rPr>
          <w:rFonts w:ascii="Arial" w:hAnsi="Arial" w:cs="Arial"/>
        </w:rPr>
      </w:pPr>
      <w:r w:rsidRPr="004566FA">
        <w:rPr>
          <w:rFonts w:ascii="Arial" w:hAnsi="Arial" w:cs="Arial"/>
        </w:rPr>
        <w:t>Kinman, G., Dovey, A. and Teoh, K. (2023). Burnout in healthcare: Risk factors and solutions.</w:t>
      </w:r>
    </w:p>
    <w:p w14:paraId="7EF24BDC" w14:textId="77777777" w:rsidR="00026147" w:rsidRPr="004566FA" w:rsidRDefault="00026147" w:rsidP="004566FA">
      <w:pPr>
        <w:rPr>
          <w:rFonts w:ascii="Arial" w:hAnsi="Arial" w:cs="Arial"/>
        </w:rPr>
      </w:pPr>
      <w:proofErr w:type="spellStart"/>
      <w:r w:rsidRPr="004566FA">
        <w:rPr>
          <w:rFonts w:ascii="Arial" w:hAnsi="Arial" w:cs="Arial"/>
        </w:rPr>
        <w:lastRenderedPageBreak/>
        <w:t>Lodewyk</w:t>
      </w:r>
      <w:proofErr w:type="spellEnd"/>
      <w:r w:rsidRPr="004566FA">
        <w:rPr>
          <w:rFonts w:ascii="Arial" w:hAnsi="Arial" w:cs="Arial"/>
        </w:rPr>
        <w:t>, K., Wiebe, M., Dennett, L., Larsson, J., Greenshaw, A. and Hayward, J. (2025). Wearables research for continuous monitoring of patient outcomes: A scoping review. PLOS Digital Health, 4(5), p.e0000860.</w:t>
      </w:r>
    </w:p>
    <w:p w14:paraId="3055340E" w14:textId="6CFEB275" w:rsidR="00026147" w:rsidRPr="004566FA" w:rsidRDefault="00026147" w:rsidP="004566FA">
      <w:pPr>
        <w:rPr>
          <w:rFonts w:ascii="Arial" w:hAnsi="Arial" w:cs="Arial"/>
        </w:rPr>
      </w:pPr>
      <w:r w:rsidRPr="004566FA">
        <w:rPr>
          <w:rFonts w:ascii="Arial" w:hAnsi="Arial" w:cs="Arial"/>
        </w:rPr>
        <w:t xml:space="preserve">MDIHA. (2023). How wearable tech is revolutionizing preventive health care. </w:t>
      </w:r>
      <w:r w:rsidR="00AE6272">
        <w:rPr>
          <w:rFonts w:ascii="Arial" w:hAnsi="Arial" w:cs="Arial"/>
        </w:rPr>
        <w:t xml:space="preserve">Available at: </w:t>
      </w:r>
      <w:hyperlink r:id="rId14" w:history="1">
        <w:r w:rsidR="00AE6272" w:rsidRPr="00AA4396">
          <w:rPr>
            <w:rStyle w:val="Hyperlink"/>
            <w:rFonts w:ascii="Arial" w:hAnsi="Arial" w:cs="Arial"/>
          </w:rPr>
          <w:t>https://www.mdiha.com/blog/how-wearable-tech-is-revolutionizing-preventive-health-care</w:t>
        </w:r>
      </w:hyperlink>
      <w:r w:rsidR="00BB30D7">
        <w:rPr>
          <w:rFonts w:ascii="Arial" w:hAnsi="Arial" w:cs="Arial"/>
        </w:rPr>
        <w:t>. Accessed on 01/12/2025</w:t>
      </w:r>
    </w:p>
    <w:p w14:paraId="4FBABDC0" w14:textId="0AC9AB70" w:rsidR="00026147" w:rsidRPr="004566FA" w:rsidRDefault="00026147" w:rsidP="004566FA">
      <w:pPr>
        <w:rPr>
          <w:rFonts w:ascii="Arial" w:hAnsi="Arial" w:cs="Arial"/>
        </w:rPr>
      </w:pPr>
      <w:proofErr w:type="spellStart"/>
      <w:r w:rsidRPr="004566FA">
        <w:rPr>
          <w:rFonts w:ascii="Arial" w:hAnsi="Arial" w:cs="Arial"/>
        </w:rPr>
        <w:t>MedTechNews</w:t>
      </w:r>
      <w:proofErr w:type="spellEnd"/>
      <w:r w:rsidRPr="004566FA">
        <w:rPr>
          <w:rFonts w:ascii="Arial" w:hAnsi="Arial" w:cs="Arial"/>
        </w:rPr>
        <w:t xml:space="preserve"> UK. (2023). Digital transformation in healthcare: technological innovations and implications. </w:t>
      </w:r>
      <w:r w:rsidR="00AE6272">
        <w:rPr>
          <w:rFonts w:ascii="Arial" w:hAnsi="Arial" w:cs="Arial"/>
        </w:rPr>
        <w:t xml:space="preserve">Available at: </w:t>
      </w:r>
      <w:hyperlink r:id="rId15" w:history="1">
        <w:r w:rsidR="00AE6272" w:rsidRPr="00AA4396">
          <w:rPr>
            <w:rStyle w:val="Hyperlink"/>
            <w:rFonts w:ascii="Arial" w:hAnsi="Arial" w:cs="Arial"/>
          </w:rPr>
          <w:t>https://medtechnews.uk/research-reports/digital-transformation-in-healthcare-a-comprehensive-analysis-of-technological-innovations-and-their-implications</w:t>
        </w:r>
      </w:hyperlink>
      <w:r w:rsidR="00B629F6">
        <w:rPr>
          <w:rFonts w:ascii="Arial" w:hAnsi="Arial" w:cs="Arial"/>
        </w:rPr>
        <w:t>. Accessed 28/11/2025</w:t>
      </w:r>
    </w:p>
    <w:p w14:paraId="4A0E3F39" w14:textId="77777777" w:rsidR="00026147" w:rsidRPr="004566FA" w:rsidRDefault="00026147" w:rsidP="004566FA">
      <w:pPr>
        <w:rPr>
          <w:rFonts w:ascii="Arial" w:hAnsi="Arial" w:cs="Arial"/>
        </w:rPr>
      </w:pPr>
      <w:r w:rsidRPr="004566FA">
        <w:rPr>
          <w:rFonts w:ascii="Arial" w:hAnsi="Arial" w:cs="Arial"/>
        </w:rPr>
        <w:t>NHS England. (2020). Digital Diabetes Self-Management Programme Evaluation Report.</w:t>
      </w:r>
    </w:p>
    <w:p w14:paraId="1F9C4AB2" w14:textId="6D9765F7" w:rsidR="00026147" w:rsidRPr="004566FA" w:rsidRDefault="00026147" w:rsidP="004566FA">
      <w:pPr>
        <w:rPr>
          <w:rFonts w:ascii="Arial" w:hAnsi="Arial" w:cs="Arial"/>
        </w:rPr>
      </w:pPr>
      <w:r w:rsidRPr="004566FA">
        <w:rPr>
          <w:rFonts w:ascii="Arial" w:hAnsi="Arial" w:cs="Arial"/>
        </w:rPr>
        <w:t xml:space="preserve">NHS Leadership Academy. (2013). The NHS Healthcare Leadership Model. </w:t>
      </w:r>
      <w:r w:rsidR="00AE6272">
        <w:rPr>
          <w:rFonts w:ascii="Arial" w:hAnsi="Arial" w:cs="Arial"/>
        </w:rPr>
        <w:t xml:space="preserve">Available at: </w:t>
      </w:r>
      <w:hyperlink r:id="rId16" w:history="1">
        <w:r w:rsidR="00AE6272" w:rsidRPr="00AA4396">
          <w:rPr>
            <w:rStyle w:val="Hyperlink"/>
            <w:rFonts w:ascii="Arial" w:hAnsi="Arial" w:cs="Arial"/>
          </w:rPr>
          <w:t>https://www.leadershipacademy.nhs.uk/resources/leadership-framework/</w:t>
        </w:r>
      </w:hyperlink>
      <w:r w:rsidR="00B629F6">
        <w:rPr>
          <w:rFonts w:ascii="Arial" w:hAnsi="Arial" w:cs="Arial"/>
        </w:rPr>
        <w:t>. Accessed 27/11/2025.</w:t>
      </w:r>
    </w:p>
    <w:p w14:paraId="49EA5219" w14:textId="281AC8AA" w:rsidR="00026147" w:rsidRPr="004566FA" w:rsidRDefault="00026147" w:rsidP="004566FA">
      <w:pPr>
        <w:rPr>
          <w:rFonts w:ascii="Arial" w:hAnsi="Arial" w:cs="Arial"/>
        </w:rPr>
      </w:pPr>
      <w:r w:rsidRPr="004566FA">
        <w:rPr>
          <w:rFonts w:ascii="Arial" w:hAnsi="Arial" w:cs="Arial"/>
        </w:rPr>
        <w:t xml:space="preserve">NIBIB. (2024). Digital health. </w:t>
      </w:r>
      <w:r w:rsidR="00AE6272">
        <w:rPr>
          <w:rFonts w:ascii="Arial" w:hAnsi="Arial" w:cs="Arial"/>
        </w:rPr>
        <w:t xml:space="preserve">Available at: </w:t>
      </w:r>
      <w:hyperlink r:id="rId17" w:history="1">
        <w:r w:rsidR="00AE6272" w:rsidRPr="00AA4396">
          <w:rPr>
            <w:rStyle w:val="Hyperlink"/>
            <w:rFonts w:ascii="Arial" w:hAnsi="Arial" w:cs="Arial"/>
          </w:rPr>
          <w:t>https://www.nibib.nih.gov/science-education/science-topics/digital-health</w:t>
        </w:r>
      </w:hyperlink>
      <w:r w:rsidR="00B629F6">
        <w:rPr>
          <w:rFonts w:ascii="Arial" w:hAnsi="Arial" w:cs="Arial"/>
        </w:rPr>
        <w:t>. Accessed 28/11/2025</w:t>
      </w:r>
    </w:p>
    <w:p w14:paraId="3D5C7534" w14:textId="77777777" w:rsidR="00026147" w:rsidRPr="004566FA" w:rsidRDefault="00026147" w:rsidP="004566FA">
      <w:pPr>
        <w:rPr>
          <w:rFonts w:ascii="Arial" w:hAnsi="Arial" w:cs="Arial"/>
        </w:rPr>
      </w:pPr>
      <w:r w:rsidRPr="004566FA">
        <w:rPr>
          <w:rFonts w:ascii="Arial" w:hAnsi="Arial" w:cs="Arial"/>
        </w:rPr>
        <w:t xml:space="preserve">Norman, G., Bennett, P. and Vardy, E.R. (2023). Virtual wards: a rapid evidence synthesis and implications for the care of older people. Age and Ageing, 52(1), </w:t>
      </w:r>
      <w:proofErr w:type="gramStart"/>
      <w:r w:rsidRPr="004566FA">
        <w:rPr>
          <w:rFonts w:ascii="Arial" w:hAnsi="Arial" w:cs="Arial"/>
        </w:rPr>
        <w:t>p.afac</w:t>
      </w:r>
      <w:proofErr w:type="gramEnd"/>
      <w:r w:rsidRPr="004566FA">
        <w:rPr>
          <w:rFonts w:ascii="Arial" w:hAnsi="Arial" w:cs="Arial"/>
        </w:rPr>
        <w:t>319.</w:t>
      </w:r>
    </w:p>
    <w:p w14:paraId="1F0929DA" w14:textId="77777777" w:rsidR="00026147" w:rsidRPr="004566FA" w:rsidRDefault="00026147" w:rsidP="004566FA">
      <w:pPr>
        <w:rPr>
          <w:rFonts w:ascii="Arial" w:hAnsi="Arial" w:cs="Arial"/>
        </w:rPr>
      </w:pPr>
      <w:r w:rsidRPr="004566FA">
        <w:rPr>
          <w:rFonts w:ascii="Arial" w:hAnsi="Arial" w:cs="Arial"/>
        </w:rPr>
        <w:t>Patel, M., Religioni, U., et al. (2025). Digital diabetes self-management interventions in the NHS. Journal of Medical Internet Research.</w:t>
      </w:r>
    </w:p>
    <w:p w14:paraId="3D97617E" w14:textId="20E87A5D" w:rsidR="00026147" w:rsidRPr="004566FA" w:rsidRDefault="00026147" w:rsidP="004566FA">
      <w:pPr>
        <w:rPr>
          <w:rFonts w:ascii="Arial" w:hAnsi="Arial" w:cs="Arial"/>
        </w:rPr>
      </w:pPr>
      <w:r w:rsidRPr="004566FA">
        <w:rPr>
          <w:rFonts w:ascii="Arial" w:hAnsi="Arial" w:cs="Arial"/>
        </w:rPr>
        <w:t xml:space="preserve">Patel, S., Huang, M., &amp; </w:t>
      </w:r>
      <w:proofErr w:type="spellStart"/>
      <w:r w:rsidRPr="004566FA">
        <w:rPr>
          <w:rFonts w:ascii="Arial" w:hAnsi="Arial" w:cs="Arial"/>
        </w:rPr>
        <w:t>Miliara</w:t>
      </w:r>
      <w:proofErr w:type="spellEnd"/>
      <w:r w:rsidRPr="004566FA">
        <w:rPr>
          <w:rFonts w:ascii="Arial" w:hAnsi="Arial" w:cs="Arial"/>
        </w:rPr>
        <w:t>, S. (2025). Understanding Treatment Adherence in Chronic Diseases: Challenges, Consequences, and Strategies for Improvement. Journal of Clinical Medicine, 14(17), 6034.</w:t>
      </w:r>
      <w:r w:rsidR="00AE6272">
        <w:rPr>
          <w:rFonts w:ascii="Arial" w:hAnsi="Arial" w:cs="Arial"/>
        </w:rPr>
        <w:t xml:space="preserve"> Available at:</w:t>
      </w:r>
      <w:r w:rsidRPr="004566FA">
        <w:rPr>
          <w:rFonts w:ascii="Arial" w:hAnsi="Arial" w:cs="Arial"/>
        </w:rPr>
        <w:t xml:space="preserve"> </w:t>
      </w:r>
      <w:hyperlink r:id="rId18" w:history="1">
        <w:r w:rsidR="00B629F6" w:rsidRPr="006A224C">
          <w:rPr>
            <w:rStyle w:val="Hyperlink"/>
            <w:rFonts w:ascii="Arial" w:hAnsi="Arial" w:cs="Arial"/>
          </w:rPr>
          <w:t>https://doi.org/10.3390/jcm14176034</w:t>
        </w:r>
      </w:hyperlink>
      <w:r w:rsidR="00B629F6">
        <w:rPr>
          <w:rFonts w:ascii="Arial" w:hAnsi="Arial" w:cs="Arial"/>
        </w:rPr>
        <w:t xml:space="preserve">. Accessed on 29/11/2025 </w:t>
      </w:r>
    </w:p>
    <w:p w14:paraId="7383FBAF" w14:textId="77777777" w:rsidR="00026147" w:rsidRPr="004566FA" w:rsidRDefault="00026147" w:rsidP="004566FA">
      <w:pPr>
        <w:rPr>
          <w:rFonts w:ascii="Arial" w:hAnsi="Arial" w:cs="Arial"/>
        </w:rPr>
      </w:pPr>
      <w:r w:rsidRPr="004566FA">
        <w:rPr>
          <w:rFonts w:ascii="Arial" w:hAnsi="Arial" w:cs="Arial"/>
        </w:rPr>
        <w:t>Porter, M. E., Lee, T. H., &amp; Nahrgang, J. D. (2021). Value-based health care—facing the challenges. New England Journal of Medicine, 384(5), 368–372.</w:t>
      </w:r>
    </w:p>
    <w:p w14:paraId="295B4B68" w14:textId="77777777" w:rsidR="00026147" w:rsidRPr="004566FA" w:rsidRDefault="00026147" w:rsidP="004566FA">
      <w:pPr>
        <w:rPr>
          <w:rFonts w:ascii="Arial" w:hAnsi="Arial" w:cs="Arial"/>
        </w:rPr>
      </w:pPr>
      <w:r w:rsidRPr="004566FA">
        <w:rPr>
          <w:rFonts w:ascii="Arial" w:hAnsi="Arial" w:cs="Arial"/>
        </w:rPr>
        <w:t>Porter, M., Lee, T., &amp; Kaplan, R. (2021). Value-Based Health Care. https://www.hbs.edu</w:t>
      </w:r>
    </w:p>
    <w:p w14:paraId="2E689EBD" w14:textId="77777777" w:rsidR="00026147" w:rsidRPr="004566FA" w:rsidRDefault="00026147" w:rsidP="004566FA">
      <w:pPr>
        <w:rPr>
          <w:rFonts w:ascii="Arial" w:hAnsi="Arial" w:cs="Arial"/>
        </w:rPr>
      </w:pPr>
      <w:proofErr w:type="spellStart"/>
      <w:r w:rsidRPr="004566FA">
        <w:rPr>
          <w:rFonts w:ascii="Arial" w:hAnsi="Arial" w:cs="Arial"/>
        </w:rPr>
        <w:t>Religioni</w:t>
      </w:r>
      <w:proofErr w:type="spellEnd"/>
      <w:r w:rsidRPr="004566FA">
        <w:rPr>
          <w:rFonts w:ascii="Arial" w:hAnsi="Arial" w:cs="Arial"/>
        </w:rPr>
        <w:t>, U., Barrios-Rodríguez, R., Requena, P., Borowska, M. and Ostrowski, J. (2025). Enhancing therapy adherence: impact on clinical outcomes, healthcare costs, and patient quality of life. Medicina, 61(1), p.153.</w:t>
      </w:r>
    </w:p>
    <w:p w14:paraId="7E9E76D9" w14:textId="77777777" w:rsidR="00026147" w:rsidRPr="004566FA" w:rsidRDefault="00026147" w:rsidP="004566FA">
      <w:pPr>
        <w:rPr>
          <w:rFonts w:ascii="Arial" w:hAnsi="Arial" w:cs="Arial"/>
        </w:rPr>
      </w:pPr>
      <w:proofErr w:type="spellStart"/>
      <w:r w:rsidRPr="004566FA">
        <w:rPr>
          <w:rFonts w:ascii="Arial" w:hAnsi="Arial" w:cs="Arial"/>
        </w:rPr>
        <w:t>Religioni</w:t>
      </w:r>
      <w:proofErr w:type="spellEnd"/>
      <w:r w:rsidRPr="004566FA">
        <w:rPr>
          <w:rFonts w:ascii="Arial" w:hAnsi="Arial" w:cs="Arial"/>
        </w:rPr>
        <w:t>, U., et al. (2025). Patient engagement and outcomes in digital health programs. International Journal of Medical Informatics.</w:t>
      </w:r>
    </w:p>
    <w:p w14:paraId="204259E5" w14:textId="77777777" w:rsidR="00026147" w:rsidRPr="004566FA" w:rsidRDefault="00026147" w:rsidP="004566FA">
      <w:pPr>
        <w:rPr>
          <w:rFonts w:ascii="Arial" w:hAnsi="Arial" w:cs="Arial"/>
        </w:rPr>
      </w:pPr>
      <w:r w:rsidRPr="004566FA">
        <w:rPr>
          <w:rFonts w:ascii="Arial" w:hAnsi="Arial" w:cs="Arial"/>
        </w:rPr>
        <w:t>Runco, M. A., &amp; Jaeger, G. J. (2012). The standard definition of creativity. Creativity Research Journal, 24(1), 92–96.</w:t>
      </w:r>
    </w:p>
    <w:p w14:paraId="2C7F71CC" w14:textId="77777777" w:rsidR="00026147" w:rsidRPr="004566FA" w:rsidRDefault="00026147" w:rsidP="004566FA">
      <w:pPr>
        <w:rPr>
          <w:rFonts w:ascii="Arial" w:hAnsi="Arial" w:cs="Arial"/>
        </w:rPr>
      </w:pPr>
      <w:r w:rsidRPr="004566FA">
        <w:rPr>
          <w:rFonts w:ascii="Arial" w:hAnsi="Arial" w:cs="Arial"/>
        </w:rPr>
        <w:lastRenderedPageBreak/>
        <w:t>Runco, M. A., &amp; Jaeger, G. J. (2012). The standard definition of creativity. Creativity Research Journal, 24(1), 92–96.</w:t>
      </w:r>
    </w:p>
    <w:p w14:paraId="303D5D27" w14:textId="574D1B9D" w:rsidR="00026147" w:rsidRPr="004566FA" w:rsidRDefault="00026147" w:rsidP="004566FA">
      <w:pPr>
        <w:rPr>
          <w:rFonts w:ascii="Arial" w:hAnsi="Arial" w:cs="Arial"/>
        </w:rPr>
      </w:pPr>
      <w:r w:rsidRPr="004566FA">
        <w:rPr>
          <w:rFonts w:ascii="Arial" w:hAnsi="Arial" w:cs="Arial"/>
        </w:rPr>
        <w:t xml:space="preserve">Runco, M., &amp; Jaeger, G. (2012). The Standard Definition of Creativity. </w:t>
      </w:r>
      <w:r w:rsidR="00AE6272">
        <w:rPr>
          <w:rFonts w:ascii="Arial" w:hAnsi="Arial" w:cs="Arial"/>
        </w:rPr>
        <w:t xml:space="preserve">Available at: </w:t>
      </w:r>
      <w:hyperlink r:id="rId19" w:history="1">
        <w:r w:rsidR="00AE6272" w:rsidRPr="00AA4396">
          <w:rPr>
            <w:rStyle w:val="Hyperlink"/>
            <w:rFonts w:ascii="Arial" w:hAnsi="Arial" w:cs="Arial"/>
          </w:rPr>
          <w:t>https://doi.org/10.1080/10400419.2012.650092</w:t>
        </w:r>
      </w:hyperlink>
      <w:r w:rsidR="00B629F6">
        <w:rPr>
          <w:rFonts w:ascii="Arial" w:hAnsi="Arial" w:cs="Arial"/>
        </w:rPr>
        <w:t>. Accessed on 26/11/2025</w:t>
      </w:r>
    </w:p>
    <w:p w14:paraId="3D2B63EE" w14:textId="77777777" w:rsidR="00026147" w:rsidRPr="004566FA" w:rsidRDefault="00026147" w:rsidP="004566FA">
      <w:pPr>
        <w:rPr>
          <w:rFonts w:ascii="Arial" w:hAnsi="Arial" w:cs="Arial"/>
        </w:rPr>
      </w:pPr>
      <w:r w:rsidRPr="004566FA">
        <w:rPr>
          <w:rFonts w:ascii="Arial" w:hAnsi="Arial" w:cs="Arial"/>
        </w:rPr>
        <w:t>Runco, M.A. and Acar, S., (2012). Divergent thinking as an indicator of creative potential. Creativity research journal, 24(1), pp.66-75.</w:t>
      </w:r>
    </w:p>
    <w:p w14:paraId="44A5753B" w14:textId="77777777" w:rsidR="00026147" w:rsidRPr="004566FA" w:rsidRDefault="00026147" w:rsidP="004566FA">
      <w:pPr>
        <w:rPr>
          <w:rFonts w:ascii="Arial" w:hAnsi="Arial" w:cs="Arial"/>
        </w:rPr>
      </w:pPr>
      <w:r w:rsidRPr="004566FA">
        <w:rPr>
          <w:rFonts w:ascii="Arial" w:hAnsi="Arial" w:cs="Arial"/>
        </w:rPr>
        <w:t>Tidd, J., &amp; Bessant, J. (2021). Managing innovation (7th ed.). Wiley.</w:t>
      </w:r>
    </w:p>
    <w:p w14:paraId="1A8F351F" w14:textId="0F019897" w:rsidR="00026147" w:rsidRPr="004566FA" w:rsidRDefault="00026147" w:rsidP="004566FA">
      <w:pPr>
        <w:rPr>
          <w:rFonts w:ascii="Arial" w:hAnsi="Arial" w:cs="Arial"/>
        </w:rPr>
      </w:pPr>
      <w:r w:rsidRPr="004566FA">
        <w:rPr>
          <w:rFonts w:ascii="Arial" w:hAnsi="Arial" w:cs="Arial"/>
        </w:rPr>
        <w:t xml:space="preserve">Tidd, J., &amp; Bessant, J. (2021). Managing Innovation. </w:t>
      </w:r>
      <w:r w:rsidR="00AE6272">
        <w:rPr>
          <w:rFonts w:ascii="Arial" w:hAnsi="Arial" w:cs="Arial"/>
        </w:rPr>
        <w:t xml:space="preserve">Available at: </w:t>
      </w:r>
      <w:hyperlink r:id="rId20" w:history="1">
        <w:r w:rsidR="00AE6272" w:rsidRPr="00AA4396">
          <w:rPr>
            <w:rStyle w:val="Hyperlink"/>
            <w:rFonts w:ascii="Arial" w:hAnsi="Arial" w:cs="Arial"/>
          </w:rPr>
          <w:t>https://doi.org/10.1002/9781119713302</w:t>
        </w:r>
      </w:hyperlink>
      <w:r w:rsidR="00B629F6">
        <w:rPr>
          <w:rFonts w:ascii="Arial" w:hAnsi="Arial" w:cs="Arial"/>
        </w:rPr>
        <w:t xml:space="preserve">. Accessed on 27/11/2025 </w:t>
      </w:r>
    </w:p>
    <w:p w14:paraId="02F5B431" w14:textId="32A569E2" w:rsidR="00026147" w:rsidRPr="004566FA" w:rsidRDefault="00026147" w:rsidP="004566FA">
      <w:pPr>
        <w:rPr>
          <w:rFonts w:ascii="Arial" w:hAnsi="Arial" w:cs="Arial"/>
        </w:rPr>
      </w:pPr>
      <w:r w:rsidRPr="004566FA">
        <w:rPr>
          <w:rFonts w:ascii="Arial" w:hAnsi="Arial" w:cs="Arial"/>
        </w:rPr>
        <w:t xml:space="preserve">Vos, J.F.J., Boonstra, A., Kooistra, A., (2020). The influence of electronic health record use on collaboration among medical specialties. BMC Health Services Research, 20(1), 452. </w:t>
      </w:r>
      <w:r w:rsidR="00AE6272">
        <w:rPr>
          <w:rFonts w:ascii="Arial" w:hAnsi="Arial" w:cs="Arial"/>
        </w:rPr>
        <w:t xml:space="preserve">Available at: </w:t>
      </w:r>
      <w:hyperlink r:id="rId21" w:history="1">
        <w:r w:rsidR="00AE6272" w:rsidRPr="00AA4396">
          <w:rPr>
            <w:rStyle w:val="Hyperlink"/>
            <w:rFonts w:ascii="Arial" w:hAnsi="Arial" w:cs="Arial"/>
          </w:rPr>
          <w:t>https://bmchealthservres.biomedcentral.com/articles/10.1186/s12913-020-05542-6</w:t>
        </w:r>
      </w:hyperlink>
      <w:r w:rsidR="00B629F6">
        <w:rPr>
          <w:rFonts w:ascii="Arial" w:hAnsi="Arial" w:cs="Arial"/>
        </w:rPr>
        <w:t xml:space="preserve"> Accessed on 28/11/2025</w:t>
      </w:r>
    </w:p>
    <w:p w14:paraId="270E6BAF" w14:textId="5421BE82" w:rsidR="00026147" w:rsidRPr="004566FA" w:rsidRDefault="00026147" w:rsidP="004566FA">
      <w:pPr>
        <w:rPr>
          <w:rFonts w:ascii="Arial" w:hAnsi="Arial" w:cs="Arial"/>
        </w:rPr>
      </w:pPr>
      <w:r w:rsidRPr="004566FA">
        <w:rPr>
          <w:rFonts w:ascii="Arial" w:hAnsi="Arial" w:cs="Arial"/>
        </w:rPr>
        <w:t xml:space="preserve">Vyas, H. (2023). Harnessing wearable health tech: opportunities for the NHS. </w:t>
      </w:r>
      <w:r w:rsidR="00AE6272">
        <w:rPr>
          <w:rFonts w:ascii="Arial" w:hAnsi="Arial" w:cs="Arial"/>
        </w:rPr>
        <w:t xml:space="preserve">Available at: </w:t>
      </w:r>
      <w:hyperlink r:id="rId22" w:history="1">
        <w:r w:rsidR="00AE6272" w:rsidRPr="00AA4396">
          <w:rPr>
            <w:rStyle w:val="Hyperlink"/>
            <w:rFonts w:ascii="Arial" w:hAnsi="Arial" w:cs="Arial"/>
          </w:rPr>
          <w:t>https://akeso.co.uk/insights/harnessing-wearable-health-tech-a-digital-transformation-opportunity-for-the-nhs</w:t>
        </w:r>
      </w:hyperlink>
      <w:r w:rsidR="00B629F6">
        <w:rPr>
          <w:rFonts w:ascii="Arial" w:hAnsi="Arial" w:cs="Arial"/>
        </w:rPr>
        <w:t>. Accessed on 29/11/2025</w:t>
      </w:r>
    </w:p>
    <w:p w14:paraId="6F45CEAC" w14:textId="77777777" w:rsidR="00026147" w:rsidRPr="004566FA" w:rsidRDefault="00026147" w:rsidP="004566FA">
      <w:pPr>
        <w:rPr>
          <w:rFonts w:ascii="Arial" w:hAnsi="Arial" w:cs="Arial"/>
        </w:rPr>
      </w:pPr>
      <w:r w:rsidRPr="004566FA">
        <w:rPr>
          <w:rFonts w:ascii="Arial" w:hAnsi="Arial" w:cs="Arial"/>
        </w:rPr>
        <w:t>West, M., Eckert, R., Steward, K., &amp; Pasmore, B. (2015). Developing collective leadership for health care. The King’s Fund.</w:t>
      </w:r>
    </w:p>
    <w:p w14:paraId="582215A7" w14:textId="77777777" w:rsidR="00546030" w:rsidRPr="004566FA" w:rsidRDefault="00546030">
      <w:pPr>
        <w:rPr>
          <w:rFonts w:ascii="Arial" w:hAnsi="Arial" w:cs="Arial"/>
        </w:rPr>
      </w:pPr>
    </w:p>
    <w:sectPr w:rsidR="00546030" w:rsidRPr="004566FA">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5AAAD" w14:textId="77777777" w:rsidR="00675C48" w:rsidRDefault="00675C48" w:rsidP="00AE0DF4">
      <w:pPr>
        <w:spacing w:after="0" w:line="240" w:lineRule="auto"/>
      </w:pPr>
      <w:r>
        <w:separator/>
      </w:r>
    </w:p>
  </w:endnote>
  <w:endnote w:type="continuationSeparator" w:id="0">
    <w:p w14:paraId="272DC73F" w14:textId="77777777" w:rsidR="00675C48" w:rsidRDefault="00675C48" w:rsidP="00AE0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FD18D" w14:textId="77777777" w:rsidR="00675C48" w:rsidRDefault="00675C48" w:rsidP="00AE0DF4">
      <w:pPr>
        <w:spacing w:after="0" w:line="240" w:lineRule="auto"/>
      </w:pPr>
      <w:r>
        <w:separator/>
      </w:r>
    </w:p>
  </w:footnote>
  <w:footnote w:type="continuationSeparator" w:id="0">
    <w:p w14:paraId="409DA29B" w14:textId="77777777" w:rsidR="00675C48" w:rsidRDefault="00675C48" w:rsidP="00AE0D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532006"/>
      <w:docPartObj>
        <w:docPartGallery w:val="Page Numbers (Top of Page)"/>
        <w:docPartUnique/>
      </w:docPartObj>
    </w:sdtPr>
    <w:sdtEndPr>
      <w:rPr>
        <w:noProof/>
      </w:rPr>
    </w:sdtEndPr>
    <w:sdtContent>
      <w:p w14:paraId="643E5633" w14:textId="65871C14" w:rsidR="00AE0DF4" w:rsidRDefault="00AE0DF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77E5140" w14:textId="77777777" w:rsidR="00AE0DF4" w:rsidRDefault="00AE0D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030"/>
    <w:rsid w:val="00026147"/>
    <w:rsid w:val="0002733F"/>
    <w:rsid w:val="000B5981"/>
    <w:rsid w:val="00140445"/>
    <w:rsid w:val="00177A4E"/>
    <w:rsid w:val="00263471"/>
    <w:rsid w:val="0027763F"/>
    <w:rsid w:val="002A12BF"/>
    <w:rsid w:val="003143B8"/>
    <w:rsid w:val="00443A0C"/>
    <w:rsid w:val="004566FA"/>
    <w:rsid w:val="0054465C"/>
    <w:rsid w:val="00546030"/>
    <w:rsid w:val="005D1CAF"/>
    <w:rsid w:val="00675C48"/>
    <w:rsid w:val="006C6961"/>
    <w:rsid w:val="00813166"/>
    <w:rsid w:val="00871341"/>
    <w:rsid w:val="008B46D9"/>
    <w:rsid w:val="0092304B"/>
    <w:rsid w:val="009B2995"/>
    <w:rsid w:val="00A333C3"/>
    <w:rsid w:val="00A76B3D"/>
    <w:rsid w:val="00AE0DF4"/>
    <w:rsid w:val="00AE1CF4"/>
    <w:rsid w:val="00AE6272"/>
    <w:rsid w:val="00B25882"/>
    <w:rsid w:val="00B340C1"/>
    <w:rsid w:val="00B54708"/>
    <w:rsid w:val="00B629F6"/>
    <w:rsid w:val="00BB30D7"/>
    <w:rsid w:val="00BC1E75"/>
    <w:rsid w:val="00C44923"/>
    <w:rsid w:val="00C62D40"/>
    <w:rsid w:val="00F14BE6"/>
    <w:rsid w:val="00F96E95"/>
    <w:rsid w:val="00FD4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F934"/>
  <w15:chartTrackingRefBased/>
  <w15:docId w15:val="{061D98D0-C03D-4386-A7B2-EF47DD63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6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6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6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6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60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0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0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0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6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6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6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6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6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030"/>
    <w:rPr>
      <w:rFonts w:eastAsiaTheme="majorEastAsia" w:cstheme="majorBidi"/>
      <w:color w:val="272727" w:themeColor="text1" w:themeTint="D8"/>
    </w:rPr>
  </w:style>
  <w:style w:type="paragraph" w:styleId="Title">
    <w:name w:val="Title"/>
    <w:basedOn w:val="Normal"/>
    <w:next w:val="Normal"/>
    <w:link w:val="TitleChar"/>
    <w:uiPriority w:val="10"/>
    <w:qFormat/>
    <w:rsid w:val="00546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030"/>
    <w:pPr>
      <w:spacing w:before="160"/>
      <w:jc w:val="center"/>
    </w:pPr>
    <w:rPr>
      <w:i/>
      <w:iCs/>
      <w:color w:val="404040" w:themeColor="text1" w:themeTint="BF"/>
    </w:rPr>
  </w:style>
  <w:style w:type="character" w:customStyle="1" w:styleId="QuoteChar">
    <w:name w:val="Quote Char"/>
    <w:basedOn w:val="DefaultParagraphFont"/>
    <w:link w:val="Quote"/>
    <w:uiPriority w:val="29"/>
    <w:rsid w:val="00546030"/>
    <w:rPr>
      <w:i/>
      <w:iCs/>
      <w:color w:val="404040" w:themeColor="text1" w:themeTint="BF"/>
    </w:rPr>
  </w:style>
  <w:style w:type="paragraph" w:styleId="ListParagraph">
    <w:name w:val="List Paragraph"/>
    <w:basedOn w:val="Normal"/>
    <w:uiPriority w:val="34"/>
    <w:qFormat/>
    <w:rsid w:val="00546030"/>
    <w:pPr>
      <w:ind w:left="720"/>
      <w:contextualSpacing/>
    </w:pPr>
  </w:style>
  <w:style w:type="character" w:styleId="IntenseEmphasis">
    <w:name w:val="Intense Emphasis"/>
    <w:basedOn w:val="DefaultParagraphFont"/>
    <w:uiPriority w:val="21"/>
    <w:qFormat/>
    <w:rsid w:val="00546030"/>
    <w:rPr>
      <w:i/>
      <w:iCs/>
      <w:color w:val="0F4761" w:themeColor="accent1" w:themeShade="BF"/>
    </w:rPr>
  </w:style>
  <w:style w:type="paragraph" w:styleId="IntenseQuote">
    <w:name w:val="Intense Quote"/>
    <w:basedOn w:val="Normal"/>
    <w:next w:val="Normal"/>
    <w:link w:val="IntenseQuoteChar"/>
    <w:uiPriority w:val="30"/>
    <w:qFormat/>
    <w:rsid w:val="00546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6030"/>
    <w:rPr>
      <w:i/>
      <w:iCs/>
      <w:color w:val="0F4761" w:themeColor="accent1" w:themeShade="BF"/>
    </w:rPr>
  </w:style>
  <w:style w:type="character" w:styleId="IntenseReference">
    <w:name w:val="Intense Reference"/>
    <w:basedOn w:val="DefaultParagraphFont"/>
    <w:uiPriority w:val="32"/>
    <w:qFormat/>
    <w:rsid w:val="00546030"/>
    <w:rPr>
      <w:b/>
      <w:bCs/>
      <w:smallCaps/>
      <w:color w:val="0F4761" w:themeColor="accent1" w:themeShade="BF"/>
      <w:spacing w:val="5"/>
    </w:rPr>
  </w:style>
  <w:style w:type="character" w:styleId="Hyperlink">
    <w:name w:val="Hyperlink"/>
    <w:basedOn w:val="DefaultParagraphFont"/>
    <w:uiPriority w:val="99"/>
    <w:unhideWhenUsed/>
    <w:rsid w:val="00B629F6"/>
    <w:rPr>
      <w:color w:val="467886" w:themeColor="hyperlink"/>
      <w:u w:val="single"/>
    </w:rPr>
  </w:style>
  <w:style w:type="character" w:styleId="UnresolvedMention">
    <w:name w:val="Unresolved Mention"/>
    <w:basedOn w:val="DefaultParagraphFont"/>
    <w:uiPriority w:val="99"/>
    <w:semiHidden/>
    <w:unhideWhenUsed/>
    <w:rsid w:val="00B629F6"/>
    <w:rPr>
      <w:color w:val="605E5C"/>
      <w:shd w:val="clear" w:color="auto" w:fill="E1DFDD"/>
    </w:rPr>
  </w:style>
  <w:style w:type="paragraph" w:styleId="Header">
    <w:name w:val="header"/>
    <w:basedOn w:val="Normal"/>
    <w:link w:val="HeaderChar"/>
    <w:uiPriority w:val="99"/>
    <w:unhideWhenUsed/>
    <w:rsid w:val="00AE0D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DF4"/>
  </w:style>
  <w:style w:type="paragraph" w:styleId="Footer">
    <w:name w:val="footer"/>
    <w:basedOn w:val="Normal"/>
    <w:link w:val="FooterChar"/>
    <w:uiPriority w:val="99"/>
    <w:unhideWhenUsed/>
    <w:rsid w:val="00AE0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ingsfund.org.uk/publications/leadership-health-care" TargetMode="External"/><Relationship Id="rId18" Type="http://schemas.openxmlformats.org/officeDocument/2006/relationships/hyperlink" Target="https://doi.org/10.3390/jcm14176034" TargetMode="External"/><Relationship Id="rId3" Type="http://schemas.openxmlformats.org/officeDocument/2006/relationships/customXml" Target="../customXml/item3.xml"/><Relationship Id="rId21" Type="http://schemas.openxmlformats.org/officeDocument/2006/relationships/hyperlink" Target="https://bmchealthservres.biomedcentral.com/articles/10.1186/s12913-020-05542-6" TargetMode="External"/><Relationship Id="rId7" Type="http://schemas.openxmlformats.org/officeDocument/2006/relationships/footnotes" Target="footnotes.xml"/><Relationship Id="rId12" Type="http://schemas.openxmlformats.org/officeDocument/2006/relationships/hyperlink" Target="https://www.healthit.gov/faq/how-will-adopting-electronic-health-records-improve-my-ability-care-patients" TargetMode="External"/><Relationship Id="rId17" Type="http://schemas.openxmlformats.org/officeDocument/2006/relationships/hyperlink" Target="https://www.nibib.nih.gov/science-education/science-topics/digital-health"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adershipacademy.nhs.uk/resources/leadership-framework/" TargetMode="External"/><Relationship Id="rId20" Type="http://schemas.openxmlformats.org/officeDocument/2006/relationships/hyperlink" Target="https://doi.org/10.1002/978111971330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edtechnews.uk/research-reports/digital-transformation-in-healthcare-a-comprehensive-analysis-of-technological-innovations-and-their-implications" TargetMode="External"/><Relationship Id="rId23" Type="http://schemas.openxmlformats.org/officeDocument/2006/relationships/header" Target="header1.xml"/><Relationship Id="rId10" Type="http://schemas.openxmlformats.org/officeDocument/2006/relationships/hyperlink" Target="https://uk.sagepub.com" TargetMode="External"/><Relationship Id="rId19" Type="http://schemas.openxmlformats.org/officeDocument/2006/relationships/hyperlink" Target="https://doi.org/10.1080/10400419.2012.65009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diha.com/blog/how-wearable-tech-is-revolutionizing-preventive-health-care" TargetMode="External"/><Relationship Id="rId22" Type="http://schemas.openxmlformats.org/officeDocument/2006/relationships/hyperlink" Target="https://akeso.co.uk/insights/harnessing-wearable-health-tech-a-digital-transformation-opportunity-for-the-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cb3664-3ee6-41eb-9f2c-4d1907dd4d4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59C24D3CE6874D8136E289A822EFC9" ma:contentTypeVersion="14" ma:contentTypeDescription="Create a new document." ma:contentTypeScope="" ma:versionID="dea5bdc66e8af3a555c5fc9857a21828">
  <xsd:schema xmlns:xsd="http://www.w3.org/2001/XMLSchema" xmlns:xs="http://www.w3.org/2001/XMLSchema" xmlns:p="http://schemas.microsoft.com/office/2006/metadata/properties" xmlns:ns3="1acb3664-3ee6-41eb-9f2c-4d1907dd4d47" xmlns:ns4="556003cf-d190-46c7-9da9-bad9ca36a43c" targetNamespace="http://schemas.microsoft.com/office/2006/metadata/properties" ma:root="true" ma:fieldsID="d160318e134c6d27a1a67136b01474a3" ns3:_="" ns4:_="">
    <xsd:import namespace="1acb3664-3ee6-41eb-9f2c-4d1907dd4d47"/>
    <xsd:import namespace="556003cf-d190-46c7-9da9-bad9ca36a43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AutoTags" minOccurs="0"/>
                <xsd:element ref="ns3:MediaServiceGenerationTime" minOccurs="0"/>
                <xsd:element ref="ns3:MediaServiceEventHashCode" minOccurs="0"/>
                <xsd:element ref="ns3:MediaServiceSystemTags" minOccurs="0"/>
                <xsd:element ref="ns3:MediaServiceOCR" minOccurs="0"/>
                <xsd:element ref="ns3:MediaServiceSearchPropertie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b3664-3ee6-41eb-9f2c-4d1907dd4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6003cf-d190-46c7-9da9-bad9ca36a43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96415-31A1-414C-A081-08D47C9E11CF}">
  <ds:schemaRefs>
    <ds:schemaRef ds:uri="http://schemas.microsoft.com/office/2006/metadata/properties"/>
    <ds:schemaRef ds:uri="http://schemas.microsoft.com/office/infopath/2007/PartnerControls"/>
    <ds:schemaRef ds:uri="1acb3664-3ee6-41eb-9f2c-4d1907dd4d47"/>
  </ds:schemaRefs>
</ds:datastoreItem>
</file>

<file path=customXml/itemProps2.xml><?xml version="1.0" encoding="utf-8"?>
<ds:datastoreItem xmlns:ds="http://schemas.openxmlformats.org/officeDocument/2006/customXml" ds:itemID="{A7EC56F9-1BB5-479E-B73C-16D4EF5CD2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cb3664-3ee6-41eb-9f2c-4d1907dd4d47"/>
    <ds:schemaRef ds:uri="556003cf-d190-46c7-9da9-bad9ca36a4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C6CAB7-CDFB-42FF-A645-D26E92A0E8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11</Pages>
  <Words>3644</Words>
  <Characters>20772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 Lamin</dc:creator>
  <cp:keywords/>
  <dc:description/>
  <cp:lastModifiedBy>Marie Louise Audrey Sombo Niamie (2335747)</cp:lastModifiedBy>
  <cp:revision>15</cp:revision>
  <dcterms:created xsi:type="dcterms:W3CDTF">2025-12-04T21:22:00Z</dcterms:created>
  <dcterms:modified xsi:type="dcterms:W3CDTF">2025-12-04T21:52:00Z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0x010100D859C24D3CE6874D8136E289A822EFC9</vt:lpwstr>
  </property>
</Properties>
</file>