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60D7B" w14:textId="77777777" w:rsidR="00690943" w:rsidRDefault="00690943">
      <w:pPr>
        <w:widowControl w:val="0"/>
        <w:spacing w:line="480" w:lineRule="auto"/>
      </w:pPr>
    </w:p>
    <w:p w14:paraId="6160045E" w14:textId="77777777" w:rsidR="00690943" w:rsidRDefault="00690943">
      <w:pPr>
        <w:pStyle w:val="Heading1"/>
        <w:rPr>
          <w:sz w:val="24"/>
          <w:szCs w:val="24"/>
        </w:rPr>
      </w:pPr>
      <w:bookmarkStart w:id="0" w:name="_l05phkg9pzzk" w:colFirst="0" w:colLast="0"/>
      <w:bookmarkEnd w:id="0"/>
    </w:p>
    <w:p w14:paraId="3B947E70" w14:textId="77777777" w:rsidR="00690943" w:rsidRDefault="00690943">
      <w:pPr>
        <w:widowControl w:val="0"/>
        <w:spacing w:line="480" w:lineRule="auto"/>
      </w:pPr>
    </w:p>
    <w:p w14:paraId="4AC364EE" w14:textId="77777777" w:rsidR="00690943" w:rsidRDefault="00000000">
      <w:pPr>
        <w:widowControl w:val="0"/>
        <w:spacing w:line="360" w:lineRule="auto"/>
        <w:jc w:val="center"/>
        <w:rPr>
          <w:b/>
          <w:bCs/>
          <w:sz w:val="48"/>
          <w:szCs w:val="48"/>
        </w:rPr>
      </w:pPr>
      <w:r>
        <w:rPr>
          <w:b/>
          <w:bCs/>
          <w:sz w:val="48"/>
          <w:szCs w:val="48"/>
        </w:rPr>
        <w:t>MSc Digital Transformation</w:t>
      </w:r>
    </w:p>
    <w:p w14:paraId="4503DAEC" w14:textId="77777777" w:rsidR="00690943" w:rsidRDefault="00000000">
      <w:pPr>
        <w:widowControl w:val="0"/>
        <w:spacing w:line="360" w:lineRule="auto"/>
        <w:jc w:val="center"/>
        <w:rPr>
          <w:b/>
          <w:bCs/>
          <w:sz w:val="48"/>
          <w:szCs w:val="48"/>
        </w:rPr>
      </w:pPr>
      <w:r>
        <w:rPr>
          <w:b/>
          <w:bCs/>
          <w:sz w:val="48"/>
          <w:szCs w:val="48"/>
        </w:rPr>
        <w:t>for the Health and Care Professions</w:t>
      </w:r>
    </w:p>
    <w:p w14:paraId="3FF26F1E" w14:textId="77777777" w:rsidR="00690943" w:rsidRDefault="00000000">
      <w:pPr>
        <w:widowControl w:val="0"/>
        <w:spacing w:line="360" w:lineRule="auto"/>
        <w:jc w:val="center"/>
        <w:rPr>
          <w:b/>
          <w:bCs/>
          <w:sz w:val="48"/>
          <w:szCs w:val="48"/>
        </w:rPr>
      </w:pPr>
      <w:r>
        <w:rPr>
          <w:b/>
          <w:bCs/>
          <w:sz w:val="48"/>
          <w:szCs w:val="48"/>
        </w:rPr>
        <w:t>BMDS7005</w:t>
      </w:r>
    </w:p>
    <w:p w14:paraId="529DB481" w14:textId="77777777" w:rsidR="00690943" w:rsidRDefault="00690943">
      <w:pPr>
        <w:widowControl w:val="0"/>
        <w:spacing w:line="360" w:lineRule="auto"/>
        <w:jc w:val="center"/>
        <w:rPr>
          <w:i/>
          <w:iCs/>
        </w:rPr>
      </w:pPr>
    </w:p>
    <w:p w14:paraId="07229434" w14:textId="77777777" w:rsidR="00690943" w:rsidRDefault="00000000">
      <w:pPr>
        <w:spacing w:after="160" w:line="480" w:lineRule="auto"/>
        <w:jc w:val="center"/>
        <w:rPr>
          <w:i/>
          <w:iCs/>
          <w:sz w:val="40"/>
          <w:szCs w:val="40"/>
        </w:rPr>
      </w:pPr>
      <w:r>
        <w:t xml:space="preserve">Evaluating the Role of High-Cost Drugs Approval System in Supporting Value-Based Healthcare for </w:t>
      </w:r>
      <w:r>
        <w:rPr>
          <w:color w:val="0E101A"/>
        </w:rPr>
        <w:t>Rheumatology</w:t>
      </w:r>
      <w:r>
        <w:t xml:space="preserve"> in NHS Wales</w:t>
      </w:r>
    </w:p>
    <w:p w14:paraId="549C527A" w14:textId="77777777" w:rsidR="00690943" w:rsidRDefault="00690943">
      <w:pPr>
        <w:widowControl w:val="0"/>
        <w:spacing w:line="360" w:lineRule="auto"/>
        <w:jc w:val="center"/>
        <w:rPr>
          <w:b/>
          <w:bCs/>
        </w:rPr>
      </w:pPr>
    </w:p>
    <w:p w14:paraId="0C14E605" w14:textId="6583D05C" w:rsidR="00690943" w:rsidRDefault="00000000">
      <w:pPr>
        <w:widowControl w:val="0"/>
        <w:spacing w:line="360" w:lineRule="auto"/>
        <w:jc w:val="center"/>
      </w:pPr>
      <w:r>
        <w:t>Dissertation submitted f</w:t>
      </w:r>
      <w:r w:rsidR="00527ECC">
        <w:t>or</w:t>
      </w:r>
    </w:p>
    <w:p w14:paraId="18C8FD2C" w14:textId="77777777" w:rsidR="00690943" w:rsidRDefault="00000000">
      <w:pPr>
        <w:widowControl w:val="0"/>
        <w:spacing w:line="360" w:lineRule="auto"/>
        <w:jc w:val="center"/>
      </w:pPr>
      <w:r>
        <w:t>Master of Science in Digital Transformation for the Health and Care Professions</w:t>
      </w:r>
    </w:p>
    <w:p w14:paraId="71A55307" w14:textId="77777777" w:rsidR="00690943" w:rsidRDefault="00690943">
      <w:pPr>
        <w:widowControl w:val="0"/>
        <w:spacing w:line="360" w:lineRule="auto"/>
      </w:pPr>
    </w:p>
    <w:p w14:paraId="6E6F2FC6" w14:textId="77777777" w:rsidR="00690943" w:rsidRDefault="00690943">
      <w:pPr>
        <w:widowControl w:val="0"/>
        <w:spacing w:line="360" w:lineRule="auto"/>
      </w:pPr>
    </w:p>
    <w:p w14:paraId="3A889F10" w14:textId="77777777" w:rsidR="00690943" w:rsidRDefault="00000000">
      <w:pPr>
        <w:widowControl w:val="0"/>
        <w:spacing w:line="360" w:lineRule="auto"/>
        <w:jc w:val="center"/>
        <w:rPr>
          <w:i/>
          <w:iCs/>
        </w:rPr>
      </w:pPr>
      <w:r>
        <w:rPr>
          <w:i/>
          <w:iCs/>
        </w:rPr>
        <w:t>Eryl Daniels</w:t>
      </w:r>
    </w:p>
    <w:p w14:paraId="264B0474" w14:textId="7CD62A8F" w:rsidR="00690943" w:rsidRDefault="00527ECC">
      <w:pPr>
        <w:widowControl w:val="0"/>
        <w:spacing w:line="360" w:lineRule="auto"/>
        <w:jc w:val="center"/>
        <w:rPr>
          <w:i/>
          <w:iCs/>
        </w:rPr>
      </w:pPr>
      <w:r>
        <w:rPr>
          <w:i/>
          <w:iCs/>
        </w:rPr>
        <w:t>1401715</w:t>
      </w:r>
    </w:p>
    <w:p w14:paraId="26F68F3D" w14:textId="535CDC52" w:rsidR="00690943" w:rsidRDefault="00527ECC">
      <w:pPr>
        <w:widowControl w:val="0"/>
        <w:spacing w:line="360" w:lineRule="auto"/>
        <w:jc w:val="center"/>
        <w:rPr>
          <w:i/>
          <w:iCs/>
        </w:rPr>
      </w:pPr>
      <w:r>
        <w:rPr>
          <w:i/>
          <w:iCs/>
        </w:rPr>
        <w:t>27.05.2026 EC granted</w:t>
      </w:r>
    </w:p>
    <w:p w14:paraId="3F026920" w14:textId="77777777" w:rsidR="003261A8" w:rsidRDefault="003261A8">
      <w:pPr>
        <w:widowControl w:val="0"/>
        <w:spacing w:line="360" w:lineRule="auto"/>
        <w:jc w:val="center"/>
        <w:rPr>
          <w:i/>
          <w:iCs/>
        </w:rPr>
      </w:pPr>
    </w:p>
    <w:p w14:paraId="5BE1DA5F" w14:textId="77777777" w:rsidR="00690943" w:rsidRDefault="00000000">
      <w:pPr>
        <w:spacing w:after="160" w:line="259" w:lineRule="auto"/>
        <w:rPr>
          <w:i/>
          <w:iCs/>
        </w:rPr>
      </w:pPr>
      <w:r>
        <w:br w:type="page"/>
      </w:r>
    </w:p>
    <w:p w14:paraId="028345BB" w14:textId="77777777" w:rsidR="00690943" w:rsidRDefault="00000000">
      <w:pPr>
        <w:widowControl w:val="0"/>
        <w:spacing w:line="360" w:lineRule="auto"/>
        <w:jc w:val="center"/>
        <w:rPr>
          <w:b/>
          <w:bCs/>
        </w:rPr>
      </w:pPr>
      <w:r>
        <w:rPr>
          <w:b/>
          <w:bCs/>
        </w:rPr>
        <w:lastRenderedPageBreak/>
        <w:t>Acknowledgements</w:t>
      </w:r>
    </w:p>
    <w:p w14:paraId="0116DAE6" w14:textId="77777777" w:rsidR="00690943" w:rsidRDefault="00690943">
      <w:pPr>
        <w:widowControl w:val="0"/>
        <w:spacing w:line="360" w:lineRule="auto"/>
        <w:jc w:val="center"/>
        <w:rPr>
          <w:b/>
          <w:bCs/>
        </w:rPr>
      </w:pPr>
    </w:p>
    <w:p w14:paraId="64D8535D" w14:textId="71F8EA8F" w:rsidR="00690943" w:rsidRDefault="00000000">
      <w:pPr>
        <w:widowControl w:val="0"/>
        <w:spacing w:line="360" w:lineRule="auto"/>
        <w:jc w:val="center"/>
      </w:pPr>
      <w:r>
        <w:t xml:space="preserve">I would like to express my gratitude to my dissertation supervisor for his guidance and constructive feedback for this research. I would also like to thank colleagues and stakeholders in the Welsh </w:t>
      </w:r>
      <w:r w:rsidR="00527ECC">
        <w:t>High-Cost</w:t>
      </w:r>
      <w:r>
        <w:t xml:space="preserve"> Drugs programme who gave generously of their time and expertise, despite working in challenging times within NHS Wales. </w:t>
      </w:r>
    </w:p>
    <w:p w14:paraId="5A031542" w14:textId="77777777" w:rsidR="00690943" w:rsidRDefault="00000000">
      <w:pPr>
        <w:spacing w:after="160" w:line="259" w:lineRule="auto"/>
      </w:pPr>
      <w:r>
        <w:br w:type="page"/>
      </w:r>
    </w:p>
    <w:p w14:paraId="43536316" w14:textId="77777777" w:rsidR="00690943" w:rsidRDefault="00000000">
      <w:pPr>
        <w:widowControl w:val="0"/>
        <w:spacing w:line="360" w:lineRule="auto"/>
        <w:rPr>
          <w:b/>
          <w:bCs/>
        </w:rPr>
      </w:pPr>
      <w:r>
        <w:rPr>
          <w:b/>
          <w:bCs/>
        </w:rPr>
        <w:lastRenderedPageBreak/>
        <w:t>Declaration</w:t>
      </w:r>
    </w:p>
    <w:p w14:paraId="710D2239" w14:textId="77777777" w:rsidR="00690943" w:rsidRDefault="00690943">
      <w:pPr>
        <w:widowControl w:val="0"/>
        <w:spacing w:line="360" w:lineRule="auto"/>
      </w:pPr>
    </w:p>
    <w:p w14:paraId="1FE6DFBE" w14:textId="77777777" w:rsidR="00690943" w:rsidRDefault="00000000">
      <w:pPr>
        <w:widowControl w:val="0"/>
        <w:spacing w:line="360" w:lineRule="auto"/>
      </w:pPr>
      <w:r>
        <w:t>This work has not previously been accepted in substance for any degree and is not being concurrently submitted in candidature for any degree.</w:t>
      </w:r>
    </w:p>
    <w:p w14:paraId="77223963" w14:textId="77777777" w:rsidR="00690943" w:rsidRDefault="00690943">
      <w:pPr>
        <w:widowControl w:val="0"/>
        <w:spacing w:line="360" w:lineRule="auto"/>
      </w:pPr>
    </w:p>
    <w:p w14:paraId="77008219" w14:textId="1284D680" w:rsidR="00690943" w:rsidRDefault="00000000">
      <w:pPr>
        <w:widowControl w:val="0"/>
        <w:spacing w:line="360" w:lineRule="auto"/>
      </w:pPr>
      <w:r>
        <w:t>Signed……………</w:t>
      </w:r>
      <w:r w:rsidR="00527ECC">
        <w:t>ME Daniels</w:t>
      </w:r>
      <w:r>
        <w:t>………………………………</w:t>
      </w:r>
    </w:p>
    <w:p w14:paraId="698BF217" w14:textId="77777777" w:rsidR="00690943" w:rsidRDefault="00690943">
      <w:pPr>
        <w:widowControl w:val="0"/>
        <w:spacing w:line="360" w:lineRule="auto"/>
      </w:pPr>
    </w:p>
    <w:p w14:paraId="38D343AF" w14:textId="7475148B" w:rsidR="00690943" w:rsidRDefault="00000000">
      <w:pPr>
        <w:widowControl w:val="0"/>
        <w:spacing w:line="360" w:lineRule="auto"/>
      </w:pPr>
      <w:r>
        <w:t>Date……</w:t>
      </w:r>
      <w:r w:rsidR="00527ECC">
        <w:t>27.05.2026</w:t>
      </w:r>
      <w:r>
        <w:t>…………………………………………</w:t>
      </w:r>
    </w:p>
    <w:p w14:paraId="1BD8568F" w14:textId="77777777" w:rsidR="00690943" w:rsidRDefault="00690943">
      <w:pPr>
        <w:widowControl w:val="0"/>
        <w:spacing w:line="360" w:lineRule="auto"/>
        <w:jc w:val="center"/>
      </w:pPr>
    </w:p>
    <w:p w14:paraId="557D7873" w14:textId="77777777" w:rsidR="00690943" w:rsidRDefault="00000000">
      <w:pPr>
        <w:widowControl w:val="0"/>
        <w:spacing w:line="360" w:lineRule="auto"/>
        <w:rPr>
          <w:b/>
          <w:bCs/>
        </w:rPr>
      </w:pPr>
      <w:r>
        <w:rPr>
          <w:b/>
          <w:bCs/>
        </w:rPr>
        <w:t>Use of Generative AI</w:t>
      </w:r>
    </w:p>
    <w:p w14:paraId="4982BF13" w14:textId="77777777" w:rsidR="00690943" w:rsidRDefault="00690943">
      <w:pPr>
        <w:widowControl w:val="0"/>
        <w:spacing w:line="360" w:lineRule="auto"/>
      </w:pPr>
    </w:p>
    <w:tbl>
      <w:tblPr>
        <w:tblStyle w:val="a"/>
        <w:tblW w:w="8410" w:type="dxa"/>
        <w:tblInd w:w="60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2186"/>
        <w:gridCol w:w="4914"/>
        <w:gridCol w:w="1310"/>
      </w:tblGrid>
      <w:tr w:rsidR="00690943" w14:paraId="279F40AA" w14:textId="77777777">
        <w:trPr>
          <w:trHeight w:val="300"/>
        </w:trPr>
        <w:tc>
          <w:tcPr>
            <w:tcW w:w="2186" w:type="dxa"/>
            <w:tcBorders>
              <w:top w:val="single" w:sz="6" w:space="0" w:color="000000"/>
              <w:left w:val="single" w:sz="6" w:space="0" w:color="000000"/>
              <w:bottom w:val="single" w:sz="6" w:space="0" w:color="000000"/>
              <w:right w:val="single" w:sz="6" w:space="0" w:color="000000"/>
            </w:tcBorders>
          </w:tcPr>
          <w:p w14:paraId="37E919F0" w14:textId="77777777" w:rsidR="00690943" w:rsidRDefault="00000000">
            <w:pPr>
              <w:rPr>
                <w:rFonts w:ascii="Times New Roman" w:eastAsia="Times New Roman" w:hAnsi="Times New Roman" w:cs="Times New Roman"/>
              </w:rPr>
            </w:pPr>
            <w:r>
              <w:rPr>
                <w:sz w:val="22"/>
                <w:szCs w:val="22"/>
              </w:rPr>
              <w:t>RESEARCH </w:t>
            </w:r>
          </w:p>
        </w:tc>
        <w:tc>
          <w:tcPr>
            <w:tcW w:w="4914" w:type="dxa"/>
            <w:tcBorders>
              <w:top w:val="single" w:sz="6" w:space="0" w:color="000000"/>
              <w:left w:val="single" w:sz="6" w:space="0" w:color="000000"/>
              <w:bottom w:val="single" w:sz="6" w:space="0" w:color="000000"/>
              <w:right w:val="single" w:sz="6" w:space="0" w:color="000000"/>
            </w:tcBorders>
          </w:tcPr>
          <w:p w14:paraId="0494E475" w14:textId="77777777" w:rsidR="00690943" w:rsidRDefault="00000000">
            <w:pPr>
              <w:rPr>
                <w:rFonts w:ascii="Times New Roman" w:eastAsia="Times New Roman" w:hAnsi="Times New Roman" w:cs="Times New Roman"/>
              </w:rPr>
            </w:pPr>
            <w:r>
              <w:rPr>
                <w:sz w:val="22"/>
                <w:szCs w:val="22"/>
              </w:rPr>
              <w:t>For this assessment, you can use Generative AI to support you in research, including searching for bibliography, using tools to summarise, compare and interrogate materials. </w:t>
            </w:r>
          </w:p>
        </w:tc>
        <w:tc>
          <w:tcPr>
            <w:tcW w:w="1310" w:type="dxa"/>
            <w:tcBorders>
              <w:top w:val="single" w:sz="6" w:space="0" w:color="000000"/>
              <w:left w:val="single" w:sz="6" w:space="0" w:color="000000"/>
              <w:bottom w:val="single" w:sz="6" w:space="0" w:color="000000"/>
              <w:right w:val="single" w:sz="6" w:space="0" w:color="000000"/>
            </w:tcBorders>
          </w:tcPr>
          <w:p w14:paraId="5F0D0EEE" w14:textId="3537A604" w:rsidR="00690943" w:rsidRDefault="00527ECC">
            <w:pPr>
              <w:rPr>
                <w:rFonts w:ascii="Times New Roman" w:eastAsia="Times New Roman" w:hAnsi="Times New Roman" w:cs="Times New Roman"/>
              </w:rPr>
            </w:pPr>
            <w:r>
              <w:rPr>
                <w:sz w:val="22"/>
                <w:szCs w:val="22"/>
              </w:rPr>
              <w:t xml:space="preserve">Yes </w:t>
            </w:r>
            <w:r>
              <w:rPr>
                <w:rFonts w:ascii="Segoe UI Symbol" w:hAnsi="Segoe UI Symbol" w:cs="Segoe UI Symbol"/>
                <w:sz w:val="22"/>
                <w:szCs w:val="22"/>
              </w:rPr>
              <w:t>☒</w:t>
            </w:r>
          </w:p>
          <w:p w14:paraId="1302A3AB" w14:textId="77777777" w:rsidR="00690943" w:rsidRDefault="00000000">
            <w:pPr>
              <w:rPr>
                <w:rFonts w:ascii="Times New Roman" w:eastAsia="Times New Roman" w:hAnsi="Times New Roman" w:cs="Times New Roman"/>
              </w:rPr>
            </w:pPr>
            <w:r>
              <w:rPr>
                <w:sz w:val="22"/>
                <w:szCs w:val="22"/>
              </w:rPr>
              <w:t> </w:t>
            </w:r>
          </w:p>
          <w:p w14:paraId="674D9D7A" w14:textId="77777777" w:rsidR="00690943" w:rsidRDefault="00000000">
            <w:pPr>
              <w:rPr>
                <w:rFonts w:ascii="Times New Roman" w:eastAsia="Times New Roman" w:hAnsi="Times New Roman" w:cs="Times New Roman"/>
              </w:rPr>
            </w:pPr>
            <w:r>
              <w:rPr>
                <w:sz w:val="22"/>
                <w:szCs w:val="22"/>
              </w:rPr>
              <w:t xml:space="preserve">No   </w:t>
            </w:r>
            <w:r>
              <w:rPr>
                <w:rFonts w:ascii="MS Gothic" w:eastAsia="MS Gothic" w:hAnsi="MS Gothic" w:cs="MS Gothic"/>
                <w:sz w:val="22"/>
                <w:szCs w:val="22"/>
              </w:rPr>
              <w:t>☐</w:t>
            </w:r>
          </w:p>
        </w:tc>
      </w:tr>
      <w:tr w:rsidR="00690943" w14:paraId="71FFFB93" w14:textId="77777777">
        <w:trPr>
          <w:trHeight w:val="300"/>
        </w:trPr>
        <w:tc>
          <w:tcPr>
            <w:tcW w:w="2186" w:type="dxa"/>
            <w:tcBorders>
              <w:top w:val="single" w:sz="6" w:space="0" w:color="000000"/>
              <w:left w:val="single" w:sz="6" w:space="0" w:color="000000"/>
              <w:bottom w:val="single" w:sz="6" w:space="0" w:color="000000"/>
              <w:right w:val="single" w:sz="6" w:space="0" w:color="000000"/>
            </w:tcBorders>
          </w:tcPr>
          <w:p w14:paraId="23809074" w14:textId="77777777" w:rsidR="00690943" w:rsidRDefault="00000000">
            <w:pPr>
              <w:rPr>
                <w:rFonts w:ascii="Times New Roman" w:eastAsia="Times New Roman" w:hAnsi="Times New Roman" w:cs="Times New Roman"/>
              </w:rPr>
            </w:pPr>
            <w:r>
              <w:rPr>
                <w:sz w:val="22"/>
                <w:szCs w:val="22"/>
              </w:rPr>
              <w:t>STRUCTURE </w:t>
            </w:r>
          </w:p>
        </w:tc>
        <w:tc>
          <w:tcPr>
            <w:tcW w:w="4914" w:type="dxa"/>
            <w:tcBorders>
              <w:top w:val="single" w:sz="6" w:space="0" w:color="000000"/>
              <w:left w:val="single" w:sz="6" w:space="0" w:color="000000"/>
              <w:bottom w:val="single" w:sz="6" w:space="0" w:color="000000"/>
              <w:right w:val="single" w:sz="6" w:space="0" w:color="000000"/>
            </w:tcBorders>
          </w:tcPr>
          <w:p w14:paraId="16326BB0" w14:textId="77777777" w:rsidR="00690943" w:rsidRDefault="00000000">
            <w:pPr>
              <w:rPr>
                <w:rFonts w:ascii="Times New Roman" w:eastAsia="Times New Roman" w:hAnsi="Times New Roman" w:cs="Times New Roman"/>
              </w:rPr>
            </w:pPr>
            <w:r>
              <w:rPr>
                <w:sz w:val="22"/>
                <w:szCs w:val="22"/>
              </w:rPr>
              <w:t>For this assessment, you can use Generative AI to support you in structuring your submission, including creating a draft argument structure, identifying parts and headings, etc. </w:t>
            </w:r>
          </w:p>
        </w:tc>
        <w:tc>
          <w:tcPr>
            <w:tcW w:w="1310" w:type="dxa"/>
            <w:tcBorders>
              <w:top w:val="single" w:sz="6" w:space="0" w:color="000000"/>
              <w:left w:val="single" w:sz="6" w:space="0" w:color="000000"/>
              <w:bottom w:val="single" w:sz="6" w:space="0" w:color="000000"/>
              <w:right w:val="single" w:sz="6" w:space="0" w:color="000000"/>
            </w:tcBorders>
          </w:tcPr>
          <w:p w14:paraId="275A0599" w14:textId="25B6B2A5" w:rsidR="00690943" w:rsidRDefault="00527ECC">
            <w:pPr>
              <w:rPr>
                <w:rFonts w:ascii="Times New Roman" w:eastAsia="Times New Roman" w:hAnsi="Times New Roman" w:cs="Times New Roman"/>
              </w:rPr>
            </w:pPr>
            <w:r>
              <w:rPr>
                <w:sz w:val="22"/>
                <w:szCs w:val="22"/>
              </w:rPr>
              <w:t xml:space="preserve">Yes </w:t>
            </w:r>
            <w:r>
              <w:rPr>
                <w:rFonts w:ascii="Segoe UI Symbol" w:hAnsi="Segoe UI Symbol" w:cs="Segoe UI Symbol"/>
                <w:sz w:val="22"/>
                <w:szCs w:val="22"/>
              </w:rPr>
              <w:t>☐</w:t>
            </w:r>
          </w:p>
          <w:p w14:paraId="43957D13" w14:textId="77777777" w:rsidR="00690943" w:rsidRDefault="00000000">
            <w:pPr>
              <w:rPr>
                <w:rFonts w:ascii="Times New Roman" w:eastAsia="Times New Roman" w:hAnsi="Times New Roman" w:cs="Times New Roman"/>
              </w:rPr>
            </w:pPr>
            <w:r>
              <w:rPr>
                <w:sz w:val="22"/>
                <w:szCs w:val="22"/>
              </w:rPr>
              <w:t> </w:t>
            </w:r>
          </w:p>
          <w:p w14:paraId="58EC081C" w14:textId="77777777" w:rsidR="00690943" w:rsidRDefault="00000000">
            <w:pPr>
              <w:rPr>
                <w:rFonts w:ascii="Times New Roman" w:eastAsia="Times New Roman" w:hAnsi="Times New Roman" w:cs="Times New Roman"/>
              </w:rPr>
            </w:pPr>
            <w:r>
              <w:rPr>
                <w:sz w:val="22"/>
                <w:szCs w:val="22"/>
              </w:rPr>
              <w:t xml:space="preserve">No   </w:t>
            </w:r>
            <w:r>
              <w:rPr>
                <w:rFonts w:ascii="MS Gothic" w:eastAsia="MS Gothic" w:hAnsi="MS Gothic" w:cs="MS Gothic"/>
                <w:sz w:val="22"/>
                <w:szCs w:val="22"/>
              </w:rPr>
              <w:t>☒</w:t>
            </w:r>
          </w:p>
        </w:tc>
      </w:tr>
      <w:tr w:rsidR="00690943" w14:paraId="6000C74A" w14:textId="77777777">
        <w:trPr>
          <w:trHeight w:val="300"/>
        </w:trPr>
        <w:tc>
          <w:tcPr>
            <w:tcW w:w="2186" w:type="dxa"/>
            <w:tcBorders>
              <w:top w:val="single" w:sz="6" w:space="0" w:color="000000"/>
              <w:left w:val="single" w:sz="6" w:space="0" w:color="000000"/>
              <w:bottom w:val="single" w:sz="6" w:space="0" w:color="000000"/>
              <w:right w:val="single" w:sz="6" w:space="0" w:color="000000"/>
            </w:tcBorders>
          </w:tcPr>
          <w:p w14:paraId="04633BB4" w14:textId="77777777" w:rsidR="00690943" w:rsidRDefault="00000000">
            <w:pPr>
              <w:rPr>
                <w:rFonts w:ascii="Times New Roman" w:eastAsia="Times New Roman" w:hAnsi="Times New Roman" w:cs="Times New Roman"/>
              </w:rPr>
            </w:pPr>
            <w:r>
              <w:rPr>
                <w:sz w:val="22"/>
                <w:szCs w:val="22"/>
              </w:rPr>
              <w:t>PROOFREADING </w:t>
            </w:r>
          </w:p>
        </w:tc>
        <w:tc>
          <w:tcPr>
            <w:tcW w:w="4914" w:type="dxa"/>
            <w:tcBorders>
              <w:top w:val="single" w:sz="6" w:space="0" w:color="000000"/>
              <w:left w:val="single" w:sz="6" w:space="0" w:color="000000"/>
              <w:bottom w:val="single" w:sz="6" w:space="0" w:color="000000"/>
              <w:right w:val="single" w:sz="6" w:space="0" w:color="000000"/>
            </w:tcBorders>
          </w:tcPr>
          <w:p w14:paraId="6DF62142" w14:textId="77777777" w:rsidR="00690943" w:rsidRDefault="00000000">
            <w:pPr>
              <w:rPr>
                <w:rFonts w:ascii="Times New Roman" w:eastAsia="Times New Roman" w:hAnsi="Times New Roman" w:cs="Times New Roman"/>
              </w:rPr>
            </w:pPr>
            <w:r>
              <w:rPr>
                <w:sz w:val="22"/>
                <w:szCs w:val="22"/>
              </w:rPr>
              <w:t>For this assessment, you can use Generative AI to check your own text/creation for grammatical and syntactical mistakes, including rephrasing of your own work within specific standards. </w:t>
            </w:r>
          </w:p>
        </w:tc>
        <w:tc>
          <w:tcPr>
            <w:tcW w:w="1310" w:type="dxa"/>
            <w:tcBorders>
              <w:top w:val="single" w:sz="6" w:space="0" w:color="000000"/>
              <w:left w:val="single" w:sz="6" w:space="0" w:color="000000"/>
              <w:bottom w:val="single" w:sz="6" w:space="0" w:color="000000"/>
              <w:right w:val="single" w:sz="6" w:space="0" w:color="000000"/>
            </w:tcBorders>
          </w:tcPr>
          <w:p w14:paraId="1666DC03" w14:textId="550C4F85" w:rsidR="00690943" w:rsidRDefault="00527ECC">
            <w:pPr>
              <w:rPr>
                <w:rFonts w:ascii="Times New Roman" w:eastAsia="Times New Roman" w:hAnsi="Times New Roman" w:cs="Times New Roman"/>
              </w:rPr>
            </w:pPr>
            <w:r>
              <w:rPr>
                <w:sz w:val="22"/>
                <w:szCs w:val="22"/>
              </w:rPr>
              <w:t xml:space="preserve">Yes </w:t>
            </w:r>
            <w:r>
              <w:rPr>
                <w:rFonts w:ascii="Segoe UI Symbol" w:hAnsi="Segoe UI Symbol" w:cs="Segoe UI Symbol"/>
                <w:sz w:val="22"/>
                <w:szCs w:val="22"/>
              </w:rPr>
              <w:t>☐</w:t>
            </w:r>
          </w:p>
          <w:p w14:paraId="03131C76" w14:textId="77777777" w:rsidR="00690943" w:rsidRDefault="00000000">
            <w:pPr>
              <w:rPr>
                <w:rFonts w:ascii="Times New Roman" w:eastAsia="Times New Roman" w:hAnsi="Times New Roman" w:cs="Times New Roman"/>
              </w:rPr>
            </w:pPr>
            <w:r>
              <w:rPr>
                <w:sz w:val="22"/>
                <w:szCs w:val="22"/>
              </w:rPr>
              <w:t> </w:t>
            </w:r>
          </w:p>
          <w:p w14:paraId="0F378548" w14:textId="77777777" w:rsidR="00690943" w:rsidRDefault="00000000">
            <w:pPr>
              <w:rPr>
                <w:rFonts w:ascii="Times New Roman" w:eastAsia="Times New Roman" w:hAnsi="Times New Roman" w:cs="Times New Roman"/>
              </w:rPr>
            </w:pPr>
            <w:r>
              <w:rPr>
                <w:sz w:val="22"/>
                <w:szCs w:val="22"/>
              </w:rPr>
              <w:t xml:space="preserve">No   </w:t>
            </w:r>
            <w:r>
              <w:rPr>
                <w:rFonts w:ascii="MS Gothic" w:eastAsia="MS Gothic" w:hAnsi="MS Gothic" w:cs="MS Gothic"/>
                <w:sz w:val="22"/>
                <w:szCs w:val="22"/>
              </w:rPr>
              <w:t>☒</w:t>
            </w:r>
          </w:p>
        </w:tc>
      </w:tr>
      <w:tr w:rsidR="00690943" w14:paraId="48EBED19" w14:textId="77777777">
        <w:trPr>
          <w:trHeight w:val="300"/>
        </w:trPr>
        <w:tc>
          <w:tcPr>
            <w:tcW w:w="2186" w:type="dxa"/>
            <w:tcBorders>
              <w:top w:val="single" w:sz="6" w:space="0" w:color="000000"/>
              <w:left w:val="single" w:sz="6" w:space="0" w:color="000000"/>
              <w:bottom w:val="single" w:sz="6" w:space="0" w:color="000000"/>
              <w:right w:val="single" w:sz="6" w:space="0" w:color="000000"/>
            </w:tcBorders>
          </w:tcPr>
          <w:p w14:paraId="18EA5234" w14:textId="77777777" w:rsidR="00690943" w:rsidRDefault="00000000">
            <w:pPr>
              <w:rPr>
                <w:rFonts w:ascii="Times New Roman" w:eastAsia="Times New Roman" w:hAnsi="Times New Roman" w:cs="Times New Roman"/>
              </w:rPr>
            </w:pPr>
            <w:r>
              <w:rPr>
                <w:sz w:val="22"/>
                <w:szCs w:val="22"/>
              </w:rPr>
              <w:t>WRITING </w:t>
            </w:r>
          </w:p>
        </w:tc>
        <w:tc>
          <w:tcPr>
            <w:tcW w:w="4914" w:type="dxa"/>
            <w:tcBorders>
              <w:top w:val="single" w:sz="6" w:space="0" w:color="000000"/>
              <w:left w:val="single" w:sz="6" w:space="0" w:color="000000"/>
              <w:bottom w:val="single" w:sz="6" w:space="0" w:color="000000"/>
              <w:right w:val="single" w:sz="6" w:space="0" w:color="000000"/>
            </w:tcBorders>
          </w:tcPr>
          <w:p w14:paraId="70605314" w14:textId="77777777" w:rsidR="00690943" w:rsidRDefault="00000000">
            <w:pPr>
              <w:rPr>
                <w:rFonts w:ascii="Times New Roman" w:eastAsia="Times New Roman" w:hAnsi="Times New Roman" w:cs="Times New Roman"/>
              </w:rPr>
            </w:pPr>
            <w:r>
              <w:rPr>
                <w:sz w:val="22"/>
                <w:szCs w:val="22"/>
              </w:rPr>
              <w:t>For this assessment, you can use Generative AI to create text for submission. </w:t>
            </w:r>
          </w:p>
        </w:tc>
        <w:tc>
          <w:tcPr>
            <w:tcW w:w="1310" w:type="dxa"/>
            <w:tcBorders>
              <w:top w:val="single" w:sz="6" w:space="0" w:color="000000"/>
              <w:left w:val="single" w:sz="6" w:space="0" w:color="000000"/>
              <w:bottom w:val="single" w:sz="6" w:space="0" w:color="000000"/>
              <w:right w:val="single" w:sz="6" w:space="0" w:color="000000"/>
            </w:tcBorders>
          </w:tcPr>
          <w:p w14:paraId="3A601D54" w14:textId="23FE644E" w:rsidR="00690943" w:rsidRDefault="00527ECC">
            <w:pPr>
              <w:rPr>
                <w:rFonts w:ascii="Times New Roman" w:eastAsia="Times New Roman" w:hAnsi="Times New Roman" w:cs="Times New Roman"/>
              </w:rPr>
            </w:pPr>
            <w:r>
              <w:rPr>
                <w:sz w:val="22"/>
                <w:szCs w:val="22"/>
              </w:rPr>
              <w:t xml:space="preserve">Yes </w:t>
            </w:r>
            <w:r>
              <w:rPr>
                <w:rFonts w:ascii="Segoe UI Symbol" w:hAnsi="Segoe UI Symbol" w:cs="Segoe UI Symbol"/>
                <w:sz w:val="22"/>
                <w:szCs w:val="22"/>
              </w:rPr>
              <w:t>☐</w:t>
            </w:r>
          </w:p>
          <w:p w14:paraId="1451EB1F" w14:textId="77777777" w:rsidR="00690943" w:rsidRDefault="00000000">
            <w:pPr>
              <w:rPr>
                <w:rFonts w:ascii="Times New Roman" w:eastAsia="Times New Roman" w:hAnsi="Times New Roman" w:cs="Times New Roman"/>
              </w:rPr>
            </w:pPr>
            <w:r>
              <w:rPr>
                <w:sz w:val="22"/>
                <w:szCs w:val="22"/>
              </w:rPr>
              <w:t> </w:t>
            </w:r>
          </w:p>
          <w:p w14:paraId="25B5C24E" w14:textId="77777777" w:rsidR="00690943" w:rsidRDefault="00000000">
            <w:pPr>
              <w:rPr>
                <w:rFonts w:ascii="Times New Roman" w:eastAsia="Times New Roman" w:hAnsi="Times New Roman" w:cs="Times New Roman"/>
              </w:rPr>
            </w:pPr>
            <w:r>
              <w:rPr>
                <w:sz w:val="22"/>
                <w:szCs w:val="22"/>
              </w:rPr>
              <w:t xml:space="preserve">No   </w:t>
            </w:r>
            <w:r>
              <w:rPr>
                <w:rFonts w:ascii="MS Gothic" w:eastAsia="MS Gothic" w:hAnsi="MS Gothic" w:cs="MS Gothic"/>
                <w:sz w:val="22"/>
                <w:szCs w:val="22"/>
              </w:rPr>
              <w:t>☒</w:t>
            </w:r>
          </w:p>
        </w:tc>
      </w:tr>
      <w:tr w:rsidR="00690943" w14:paraId="00ADD139" w14:textId="77777777">
        <w:trPr>
          <w:trHeight w:val="300"/>
        </w:trPr>
        <w:tc>
          <w:tcPr>
            <w:tcW w:w="2186" w:type="dxa"/>
            <w:tcBorders>
              <w:top w:val="single" w:sz="6" w:space="0" w:color="000000"/>
              <w:left w:val="single" w:sz="6" w:space="0" w:color="000000"/>
              <w:bottom w:val="single" w:sz="6" w:space="0" w:color="000000"/>
              <w:right w:val="single" w:sz="6" w:space="0" w:color="000000"/>
            </w:tcBorders>
          </w:tcPr>
          <w:p w14:paraId="1DF3ABDB" w14:textId="77777777" w:rsidR="00690943" w:rsidRDefault="00000000">
            <w:pPr>
              <w:rPr>
                <w:rFonts w:ascii="Times New Roman" w:eastAsia="Times New Roman" w:hAnsi="Times New Roman" w:cs="Times New Roman"/>
              </w:rPr>
            </w:pPr>
            <w:r>
              <w:rPr>
                <w:sz w:val="22"/>
                <w:szCs w:val="22"/>
              </w:rPr>
              <w:t>CREATIVE </w:t>
            </w:r>
          </w:p>
        </w:tc>
        <w:tc>
          <w:tcPr>
            <w:tcW w:w="4914" w:type="dxa"/>
            <w:tcBorders>
              <w:top w:val="single" w:sz="6" w:space="0" w:color="000000"/>
              <w:left w:val="single" w:sz="6" w:space="0" w:color="000000"/>
              <w:bottom w:val="single" w:sz="6" w:space="0" w:color="000000"/>
              <w:right w:val="single" w:sz="6" w:space="0" w:color="000000"/>
            </w:tcBorders>
          </w:tcPr>
          <w:p w14:paraId="2814A6E2" w14:textId="77777777" w:rsidR="00690943" w:rsidRDefault="00000000">
            <w:pPr>
              <w:rPr>
                <w:rFonts w:ascii="Times New Roman" w:eastAsia="Times New Roman" w:hAnsi="Times New Roman" w:cs="Times New Roman"/>
              </w:rPr>
            </w:pPr>
            <w:r>
              <w:rPr>
                <w:sz w:val="22"/>
                <w:szCs w:val="22"/>
              </w:rPr>
              <w:t>For this assessment, you can use Generative AI to create creative materials, such as images. </w:t>
            </w:r>
          </w:p>
        </w:tc>
        <w:tc>
          <w:tcPr>
            <w:tcW w:w="1310" w:type="dxa"/>
            <w:tcBorders>
              <w:top w:val="single" w:sz="6" w:space="0" w:color="000000"/>
              <w:left w:val="single" w:sz="6" w:space="0" w:color="000000"/>
              <w:bottom w:val="single" w:sz="6" w:space="0" w:color="000000"/>
              <w:right w:val="single" w:sz="6" w:space="0" w:color="000000"/>
            </w:tcBorders>
          </w:tcPr>
          <w:p w14:paraId="3B52FA07" w14:textId="43FF0D8F" w:rsidR="00690943" w:rsidRDefault="00527ECC">
            <w:pPr>
              <w:rPr>
                <w:rFonts w:ascii="Times New Roman" w:eastAsia="Times New Roman" w:hAnsi="Times New Roman" w:cs="Times New Roman"/>
              </w:rPr>
            </w:pPr>
            <w:r>
              <w:rPr>
                <w:sz w:val="22"/>
                <w:szCs w:val="22"/>
              </w:rPr>
              <w:t xml:space="preserve">Yes </w:t>
            </w:r>
            <w:r>
              <w:rPr>
                <w:rFonts w:ascii="Segoe UI Symbol" w:hAnsi="Segoe UI Symbol" w:cs="Segoe UI Symbol"/>
                <w:sz w:val="22"/>
                <w:szCs w:val="22"/>
              </w:rPr>
              <w:t>☒</w:t>
            </w:r>
          </w:p>
          <w:p w14:paraId="794EB4C8" w14:textId="77777777" w:rsidR="00690943" w:rsidRDefault="00000000">
            <w:pPr>
              <w:rPr>
                <w:rFonts w:ascii="Times New Roman" w:eastAsia="Times New Roman" w:hAnsi="Times New Roman" w:cs="Times New Roman"/>
              </w:rPr>
            </w:pPr>
            <w:r>
              <w:rPr>
                <w:sz w:val="22"/>
                <w:szCs w:val="22"/>
              </w:rPr>
              <w:t> </w:t>
            </w:r>
          </w:p>
          <w:p w14:paraId="5B7A5F7B" w14:textId="77777777" w:rsidR="00690943" w:rsidRDefault="00000000">
            <w:pPr>
              <w:rPr>
                <w:rFonts w:ascii="Times New Roman" w:eastAsia="Times New Roman" w:hAnsi="Times New Roman" w:cs="Times New Roman"/>
              </w:rPr>
            </w:pPr>
            <w:r>
              <w:rPr>
                <w:sz w:val="22"/>
                <w:szCs w:val="22"/>
              </w:rPr>
              <w:t xml:space="preserve">No   </w:t>
            </w:r>
            <w:r>
              <w:rPr>
                <w:rFonts w:ascii="MS Gothic" w:eastAsia="MS Gothic" w:hAnsi="MS Gothic" w:cs="MS Gothic"/>
                <w:sz w:val="22"/>
                <w:szCs w:val="22"/>
              </w:rPr>
              <w:t>☐</w:t>
            </w:r>
          </w:p>
        </w:tc>
      </w:tr>
      <w:tr w:rsidR="00690943" w14:paraId="040EB641" w14:textId="77777777">
        <w:trPr>
          <w:trHeight w:val="300"/>
        </w:trPr>
        <w:tc>
          <w:tcPr>
            <w:tcW w:w="2186" w:type="dxa"/>
            <w:tcBorders>
              <w:top w:val="single" w:sz="6" w:space="0" w:color="000000"/>
              <w:left w:val="single" w:sz="6" w:space="0" w:color="000000"/>
              <w:bottom w:val="single" w:sz="6" w:space="0" w:color="000000"/>
              <w:right w:val="single" w:sz="6" w:space="0" w:color="000000"/>
            </w:tcBorders>
          </w:tcPr>
          <w:p w14:paraId="27401B86" w14:textId="77777777" w:rsidR="00690943" w:rsidRDefault="00000000">
            <w:pPr>
              <w:rPr>
                <w:rFonts w:ascii="Times New Roman" w:eastAsia="Times New Roman" w:hAnsi="Times New Roman" w:cs="Times New Roman"/>
              </w:rPr>
            </w:pPr>
            <w:r>
              <w:rPr>
                <w:sz w:val="22"/>
                <w:szCs w:val="22"/>
              </w:rPr>
              <w:t>PROGRAMMING </w:t>
            </w:r>
          </w:p>
        </w:tc>
        <w:tc>
          <w:tcPr>
            <w:tcW w:w="4914" w:type="dxa"/>
            <w:tcBorders>
              <w:top w:val="single" w:sz="6" w:space="0" w:color="000000"/>
              <w:left w:val="single" w:sz="6" w:space="0" w:color="000000"/>
              <w:bottom w:val="single" w:sz="6" w:space="0" w:color="000000"/>
              <w:right w:val="single" w:sz="6" w:space="0" w:color="000000"/>
            </w:tcBorders>
          </w:tcPr>
          <w:p w14:paraId="616CB6C6" w14:textId="77777777" w:rsidR="00690943" w:rsidRDefault="00000000">
            <w:pPr>
              <w:rPr>
                <w:rFonts w:ascii="Times New Roman" w:eastAsia="Times New Roman" w:hAnsi="Times New Roman" w:cs="Times New Roman"/>
              </w:rPr>
            </w:pPr>
            <w:r>
              <w:rPr>
                <w:sz w:val="22"/>
                <w:szCs w:val="22"/>
              </w:rPr>
              <w:t>For this assessment, you can use Generative AI to create and check code. </w:t>
            </w:r>
          </w:p>
        </w:tc>
        <w:tc>
          <w:tcPr>
            <w:tcW w:w="1310" w:type="dxa"/>
            <w:tcBorders>
              <w:top w:val="single" w:sz="6" w:space="0" w:color="000000"/>
              <w:left w:val="single" w:sz="6" w:space="0" w:color="000000"/>
              <w:bottom w:val="single" w:sz="6" w:space="0" w:color="000000"/>
              <w:right w:val="single" w:sz="6" w:space="0" w:color="000000"/>
            </w:tcBorders>
          </w:tcPr>
          <w:p w14:paraId="22ACC022" w14:textId="6D5CB593" w:rsidR="00690943" w:rsidRDefault="00527ECC">
            <w:pPr>
              <w:rPr>
                <w:rFonts w:ascii="Times New Roman" w:eastAsia="Times New Roman" w:hAnsi="Times New Roman" w:cs="Times New Roman"/>
              </w:rPr>
            </w:pPr>
            <w:r>
              <w:rPr>
                <w:sz w:val="22"/>
                <w:szCs w:val="22"/>
              </w:rPr>
              <w:t xml:space="preserve">Yes </w:t>
            </w:r>
            <w:r>
              <w:rPr>
                <w:rFonts w:ascii="Segoe UI Symbol" w:hAnsi="Segoe UI Symbol" w:cs="Segoe UI Symbol"/>
                <w:sz w:val="22"/>
                <w:szCs w:val="22"/>
              </w:rPr>
              <w:t>☐</w:t>
            </w:r>
          </w:p>
          <w:p w14:paraId="58538D40" w14:textId="77777777" w:rsidR="00690943" w:rsidRDefault="00000000">
            <w:pPr>
              <w:rPr>
                <w:rFonts w:ascii="Times New Roman" w:eastAsia="Times New Roman" w:hAnsi="Times New Roman" w:cs="Times New Roman"/>
              </w:rPr>
            </w:pPr>
            <w:r>
              <w:rPr>
                <w:sz w:val="22"/>
                <w:szCs w:val="22"/>
              </w:rPr>
              <w:t> </w:t>
            </w:r>
          </w:p>
          <w:p w14:paraId="185EB33C" w14:textId="77777777" w:rsidR="00690943" w:rsidRDefault="00000000">
            <w:pPr>
              <w:rPr>
                <w:rFonts w:ascii="Times New Roman" w:eastAsia="Times New Roman" w:hAnsi="Times New Roman" w:cs="Times New Roman"/>
              </w:rPr>
            </w:pPr>
            <w:r>
              <w:rPr>
                <w:sz w:val="22"/>
                <w:szCs w:val="22"/>
              </w:rPr>
              <w:t xml:space="preserve">No   </w:t>
            </w:r>
            <w:r>
              <w:rPr>
                <w:rFonts w:ascii="MS Gothic" w:eastAsia="MS Gothic" w:hAnsi="MS Gothic" w:cs="MS Gothic"/>
                <w:sz w:val="22"/>
                <w:szCs w:val="22"/>
              </w:rPr>
              <w:t>☒</w:t>
            </w:r>
          </w:p>
        </w:tc>
      </w:tr>
    </w:tbl>
    <w:p w14:paraId="43728A98" w14:textId="77777777" w:rsidR="00690943" w:rsidRDefault="00690943">
      <w:pPr>
        <w:widowControl w:val="0"/>
        <w:spacing w:line="360" w:lineRule="auto"/>
      </w:pPr>
    </w:p>
    <w:p w14:paraId="1C3BBECA" w14:textId="77777777" w:rsidR="00690943" w:rsidRDefault="00690943"/>
    <w:p w14:paraId="3B130F7E" w14:textId="77777777" w:rsidR="00690943" w:rsidRDefault="00690943">
      <w:pPr>
        <w:pStyle w:val="Heading1"/>
        <w:rPr>
          <w:sz w:val="24"/>
          <w:szCs w:val="24"/>
        </w:rPr>
      </w:pPr>
    </w:p>
    <w:p w14:paraId="654632E2" w14:textId="77777777" w:rsidR="00690943" w:rsidRDefault="00690943">
      <w:pPr>
        <w:pStyle w:val="Heading1"/>
        <w:rPr>
          <w:sz w:val="24"/>
          <w:szCs w:val="24"/>
        </w:rPr>
      </w:pPr>
    </w:p>
    <w:p w14:paraId="511AE756" w14:textId="77777777" w:rsidR="00690943" w:rsidRDefault="00690943">
      <w:pPr>
        <w:pStyle w:val="Heading1"/>
        <w:rPr>
          <w:sz w:val="24"/>
          <w:szCs w:val="24"/>
        </w:rPr>
      </w:pPr>
    </w:p>
    <w:p w14:paraId="1029A2EA" w14:textId="77777777" w:rsidR="00690943" w:rsidRDefault="00690943">
      <w:pPr>
        <w:pStyle w:val="Heading1"/>
        <w:rPr>
          <w:sz w:val="24"/>
          <w:szCs w:val="24"/>
        </w:rPr>
      </w:pPr>
    </w:p>
    <w:p w14:paraId="285BA83A" w14:textId="77777777" w:rsidR="00690943" w:rsidRDefault="00690943"/>
    <w:p w14:paraId="5F517BE8" w14:textId="77777777" w:rsidR="00690943" w:rsidRDefault="00690943">
      <w:pPr>
        <w:pStyle w:val="Heading2"/>
        <w:rPr>
          <w:sz w:val="24"/>
          <w:szCs w:val="24"/>
        </w:rPr>
      </w:pPr>
    </w:p>
    <w:p w14:paraId="540B4E05" w14:textId="77777777" w:rsidR="00690943" w:rsidRDefault="00690943"/>
    <w:sdt>
      <w:sdtPr>
        <w:id w:val="350755067"/>
        <w:docPartObj>
          <w:docPartGallery w:val="Table of Contents"/>
          <w:docPartUnique/>
        </w:docPartObj>
      </w:sdtPr>
      <w:sdtContent>
        <w:p w14:paraId="50BCEE62"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ajbh8lquspza">
            <w:r>
              <w:rPr>
                <w:color w:val="000000"/>
              </w:rPr>
              <w:t>Abbreviations</w:t>
            </w:r>
            <w:r>
              <w:rPr>
                <w:color w:val="000000"/>
              </w:rPr>
              <w:tab/>
              <w:t>3</w:t>
            </w:r>
          </w:hyperlink>
        </w:p>
        <w:p w14:paraId="7B11F3E6"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hyperlink w:anchor="_tilvzxsrppft">
            <w:r>
              <w:rPr>
                <w:color w:val="000000"/>
              </w:rPr>
              <w:t>Abstract</w:t>
            </w:r>
            <w:r>
              <w:rPr>
                <w:color w:val="000000"/>
              </w:rPr>
              <w:tab/>
              <w:t>5</w:t>
            </w:r>
          </w:hyperlink>
        </w:p>
        <w:p w14:paraId="7AC6B7A3"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hyperlink w:anchor="_kzheo5ubfvtx">
            <w:r>
              <w:rPr>
                <w:color w:val="000000"/>
              </w:rPr>
              <w:t>Chapter 1: Introduction</w:t>
            </w:r>
            <w:r>
              <w:rPr>
                <w:color w:val="000000"/>
              </w:rPr>
              <w:tab/>
              <w:t>8</w:t>
            </w:r>
          </w:hyperlink>
        </w:p>
        <w:p w14:paraId="347FD66F"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m8c7otkcsseb">
            <w:r>
              <w:rPr>
                <w:color w:val="000000"/>
              </w:rPr>
              <w:t>1.1 Background</w:t>
            </w:r>
            <w:r>
              <w:rPr>
                <w:color w:val="000000"/>
              </w:rPr>
              <w:tab/>
              <w:t>8</w:t>
            </w:r>
          </w:hyperlink>
        </w:p>
        <w:p w14:paraId="275241A8"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wqr5il45wlyo">
            <w:r>
              <w:rPr>
                <w:color w:val="000000"/>
              </w:rPr>
              <w:t>1.2 The Challenge of High-Cost Medicines</w:t>
            </w:r>
            <w:r>
              <w:rPr>
                <w:color w:val="000000"/>
              </w:rPr>
              <w:tab/>
              <w:t>9</w:t>
            </w:r>
          </w:hyperlink>
        </w:p>
        <w:p w14:paraId="19ADA200"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nkp6harg8ahj">
            <w:r>
              <w:rPr>
                <w:color w:val="000000"/>
              </w:rPr>
              <w:t>1.3 Welsh Response: A High-Cost Drugs System</w:t>
            </w:r>
            <w:r>
              <w:rPr>
                <w:color w:val="000000"/>
              </w:rPr>
              <w:tab/>
              <w:t>10</w:t>
            </w:r>
          </w:hyperlink>
        </w:p>
        <w:p w14:paraId="352C96EB"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3vcwylj3fo6f">
            <w:r>
              <w:rPr>
                <w:color w:val="000000"/>
              </w:rPr>
              <w:t>1.4 Problem Statement and Research Rationale</w:t>
            </w:r>
            <w:r>
              <w:rPr>
                <w:color w:val="000000"/>
              </w:rPr>
              <w:tab/>
              <w:t>11</w:t>
            </w:r>
          </w:hyperlink>
        </w:p>
        <w:p w14:paraId="0AA682B3"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o6la0rt0ltt7">
            <w:r>
              <w:rPr>
                <w:color w:val="000000"/>
              </w:rPr>
              <w:t>1.5 Research Aim and Objectives</w:t>
            </w:r>
            <w:r>
              <w:rPr>
                <w:color w:val="000000"/>
              </w:rPr>
              <w:tab/>
              <w:t>12</w:t>
            </w:r>
          </w:hyperlink>
        </w:p>
        <w:p w14:paraId="30F0D1E3"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czcty72y752p">
            <w:r>
              <w:rPr>
                <w:color w:val="000000"/>
              </w:rPr>
              <w:t>1.6 Significance and Contribution of the Study</w:t>
            </w:r>
            <w:r>
              <w:rPr>
                <w:color w:val="000000"/>
              </w:rPr>
              <w:tab/>
              <w:t>12</w:t>
            </w:r>
          </w:hyperlink>
        </w:p>
        <w:p w14:paraId="21B0C889"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jd7ru5uey265">
            <w:r>
              <w:rPr>
                <w:color w:val="000000"/>
              </w:rPr>
              <w:t>1.7 Structure of the Thesis</w:t>
            </w:r>
            <w:r>
              <w:rPr>
                <w:color w:val="000000"/>
              </w:rPr>
              <w:tab/>
              <w:t>13</w:t>
            </w:r>
          </w:hyperlink>
        </w:p>
        <w:p w14:paraId="1609E5CC"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hyperlink w:anchor="_ur6z2mfj631r">
            <w:r>
              <w:rPr>
                <w:color w:val="000000"/>
              </w:rPr>
              <w:t>Chapter 2: Literature Review: High-Cost Medicines and Value-Based Healthcare in Rheumatology in Wales</w:t>
            </w:r>
            <w:r>
              <w:rPr>
                <w:color w:val="000000"/>
              </w:rPr>
              <w:tab/>
              <w:t>13</w:t>
            </w:r>
          </w:hyperlink>
        </w:p>
        <w:p w14:paraId="14C1752A"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g7ha7o2fzsdn">
            <w:r>
              <w:rPr>
                <w:color w:val="000000"/>
              </w:rPr>
              <w:t>2.1 Background and Research Focus</w:t>
            </w:r>
            <w:r>
              <w:rPr>
                <w:color w:val="000000"/>
              </w:rPr>
              <w:tab/>
              <w:t>13</w:t>
            </w:r>
          </w:hyperlink>
        </w:p>
        <w:p w14:paraId="5CB88C9F"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8shphi9v9siy">
            <w:r>
              <w:rPr>
                <w:color w:val="000000"/>
              </w:rPr>
              <w:t>2.2 Defining High-Cost Rheumatology Medicines</w:t>
            </w:r>
            <w:r>
              <w:rPr>
                <w:color w:val="000000"/>
              </w:rPr>
              <w:tab/>
              <w:t>15</w:t>
            </w:r>
          </w:hyperlink>
        </w:p>
        <w:p w14:paraId="2EF78ABA"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gmlu8tuvinrz">
            <w:r>
              <w:rPr>
                <w:color w:val="000000"/>
              </w:rPr>
              <w:t>2.3 Evolution of Use: Uptake, Trends, and Cost Trajectories</w:t>
            </w:r>
            <w:r>
              <w:rPr>
                <w:color w:val="000000"/>
              </w:rPr>
              <w:tab/>
              <w:t>16</w:t>
            </w:r>
          </w:hyperlink>
        </w:p>
        <w:p w14:paraId="6991C8AD"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u6dc0gign6lq">
            <w:r>
              <w:rPr>
                <w:color w:val="000000"/>
              </w:rPr>
              <w:t>2.4 Conceptualising Value in High-Cost Medicines</w:t>
            </w:r>
            <w:r>
              <w:rPr>
                <w:color w:val="000000"/>
              </w:rPr>
              <w:tab/>
              <w:t>17</w:t>
            </w:r>
          </w:hyperlink>
        </w:p>
        <w:p w14:paraId="18CC7D27"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5003p2b1pyfo">
            <w:r>
              <w:rPr>
                <w:color w:val="000000"/>
              </w:rPr>
              <w:t>2.5 Governance of High-Cost Medicines in Wales</w:t>
            </w:r>
            <w:r>
              <w:rPr>
                <w:color w:val="000000"/>
              </w:rPr>
              <w:tab/>
              <w:t>19</w:t>
            </w:r>
          </w:hyperlink>
        </w:p>
        <w:p w14:paraId="77E9EEA5"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7gbatjvsjd6d">
            <w:r>
              <w:rPr>
                <w:color w:val="000000"/>
              </w:rPr>
              <w:t>2.6 Operationalising Value-Based Healthcare: Procurement and Budget Impact</w:t>
            </w:r>
            <w:r>
              <w:rPr>
                <w:color w:val="000000"/>
              </w:rPr>
              <w:tab/>
              <w:t>20</w:t>
            </w:r>
          </w:hyperlink>
        </w:p>
        <w:p w14:paraId="647539F5"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2fky6m6ma8cz">
            <w:r>
              <w:rPr>
                <w:color w:val="000000"/>
              </w:rPr>
              <w:t>2.7 Critical Synthesis: Strengths, Tensions, and Systemic Constraints</w:t>
            </w:r>
            <w:r>
              <w:rPr>
                <w:color w:val="000000"/>
              </w:rPr>
              <w:tab/>
              <w:t>21</w:t>
            </w:r>
          </w:hyperlink>
        </w:p>
        <w:p w14:paraId="003D5C53"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d0ttnmku4ff2">
            <w:r>
              <w:rPr>
                <w:color w:val="000000"/>
              </w:rPr>
              <w:t>2.8 Evidence Gaps and Implications for the Study</w:t>
            </w:r>
            <w:r>
              <w:rPr>
                <w:color w:val="000000"/>
              </w:rPr>
              <w:tab/>
              <w:t>22</w:t>
            </w:r>
          </w:hyperlink>
        </w:p>
        <w:p w14:paraId="4D0B9A58"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hyperlink w:anchor="_bunzgesvbm89">
            <w:r>
              <w:rPr>
                <w:color w:val="000000"/>
              </w:rPr>
              <w:t>Chapter 3: Research Methods and Justification</w:t>
            </w:r>
            <w:r>
              <w:rPr>
                <w:color w:val="000000"/>
              </w:rPr>
              <w:tab/>
              <w:t>23</w:t>
            </w:r>
          </w:hyperlink>
        </w:p>
        <w:p w14:paraId="512CF2AB"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bwhnothy4jnm">
            <w:r>
              <w:rPr>
                <w:color w:val="000000"/>
              </w:rPr>
              <w:t>3.1 Research Design</w:t>
            </w:r>
            <w:r>
              <w:rPr>
                <w:color w:val="000000"/>
              </w:rPr>
              <w:tab/>
              <w:t>23</w:t>
            </w:r>
          </w:hyperlink>
        </w:p>
        <w:p w14:paraId="44666409"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i70ngqidm9b1">
            <w:r>
              <w:rPr>
                <w:color w:val="000000"/>
              </w:rPr>
              <w:t>3.2 Research Strategy</w:t>
            </w:r>
            <w:r>
              <w:rPr>
                <w:color w:val="000000"/>
              </w:rPr>
              <w:tab/>
              <w:t>23</w:t>
            </w:r>
          </w:hyperlink>
        </w:p>
        <w:p w14:paraId="271885E9"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pbflf8ke35av">
            <w:r>
              <w:rPr>
                <w:color w:val="000000"/>
              </w:rPr>
              <w:t>3.3 Soft Systems Methodology (SSM) Application</w:t>
            </w:r>
            <w:r>
              <w:rPr>
                <w:color w:val="000000"/>
              </w:rPr>
              <w:tab/>
              <w:t>24</w:t>
            </w:r>
          </w:hyperlink>
        </w:p>
        <w:p w14:paraId="72D610E9" w14:textId="77777777" w:rsidR="00690943" w:rsidRDefault="00000000">
          <w:pPr>
            <w:pBdr>
              <w:top w:val="nil"/>
              <w:left w:val="nil"/>
              <w:bottom w:val="nil"/>
              <w:right w:val="nil"/>
              <w:between w:val="nil"/>
            </w:pBdr>
            <w:tabs>
              <w:tab w:val="right" w:pos="8296"/>
            </w:tabs>
            <w:spacing w:after="100"/>
            <w:ind w:left="480"/>
            <w:rPr>
              <w:rFonts w:ascii="Cambria" w:eastAsia="Cambria" w:hAnsi="Cambria" w:cs="Cambria"/>
              <w:color w:val="000000"/>
            </w:rPr>
          </w:pPr>
          <w:hyperlink w:anchor="_pi7rvdk8mwrv">
            <w:r>
              <w:rPr>
                <w:color w:val="000000"/>
              </w:rPr>
              <w:t>3.2.1 SSM as Analytical Framework</w:t>
            </w:r>
            <w:r>
              <w:rPr>
                <w:color w:val="000000"/>
              </w:rPr>
              <w:tab/>
              <w:t>24</w:t>
            </w:r>
          </w:hyperlink>
        </w:p>
        <w:p w14:paraId="1953AF9C"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qqrdho6lurmi">
            <w:r>
              <w:rPr>
                <w:color w:val="000000"/>
              </w:rPr>
              <w:t>3.4 Quantitative Component</w:t>
            </w:r>
            <w:r>
              <w:rPr>
                <w:color w:val="000000"/>
              </w:rPr>
              <w:tab/>
              <w:t>25</w:t>
            </w:r>
          </w:hyperlink>
        </w:p>
        <w:p w14:paraId="3A84BBFA"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b6yvpubqhomb">
            <w:r>
              <w:rPr>
                <w:color w:val="000000"/>
              </w:rPr>
              <w:t>3.5 Qualitative Component</w:t>
            </w:r>
            <w:r>
              <w:rPr>
                <w:color w:val="000000"/>
              </w:rPr>
              <w:tab/>
              <w:t>26</w:t>
            </w:r>
          </w:hyperlink>
        </w:p>
        <w:p w14:paraId="112C4A87"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e27ebiexojd0">
            <w:r>
              <w:rPr>
                <w:color w:val="000000"/>
              </w:rPr>
              <w:t>3.6 Integration of Quantitative and Qualitative Findings</w:t>
            </w:r>
            <w:r>
              <w:rPr>
                <w:color w:val="000000"/>
              </w:rPr>
              <w:tab/>
              <w:t>26</w:t>
            </w:r>
          </w:hyperlink>
        </w:p>
        <w:p w14:paraId="6B33D550"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cdlzfh44pp37">
            <w:r>
              <w:rPr>
                <w:color w:val="000000"/>
              </w:rPr>
              <w:t>3.7 Ethical Considerations</w:t>
            </w:r>
            <w:r>
              <w:rPr>
                <w:color w:val="000000"/>
              </w:rPr>
              <w:tab/>
              <w:t>26</w:t>
            </w:r>
          </w:hyperlink>
        </w:p>
        <w:p w14:paraId="3E8B47B6"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oj4aqj1ynzm">
            <w:r>
              <w:rPr>
                <w:color w:val="000000"/>
              </w:rPr>
              <w:t>3.8 Rationale for Methodological Choices</w:t>
            </w:r>
            <w:r>
              <w:rPr>
                <w:color w:val="000000"/>
              </w:rPr>
              <w:tab/>
              <w:t>27</w:t>
            </w:r>
          </w:hyperlink>
        </w:p>
        <w:p w14:paraId="004AEF75"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g0cdt26b95bf">
            <w:r>
              <w:rPr>
                <w:color w:val="000000"/>
              </w:rPr>
              <w:t>3.9 Limitations and Mitigation</w:t>
            </w:r>
            <w:r>
              <w:rPr>
                <w:color w:val="000000"/>
              </w:rPr>
              <w:tab/>
              <w:t>27</w:t>
            </w:r>
          </w:hyperlink>
        </w:p>
        <w:p w14:paraId="55D102EA"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hyperlink w:anchor="_qwb637g78d1x">
            <w:r>
              <w:rPr>
                <w:color w:val="000000"/>
              </w:rPr>
              <w:t>Chapter 4: Results: High-Cost Rheumatology Drug Prescribing in Wales</w:t>
            </w:r>
            <w:r>
              <w:rPr>
                <w:color w:val="000000"/>
              </w:rPr>
              <w:tab/>
              <w:t>27</w:t>
            </w:r>
          </w:hyperlink>
        </w:p>
        <w:p w14:paraId="4E69B9AE"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y87g81t64sg6">
            <w:r>
              <w:rPr>
                <w:color w:val="000000"/>
              </w:rPr>
              <w:t>4.1 Overview of Dataset</w:t>
            </w:r>
            <w:r>
              <w:rPr>
                <w:color w:val="000000"/>
              </w:rPr>
              <w:tab/>
              <w:t>27</w:t>
            </w:r>
          </w:hyperlink>
        </w:p>
        <w:p w14:paraId="490514F0"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xewg793llkb0">
            <w:r>
              <w:rPr>
                <w:color w:val="000000"/>
              </w:rPr>
              <w:t>4.2 Geographical Distribution</w:t>
            </w:r>
            <w:r>
              <w:rPr>
                <w:color w:val="000000"/>
              </w:rPr>
              <w:tab/>
              <w:t>28</w:t>
            </w:r>
          </w:hyperlink>
        </w:p>
        <w:p w14:paraId="63011506"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a2wusu8ppsmb">
            <w:r>
              <w:rPr>
                <w:color w:val="000000"/>
              </w:rPr>
              <w:t>4.3 Treatment Selection</w:t>
            </w:r>
            <w:r>
              <w:rPr>
                <w:color w:val="000000"/>
              </w:rPr>
              <w:tab/>
              <w:t>28</w:t>
            </w:r>
          </w:hyperlink>
        </w:p>
        <w:p w14:paraId="3B907F37"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38z9grooevfh">
            <w:r>
              <w:rPr>
                <w:color w:val="000000"/>
              </w:rPr>
              <w:t>4.4 Biosimilar vs Originator Prescribing</w:t>
            </w:r>
            <w:r>
              <w:rPr>
                <w:color w:val="000000"/>
              </w:rPr>
              <w:tab/>
              <w:t>29</w:t>
            </w:r>
          </w:hyperlink>
        </w:p>
        <w:p w14:paraId="316D3A5F"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z0yw0c7bdtkq">
            <w:r>
              <w:rPr>
                <w:color w:val="000000"/>
              </w:rPr>
              <w:t>4.5 Hospital Site Distribution</w:t>
            </w:r>
            <w:r>
              <w:rPr>
                <w:color w:val="000000"/>
              </w:rPr>
              <w:tab/>
              <w:t>29</w:t>
            </w:r>
          </w:hyperlink>
        </w:p>
        <w:p w14:paraId="46651CBD"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yefcthxeo3gv">
            <w:r>
              <w:rPr>
                <w:color w:val="000000"/>
              </w:rPr>
              <w:t>4.6 Temporal Distribution</w:t>
            </w:r>
            <w:r>
              <w:rPr>
                <w:color w:val="000000"/>
              </w:rPr>
              <w:tab/>
              <w:t>29</w:t>
            </w:r>
          </w:hyperlink>
        </w:p>
        <w:p w14:paraId="300C4A6A"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3zudfzu05ri8">
            <w:r>
              <w:rPr>
                <w:color w:val="000000"/>
              </w:rPr>
              <w:t>4.7 Top Prescribing Patterns by Site</w:t>
            </w:r>
            <w:r>
              <w:rPr>
                <w:color w:val="000000"/>
              </w:rPr>
              <w:tab/>
              <w:t>30</w:t>
            </w:r>
          </w:hyperlink>
        </w:p>
        <w:p w14:paraId="628F907C"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ln7wrqv3sofu">
            <w:r>
              <w:rPr>
                <w:color w:val="000000"/>
              </w:rPr>
              <w:t>4.8 JAK Inhibitor Breakdown</w:t>
            </w:r>
            <w:r>
              <w:rPr>
                <w:color w:val="000000"/>
              </w:rPr>
              <w:tab/>
              <w:t>30</w:t>
            </w:r>
          </w:hyperlink>
        </w:p>
        <w:p w14:paraId="38A6C5EE"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44ykf9b76n72">
            <w:r>
              <w:rPr>
                <w:color w:val="000000"/>
              </w:rPr>
              <w:t>4.9 Data Completeness</w:t>
            </w:r>
            <w:r>
              <w:rPr>
                <w:color w:val="000000"/>
              </w:rPr>
              <w:tab/>
              <w:t>31</w:t>
            </w:r>
          </w:hyperlink>
        </w:p>
        <w:p w14:paraId="71040FFA"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4ojg5axecl6h">
            <w:r>
              <w:rPr>
                <w:color w:val="000000"/>
              </w:rPr>
              <w:t>4.10 Integration with Qualitative Findings: Contextualising the Quantitative Data</w:t>
            </w:r>
            <w:r>
              <w:rPr>
                <w:color w:val="000000"/>
              </w:rPr>
              <w:tab/>
              <w:t>32</w:t>
            </w:r>
          </w:hyperlink>
        </w:p>
        <w:p w14:paraId="43E5E5D4"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hyperlink w:anchor="_cm618a5w7pxv">
            <w:r>
              <w:rPr>
                <w:color w:val="000000"/>
              </w:rPr>
              <w:t>Chapter 5: Discussion</w:t>
            </w:r>
            <w:r>
              <w:rPr>
                <w:color w:val="000000"/>
              </w:rPr>
              <w:tab/>
              <w:t>33</w:t>
            </w:r>
          </w:hyperlink>
        </w:p>
        <w:p w14:paraId="65AEC12B"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u0v3fv2igzb7">
            <w:r>
              <w:rPr>
                <w:color w:val="000000"/>
              </w:rPr>
              <w:t>5.1 Introduction</w:t>
            </w:r>
            <w:r>
              <w:rPr>
                <w:color w:val="000000"/>
              </w:rPr>
              <w:tab/>
              <w:t>33</w:t>
            </w:r>
          </w:hyperlink>
        </w:p>
        <w:p w14:paraId="7C356F93"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oa3emt4qzssk">
            <w:r>
              <w:rPr>
                <w:color w:val="000000"/>
              </w:rPr>
              <w:t>5.2 Geographical Concentration and Equity of Access</w:t>
            </w:r>
            <w:r>
              <w:rPr>
                <w:color w:val="000000"/>
              </w:rPr>
              <w:tab/>
              <w:t>34</w:t>
            </w:r>
          </w:hyperlink>
        </w:p>
        <w:p w14:paraId="29065C41"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q4bx0rzdkni2">
            <w:r>
              <w:rPr>
                <w:color w:val="000000"/>
              </w:rPr>
              <w:t>5.3 Biosimilar Adoption as an Indicator of Policy Compliance</w:t>
            </w:r>
            <w:r>
              <w:rPr>
                <w:color w:val="000000"/>
              </w:rPr>
              <w:tab/>
              <w:t>35</w:t>
            </w:r>
          </w:hyperlink>
        </w:p>
        <w:p w14:paraId="740DFB35"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npf1u8uesyi2">
            <w:r>
              <w:rPr>
                <w:color w:val="000000"/>
              </w:rPr>
              <w:t>5.4 JAK Inhibitors and the Governance of Emerging Therapies</w:t>
            </w:r>
            <w:r>
              <w:rPr>
                <w:color w:val="000000"/>
              </w:rPr>
              <w:tab/>
              <w:t>36</w:t>
            </w:r>
          </w:hyperlink>
        </w:p>
        <w:p w14:paraId="576B190A"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cj7hl2lpcee9">
            <w:r>
              <w:rPr>
                <w:color w:val="000000"/>
              </w:rPr>
              <w:t>5.5 Temporal Distribution and System Capacity</w:t>
            </w:r>
            <w:r>
              <w:rPr>
                <w:color w:val="000000"/>
              </w:rPr>
              <w:tab/>
              <w:t>37</w:t>
            </w:r>
          </w:hyperlink>
        </w:p>
        <w:p w14:paraId="42AC66FB"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5r808bp0a03u">
            <w:r>
              <w:rPr>
                <w:color w:val="000000"/>
              </w:rPr>
              <w:t>5.6 Stakeholder Experiences and System Usability</w:t>
            </w:r>
            <w:r>
              <w:rPr>
                <w:color w:val="000000"/>
              </w:rPr>
              <w:tab/>
              <w:t>38</w:t>
            </w:r>
          </w:hyperlink>
        </w:p>
        <w:p w14:paraId="6AF7768F"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vre3g7uej99f">
            <w:r>
              <w:rPr>
                <w:color w:val="000000"/>
              </w:rPr>
              <w:t>5.7 Adherence to NICE and AWMSG Eligibility Criteria</w:t>
            </w:r>
            <w:r>
              <w:rPr>
                <w:color w:val="000000"/>
              </w:rPr>
              <w:tab/>
              <w:t>39</w:t>
            </w:r>
          </w:hyperlink>
        </w:p>
        <w:p w14:paraId="328C41D0"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il8ja31zkks6">
            <w:r>
              <w:rPr>
                <w:color w:val="000000"/>
              </w:rPr>
              <w:t>5.8 Value-Based Healthcare: Governance Intent and Operational Reality</w:t>
            </w:r>
            <w:r>
              <w:rPr>
                <w:color w:val="000000"/>
              </w:rPr>
              <w:tab/>
              <w:t>39</w:t>
            </w:r>
          </w:hyperlink>
        </w:p>
        <w:p w14:paraId="49C597C3"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s16xikjttok2">
            <w:r>
              <w:rPr>
                <w:color w:val="000000"/>
              </w:rPr>
              <w:t>5.9 Implications for Policy and Practice</w:t>
            </w:r>
            <w:r>
              <w:rPr>
                <w:color w:val="000000"/>
              </w:rPr>
              <w:tab/>
              <w:t>40</w:t>
            </w:r>
          </w:hyperlink>
        </w:p>
        <w:p w14:paraId="3C5BED74"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i9hziomteznm">
            <w:r>
              <w:rPr>
                <w:color w:val="000000"/>
              </w:rPr>
              <w:t>5.10 Comparative Governance: Wales, England, Scotland and Northern Ireland</w:t>
            </w:r>
            <w:r>
              <w:rPr>
                <w:color w:val="000000"/>
              </w:rPr>
              <w:tab/>
              <w:t>41</w:t>
            </w:r>
          </w:hyperlink>
        </w:p>
        <w:p w14:paraId="2DB15E46"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f43fhfuxwojn">
            <w:r>
              <w:rPr>
                <w:color w:val="000000"/>
              </w:rPr>
              <w:t>5.11 Methodological Reflections</w:t>
            </w:r>
            <w:r>
              <w:rPr>
                <w:color w:val="000000"/>
              </w:rPr>
              <w:tab/>
              <w:t>43</w:t>
            </w:r>
          </w:hyperlink>
        </w:p>
        <w:p w14:paraId="087A62D3"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hyperlink w:anchor="_1op37d9i42l8">
            <w:r>
              <w:rPr>
                <w:color w:val="000000"/>
              </w:rPr>
              <w:t>Chapter 6: Conclusion and Recommendations</w:t>
            </w:r>
            <w:r>
              <w:rPr>
                <w:color w:val="000000"/>
              </w:rPr>
              <w:tab/>
              <w:t>45</w:t>
            </w:r>
          </w:hyperlink>
        </w:p>
        <w:p w14:paraId="5A2DDF64"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q3ybm7ujo1x6">
            <w:r>
              <w:rPr>
                <w:color w:val="000000"/>
              </w:rPr>
              <w:t>6.1 Recommendations</w:t>
            </w:r>
            <w:r>
              <w:rPr>
                <w:color w:val="000000"/>
              </w:rPr>
              <w:tab/>
              <w:t>47</w:t>
            </w:r>
          </w:hyperlink>
        </w:p>
        <w:p w14:paraId="2CDFD5A6" w14:textId="77777777" w:rsidR="00690943" w:rsidRDefault="00000000">
          <w:pPr>
            <w:pBdr>
              <w:top w:val="nil"/>
              <w:left w:val="nil"/>
              <w:bottom w:val="nil"/>
              <w:right w:val="nil"/>
              <w:between w:val="nil"/>
            </w:pBdr>
            <w:tabs>
              <w:tab w:val="right" w:pos="8296"/>
            </w:tabs>
            <w:spacing w:after="100"/>
            <w:ind w:left="240"/>
            <w:rPr>
              <w:rFonts w:ascii="Cambria" w:eastAsia="Cambria" w:hAnsi="Cambria" w:cs="Cambria"/>
              <w:color w:val="000000"/>
            </w:rPr>
          </w:pPr>
          <w:hyperlink w:anchor="_9l9dap7cql5o">
            <w:r>
              <w:rPr>
                <w:color w:val="000000"/>
              </w:rPr>
              <w:t>6.2 Directions for Future Research</w:t>
            </w:r>
            <w:r>
              <w:rPr>
                <w:color w:val="000000"/>
              </w:rPr>
              <w:tab/>
              <w:t>49</w:t>
            </w:r>
          </w:hyperlink>
        </w:p>
        <w:p w14:paraId="2213FE60"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hyperlink w:anchor="_8p2xs95glxct">
            <w:r>
              <w:rPr>
                <w:color w:val="000000"/>
              </w:rPr>
              <w:t>References</w:t>
            </w:r>
            <w:r>
              <w:rPr>
                <w:color w:val="000000"/>
              </w:rPr>
              <w:tab/>
              <w:t>51</w:t>
            </w:r>
          </w:hyperlink>
        </w:p>
        <w:p w14:paraId="74125DC6" w14:textId="77777777" w:rsidR="00690943" w:rsidRDefault="00000000">
          <w:pPr>
            <w:pBdr>
              <w:top w:val="nil"/>
              <w:left w:val="nil"/>
              <w:bottom w:val="nil"/>
              <w:right w:val="nil"/>
              <w:between w:val="nil"/>
            </w:pBdr>
            <w:tabs>
              <w:tab w:val="right" w:pos="8296"/>
            </w:tabs>
            <w:spacing w:after="100"/>
            <w:rPr>
              <w:rFonts w:ascii="Cambria" w:eastAsia="Cambria" w:hAnsi="Cambria" w:cs="Cambria"/>
              <w:color w:val="000000"/>
            </w:rPr>
          </w:pPr>
          <w:hyperlink w:anchor="_4nqcv6sw7jkh">
            <w:r>
              <w:rPr>
                <w:color w:val="000000"/>
              </w:rPr>
              <w:t>Appendices</w:t>
            </w:r>
            <w:r>
              <w:rPr>
                <w:color w:val="000000"/>
              </w:rPr>
              <w:tab/>
              <w:t>56</w:t>
            </w:r>
          </w:hyperlink>
        </w:p>
        <w:p w14:paraId="7FA457E8" w14:textId="586A5410" w:rsidR="00690943" w:rsidRDefault="00000000">
          <w:pPr>
            <w:widowControl w:val="0"/>
            <w:tabs>
              <w:tab w:val="right" w:pos="8305"/>
            </w:tabs>
            <w:spacing w:before="60"/>
            <w:rPr>
              <w:b/>
              <w:bCs/>
              <w:color w:val="000000"/>
            </w:rPr>
          </w:pPr>
          <w:r>
            <w:fldChar w:fldCharType="end"/>
          </w:r>
          <w:r w:rsidR="003261A8">
            <w:t>Word count 14,658</w:t>
          </w:r>
        </w:p>
      </w:sdtContent>
    </w:sdt>
    <w:p w14:paraId="5ECD5D89" w14:textId="77777777" w:rsidR="00690943" w:rsidRDefault="00690943"/>
    <w:p w14:paraId="078A2D29" w14:textId="77777777" w:rsidR="00690943" w:rsidRDefault="00690943">
      <w:pPr>
        <w:pStyle w:val="Heading1"/>
        <w:rPr>
          <w:sz w:val="24"/>
          <w:szCs w:val="24"/>
        </w:rPr>
      </w:pPr>
    </w:p>
    <w:p w14:paraId="5AF32FF2" w14:textId="77777777" w:rsidR="00690943" w:rsidRDefault="00690943"/>
    <w:p w14:paraId="3E833DA4" w14:textId="77777777" w:rsidR="00690943" w:rsidRDefault="00690943"/>
    <w:p w14:paraId="4BE0978A" w14:textId="77777777" w:rsidR="00690943" w:rsidRDefault="00690943"/>
    <w:p w14:paraId="0222769B" w14:textId="77777777" w:rsidR="00690943" w:rsidRDefault="00690943"/>
    <w:p w14:paraId="7F2CDA3E" w14:textId="77777777" w:rsidR="00690943" w:rsidRDefault="00690943"/>
    <w:p w14:paraId="76BD76BB" w14:textId="77777777" w:rsidR="00690943" w:rsidRDefault="00690943"/>
    <w:p w14:paraId="5D80DE97" w14:textId="77777777" w:rsidR="00690943" w:rsidRDefault="00690943"/>
    <w:p w14:paraId="33E82E08" w14:textId="77777777" w:rsidR="00690943" w:rsidRDefault="00690943"/>
    <w:p w14:paraId="6D3AC750" w14:textId="77777777" w:rsidR="00690943" w:rsidRDefault="00000000">
      <w:r>
        <w:br w:type="page"/>
      </w:r>
    </w:p>
    <w:p w14:paraId="02FD432C" w14:textId="77777777" w:rsidR="00690943" w:rsidRDefault="00000000">
      <w:pPr>
        <w:pStyle w:val="Heading1"/>
        <w:spacing w:before="240" w:after="240"/>
        <w:rPr>
          <w:sz w:val="24"/>
          <w:szCs w:val="24"/>
        </w:rPr>
      </w:pPr>
      <w:bookmarkStart w:id="1" w:name="_ajbh8lquspza" w:colFirst="0" w:colLast="0"/>
      <w:bookmarkEnd w:id="1"/>
      <w:r>
        <w:rPr>
          <w:sz w:val="24"/>
          <w:szCs w:val="24"/>
        </w:rPr>
        <w:lastRenderedPageBreak/>
        <w:t>Abbreviations</w:t>
      </w:r>
    </w:p>
    <w:p w14:paraId="4906B33E" w14:textId="77777777" w:rsidR="00690943" w:rsidRDefault="00000000">
      <w:pPr>
        <w:spacing w:before="240" w:after="240"/>
      </w:pPr>
      <w:r>
        <w:t>ABPI: Association of the British Pharmaceutical Industry</w:t>
      </w:r>
    </w:p>
    <w:p w14:paraId="21173D93" w14:textId="77777777" w:rsidR="00690943" w:rsidRDefault="00000000">
      <w:pPr>
        <w:spacing w:before="240" w:after="240"/>
      </w:pPr>
      <w:r>
        <w:t>AI: Artificial Intelligence</w:t>
      </w:r>
    </w:p>
    <w:p w14:paraId="13A1F809" w14:textId="77777777" w:rsidR="00690943" w:rsidRDefault="00000000">
      <w:pPr>
        <w:spacing w:before="240" w:after="240"/>
      </w:pPr>
      <w:r>
        <w:t>AWMSG: All Wales Medicines Strategy Group</w:t>
      </w:r>
    </w:p>
    <w:p w14:paraId="47B53D9F" w14:textId="77777777" w:rsidR="00690943" w:rsidRDefault="00000000">
      <w:pPr>
        <w:spacing w:before="240" w:after="240"/>
      </w:pPr>
      <w:r>
        <w:t>AWTTC: All Wales Therapeutics and Toxicology Centre</w:t>
      </w:r>
    </w:p>
    <w:p w14:paraId="0F09DA20" w14:textId="77777777" w:rsidR="00690943" w:rsidRDefault="00000000">
      <w:pPr>
        <w:spacing w:before="240" w:after="240"/>
      </w:pPr>
      <w:r>
        <w:t>BCUHB: Betsi Cadwaladr University Health Board</w:t>
      </w:r>
    </w:p>
    <w:p w14:paraId="0801BD8B" w14:textId="77777777" w:rsidR="00690943" w:rsidRDefault="00000000">
      <w:pPr>
        <w:spacing w:before="240" w:after="240"/>
      </w:pPr>
      <w:r>
        <w:t>bDMARDs: Biologic Disease-Modifying Antirheumatic Drugs</w:t>
      </w:r>
    </w:p>
    <w:p w14:paraId="45D12EA6" w14:textId="77777777" w:rsidR="00690943" w:rsidRDefault="00000000">
      <w:pPr>
        <w:spacing w:before="240" w:after="240"/>
      </w:pPr>
      <w:r>
        <w:t>b/tsDMARDs: Biologic and Targeted Synthetic Disease-Modifying Antirheumatic Drugs</w:t>
      </w:r>
    </w:p>
    <w:p w14:paraId="04F77624" w14:textId="77777777" w:rsidR="00690943" w:rsidRDefault="00000000">
      <w:pPr>
        <w:spacing w:before="240" w:after="240"/>
      </w:pPr>
      <w:r>
        <w:t>CATWOE: Clients, Actors, Transformation, Weltanschauung, Owners, Environmental Constraints (SSM framework)</w:t>
      </w:r>
    </w:p>
    <w:p w14:paraId="247C02C5" w14:textId="77777777" w:rsidR="00690943" w:rsidRDefault="00000000">
      <w:pPr>
        <w:spacing w:before="240" w:after="240"/>
      </w:pPr>
      <w:r>
        <w:t>GDPR: General Data Protection Regulation</w:t>
      </w:r>
    </w:p>
    <w:p w14:paraId="4483022D" w14:textId="77777777" w:rsidR="00690943" w:rsidRDefault="00000000">
      <w:pPr>
        <w:spacing w:before="240" w:after="240"/>
      </w:pPr>
      <w:r>
        <w:t>GIG Cymru: NHS Wales (Welsh language designation)</w:t>
      </w:r>
    </w:p>
    <w:p w14:paraId="70F7648B" w14:textId="77777777" w:rsidR="00690943" w:rsidRDefault="00000000">
      <w:pPr>
        <w:spacing w:before="240" w:after="240"/>
      </w:pPr>
      <w:r>
        <w:t>GOV.WALES: Welsh Government Online Portal</w:t>
      </w:r>
    </w:p>
    <w:p w14:paraId="5DD90D6C" w14:textId="77777777" w:rsidR="00690943" w:rsidRDefault="00000000">
      <w:pPr>
        <w:spacing w:before="240" w:after="240"/>
      </w:pPr>
      <w:r>
        <w:t>HCD: High-Cost Drug</w:t>
      </w:r>
    </w:p>
    <w:p w14:paraId="6AE4DBD9" w14:textId="77777777" w:rsidR="00690943" w:rsidRDefault="00000000">
      <w:pPr>
        <w:spacing w:before="240" w:after="240"/>
      </w:pPr>
      <w:r>
        <w:t>HCDs: High-Cost Drugs</w:t>
      </w:r>
    </w:p>
    <w:p w14:paraId="68D2F815" w14:textId="77777777" w:rsidR="00690943" w:rsidRDefault="00000000">
      <w:pPr>
        <w:spacing w:before="240" w:after="240"/>
      </w:pPr>
      <w:r>
        <w:t>HRA: Health Research Authority</w:t>
      </w:r>
    </w:p>
    <w:p w14:paraId="00843F55" w14:textId="77777777" w:rsidR="00690943" w:rsidRDefault="00000000">
      <w:pPr>
        <w:spacing w:before="240" w:after="240"/>
      </w:pPr>
      <w:r>
        <w:t>MHRA: Medicines and Healthcare products Regulatory Agency</w:t>
      </w:r>
    </w:p>
    <w:p w14:paraId="6C7E6376" w14:textId="77777777" w:rsidR="00690943" w:rsidRDefault="00000000">
      <w:pPr>
        <w:spacing w:before="240" w:after="240"/>
      </w:pPr>
      <w:r>
        <w:t>MOIC: Medicines Optimisation Innovation Centre (Northern Ireland)</w:t>
      </w:r>
    </w:p>
    <w:p w14:paraId="47BA9FED" w14:textId="77777777" w:rsidR="00690943" w:rsidRDefault="00000000">
      <w:pPr>
        <w:spacing w:before="240" w:after="240"/>
      </w:pPr>
      <w:r>
        <w:t>NHS: National Health Service</w:t>
      </w:r>
    </w:p>
    <w:p w14:paraId="5D96286E" w14:textId="77777777" w:rsidR="00690943" w:rsidRDefault="00000000">
      <w:pPr>
        <w:spacing w:before="240" w:after="240"/>
      </w:pPr>
      <w:r>
        <w:t>NICE: National Institute for Health and Care Excellence</w:t>
      </w:r>
    </w:p>
    <w:p w14:paraId="6499DBED" w14:textId="77777777" w:rsidR="00690943" w:rsidRDefault="00000000">
      <w:pPr>
        <w:spacing w:before="240" w:after="240"/>
      </w:pPr>
      <w:r>
        <w:t>PACE: Patient and Clinician Engagement (Scotland)</w:t>
      </w:r>
    </w:p>
    <w:p w14:paraId="7D96F660" w14:textId="77777777" w:rsidR="00690943" w:rsidRDefault="00000000">
      <w:pPr>
        <w:spacing w:before="240" w:after="240"/>
      </w:pPr>
      <w:r>
        <w:t>PRISMA: Preferred Reporting Items for Systematic Reviews and Meta-Analyses</w:t>
      </w:r>
    </w:p>
    <w:p w14:paraId="2376B491" w14:textId="77777777" w:rsidR="00690943" w:rsidRDefault="00000000">
      <w:pPr>
        <w:spacing w:before="240" w:after="240"/>
      </w:pPr>
      <w:r>
        <w:t>PROMs: Patient-Reported Outcome Measures</w:t>
      </w:r>
    </w:p>
    <w:p w14:paraId="1BF9E38A" w14:textId="77777777" w:rsidR="00690943" w:rsidRDefault="00000000">
      <w:pPr>
        <w:spacing w:before="240" w:after="240"/>
      </w:pPr>
      <w:r>
        <w:t>SMC: Scottish Medicines Consortium</w:t>
      </w:r>
    </w:p>
    <w:p w14:paraId="5C9AD5D6" w14:textId="77777777" w:rsidR="00690943" w:rsidRDefault="00000000">
      <w:pPr>
        <w:spacing w:before="240" w:after="240"/>
      </w:pPr>
      <w:r>
        <w:t>SPSS: Statistical Package for the Social Sciences</w:t>
      </w:r>
    </w:p>
    <w:p w14:paraId="3B0A4F21" w14:textId="77777777" w:rsidR="00690943" w:rsidRDefault="00000000">
      <w:pPr>
        <w:spacing w:before="240" w:after="240"/>
      </w:pPr>
      <w:r>
        <w:t>SSM: Soft Systems Methodology</w:t>
      </w:r>
    </w:p>
    <w:p w14:paraId="158A7D68" w14:textId="77777777" w:rsidR="00690943" w:rsidRDefault="00000000">
      <w:pPr>
        <w:spacing w:before="240" w:after="240"/>
      </w:pPr>
      <w:r>
        <w:lastRenderedPageBreak/>
        <w:t>TNF: Tumour Necrosis Factor</w:t>
      </w:r>
    </w:p>
    <w:p w14:paraId="7CF9BF24" w14:textId="77777777" w:rsidR="00690943" w:rsidRDefault="00000000">
      <w:pPr>
        <w:spacing w:before="240" w:after="240"/>
      </w:pPr>
      <w:r>
        <w:t>tsDMARDs: Targeted Synthetic Disease-Modifying Antirheumatic Drugs</w:t>
      </w:r>
    </w:p>
    <w:p w14:paraId="1426C968" w14:textId="77777777" w:rsidR="00690943" w:rsidRDefault="00000000">
      <w:pPr>
        <w:spacing w:before="240" w:after="240"/>
      </w:pPr>
      <w:r>
        <w:t>VBHC: Value-Based Healthcare</w:t>
      </w:r>
    </w:p>
    <w:p w14:paraId="2F09620A" w14:textId="77777777" w:rsidR="00690943" w:rsidRDefault="00000000">
      <w:pPr>
        <w:spacing w:before="240" w:after="240"/>
      </w:pPr>
      <w:r>
        <w:t>VPAS: Voluntary Scheme for Branded Medicines Pricing and Access</w:t>
      </w:r>
    </w:p>
    <w:p w14:paraId="1602E982" w14:textId="77777777" w:rsidR="00690943" w:rsidRDefault="00000000">
      <w:pPr>
        <w:spacing w:before="240" w:after="240"/>
      </w:pPr>
      <w:r>
        <w:t>WCP: Welsh Clinical Portal</w:t>
      </w:r>
    </w:p>
    <w:p w14:paraId="08C4EBD5" w14:textId="77777777" w:rsidR="00690943" w:rsidRDefault="00690943">
      <w:pPr>
        <w:pStyle w:val="Heading1"/>
        <w:rPr>
          <w:sz w:val="24"/>
          <w:szCs w:val="24"/>
        </w:rPr>
      </w:pPr>
    </w:p>
    <w:p w14:paraId="0598086C" w14:textId="77777777" w:rsidR="00690943" w:rsidRDefault="00690943"/>
    <w:p w14:paraId="3487D9FF" w14:textId="77777777" w:rsidR="00690943" w:rsidRDefault="00690943">
      <w:pPr>
        <w:pStyle w:val="Heading1"/>
        <w:rPr>
          <w:sz w:val="24"/>
          <w:szCs w:val="24"/>
        </w:rPr>
      </w:pPr>
    </w:p>
    <w:p w14:paraId="5AC2DF68" w14:textId="77777777" w:rsidR="00690943" w:rsidRDefault="00690943">
      <w:pPr>
        <w:pStyle w:val="Heading1"/>
        <w:rPr>
          <w:sz w:val="24"/>
          <w:szCs w:val="24"/>
        </w:rPr>
      </w:pPr>
    </w:p>
    <w:p w14:paraId="01017579" w14:textId="77777777" w:rsidR="00690943" w:rsidRDefault="00690943">
      <w:pPr>
        <w:pStyle w:val="Heading1"/>
        <w:rPr>
          <w:sz w:val="24"/>
          <w:szCs w:val="24"/>
        </w:rPr>
      </w:pPr>
    </w:p>
    <w:p w14:paraId="30044A85" w14:textId="77777777" w:rsidR="00690943" w:rsidRDefault="00000000">
      <w:pPr>
        <w:rPr>
          <w:b/>
          <w:bCs/>
          <w:color w:val="1F4E79"/>
        </w:rPr>
      </w:pPr>
      <w:r>
        <w:br w:type="page"/>
      </w:r>
    </w:p>
    <w:p w14:paraId="2FABA690" w14:textId="77777777" w:rsidR="00690943" w:rsidRDefault="00000000">
      <w:pPr>
        <w:pStyle w:val="Heading1"/>
        <w:spacing w:line="480" w:lineRule="auto"/>
        <w:rPr>
          <w:color w:val="000000"/>
          <w:sz w:val="24"/>
          <w:szCs w:val="24"/>
          <w:highlight w:val="white"/>
        </w:rPr>
      </w:pPr>
      <w:bookmarkStart w:id="2" w:name="_tilvzxsrppft" w:colFirst="0" w:colLast="0"/>
      <w:bookmarkEnd w:id="2"/>
      <w:r>
        <w:rPr>
          <w:color w:val="000000"/>
          <w:sz w:val="24"/>
          <w:szCs w:val="24"/>
          <w:highlight w:val="white"/>
        </w:rPr>
        <w:lastRenderedPageBreak/>
        <w:t>Abstract</w:t>
      </w:r>
    </w:p>
    <w:p w14:paraId="6721A3E9" w14:textId="77777777" w:rsidR="00690943" w:rsidRDefault="00000000">
      <w:pPr>
        <w:spacing w:before="240" w:after="240" w:line="480" w:lineRule="auto"/>
        <w:rPr>
          <w:highlight w:val="white"/>
        </w:rPr>
      </w:pPr>
      <w:r>
        <w:rPr>
          <w:highlight w:val="white"/>
        </w:rPr>
        <w:t>High-cost rheumatology medicines, including biologic and targeted synthetic disease-modifying antirheumatic drugs (b/tsDMARDs), represent a significant and growing proportion of pharmaceutical expenditure within NHS Wales. The Welsh High-Cost Drugs (HCD) governance system, operationalised through the Welsh High-Cost Drugs System and coordinated by the All Wales Therapeutics and Toxicology Centre in partnership with the All Wales Medicines Strategy Group, was developed to standardise access, promote equitable prescribing, and support governance oversight across Welsh health boards. Despite the existence of this infrastructure, limited empirical evaluation had previously been undertaken regarding its real-world operational effectiveness within rheumatology services in Wales.</w:t>
      </w:r>
    </w:p>
    <w:p w14:paraId="109A0FAE" w14:textId="77777777" w:rsidR="00690943" w:rsidRDefault="00000000">
      <w:pPr>
        <w:pStyle w:val="Heading3"/>
        <w:spacing w:before="280" w:after="80" w:line="480" w:lineRule="auto"/>
        <w:rPr>
          <w:sz w:val="24"/>
          <w:szCs w:val="24"/>
          <w:highlight w:val="white"/>
        </w:rPr>
      </w:pPr>
      <w:bookmarkStart w:id="3" w:name="_c0ieg4r0motl" w:colFirst="0" w:colLast="0"/>
      <w:bookmarkEnd w:id="3"/>
      <w:r>
        <w:rPr>
          <w:sz w:val="24"/>
          <w:szCs w:val="24"/>
          <w:highlight w:val="white"/>
        </w:rPr>
        <w:t>Aims and Objectives</w:t>
      </w:r>
    </w:p>
    <w:p w14:paraId="015842E8" w14:textId="77777777" w:rsidR="00690943" w:rsidRDefault="00000000">
      <w:pPr>
        <w:spacing w:before="240" w:after="240" w:line="480" w:lineRule="auto"/>
        <w:rPr>
          <w:highlight w:val="white"/>
        </w:rPr>
      </w:pPr>
      <w:r>
        <w:rPr>
          <w:highlight w:val="white"/>
        </w:rPr>
        <w:t>This study aimed to evaluate the role of the HCD governance system in supporting value-based rheumatology care within NHS Wales. Three objectives were pursued:</w:t>
      </w:r>
    </w:p>
    <w:p w14:paraId="320B76B4" w14:textId="77777777" w:rsidR="00690943" w:rsidRDefault="00000000">
      <w:pPr>
        <w:numPr>
          <w:ilvl w:val="0"/>
          <w:numId w:val="2"/>
        </w:numPr>
        <w:spacing w:before="240" w:line="480" w:lineRule="auto"/>
        <w:rPr>
          <w:highlight w:val="white"/>
        </w:rPr>
      </w:pPr>
      <w:r>
        <w:rPr>
          <w:highlight w:val="white"/>
        </w:rPr>
        <w:t>To evaluate whether the system supported timely and consistent access to biologic and targeted therapies.</w:t>
      </w:r>
    </w:p>
    <w:p w14:paraId="7CD5A89C" w14:textId="77777777" w:rsidR="00690943" w:rsidRDefault="00000000">
      <w:pPr>
        <w:numPr>
          <w:ilvl w:val="0"/>
          <w:numId w:val="2"/>
        </w:numPr>
        <w:spacing w:line="480" w:lineRule="auto"/>
        <w:rPr>
          <w:highlight w:val="white"/>
        </w:rPr>
      </w:pPr>
      <w:r>
        <w:rPr>
          <w:highlight w:val="white"/>
        </w:rPr>
        <w:t>To examine clinician and pharmacist experiences of system usability and workflow integration.</w:t>
      </w:r>
    </w:p>
    <w:p w14:paraId="2BB2707B" w14:textId="77777777" w:rsidR="00690943" w:rsidRDefault="00000000">
      <w:pPr>
        <w:numPr>
          <w:ilvl w:val="0"/>
          <w:numId w:val="2"/>
        </w:numPr>
        <w:spacing w:after="240" w:line="480" w:lineRule="auto"/>
        <w:rPr>
          <w:highlight w:val="white"/>
        </w:rPr>
      </w:pPr>
      <w:r>
        <w:rPr>
          <w:highlight w:val="white"/>
        </w:rPr>
        <w:t>To assess adherence to NICE and AWMSG eligibility standards through comparison of documented prescribing criteria against published guidance.</w:t>
      </w:r>
    </w:p>
    <w:p w14:paraId="7791EE08" w14:textId="77777777" w:rsidR="00690943" w:rsidRDefault="00000000">
      <w:pPr>
        <w:pStyle w:val="Heading3"/>
        <w:spacing w:before="280" w:after="80" w:line="480" w:lineRule="auto"/>
        <w:rPr>
          <w:sz w:val="24"/>
          <w:szCs w:val="24"/>
          <w:highlight w:val="white"/>
        </w:rPr>
      </w:pPr>
      <w:bookmarkStart w:id="4" w:name="_o7v4y2xk71wu" w:colFirst="0" w:colLast="0"/>
      <w:bookmarkEnd w:id="4"/>
      <w:r>
        <w:rPr>
          <w:sz w:val="24"/>
          <w:szCs w:val="24"/>
          <w:highlight w:val="white"/>
        </w:rPr>
        <w:lastRenderedPageBreak/>
        <w:t>Methods</w:t>
      </w:r>
    </w:p>
    <w:p w14:paraId="34659075" w14:textId="77777777" w:rsidR="00690943" w:rsidRDefault="00000000">
      <w:pPr>
        <w:spacing w:before="240" w:after="240" w:line="480" w:lineRule="auto"/>
        <w:rPr>
          <w:highlight w:val="white"/>
        </w:rPr>
      </w:pPr>
      <w:r>
        <w:rPr>
          <w:highlight w:val="white"/>
        </w:rPr>
        <w:t>A convergent mixed-methods design was employed, underpinned by Soft Systems Methodology (SSM) as the conceptual framework. The quantitative component involved secondary analysis of anonymised administrative treatment records extracted from the Welsh High-Cost Drugs System and the North Wales Rheumatology Biosimilar Pilot Dataset between October 2024 and April 2026 (Appendices 16 and 17). Descriptive statistical analysis was undertaken to evaluate prescribing patterns, geographical distribution, biosimilar utilisation, and temporal trends.</w:t>
      </w:r>
    </w:p>
    <w:p w14:paraId="3763B38B" w14:textId="77777777" w:rsidR="00690943" w:rsidRDefault="00000000">
      <w:pPr>
        <w:spacing w:before="240" w:after="240" w:line="480" w:lineRule="auto"/>
        <w:rPr>
          <w:highlight w:val="white"/>
        </w:rPr>
      </w:pPr>
      <w:r>
        <w:rPr>
          <w:highlight w:val="white"/>
        </w:rPr>
        <w:t>The qualitative component consisted of semi-structured interviews with HCD pharmacists and governance stakeholders across Wales. However, stakeholder participation was limited due to workforce vacancies, long-term sickness absence, and wider operational pressures affecting service capacity during the data collection period. A joint display matrix was used to integrate quantitative and qualitative findings.</w:t>
      </w:r>
    </w:p>
    <w:p w14:paraId="06EBA993" w14:textId="77777777" w:rsidR="00690943" w:rsidRDefault="00000000">
      <w:pPr>
        <w:spacing w:before="240" w:after="240" w:line="480" w:lineRule="auto"/>
        <w:rPr>
          <w:highlight w:val="white"/>
        </w:rPr>
      </w:pPr>
      <w:r>
        <w:rPr>
          <w:highlight w:val="white"/>
        </w:rPr>
        <w:t>Importantly, the dataset was derived primarily from a North Wales pilot undertaken within Betsi Cadwaladr University Health Board and was restricted to Rheumatoid Arthritis (RA) prescribing activity prior to wider national rollout. Consequently, the findings should be interpreted within the limitations of a geographically concentrated pilot population and are not fully representative of rheumatology services across NHS Wales.</w:t>
      </w:r>
    </w:p>
    <w:p w14:paraId="19D52A39" w14:textId="77777777" w:rsidR="00690943" w:rsidRDefault="00000000">
      <w:pPr>
        <w:pStyle w:val="Heading3"/>
        <w:spacing w:before="280" w:after="80" w:line="480" w:lineRule="auto"/>
        <w:rPr>
          <w:sz w:val="24"/>
          <w:szCs w:val="24"/>
          <w:highlight w:val="white"/>
        </w:rPr>
      </w:pPr>
      <w:bookmarkStart w:id="5" w:name="_u8espqs3w4i1" w:colFirst="0" w:colLast="0"/>
      <w:bookmarkEnd w:id="5"/>
      <w:r>
        <w:rPr>
          <w:sz w:val="24"/>
          <w:szCs w:val="24"/>
          <w:highlight w:val="white"/>
        </w:rPr>
        <w:t>Key Findings</w:t>
      </w:r>
    </w:p>
    <w:p w14:paraId="21C17A91" w14:textId="3F3BD304" w:rsidR="00690943" w:rsidRDefault="00000000">
      <w:pPr>
        <w:spacing w:before="240" w:after="240" w:line="480" w:lineRule="auto"/>
        <w:rPr>
          <w:highlight w:val="white"/>
        </w:rPr>
      </w:pPr>
      <w:r>
        <w:rPr>
          <w:highlight w:val="white"/>
        </w:rPr>
        <w:lastRenderedPageBreak/>
        <w:t xml:space="preserve">The dataset showed significant geographical targeting of prescribing with 91.8% of all treatment records from Betsi Cadwaladr University Health Board (Appendices 6 and 18). The three most active hospital sites for prescribing activity in Wales were all in North Wales and together accounted for 85.7% of prescribing (Glan Clwyd Hospital 38.1%, Llandudno General Hospital </w:t>
      </w:r>
      <w:r w:rsidR="00527ECC">
        <w:rPr>
          <w:highlight w:val="white"/>
        </w:rPr>
        <w:t>27.9%,</w:t>
      </w:r>
      <w:r>
        <w:rPr>
          <w:highlight w:val="white"/>
        </w:rPr>
        <w:t xml:space="preserve"> and Wrexham Maelor Hospital 19.7%) (Appendices 10 and 20). The uptake for biosimilar use of the TNF inhibitors was satisfactory (93.3%), with Adalimumab biosimilar (Yuflyma®) accounting for 47.6% of all prescriptions (Appendix 7) and this is aligned with the AWMSG cost-optimisation guidance. Prescriptions for JAK inhibitors (Appendices 8, 13 and 22) showed a rise, and these accounted for 21.8% of all prescriptions. A seasonal clustering of treatment starts during September - December 2025 was also identified (Appendices 11 and 21), which may reflect batch-processing or implementation effects from the pilot phase.</w:t>
      </w:r>
    </w:p>
    <w:p w14:paraId="1687C673" w14:textId="77777777" w:rsidR="00690943" w:rsidRDefault="00000000">
      <w:pPr>
        <w:spacing w:before="240" w:after="240" w:line="480" w:lineRule="auto"/>
        <w:rPr>
          <w:highlight w:val="white"/>
        </w:rPr>
      </w:pPr>
      <w:r>
        <w:rPr>
          <w:highlight w:val="white"/>
        </w:rPr>
        <w:t>Qualitative findings identified ongoing tensions associated with fragmented digital infrastructure and incomplete interoperability between the Welsh Clinical Portal (WCP) and the Welsh High-Cost Drugs System during the study period. Manual duplication of clinical information was identified as a source of administrative burden, transcription risk, and workflow inefficiency. Although partial automated pre-population functionality was introduced during April 2026, interoperability challenges remained incompletely resolved at the time of analysis.</w:t>
      </w:r>
    </w:p>
    <w:p w14:paraId="71D4DEF9" w14:textId="77777777" w:rsidR="00690943" w:rsidRDefault="00000000">
      <w:pPr>
        <w:pStyle w:val="Heading3"/>
        <w:spacing w:before="280" w:after="80" w:line="480" w:lineRule="auto"/>
        <w:rPr>
          <w:sz w:val="24"/>
          <w:szCs w:val="24"/>
          <w:highlight w:val="white"/>
        </w:rPr>
      </w:pPr>
      <w:bookmarkStart w:id="6" w:name="_dhtejckpzmx9" w:colFirst="0" w:colLast="0"/>
      <w:bookmarkEnd w:id="6"/>
      <w:r>
        <w:rPr>
          <w:sz w:val="24"/>
          <w:szCs w:val="24"/>
          <w:highlight w:val="white"/>
        </w:rPr>
        <w:t>Conclusion</w:t>
      </w:r>
    </w:p>
    <w:p w14:paraId="0E7AF550" w14:textId="77777777" w:rsidR="00690943" w:rsidRDefault="00000000">
      <w:pPr>
        <w:spacing w:before="240" w:after="240" w:line="480" w:lineRule="auto"/>
        <w:rPr>
          <w:highlight w:val="white"/>
        </w:rPr>
      </w:pPr>
      <w:r>
        <w:rPr>
          <w:highlight w:val="white"/>
        </w:rPr>
        <w:lastRenderedPageBreak/>
        <w:t>The Welsh HCD governance system demonstrated strengths in supporting policy-aligned and cost-conscious prescribing practices, particularly regarding biosimilar adoption. However, the findings also identified important operational limitations relating to geographical concentration of access, incomplete national representation, digital fragmentation, administrative burden, and inconsistent infrastructure readiness across health boards.</w:t>
      </w:r>
    </w:p>
    <w:p w14:paraId="1E21C579" w14:textId="77777777" w:rsidR="00690943" w:rsidRDefault="00000000">
      <w:pPr>
        <w:spacing w:before="240" w:after="240" w:line="480" w:lineRule="auto"/>
        <w:rPr>
          <w:highlight w:val="white"/>
        </w:rPr>
      </w:pPr>
      <w:r>
        <w:rPr>
          <w:highlight w:val="white"/>
        </w:rPr>
        <w:t>As this study was based on a North Wales RA-focused pilot undertaken prior to wider national rollout, the findings should be interpreted cautiously and cannot be generalised across all rheumatology services within Wales. Future evaluation would benefit from inclusion of multiple disease areas, broader UK-wide comparative datasets, integrated outcome monitoring, and improved digital interoperability across NHS systems.</w:t>
      </w:r>
    </w:p>
    <w:p w14:paraId="10A16A68" w14:textId="095D17F7" w:rsidR="00690943" w:rsidRDefault="00000000">
      <w:pPr>
        <w:spacing w:before="240" w:after="240" w:line="480" w:lineRule="auto"/>
        <w:rPr>
          <w:highlight w:val="white"/>
        </w:rPr>
      </w:pPr>
      <w:r>
        <w:rPr>
          <w:highlight w:val="white"/>
        </w:rPr>
        <w:t>Supporting evidence for the findings presented within this abstract is provided throughout the appendices of this dissertation. The quantitative prescribing dataset is presented within Appendix 16 (Master Dataset) and Appendix 17 (North Wales Pilot Dataset). The integrated joint display matrix is provided in Appendix 4, while supporting figures and prescribing analyses are presented in Appendices 18–</w:t>
      </w:r>
      <w:r w:rsidR="00527ECC">
        <w:rPr>
          <w:highlight w:val="white"/>
        </w:rPr>
        <w:t>22,</w:t>
      </w:r>
      <w:r>
        <w:rPr>
          <w:highlight w:val="white"/>
        </w:rPr>
        <w:t xml:space="preserve"> respectively.</w:t>
      </w:r>
    </w:p>
    <w:p w14:paraId="1B7BDB25" w14:textId="77777777" w:rsidR="00690943" w:rsidRDefault="00000000">
      <w:pPr>
        <w:rPr>
          <w:b/>
          <w:bCs/>
          <w:color w:val="1F4E79"/>
        </w:rPr>
      </w:pPr>
      <w:r>
        <w:br w:type="page"/>
      </w:r>
    </w:p>
    <w:p w14:paraId="7992D93A" w14:textId="77777777" w:rsidR="00690943" w:rsidRDefault="00690943">
      <w:pPr>
        <w:pStyle w:val="Heading1"/>
        <w:rPr>
          <w:sz w:val="24"/>
          <w:szCs w:val="24"/>
        </w:rPr>
      </w:pPr>
    </w:p>
    <w:p w14:paraId="11A48E85" w14:textId="77777777" w:rsidR="00690943" w:rsidRDefault="00690943">
      <w:pPr>
        <w:pStyle w:val="Heading1"/>
        <w:rPr>
          <w:sz w:val="24"/>
          <w:szCs w:val="24"/>
        </w:rPr>
      </w:pPr>
    </w:p>
    <w:p w14:paraId="70FC2EF3" w14:textId="77777777" w:rsidR="00690943" w:rsidRDefault="00690943"/>
    <w:p w14:paraId="15A207AE" w14:textId="77777777" w:rsidR="00690943" w:rsidRDefault="00690943"/>
    <w:p w14:paraId="040D6B2B" w14:textId="77777777" w:rsidR="00690943" w:rsidRDefault="00690943"/>
    <w:p w14:paraId="11D4F2A4" w14:textId="77777777" w:rsidR="00690943" w:rsidRDefault="00690943"/>
    <w:p w14:paraId="316D42E3" w14:textId="77777777" w:rsidR="00690943" w:rsidRDefault="00690943"/>
    <w:p w14:paraId="47ABD8FA" w14:textId="77777777" w:rsidR="00690943" w:rsidRDefault="00690943"/>
    <w:p w14:paraId="26AFD8D9" w14:textId="77777777" w:rsidR="00690943" w:rsidRDefault="00690943"/>
    <w:p w14:paraId="431EB122" w14:textId="77777777" w:rsidR="00690943" w:rsidRDefault="00690943"/>
    <w:p w14:paraId="0B7E36F4" w14:textId="77777777" w:rsidR="00690943" w:rsidRDefault="00690943"/>
    <w:p w14:paraId="040EDAB4" w14:textId="77777777" w:rsidR="00690943" w:rsidRDefault="00690943"/>
    <w:p w14:paraId="48E8D760" w14:textId="77777777" w:rsidR="00690943" w:rsidRDefault="00690943"/>
    <w:p w14:paraId="279B4941" w14:textId="77777777" w:rsidR="00690943" w:rsidRDefault="00690943"/>
    <w:p w14:paraId="0B56121E" w14:textId="77777777" w:rsidR="00690943" w:rsidRDefault="00690943"/>
    <w:p w14:paraId="0001B1AA" w14:textId="77777777" w:rsidR="00690943" w:rsidRDefault="00690943"/>
    <w:p w14:paraId="5C09730A" w14:textId="77777777" w:rsidR="00690943" w:rsidRDefault="00690943"/>
    <w:p w14:paraId="718F2DE2" w14:textId="77777777" w:rsidR="00690943" w:rsidRDefault="00690943"/>
    <w:p w14:paraId="1CE02A58" w14:textId="77777777" w:rsidR="00690943" w:rsidRDefault="00690943"/>
    <w:p w14:paraId="5EC53388" w14:textId="77777777" w:rsidR="00690943" w:rsidRDefault="00690943"/>
    <w:p w14:paraId="4E56BFC6" w14:textId="77777777" w:rsidR="00690943" w:rsidRDefault="00690943"/>
    <w:p w14:paraId="7107E0D3" w14:textId="77777777" w:rsidR="00690943" w:rsidRDefault="00690943"/>
    <w:p w14:paraId="5648ECF2" w14:textId="77777777" w:rsidR="00690943" w:rsidRDefault="00690943"/>
    <w:p w14:paraId="46B6E824" w14:textId="77777777" w:rsidR="00690943" w:rsidRDefault="00690943"/>
    <w:p w14:paraId="71F479F4" w14:textId="77777777" w:rsidR="00690943" w:rsidRDefault="00690943"/>
    <w:p w14:paraId="4AF76D6A" w14:textId="77777777" w:rsidR="00690943" w:rsidRDefault="00690943"/>
    <w:p w14:paraId="112D6B61" w14:textId="77777777" w:rsidR="00690943" w:rsidRDefault="00690943"/>
    <w:p w14:paraId="167D22FC" w14:textId="77777777" w:rsidR="00690943" w:rsidRDefault="00690943"/>
    <w:p w14:paraId="59B3E09B" w14:textId="77777777" w:rsidR="00690943" w:rsidRDefault="00690943"/>
    <w:p w14:paraId="64BC89F3" w14:textId="77777777" w:rsidR="00690943" w:rsidRDefault="00690943"/>
    <w:p w14:paraId="300521D8" w14:textId="77777777" w:rsidR="00690943" w:rsidRDefault="00690943"/>
    <w:p w14:paraId="4FF02AE4" w14:textId="77777777" w:rsidR="00690943" w:rsidRDefault="00000000">
      <w:pPr>
        <w:pStyle w:val="Heading1"/>
      </w:pPr>
      <w:bookmarkStart w:id="7" w:name="_w18ij1x5744z" w:colFirst="0" w:colLast="0"/>
      <w:bookmarkEnd w:id="7"/>
      <w:r>
        <w:t xml:space="preserve">Evaluating the Role of High-Cost Drugs Approval System in Supporting Value-Based Healthcare for </w:t>
      </w:r>
      <w:r>
        <w:rPr>
          <w:color w:val="366091"/>
        </w:rPr>
        <w:t>Rheumatology</w:t>
      </w:r>
      <w:r>
        <w:t xml:space="preserve"> in NHS Wales</w:t>
      </w:r>
    </w:p>
    <w:p w14:paraId="4BAA5B59" w14:textId="77777777" w:rsidR="00690943" w:rsidRDefault="00690943"/>
    <w:p w14:paraId="617F3C19" w14:textId="77777777" w:rsidR="00690943" w:rsidRDefault="00000000">
      <w:pPr>
        <w:pStyle w:val="Heading1"/>
        <w:rPr>
          <w:sz w:val="24"/>
          <w:szCs w:val="24"/>
        </w:rPr>
      </w:pPr>
      <w:bookmarkStart w:id="8" w:name="_kzheo5ubfvtx" w:colFirst="0" w:colLast="0"/>
      <w:bookmarkEnd w:id="8"/>
      <w:r>
        <w:rPr>
          <w:sz w:val="24"/>
          <w:szCs w:val="24"/>
        </w:rPr>
        <w:t>Chapter 1: Introduction</w:t>
      </w:r>
    </w:p>
    <w:p w14:paraId="693171F5" w14:textId="77777777" w:rsidR="00690943" w:rsidRDefault="00000000">
      <w:pPr>
        <w:pStyle w:val="Heading2"/>
        <w:rPr>
          <w:sz w:val="24"/>
          <w:szCs w:val="24"/>
        </w:rPr>
      </w:pPr>
      <w:bookmarkStart w:id="9" w:name="_m8c7otkcsseb" w:colFirst="0" w:colLast="0"/>
      <w:bookmarkEnd w:id="9"/>
      <w:r>
        <w:rPr>
          <w:sz w:val="24"/>
          <w:szCs w:val="24"/>
        </w:rPr>
        <w:t>1.1 Background</w:t>
      </w:r>
    </w:p>
    <w:p w14:paraId="28EDACE8" w14:textId="4EB7A42F" w:rsidR="00690943" w:rsidRDefault="00000000">
      <w:pPr>
        <w:spacing w:after="160" w:line="360" w:lineRule="auto"/>
        <w:jc w:val="both"/>
      </w:pPr>
      <w:r>
        <w:t xml:space="preserve">High-cost drugs (HCDs) refer to medicines that impose </w:t>
      </w:r>
      <w:r w:rsidR="00527ECC">
        <w:t>higher</w:t>
      </w:r>
      <w:r>
        <w:t xml:space="preserve"> financial burdens on health systems than standard therapies. These medicines often include biologic agents, targeted synthetic therapies, and treatments for complex or rare disease states, such as rheumatological and oncological conditions (Baines, 2018). Their elevated costs stem from complex manufacturing processes, extensive research and development expenditure, limited patient </w:t>
      </w:r>
      <w:r>
        <w:lastRenderedPageBreak/>
        <w:t>populations, and prolonged regulatory requirements. While such therapies often deliver significant clinical benefit, their financial implications need structured oversight and governance within publicly funded healthcare systems to ensure both accessibility and sustainability.</w:t>
      </w:r>
    </w:p>
    <w:p w14:paraId="410EFF25" w14:textId="77777777" w:rsidR="00690943" w:rsidRDefault="00000000">
      <w:pPr>
        <w:spacing w:line="480" w:lineRule="auto"/>
      </w:pPr>
      <w:r>
        <w:t xml:space="preserve">Wales has set up a distinctive national policy framework to govern access to high-cost medicines, designed to promote equity, transparency, and prudent resource use. The All-Wales Therapeutics and Toxicology Centre (AWTTC), which serves as the secretariat to the All-Wales Medicines Strategy Group (AWMSG), coordinates structured appraisal processes for medicines with significant budgetary impact (AWTTC, 2024). This collaborative model supports evidence-informed decision-making about the adoption and commissioning of high-cost medicines across NHS Wales. The Welsh approach is more centralised than other UK nations, reflecting a strategic attempt to minimise unwarranted variation in prescribing and ensure care continuity, particularly in specialties such as rheumatology where biologic prescribing has expanded rapidly (Raine et al., 2021). </w:t>
      </w:r>
    </w:p>
    <w:p w14:paraId="775F177D" w14:textId="77777777" w:rsidR="00690943" w:rsidRDefault="00000000">
      <w:pPr>
        <w:spacing w:after="160" w:line="360" w:lineRule="auto"/>
        <w:jc w:val="both"/>
      </w:pPr>
      <w:r>
        <w:t>This governance architecture runs on the principle of prudent healthcare, which emphasises delivering the right treatment to the right patient at the right time. For high-cost therapies, this principle requires balancing prompt access to clinically effective treatments with responsible stewardship of limited public resources. The Welsh Government has positioned HCD governance as an integrated system intended to support fair and clinically proper access, rather than merely a financial control mechanism (AWTTC, 2024). However, whether this centralised structure effectively translates into prompt, consistent, and fair access in routine practice, particularly for high-cost rheumatology therapies requiring prompt initiation and sustained monitoring, is still an empirical question requiring systematic evaluation.</w:t>
      </w:r>
    </w:p>
    <w:p w14:paraId="16150994" w14:textId="77777777" w:rsidR="00690943" w:rsidRDefault="00000000">
      <w:pPr>
        <w:spacing w:after="160" w:line="360" w:lineRule="auto"/>
        <w:jc w:val="both"/>
      </w:pPr>
      <w:r>
        <w:t xml:space="preserve">The Welsh High-Cost Drugs System provides the operational infrastructure for this governance approach. This unified digital platform records, approves, and </w:t>
      </w:r>
      <w:r>
        <w:lastRenderedPageBreak/>
        <w:t xml:space="preserve">monitors HCD prescribing across all health boards, standardising eligibility criteria in alignment with NICE and AWMSG guidance (Varnava et al., 2018). The system aims to reduce geographical variation and ensure consistency in access to biologic therapies through nationally uniform criteria. Beyond administrative control, the platform supports real-time data capture, clinical decision support, systematic tracking of treatment pathways, outcomes surveillance, and identification of practice variation. Future development of the platform is expected to include API integration with a Master Patient Index, enabling patient records to be automatically populated with geographical and demographic data and supporting interoperability with the Welsh Clinical Portal (WCP). Such interoperability would further strengthen the system’s capacity for audit, quality improvement, and evidence generation. This framework provides both the policy context and operational foundation for examining how effectively governance translates into practice. </w:t>
      </w:r>
    </w:p>
    <w:p w14:paraId="401D2D49" w14:textId="77777777" w:rsidR="00690943" w:rsidRDefault="00000000">
      <w:pPr>
        <w:pStyle w:val="Heading2"/>
        <w:rPr>
          <w:sz w:val="24"/>
          <w:szCs w:val="24"/>
        </w:rPr>
      </w:pPr>
      <w:bookmarkStart w:id="10" w:name="_wqr5il45wlyo" w:colFirst="0" w:colLast="0"/>
      <w:bookmarkEnd w:id="10"/>
      <w:r>
        <w:rPr>
          <w:sz w:val="24"/>
          <w:szCs w:val="24"/>
        </w:rPr>
        <w:t>1.2 The Challenge of High-Cost Medicines</w:t>
      </w:r>
    </w:p>
    <w:p w14:paraId="3A5F1E0A" w14:textId="251508B5" w:rsidR="00690943" w:rsidRDefault="00000000">
      <w:pPr>
        <w:spacing w:after="160" w:line="360" w:lineRule="auto"/>
        <w:jc w:val="both"/>
      </w:pPr>
      <w:r>
        <w:t xml:space="preserve">Recent decades have seen transformative advances in managing chronic inflammatory conditions. In rheumatology, biologic and targeted synthetic disease-modifying antirheumatic drugs (b/tsDMARDs) have </w:t>
      </w:r>
      <w:r w:rsidR="00527ECC">
        <w:t>improved</w:t>
      </w:r>
      <w:r>
        <w:t xml:space="preserve"> disease control, reduced disability, and enhanced quality of life for patients with conditions such as rheumatoid arthritis and psoriatic arthritis. However, these clinical gains present considerable financial implications for publicly funded healthcare systems, including NHS Wales (Rome et al., 2022).</w:t>
      </w:r>
    </w:p>
    <w:p w14:paraId="6E103B46" w14:textId="7EA0D439" w:rsidR="00690943" w:rsidRDefault="00000000">
      <w:pPr>
        <w:spacing w:after="160" w:line="360" w:lineRule="auto"/>
        <w:jc w:val="both"/>
      </w:pPr>
      <w:r>
        <w:t xml:space="preserve">Globally, the launch prices of new medicines have increased markedly. Analysis of prescription drug pricing between 2008 and 2021 proves steep escalation in median list prices, driven </w:t>
      </w:r>
      <w:r w:rsidR="00527ECC">
        <w:t>by</w:t>
      </w:r>
      <w:r>
        <w:t xml:space="preserve"> biologic and rare disease therapies, with annual increases exceedingly approximately £1,600 and median prices surpassing approximately £140,000 at prevailing exchange rates (Rome et al., 2022). It is important to note that drug pricing in the United Kingdom is subject to confidential commercial negotiations, and Wales does not have visibility of the prices paid by NHS England for medicines, as there is no open or transparent process for sharing this information across the devolved nations. These trends raise fundamental questions about healthcare system </w:t>
      </w:r>
      <w:r>
        <w:lastRenderedPageBreak/>
        <w:t>sustainability as patient numbers requiring prolonged treatment with high-cost medicines continue growing (Vallano and Pontes, 2024).</w:t>
      </w:r>
    </w:p>
    <w:p w14:paraId="7FBEDDDE" w14:textId="77F061E8" w:rsidR="00690943" w:rsidRDefault="00000000">
      <w:pPr>
        <w:spacing w:after="160" w:line="360" w:lineRule="auto"/>
        <w:jc w:val="both"/>
      </w:pPr>
      <w:r>
        <w:t xml:space="preserve">In Wales, these global pricing dynamics manifest through rising prescription volumes and increasing expenditure. Data from the Senedd/Welsh Parliament show sustained growth in both prescribing rates and net ingredient costs in recent years (Senedd/Welsh Parliament, 2023). This creates a structural tension: while high-cost therapies offer demonstrable patient value, widespread adoption exerts pressure on finite healthcare budgets. Without robust governance, such pressures risk contributing to access inequities, resource allocation inefficiencies, and erosion of system sustainability, </w:t>
      </w:r>
      <w:r w:rsidR="00527ECC">
        <w:t>undermining</w:t>
      </w:r>
      <w:r>
        <w:t xml:space="preserve"> the clinical promise of these treatments (Haines et al., 2021). This reality underscores the need for governance mechanisms capable of balancing innovation with affordability, ensuring therapeutic advances translate into fair and sustainable patient benefit.</w:t>
      </w:r>
    </w:p>
    <w:p w14:paraId="58528E26" w14:textId="77777777" w:rsidR="00690943" w:rsidRDefault="00000000">
      <w:pPr>
        <w:pStyle w:val="Heading2"/>
        <w:rPr>
          <w:sz w:val="24"/>
          <w:szCs w:val="24"/>
        </w:rPr>
      </w:pPr>
      <w:bookmarkStart w:id="11" w:name="_nkp6harg8ahj" w:colFirst="0" w:colLast="0"/>
      <w:bookmarkEnd w:id="11"/>
      <w:r>
        <w:rPr>
          <w:sz w:val="24"/>
          <w:szCs w:val="24"/>
        </w:rPr>
        <w:t>1.3 Welsh Response: A High-Cost Drugs System</w:t>
      </w:r>
    </w:p>
    <w:p w14:paraId="7224356C" w14:textId="77777777" w:rsidR="00690943" w:rsidRDefault="00000000">
      <w:pPr>
        <w:spacing w:after="160" w:line="360" w:lineRule="auto"/>
        <w:jc w:val="both"/>
      </w:pPr>
      <w:r>
        <w:t>Wales has developed an elaborate governance framework for high-cost medicines in response to these challenges. Developed by AWTTC on behalf of NHS Wales, this framework standardises authorisation and approval of high-cost treatments with mandatory documentation of eligibility criteria aligned with AWMSG and NICE guidelines (AWTTC, 2023). The system additionally functions as a national database capturing prescribing, safety, and outcomes data, enabling uniform monitoring across health boards.</w:t>
      </w:r>
    </w:p>
    <w:p w14:paraId="72226678" w14:textId="77777777" w:rsidR="00690943" w:rsidRDefault="00000000">
      <w:pPr>
        <w:spacing w:after="160" w:line="360" w:lineRule="auto"/>
        <w:jc w:val="both"/>
      </w:pPr>
      <w:r>
        <w:t xml:space="preserve">The framework aims to enhance transparency, accountability, and equity of access beyond administrative control alone. Through nationally agreed standards and centralised oversight, it seeks to guarantee patients receive right treatments regardless of geographical location or institutional affiliation (AWTTC, 2023). This approach reflects contemporary health policy recognition that high-cost medicines require governance distinct from standard therapies, integrating clinical judgment, data capture, and resource stewardship (Haines et al., 2021; Vallano and Pontes, 2024). Yet the existence of governance infrastructure does not guarantee effectiveness in practice. Whether such systems help prompt treatment initiation, minimise unwarranted variation, and </w:t>
      </w:r>
      <w:r>
        <w:lastRenderedPageBreak/>
        <w:t>support clinical workflows, particularly within high-impact specialties such as rheumatology, stays an open empirical question.</w:t>
      </w:r>
    </w:p>
    <w:p w14:paraId="2CC1FBB6" w14:textId="77777777" w:rsidR="00690943" w:rsidRDefault="00000000">
      <w:pPr>
        <w:pStyle w:val="Heading2"/>
        <w:rPr>
          <w:sz w:val="24"/>
          <w:szCs w:val="24"/>
        </w:rPr>
      </w:pPr>
      <w:bookmarkStart w:id="12" w:name="_3vcwylj3fo6f" w:colFirst="0" w:colLast="0"/>
      <w:bookmarkEnd w:id="12"/>
      <w:r>
        <w:rPr>
          <w:sz w:val="24"/>
          <w:szCs w:val="24"/>
        </w:rPr>
        <w:t>1.4 Problem Statement and Research Rationale</w:t>
      </w:r>
    </w:p>
    <w:p w14:paraId="28E2412C" w14:textId="77777777" w:rsidR="00690943" w:rsidRDefault="00000000">
      <w:pPr>
        <w:spacing w:after="160" w:line="360" w:lineRule="auto"/>
        <w:jc w:val="both"/>
      </w:pPr>
      <w:r>
        <w:t>Despite proving a national HCD governance framework, Wales lacks empirical evidence evaluating its real-world effectiveness, particularly within rheumatology where long-term disease control often depends on prompt biologic therapy access. Key practical uncertainties persist: Does the governance process help or impede clinical care? Are treatments started promptly? Do prescribing practices adhere to eligibility criteria and remain consistent across health boards? Is access fair for patients in different geographical areas? Do clinicians and pharmacists find the system usable and supportive of their workflows? These questions have received limited systematic investigation.</w:t>
      </w:r>
    </w:p>
    <w:p w14:paraId="0AEAF67A" w14:textId="77777777" w:rsidR="00690943" w:rsidRDefault="00000000">
      <w:pPr>
        <w:spacing w:after="160" w:line="360" w:lineRule="auto"/>
        <w:jc w:val="both"/>
      </w:pPr>
      <w:r>
        <w:t>Such uncertainties carry particular significance within broader debates about innovative therapy sustainability. Vallano and Pontes (2024) highlight the risk that escalating costs may compromise service provision within publicly funded health systems if governance mechanisms prioritise procedural compliance over clinical value. In rheumatology, where treatment delays can result in irreversible disease progression and disability, governance processes that inadvertently hinder access may negate clinical innovation benefits. As the Senedd/Welsh Parliament (2023) notes, ineffective management of medicines supply and access risks undermining years of patient care progress.</w:t>
      </w:r>
    </w:p>
    <w:p w14:paraId="72FE505A" w14:textId="77777777" w:rsidR="00690943" w:rsidRDefault="00000000">
      <w:pPr>
        <w:spacing w:after="160" w:line="360" w:lineRule="auto"/>
        <w:jc w:val="both"/>
      </w:pPr>
      <w:r>
        <w:t>As such, there is a clear need to evaluate whether the Welsh HCD governance system functions as intended: supporting fair, prompt, and value-based access to high-cost rheumatology therapies rather than acting as a procedural barrier. Addressing this gap is essential for informing future policy refinement and ensuring governance mechanisms deliver both clinical and system-level value.</w:t>
      </w:r>
    </w:p>
    <w:p w14:paraId="215D8914" w14:textId="77777777" w:rsidR="00690943" w:rsidRDefault="00000000">
      <w:pPr>
        <w:pStyle w:val="Heading2"/>
        <w:rPr>
          <w:sz w:val="24"/>
          <w:szCs w:val="24"/>
        </w:rPr>
      </w:pPr>
      <w:bookmarkStart w:id="13" w:name="_o6la0rt0ltt7" w:colFirst="0" w:colLast="0"/>
      <w:bookmarkEnd w:id="13"/>
      <w:r>
        <w:rPr>
          <w:sz w:val="24"/>
          <w:szCs w:val="24"/>
        </w:rPr>
        <w:t>1.5 Research Aim and Objectives</w:t>
      </w:r>
    </w:p>
    <w:p w14:paraId="1C608BD3" w14:textId="77777777" w:rsidR="00690943" w:rsidRDefault="00000000">
      <w:pPr>
        <w:spacing w:after="160" w:line="360" w:lineRule="auto"/>
        <w:jc w:val="both"/>
      </w:pPr>
      <w:r>
        <w:t>This study aims to evaluate the role of the High-Cost Drugs governance system in supporting value-based rheumatology care within NHS Wales by examining timeliness, adherence to prescribing criteria, equity of access, and stakeholder experiences.</w:t>
      </w:r>
    </w:p>
    <w:p w14:paraId="3EE0E309" w14:textId="77777777" w:rsidR="00690943" w:rsidRDefault="00000000">
      <w:pPr>
        <w:spacing w:after="160" w:line="360" w:lineRule="auto"/>
        <w:jc w:val="both"/>
      </w:pPr>
      <w:r>
        <w:lastRenderedPageBreak/>
        <w:t>The specific aims are:</w:t>
      </w:r>
    </w:p>
    <w:p w14:paraId="5472B1C0" w14:textId="77777777" w:rsidR="00690943" w:rsidRDefault="00000000">
      <w:pPr>
        <w:numPr>
          <w:ilvl w:val="0"/>
          <w:numId w:val="3"/>
        </w:numPr>
        <w:pBdr>
          <w:top w:val="nil"/>
          <w:left w:val="nil"/>
          <w:bottom w:val="nil"/>
          <w:right w:val="nil"/>
          <w:between w:val="nil"/>
        </w:pBdr>
        <w:spacing w:after="100" w:line="360" w:lineRule="auto"/>
      </w:pPr>
      <w:r>
        <w:rPr>
          <w:color w:val="000000"/>
        </w:rPr>
        <w:t>To evaluate whether the Welsh High-Cost Drugs System supports prompt and consistent access to biologic and targeted therapies for rheumatology patients.</w:t>
      </w:r>
    </w:p>
    <w:p w14:paraId="4F19F8A7" w14:textId="77777777" w:rsidR="00690943" w:rsidRDefault="00000000">
      <w:pPr>
        <w:numPr>
          <w:ilvl w:val="0"/>
          <w:numId w:val="3"/>
        </w:numPr>
        <w:pBdr>
          <w:top w:val="nil"/>
          <w:left w:val="nil"/>
          <w:bottom w:val="nil"/>
          <w:right w:val="nil"/>
          <w:between w:val="nil"/>
        </w:pBdr>
        <w:spacing w:after="100" w:line="360" w:lineRule="auto"/>
      </w:pPr>
      <w:r>
        <w:rPr>
          <w:color w:val="000000"/>
        </w:rPr>
        <w:t>To examine clinician and pharmacist experiences of the system, with particular attention to usability, workflow integration, and perceived barriers to effective use.</w:t>
      </w:r>
    </w:p>
    <w:p w14:paraId="3264F9B5" w14:textId="77777777" w:rsidR="00690943" w:rsidRDefault="00000000">
      <w:pPr>
        <w:numPr>
          <w:ilvl w:val="0"/>
          <w:numId w:val="3"/>
        </w:numPr>
        <w:pBdr>
          <w:top w:val="nil"/>
          <w:left w:val="nil"/>
          <w:bottom w:val="nil"/>
          <w:right w:val="nil"/>
          <w:between w:val="nil"/>
        </w:pBdr>
        <w:spacing w:after="100" w:line="360" w:lineRule="auto"/>
      </w:pPr>
      <w:r>
        <w:rPr>
          <w:color w:val="000000"/>
        </w:rPr>
        <w:t>To evaluate adherence by comparing documented criteria choice against NICE and AWMSG published eligibility standards for each sign.</w:t>
      </w:r>
    </w:p>
    <w:p w14:paraId="66CC62D4" w14:textId="77777777" w:rsidR="00690943" w:rsidRDefault="00000000">
      <w:pPr>
        <w:pStyle w:val="Heading2"/>
        <w:rPr>
          <w:sz w:val="24"/>
          <w:szCs w:val="24"/>
        </w:rPr>
      </w:pPr>
      <w:bookmarkStart w:id="14" w:name="_czcty72y752p" w:colFirst="0" w:colLast="0"/>
      <w:bookmarkEnd w:id="14"/>
      <w:r>
        <w:rPr>
          <w:sz w:val="24"/>
          <w:szCs w:val="24"/>
        </w:rPr>
        <w:t>1.6 Significance and Contribution of the Study</w:t>
      </w:r>
    </w:p>
    <w:p w14:paraId="49F84332" w14:textId="77777777" w:rsidR="00690943" w:rsidRDefault="00000000">
      <w:pPr>
        <w:spacing w:after="160" w:line="360" w:lineRule="auto"/>
        <w:jc w:val="both"/>
      </w:pPr>
      <w:r>
        <w:t>This study addresses a significant gap in literature concerning high-cost medicines governance within publicly funded healthcare systems. Within the Welsh context, it is the first systematic evaluation of the High-Cost Drugs System in rheumatology, integrating prescribing data with stakeholder perspectives to assess whether governance mechanisms achieve intended aims. The findings will contribute evidence on the extent to which current arrangements support equity, timeliness, and value-based care, and will provide practical insights for policymakers, health boards, and clinicians looking to optimise high-cost drug governance.</w:t>
      </w:r>
    </w:p>
    <w:p w14:paraId="5436A962" w14:textId="77777777" w:rsidR="00690943" w:rsidRDefault="00000000">
      <w:pPr>
        <w:spacing w:after="160" w:line="360" w:lineRule="auto"/>
        <w:jc w:val="both"/>
      </w:pPr>
      <w:r>
        <w:t>This study interrogates the fundamental assumption that centralised control necessarily translates into improved outcomes by critically examining the intersection between governance architecture and clinical practice. It advances methodological understanding by proving how mixed-methods approaches can illuminate the gap between policy intent and operational reality in complex healthcare systems. The research therefore offers both empirical evidence and conceptual insights relevant to health systems grappling with similar challenges of balancing innovation, equity, and sustainability in high-cost medicines governance.</w:t>
      </w:r>
    </w:p>
    <w:p w14:paraId="500CF4BC" w14:textId="77777777" w:rsidR="00690943" w:rsidRDefault="00000000">
      <w:pPr>
        <w:pStyle w:val="Heading2"/>
        <w:spacing w:line="480" w:lineRule="auto"/>
        <w:rPr>
          <w:sz w:val="24"/>
          <w:szCs w:val="24"/>
        </w:rPr>
      </w:pPr>
      <w:bookmarkStart w:id="15" w:name="_jd7ru5uey265" w:colFirst="0" w:colLast="0"/>
      <w:bookmarkEnd w:id="15"/>
      <w:r>
        <w:rPr>
          <w:sz w:val="24"/>
          <w:szCs w:val="24"/>
        </w:rPr>
        <w:t>1.7 Structure of the Thesis</w:t>
      </w:r>
    </w:p>
    <w:p w14:paraId="1C15ABDD" w14:textId="77777777" w:rsidR="00690943" w:rsidRDefault="00000000">
      <w:pPr>
        <w:spacing w:line="480" w:lineRule="auto"/>
        <w:rPr>
          <w:b/>
          <w:bCs/>
          <w:color w:val="1F4E79"/>
        </w:rPr>
      </w:pPr>
      <w:r>
        <w:lastRenderedPageBreak/>
        <w:t xml:space="preserve">This thesis provides a comprehensive examination of high-cost drug governance in Wales through the following structure: Chapter 2 presents the Literature Review, critically examining definitions and challenges associated with high-cost medicines, pricing dynamics, value-based healthcare principles, and the Welsh governance context. Chapter 3 outlines the Methods, detailing the convergent mixed-methods design combining quantitative analysis of anonymised prescribing data with qualitative interviews involving clinicians and pharmacists. The qualitative component received two stakeholder responses, while four invited posts across Wales remained unfilled. Chapter 4 presents the Results, including descriptive analyses of prescribing activity and compliance patterns, thematic findings from stakeholder interviews, and integrated mixed-methods findings. Chapter 5 discusses the findings in relation to value-based care, equity, and system sustainability, and considers implications for policy and practice. Chapter 6 concludes by summarising the key findings, offering recommendations for improving high-cost drug governance, and identifying directions for future research. The reader is directed to Appendix 1 (Project Brief) and Appendix 2 (Ethics Documentation) for the foundational governance documents underpinning this research, and to Appendix 3 for the working definition of high-cost drugs adopted throughout this dissertation. </w:t>
      </w:r>
      <w:r>
        <w:br w:type="page"/>
      </w:r>
    </w:p>
    <w:p w14:paraId="066EEF6B" w14:textId="77777777" w:rsidR="00690943" w:rsidRDefault="00000000">
      <w:pPr>
        <w:pStyle w:val="Heading1"/>
        <w:rPr>
          <w:sz w:val="24"/>
          <w:szCs w:val="24"/>
        </w:rPr>
      </w:pPr>
      <w:bookmarkStart w:id="16" w:name="_ur6z2mfj631r" w:colFirst="0" w:colLast="0"/>
      <w:bookmarkEnd w:id="16"/>
      <w:r>
        <w:rPr>
          <w:sz w:val="24"/>
          <w:szCs w:val="24"/>
        </w:rPr>
        <w:lastRenderedPageBreak/>
        <w:t>Chapter 2: Literature Review: High-Cost Medicines and Value-Based Healthcare in Rheumatology in Wales</w:t>
      </w:r>
    </w:p>
    <w:p w14:paraId="68E37CD6" w14:textId="77777777" w:rsidR="00690943" w:rsidRDefault="00000000">
      <w:pPr>
        <w:pStyle w:val="Heading2"/>
        <w:rPr>
          <w:sz w:val="24"/>
          <w:szCs w:val="24"/>
        </w:rPr>
      </w:pPr>
      <w:bookmarkStart w:id="17" w:name="_g7ha7o2fzsdn" w:colFirst="0" w:colLast="0"/>
      <w:bookmarkEnd w:id="17"/>
      <w:r>
        <w:rPr>
          <w:sz w:val="24"/>
          <w:szCs w:val="24"/>
        </w:rPr>
        <w:t>2.1 Background and Research Focus</w:t>
      </w:r>
    </w:p>
    <w:p w14:paraId="7A391AF2" w14:textId="1546BFA8" w:rsidR="00690943" w:rsidRDefault="00000000">
      <w:pPr>
        <w:spacing w:after="160" w:line="360" w:lineRule="auto"/>
        <w:jc w:val="both"/>
      </w:pPr>
      <w:r>
        <w:t xml:space="preserve">Over the past two decades, rheumatology has undergone a major therapeutic transformation driven by the development of biologic and targeted synthetic disease-modifying antirheumatic drugs (b/tsDMARDs). These therapies have </w:t>
      </w:r>
      <w:r w:rsidR="00527ECC">
        <w:t>improved</w:t>
      </w:r>
      <w:r>
        <w:t xml:space="preserve"> clinical outcomes for patients with inflammatory arthritis by reducing disease activity, slowing structural joint damage, and improving long-term quality of life (Hsieh et al., 2020; Oliveira Ascef et al., 2023). However, these clinical gains have been accompanied by significant financial and organisational pressures within publicly funded health systems. High procurement costs, requirements for prior authorisation, specialist prescribing pathways, and the need for ongoing monitoring have increased both expenditure and administrative complexity (Wouters et al., 2022).</w:t>
      </w:r>
    </w:p>
    <w:p w14:paraId="7BCBA3C1" w14:textId="77777777" w:rsidR="00690943" w:rsidRDefault="00000000">
      <w:pPr>
        <w:spacing w:after="160" w:line="360" w:lineRule="auto"/>
        <w:jc w:val="both"/>
      </w:pPr>
      <w:r>
        <w:t>Across Europe, rising expenditure on specialty medicines has intensified policy attention toward affordability, procurement efficiency, and the measurement of outcomes that justify investment (European Commission, 2021). Within the United Kingdom, and particularly in Wales, these challenges have been addressed through the adoption of Value-Based Healthcare (VBHC), a policy framework that emphasises maximising patient outcomes relative to resources while promoting equity and reducing unwarranted variation in care (Welsh Government, 2019; GOV.WALES, 2018). High-cost rheumatology medicines therefore provide a critical lens through which the effectiveness of governance systems designed to operationalise VBHC can be examined.</w:t>
      </w:r>
    </w:p>
    <w:p w14:paraId="4E562E68" w14:textId="77777777" w:rsidR="00690943" w:rsidRDefault="00000000">
      <w:pPr>
        <w:spacing w:after="160" w:line="360" w:lineRule="auto"/>
        <w:jc w:val="both"/>
      </w:pPr>
      <w:r>
        <w:t>Existing literature on high-cost medicines is extensive but often fragmented. A number of studies focus on cost-effectiveness modelling, clinical outcomes, or pharmaceutical innovation, while fewer examine how governance structures function in routine practice to ensure fair and prompt access. Moreover, research often describes policy frameworks without critically evaluating whether these frameworks achieve their intended goals in real-world settings. This creates a gap between theoretical policy design and operational performance.</w:t>
      </w:r>
    </w:p>
    <w:p w14:paraId="5B3F1908" w14:textId="4DE2C76A" w:rsidR="00690943" w:rsidRDefault="00000000">
      <w:pPr>
        <w:spacing w:after="160" w:line="360" w:lineRule="auto"/>
        <w:jc w:val="both"/>
      </w:pPr>
      <w:r>
        <w:lastRenderedPageBreak/>
        <w:t xml:space="preserve">To address this gap, the present literature review adopts a focused analytical perspective. It concentrates specifically on governance effectiveness rather than broadly examining all aspects of high-cost medicines, that is, the organisational capacity, policy, </w:t>
      </w:r>
      <w:r w:rsidR="00527ECC">
        <w:t>compliance,</w:t>
      </w:r>
      <w:r>
        <w:t xml:space="preserve"> and the operational systems to deliver fair, prompt, and financially sustainable access to high-cost rheumatology therapies.</w:t>
      </w:r>
    </w:p>
    <w:p w14:paraId="1EB02C2A" w14:textId="77777777" w:rsidR="00690943" w:rsidRDefault="00000000">
      <w:pPr>
        <w:spacing w:after="160" w:line="360" w:lineRule="auto"/>
        <w:jc w:val="both"/>
      </w:pPr>
      <w:r>
        <w:t xml:space="preserve">The study is guided by the following research question: </w:t>
      </w:r>
    </w:p>
    <w:p w14:paraId="679AFC15" w14:textId="77777777" w:rsidR="00690943" w:rsidRDefault="00000000">
      <w:pPr>
        <w:spacing w:after="160" w:line="360" w:lineRule="auto"/>
        <w:jc w:val="both"/>
        <w:rPr>
          <w:b/>
          <w:bCs/>
          <w:color w:val="366091"/>
        </w:rPr>
      </w:pPr>
      <w:r>
        <w:rPr>
          <w:b/>
          <w:bCs/>
          <w:color w:val="366091"/>
        </w:rPr>
        <w:t>How effective are governance and delivery systems in ensuring fair, prompt, and sustainable access to high-cost rheumatology medicines in NHS Wales?</w:t>
      </w:r>
    </w:p>
    <w:p w14:paraId="3FC58DA4" w14:textId="77777777" w:rsidR="00690943" w:rsidRDefault="00000000">
      <w:pPr>
        <w:spacing w:after="160" w:line="360" w:lineRule="auto"/>
        <w:jc w:val="both"/>
      </w:pPr>
      <w:r>
        <w:t>Focusing on governance effectiveness enables closer examination of approval pathways, procurement mechanisms, prescribing variation, digital infrastructure, and outcome measurement systems. These components collectively decide whether policy commitments to value-based healthcare translate into measurable improvements in patient access, system sustainability, and equity across regions.</w:t>
      </w:r>
    </w:p>
    <w:p w14:paraId="18D7A885" w14:textId="77777777" w:rsidR="00690943" w:rsidRDefault="00000000">
      <w:pPr>
        <w:pStyle w:val="Heading2"/>
        <w:rPr>
          <w:sz w:val="24"/>
          <w:szCs w:val="24"/>
        </w:rPr>
      </w:pPr>
      <w:bookmarkStart w:id="18" w:name="_8shphi9v9siy" w:colFirst="0" w:colLast="0"/>
      <w:bookmarkEnd w:id="18"/>
      <w:r>
        <w:rPr>
          <w:sz w:val="24"/>
          <w:szCs w:val="24"/>
        </w:rPr>
        <w:t>2.2 Defining High-Cost Rheumatology Medicines</w:t>
      </w:r>
    </w:p>
    <w:p w14:paraId="2468A4EC" w14:textId="77777777" w:rsidR="00690943" w:rsidRDefault="00000000">
      <w:pPr>
        <w:spacing w:after="160" w:line="360" w:lineRule="auto"/>
        <w:jc w:val="both"/>
      </w:pPr>
      <w:r>
        <w:t xml:space="preserve">The term "high-cost medicines" lacks a universally agreed definition, reflecting variation in healthcare financing models, pricing structures, and regulatory frameworks. Several systems, the designation is based primarily on procurement cost, often operationalised through expenditure thresholds that trigger enhanced oversight or centralised commissioning arrangements. However, a purely financial definition risks oversimplification. Contemporary scholarship increasingly argues that high-cost status is not defined solely by price, but by the governance intensity needed to manage clinical uncertainty, budget impact, and access control (Wouters et al., 2022; Shazad et al., 2022). Within rheumatology, high-cost medicines typically include biologic disease-modifying antirheumatic drugs (bDMARDs) such as tumour necrosis factor (TNF) inhibitors and interleukin-targeting agents, alongside targeted synthetic DMARDs (tsDMARDs) such as Janus kinase (JAK) inhibitors. These therapies differ fundamentally from conventional synthetic DMARDs in terms of </w:t>
      </w:r>
      <w:r>
        <w:lastRenderedPageBreak/>
        <w:t>manufacturing complexity, cold-chain requirements, monitoring protocols, and long-term pharmacovigilance obligations (Hsieh et al., 2020).</w:t>
      </w:r>
    </w:p>
    <w:p w14:paraId="5D8BCAD3" w14:textId="77777777" w:rsidR="00690943" w:rsidRDefault="00000000">
      <w:pPr>
        <w:spacing w:after="160" w:line="360" w:lineRule="auto"/>
        <w:jc w:val="both"/>
      </w:pPr>
      <w:r>
        <w:t>Economic analyses consistently prove that biologic and targeted therapies account for the largest proportion of direct treatment expenditure in rheumatoid arthritis and related inflammatory conditions (Hsieh et al., 2020). Yet cost accumulation alone does not fully explain their policy relevance. These medicines are often introduced with evidence derived from controlled clinical trials, leaving residual uncertainty about long-term comparative effectiveness and real-world safety. As a result, health systems typically impose managed access schemes, prior authorisation requirements, and outcome monitoring frameworks. Governance mechanisms therefore become central to defining these therapies as "high cost" in practice.</w:t>
      </w:r>
    </w:p>
    <w:p w14:paraId="56F0D95E" w14:textId="77777777" w:rsidR="00690943" w:rsidRDefault="00000000">
      <w:pPr>
        <w:spacing w:after="160" w:line="360" w:lineRule="auto"/>
        <w:jc w:val="both"/>
      </w:pPr>
      <w:r>
        <w:t>Importantly, many of these studies challenge the assumption that high procurement cost necessarily equates to poor value. When reductions in hospitalisation, disability progression, productivity loss, and long-term complications are considered, biologic therapies may show acceptable or even favourable cost-effectiveness ratios in selected populations (Boyadzieva et al., 2018). This introduces a tension between short-term budget impact and long-term system value, reinforcing the need for governance systems capable of balancing financial governance with clinical benefit.</w:t>
      </w:r>
    </w:p>
    <w:p w14:paraId="70CFC762" w14:textId="77777777" w:rsidR="00690943" w:rsidRDefault="00000000">
      <w:pPr>
        <w:spacing w:after="160" w:line="360" w:lineRule="auto"/>
        <w:jc w:val="both"/>
      </w:pPr>
      <w:r>
        <w:t>For the purposes of this study, high-cost rheumatology medicines are defined “as biologic and targeted synthetic DMARDs that require managed access, prior authorisation, centralised appraisal, and structured outcome monitoring within NHS Wales.” This definition integrates financial, clinical, and governance dimensions and aligns directly with the analytical focus of this research by situating high-cost medicines not merely as expensive products, but as therapeutics whose effective deployment relies upon the strength, coherence, and operational capacity of governance systems.</w:t>
      </w:r>
    </w:p>
    <w:p w14:paraId="6E20EB71" w14:textId="77777777" w:rsidR="00690943" w:rsidRDefault="00000000">
      <w:pPr>
        <w:pStyle w:val="Heading2"/>
        <w:rPr>
          <w:sz w:val="24"/>
          <w:szCs w:val="24"/>
        </w:rPr>
      </w:pPr>
      <w:bookmarkStart w:id="19" w:name="_gmlu8tuvinrz" w:colFirst="0" w:colLast="0"/>
      <w:bookmarkEnd w:id="19"/>
      <w:r>
        <w:rPr>
          <w:sz w:val="24"/>
          <w:szCs w:val="24"/>
        </w:rPr>
        <w:t>2.3 Evolution of Use: Uptake, Trends, and Cost Trajectories</w:t>
      </w:r>
    </w:p>
    <w:p w14:paraId="7FF53D2A" w14:textId="77777777" w:rsidR="00690943" w:rsidRDefault="00000000">
      <w:pPr>
        <w:spacing w:after="160" w:line="360" w:lineRule="auto"/>
        <w:jc w:val="both"/>
      </w:pPr>
      <w:r>
        <w:t xml:space="preserve">Over the past two decades, the introduction of b/tsDMARDs has transformed treatment pathways in rheumatology. Prior to their availability, management of rheumatoid arthritis and related inflammatory conditions relied primarily on </w:t>
      </w:r>
      <w:r>
        <w:lastRenderedPageBreak/>
        <w:t>conventional synthetic DMARDs and corticosteroids, which were effective for a select number of patients but often insufficient to prevent long-term joint damage and functional decline. The expansion of biologic therapies has enabled earlier disease control, improved remission rates, and reduced radiographic progression, fundamentally altering both clinical expectations and patterns of service utilisation (Hsieh et al., 2020; Oliveira Ascef et al., 2023).</w:t>
      </w:r>
    </w:p>
    <w:p w14:paraId="7E3882D8" w14:textId="77777777" w:rsidR="00690943" w:rsidRDefault="00000000">
      <w:pPr>
        <w:spacing w:after="160" w:line="360" w:lineRule="auto"/>
        <w:jc w:val="both"/>
      </w:pPr>
      <w:r>
        <w:t>This therapeutic shift has been accompanied by substantial growth in expenditure. Studies consistently find biologic medicines as the dominant driver of direct treatment costs in rheumatoid arthritis, reflecting both high acquisition prices and increasing utilisation as eligibility criteria broaden and earlier intervention becomes more common (Hsieh et al., 2020). Longitudinal analyses across publicly funded health systems prove that spending on specialty medicines has grown at a faster rate than overall pharmaceutical expenditure, intensifying policy attention on affordability and sustainability (European Commission, 2021; Wouters et al., 2022).</w:t>
      </w:r>
    </w:p>
    <w:p w14:paraId="59008BC8" w14:textId="77777777" w:rsidR="00690943" w:rsidRDefault="00000000">
      <w:pPr>
        <w:spacing w:after="160" w:line="360" w:lineRule="auto"/>
        <w:jc w:val="both"/>
      </w:pPr>
      <w:r>
        <w:t>One of the most significant developments affecting cost trends has been the introduction of biosimilar medicines. Biosimilars are highly similar versions of originator biologic drugs that show equivalent clinical efficacy and safety through rigorous comparative evaluation. Systematic reviews and meta-analyses confirm that biosimilars achieve therapeutic outcomes comparable to reference biologics in rheumatoid arthritis and related conditions (Oliveira Ascef et al., 2023). Their lower procurement cost has created opportunities for large savings, particularly where procurement systems encourage competitive tendering and switching strategies.</w:t>
      </w:r>
    </w:p>
    <w:p w14:paraId="04FF667B" w14:textId="77777777" w:rsidR="00690943" w:rsidRDefault="00000000">
      <w:pPr>
        <w:spacing w:after="160" w:line="360" w:lineRule="auto"/>
        <w:jc w:val="both"/>
      </w:pPr>
      <w:r>
        <w:t xml:space="preserve">However, the pace of biosimilar uptake varies widely across health systems and regions. Evidence suggests that adoption is influenced not only by pricing but also by clinician confidence, patient beliefs, regulatory guidance, and procurement policies (Dranitsaris et al., 2017; Horta-Baas, 2022). Governance structures therefore play a decisive role in deciding whether the potential economic benefits of biosimilars are realised in practice. In Wales, expenditure on high-cost medicines has continued to increase despite efforts to promote cost containment and value-based procurement (Perez et al., 2023), though </w:t>
      </w:r>
      <w:r>
        <w:lastRenderedPageBreak/>
        <w:t>policy initiatives aimed at embedding value-based healthcare and encouraging biosimilar adoption have begun to moderate the rate of expenditure growth (NHS Wales Value in Health Centre, 2022; GIG Cymru NHS Wales, 2023).</w:t>
      </w:r>
    </w:p>
    <w:p w14:paraId="550B2299" w14:textId="77777777" w:rsidR="00690943" w:rsidRDefault="00000000">
      <w:pPr>
        <w:pStyle w:val="Heading2"/>
        <w:rPr>
          <w:sz w:val="24"/>
          <w:szCs w:val="24"/>
        </w:rPr>
      </w:pPr>
      <w:bookmarkStart w:id="20" w:name="_u6dc0gign6lq" w:colFirst="0" w:colLast="0"/>
      <w:bookmarkEnd w:id="20"/>
      <w:r>
        <w:rPr>
          <w:sz w:val="24"/>
          <w:szCs w:val="24"/>
        </w:rPr>
        <w:t>2.4 Conceptualising Value in High-Cost Medicines</w:t>
      </w:r>
    </w:p>
    <w:p w14:paraId="273B1DFA" w14:textId="77777777" w:rsidR="00690943" w:rsidRDefault="00000000">
      <w:pPr>
        <w:spacing w:after="160" w:line="360" w:lineRule="auto"/>
        <w:jc w:val="both"/>
      </w:pPr>
      <w:r>
        <w:t>Value in healthcare is a complex and multifaceted concept, encompassing clinical effectiveness, patient-reported outcomes, safety, cost, and equity (Porter and Lee, 2021; Fernandez-Salido et al., 2024). In the context of high-cost medicines, value cannot be assessed solely through procurement cost. Instead, it must reflect the capacity of a therapy to improve meaningful health outcomes compared to resources consumed, while considering broader system-level effects such as equity, sustainability, and organisational feasibility (Danzon et al., 2015; Smith and Fendrick, 2022). This conceptual framing underpins the adoption of Value-Based Healthcare (VBHC) approaches in publicly funded systems, including NHS Wales.</w:t>
      </w:r>
    </w:p>
    <w:p w14:paraId="21F9C3DB" w14:textId="77777777" w:rsidR="00690943" w:rsidRDefault="00000000">
      <w:pPr>
        <w:spacing w:after="160" w:line="360" w:lineRule="auto"/>
        <w:jc w:val="both"/>
      </w:pPr>
      <w:r>
        <w:t>At the individual patient level, value is often expressed through clinical endpoints, quality of life measures, and functional improvements. Biologic DMARDs have proved large efficacy in reducing disease activity, slowing structural joint damage, and improving long-term functional status (Hsieh et al., 2020; Oliveira Ascef et al., 2023). However, conventional clinical trial endpoints may not fully capture outcomes relevant to patients in real-world settings, highlighting the importance of patient-reported outcome measures (PROMs) and real-world evidence in evaluating therapeutic value (Bianchim et al., 2023; Horta-Baas, 2022).</w:t>
      </w:r>
    </w:p>
    <w:p w14:paraId="05DB7FB4" w14:textId="77777777" w:rsidR="00690943" w:rsidRDefault="00000000">
      <w:pPr>
        <w:spacing w:after="160" w:line="360" w:lineRule="auto"/>
        <w:jc w:val="both"/>
      </w:pPr>
      <w:r>
        <w:t>System-level value extends beyond individual outcomes to include cost-effectiveness, budget impact, and equity. Economic evaluations consistently show that biologic therapies account for most of the direct treatment expenditure in inflammatory arthritis, raising questions about affordability and opportunity costs (Hsieh et al., 2020; Joensuu et al., 2015). Nevertheless, when reductions in hospitalisations, long-term disability, and productivity loss are considered, biologics may show favourable cost-effectiveness ratios, especially when introduces through carefully managed access frameworks (Boyadzieva et al., 2018; Wouters et al., 2022).</w:t>
      </w:r>
    </w:p>
    <w:p w14:paraId="50BED962" w14:textId="77777777" w:rsidR="00690943" w:rsidRDefault="00000000">
      <w:pPr>
        <w:spacing w:after="160" w:line="360" w:lineRule="auto"/>
        <w:jc w:val="both"/>
      </w:pPr>
      <w:r>
        <w:lastRenderedPageBreak/>
        <w:t>Equity is a further essential dimension of value. High-cost medicines often require specialist monitoring, prior authorisation, and complex care pathways, which can worsen regional or socioeconomic disparities if not effectively managed (Champion, 2021; Kadel, 2022). Governance mechanisms that standardise eligibility, ensure transparent appraisal, and integrate outcome measurement are therefore central to realising value across populations (AWMSG, 2022; Lewis, 2022). In Wales, the AWMSG has embedded these principles in appraisal and managed access processes, aligning clinical effectiveness, economic considerations, and fair access (Haines et al., 2021; Varnava et al., 2018).</w:t>
      </w:r>
    </w:p>
    <w:p w14:paraId="44A658E5" w14:textId="77777777" w:rsidR="00690943" w:rsidRDefault="00000000">
      <w:pPr>
        <w:pStyle w:val="Heading2"/>
        <w:rPr>
          <w:sz w:val="24"/>
          <w:szCs w:val="24"/>
        </w:rPr>
      </w:pPr>
      <w:bookmarkStart w:id="21" w:name="_5003p2b1pyfo" w:colFirst="0" w:colLast="0"/>
      <w:bookmarkEnd w:id="21"/>
      <w:r>
        <w:rPr>
          <w:sz w:val="24"/>
          <w:szCs w:val="24"/>
        </w:rPr>
        <w:t>2.5 Governance of High-Cost Medicines in Wales</w:t>
      </w:r>
    </w:p>
    <w:p w14:paraId="3CAD304B" w14:textId="77777777" w:rsidR="00690943" w:rsidRDefault="00000000">
      <w:pPr>
        <w:spacing w:after="160" w:line="360" w:lineRule="auto"/>
        <w:jc w:val="both"/>
      </w:pPr>
      <w:r>
        <w:t>Governance of high-cost medicines in Wales runs within a complex, multi-layered system designed to balance patient access, clinical effectiveness, and financial sustainability. The structure integrates national guidance, regional oversight, and local implementation, reflecting both the principles of Value-Based Healthcare and the practical demands of managing specialty therapies in a publicly funded system (Welsh Government, 2019; AWMSG, 2022).</w:t>
      </w:r>
    </w:p>
    <w:p w14:paraId="5B2284B0" w14:textId="77777777" w:rsidR="00690943" w:rsidRDefault="00000000">
      <w:pPr>
        <w:spacing w:after="160" w:line="360" w:lineRule="auto"/>
        <w:jc w:val="both"/>
      </w:pPr>
      <w:r>
        <w:t>At the national level, the All-Wales Medicines Strategy Group (AWMSG) functions as a central appraisal and advisory body. AWMSG evaluates clinical and cost-effectiveness evidence for high-cost medicines, issues recommendations for use within NHS Wales, and provides frameworks for managed access schemes where clinical uncertainty exists (Haines et al., 2021; Varnava et al., 2018). Recommendations are informed by rigorous assessment of both trial data and real-world evidence, incorporating patient-reported outcome measures where available (Bianchim et al., 2023).</w:t>
      </w:r>
    </w:p>
    <w:p w14:paraId="56492CCD" w14:textId="77777777" w:rsidR="00690943" w:rsidRDefault="00000000">
      <w:pPr>
        <w:spacing w:after="160" w:line="360" w:lineRule="auto"/>
        <w:jc w:val="both"/>
      </w:pPr>
      <w:r>
        <w:t>Complementing AWMSG, the NHS Wales Joint Formulary Committee and regional health boards operationalise national guidance, overseeing procurement, budget allocation, and local formulary adoption (NHS Wales, 2024). Centralised procurement frameworks, guided by value-based principles, are used to negotiate pricing, particularly for biosimilars, enabling savings while supporting clinical equivalence (Tak and Methuku, 2023; GIG Cymru NHS Wales, 2023).</w:t>
      </w:r>
    </w:p>
    <w:p w14:paraId="50489EA5" w14:textId="77777777" w:rsidR="00690943" w:rsidRDefault="00000000">
      <w:pPr>
        <w:spacing w:after="160" w:line="360" w:lineRule="auto"/>
        <w:jc w:val="both"/>
      </w:pPr>
      <w:r>
        <w:lastRenderedPageBreak/>
        <w:t>Managed access schemes and prior authorisation pathways are key operational mechanisms in the Welsh governance model. Eligibility criteria, monitoring protocols, and outcome reporting are standardised across Wales, minimising regional variation and promoting equity. These mechanisms exemplify how governance structures actively operationalise VBHC by linking resource allocation to measurable patient outcomes (Lewis, 2022; AWMSG, 2022).</w:t>
      </w:r>
    </w:p>
    <w:p w14:paraId="0CFB088B" w14:textId="77777777" w:rsidR="00690943" w:rsidRDefault="00000000">
      <w:pPr>
        <w:spacing w:after="160" w:line="360" w:lineRule="auto"/>
        <w:jc w:val="both"/>
      </w:pPr>
      <w:r>
        <w:t>Equity considerations are further reinforced through national frameworks, such as Prudent Healthcare and the Welsh Government Valuing Our Health strategy, which emphasise fairness, transparency, and the minimisation of unwarranted variation in care (Welsh Government, 2014; Welsh Government, 2019). Monitoring and evaluation form another critical layer: NHS Wales routinely collects utilisation, expenditure, and outcome data for high-cost therapies, providing feedback loops that inform policy refinement, budget forecasting, and formulary adjustments (NHS Wales Value in Health Centre, 2022; Lewis, 2022).</w:t>
      </w:r>
    </w:p>
    <w:p w14:paraId="158385DB" w14:textId="77777777" w:rsidR="00690943" w:rsidRDefault="00000000">
      <w:pPr>
        <w:pStyle w:val="Heading2"/>
        <w:rPr>
          <w:sz w:val="24"/>
          <w:szCs w:val="24"/>
        </w:rPr>
      </w:pPr>
      <w:bookmarkStart w:id="22" w:name="_7gbatjvsjd6d" w:colFirst="0" w:colLast="0"/>
      <w:bookmarkEnd w:id="22"/>
      <w:r>
        <w:rPr>
          <w:sz w:val="24"/>
          <w:szCs w:val="24"/>
        </w:rPr>
        <w:t>2.6 Operationalising Value-Based Healthcare: Procurement and Budget Impact</w:t>
      </w:r>
    </w:p>
    <w:p w14:paraId="71B2CF5D" w14:textId="77777777" w:rsidR="00690943" w:rsidRDefault="00000000">
      <w:pPr>
        <w:spacing w:after="160" w:line="360" w:lineRule="auto"/>
        <w:jc w:val="both"/>
      </w:pPr>
      <w:r>
        <w:t>Operationalising Value-Based Healthcare in NHS Wales requires translating high-level governance principles into practical mechanisms that link therapeutic access, clinical outcomes, and resource allocation. NHS Wales employs centralised, value-based procurement strategies to negotiate procurement costs, particularly for biosimilars, where competitive tendering is workable (GIG Cymru NHS Wales, 2023; Tak and Methuku, 2023). Such mechanisms exploit national volume to secure lower unit prices while supporting therapeutic equivalence, allowing savings to be reinvested in expanding patient access or supporting monitoring infrastructure.</w:t>
      </w:r>
    </w:p>
    <w:p w14:paraId="73CA1473" w14:textId="77777777" w:rsidR="00690943" w:rsidRDefault="00000000">
      <w:pPr>
        <w:spacing w:after="160" w:line="360" w:lineRule="auto"/>
        <w:jc w:val="both"/>
      </w:pPr>
      <w:r>
        <w:t xml:space="preserve">Managed access schemes and prior authorisation pathways further operationalise VBHC by aligning budget allocation with clinical benefit. Eligibility criteria for biologic DMARDs include disease activity thresholds, prior therapy history, and risk assessment, ensuring that limited resources are deployed efficiently (Haines et al., 2021; Varnava et al., 2018). These protocols also enable structured monitoring, feeding real-world data into formulary and </w:t>
      </w:r>
      <w:r>
        <w:lastRenderedPageBreak/>
        <w:t>policy review processes, creating a feedback loop between service delivery, evidence generation, and governance.</w:t>
      </w:r>
    </w:p>
    <w:p w14:paraId="2A7F6EBF" w14:textId="77777777" w:rsidR="00690943" w:rsidRDefault="00000000">
      <w:pPr>
        <w:spacing w:after="160" w:line="360" w:lineRule="auto"/>
        <w:jc w:val="both"/>
      </w:pPr>
      <w:r>
        <w:t>Outcome measurement systems are integral to operationalisation. NHS Wales embeds structured reporting of patient-reported outcomes and disease activity indices within routine clinical practice, linking therapeutic investment to observable health gains (Bianchim et al., 2023; Studenic et al., 2025). Operational challenges persist, including variability in regional adoption of biosimilars, infrastructure constraints for outcome monitoring, and administrative burdens associated with prior authorisation (Dranitsaris et al., 2017; Horta-Baas, 2022). Addressing these constraints requires coordinated strategies across health boards, investment in digital infrastructure, and clinician engagement to embed adherence to evidence-based pathways (Lewis, 2024; O'Donnell et al., 2023).</w:t>
      </w:r>
    </w:p>
    <w:p w14:paraId="75C86FAC" w14:textId="77777777" w:rsidR="00690943" w:rsidRDefault="00000000">
      <w:pPr>
        <w:pStyle w:val="Heading2"/>
        <w:rPr>
          <w:sz w:val="24"/>
          <w:szCs w:val="24"/>
        </w:rPr>
      </w:pPr>
      <w:bookmarkStart w:id="23" w:name="_2fky6m6ma8cz" w:colFirst="0" w:colLast="0"/>
      <w:bookmarkEnd w:id="23"/>
      <w:r>
        <w:rPr>
          <w:sz w:val="24"/>
          <w:szCs w:val="24"/>
        </w:rPr>
        <w:t>2.7 Critical Synthesis: Strengths, Tensions, and Systemic Constraints</w:t>
      </w:r>
    </w:p>
    <w:p w14:paraId="257114F8" w14:textId="77777777" w:rsidR="00690943" w:rsidRDefault="00000000">
      <w:pPr>
        <w:spacing w:after="160" w:line="360" w:lineRule="auto"/>
        <w:jc w:val="both"/>
      </w:pPr>
      <w:r>
        <w:t>The governance and operationalisation of high-cost rheumatology medicines in NHS Wales show various key strengths. Centralised frameworks, including the AWMSG appraisal process and value-based procurement mechanisms, promote consistency, transparency, and equity across regional health boards (Haines et al., 2021; GIG Cymru NHS Wales, 2023). Managed access schemes, prior authorisation pathways, and outcome monitoring ensure that therapeutic investments target patients most likely to achieve clinically meaningful benefits, aligning resource allocation with the principles of VBHC (Champion, 2021; AWMSG, 2022).</w:t>
      </w:r>
    </w:p>
    <w:p w14:paraId="7E3E2EC1" w14:textId="77777777" w:rsidR="00690943" w:rsidRDefault="00000000">
      <w:pPr>
        <w:spacing w:after="160" w:line="360" w:lineRule="auto"/>
        <w:jc w:val="both"/>
      </w:pPr>
      <w:r>
        <w:t>Despite these strengths, tensions are still. The high acquisition cost of biologics and tsDMARDs continues to strain budgets, particularly as eligibility criteria expand and treatment durations lengthen (Hsieh et al., 2020; Perez et al., 2023). Regional variability in biosimilar uptake, clinician adherence to guidelines, and the capacity to collect and act on real-world outcome data also introduce inequities that may undermine the universality of access (Dranitsaris et al., 2017; Horta-Baas, 2022; Studenic et al., 2025).</w:t>
      </w:r>
    </w:p>
    <w:p w14:paraId="329498F3" w14:textId="77777777" w:rsidR="00690943" w:rsidRDefault="00000000">
      <w:pPr>
        <w:spacing w:after="160" w:line="360" w:lineRule="auto"/>
        <w:jc w:val="both"/>
      </w:pPr>
      <w:r>
        <w:t xml:space="preserve">System wide challenges further complicate operationalisation. Resource limitations, administrative burdens associated with prior authorisation, and </w:t>
      </w:r>
      <w:r>
        <w:lastRenderedPageBreak/>
        <w:t>fragmented digital infrastructure can affect prompt access and data-driven decision-making (Lewis, 2022; O'Donnell et al., 2023). Additionally, the rapid pace of pharmaceutical innovation introduces uncertainty, as evidence from clinical trials may not fully capture long-term effectiveness or safety, causing ongoing monitoring and iterative policy adjustments (Varnava et al., 2018; Wouters et al., 2022).</w:t>
      </w:r>
    </w:p>
    <w:p w14:paraId="09BC7F6B" w14:textId="77777777" w:rsidR="00690943" w:rsidRDefault="00000000">
      <w:pPr>
        <w:pStyle w:val="Heading2"/>
        <w:rPr>
          <w:sz w:val="24"/>
          <w:szCs w:val="24"/>
        </w:rPr>
      </w:pPr>
      <w:bookmarkStart w:id="24" w:name="_d0ttnmku4ff2" w:colFirst="0" w:colLast="0"/>
      <w:bookmarkEnd w:id="24"/>
      <w:r>
        <w:rPr>
          <w:sz w:val="24"/>
          <w:szCs w:val="24"/>
        </w:rPr>
        <w:t>2.8 Evidence Gaps and Implications for the Study</w:t>
      </w:r>
    </w:p>
    <w:p w14:paraId="1F70D6E2" w14:textId="0BE79368" w:rsidR="00690943" w:rsidRDefault="00000000">
      <w:pPr>
        <w:spacing w:after="160" w:line="360" w:lineRule="auto"/>
        <w:jc w:val="both"/>
      </w:pPr>
      <w:r>
        <w:t xml:space="preserve">While the literature offers extensive insight into high-cost rheumatology medicines, many critical evidence gaps persist. Most studies emphasise cost-effectiveness modelling, clinical trial data, and policy description, but </w:t>
      </w:r>
      <w:r w:rsidR="00527ECC">
        <w:t>few</w:t>
      </w:r>
      <w:r>
        <w:t xml:space="preserve"> examine how institutional, regulatory, and operational systems function in day-to-day practice (Wouters et al., 2022; Haines et al., 2021). The real-world effectiveness of prior authorisation, managed access schemes, and value-based procurement is still insufficiently studied and neglected, leaving uncertainty about the extent to which these mechanisms achieve their intended goals across NHS Wales (Champion, 2021; AWMSG, 2022).</w:t>
      </w:r>
    </w:p>
    <w:p w14:paraId="46F0599E" w14:textId="77777777" w:rsidR="00690943" w:rsidRDefault="00000000">
      <w:pPr>
        <w:spacing w:after="160" w:line="360" w:lineRule="auto"/>
        <w:jc w:val="both"/>
      </w:pPr>
      <w:r>
        <w:t>Another significant gap concerns outcome measurement and monitoring. Although patient-reported outcome measures and registry data are increasingly employed to inform decision-making, evidence shows inconsistent collection, reporting, and utilisation of this data (Bianchim et al., 2023; Studenic et al., 2025). Regional and organisational variability also is a significant gap. Differences in prescribing behaviour, biosimilar adoption, and guideline adherence may produce inequities in access, yet research rarely quantifies these variations or examines their determinants (Dranitsaris et al., 2017; Horta-Baas, 2022). Okoli et al. (2025) add that adoption is influenced by regulatory differences, clinician beliefs, patient concerns, and the effectiveness of drug safety monitoring and educational initiatives, which collectively shape real-world prescribing patterns.</w:t>
      </w:r>
    </w:p>
    <w:p w14:paraId="0DAAE11C" w14:textId="77777777" w:rsidR="00690943" w:rsidRDefault="00000000">
      <w:pPr>
        <w:spacing w:after="160" w:line="360" w:lineRule="auto"/>
        <w:jc w:val="both"/>
      </w:pPr>
      <w:r>
        <w:t xml:space="preserve">These gaps have direct methodological implications for the present study. First, a focus on governance effectiveness allows empirical assessment of approval pathways, procurement processes, and outcome monitoring within NHS Wales. Second, integrating qualitative and quantitative data can illuminate operational </w:t>
      </w:r>
      <w:r>
        <w:lastRenderedPageBreak/>
        <w:t>constraints, clinician behaviours, and patient experiences, bridging the gap between policy design and real-world practice (Porter and Lee, 2021; Taylor et al., 2024). Third, attention to regional variability and data infrastructure ensures that system-level factors affecting fair access are explicitly considered, supporting a more detailed evaluation of Value-Based Healthcare implementation.</w:t>
      </w:r>
    </w:p>
    <w:p w14:paraId="6F8AB96C" w14:textId="77777777" w:rsidR="00690943" w:rsidRDefault="00000000">
      <w:r>
        <w:br w:type="page"/>
      </w:r>
    </w:p>
    <w:p w14:paraId="37F864AA" w14:textId="77777777" w:rsidR="00690943" w:rsidRDefault="00690943">
      <w:pPr>
        <w:spacing w:after="160" w:line="360" w:lineRule="auto"/>
        <w:jc w:val="both"/>
      </w:pPr>
    </w:p>
    <w:p w14:paraId="4F3A8E1F" w14:textId="77777777" w:rsidR="00690943" w:rsidRDefault="00000000">
      <w:pPr>
        <w:pStyle w:val="Heading1"/>
        <w:rPr>
          <w:sz w:val="24"/>
          <w:szCs w:val="24"/>
        </w:rPr>
      </w:pPr>
      <w:bookmarkStart w:id="25" w:name="_bunzgesvbm89" w:colFirst="0" w:colLast="0"/>
      <w:bookmarkEnd w:id="25"/>
      <w:r>
        <w:rPr>
          <w:sz w:val="24"/>
          <w:szCs w:val="24"/>
        </w:rPr>
        <w:t>Chapter 3: Research Methods and Justification</w:t>
      </w:r>
    </w:p>
    <w:p w14:paraId="146B163A" w14:textId="77777777" w:rsidR="00690943" w:rsidRDefault="00000000">
      <w:pPr>
        <w:pStyle w:val="Heading2"/>
        <w:rPr>
          <w:sz w:val="24"/>
          <w:szCs w:val="24"/>
        </w:rPr>
      </w:pPr>
      <w:bookmarkStart w:id="26" w:name="_bwhnothy4jnm" w:colFirst="0" w:colLast="0"/>
      <w:bookmarkEnd w:id="26"/>
      <w:r>
        <w:rPr>
          <w:sz w:val="24"/>
          <w:szCs w:val="24"/>
        </w:rPr>
        <w:t>3.1 Research Design</w:t>
      </w:r>
    </w:p>
    <w:p w14:paraId="6B40762D" w14:textId="77777777" w:rsidR="00690943" w:rsidRDefault="00000000">
      <w:pPr>
        <w:spacing w:after="160" w:line="480" w:lineRule="auto"/>
        <w:jc w:val="both"/>
      </w:pPr>
      <w:r>
        <w:t xml:space="preserve">The proposed study adopts a convergent mixed-methods design to investigate the role of the High-Cost Drugs (HCDs) system in supporting value-based healthcare (VBHC) in Rheumatology services across NHS Wales. This design combines quantitative analysis of anonymised organisational datasets with qualitative exploration of clinician and pharmacist experiences, providing a comprehensive evaluation of timeliness, adherence, and equity in prescribing biologic and targeted synthetic disease-modifying antirheumatic drugs (b/tsDMARDs) (Carnago et al., 2023). Six stakeholders across NHS Wales were invited to participate in the qualitative component, of whom two responded and completed participation. According to Dawadi et al. (2021), integrating quantitative and qualitative data simultaneously improves the accuracy and depth of research findings, allowing for triangulation and validation of results. The approach ensures both objective system performance metrics and experiential insights are considered. </w:t>
      </w:r>
    </w:p>
    <w:p w14:paraId="230284A6" w14:textId="77777777" w:rsidR="00690943" w:rsidRDefault="00000000">
      <w:pPr>
        <w:spacing w:after="160" w:line="480" w:lineRule="auto"/>
        <w:jc w:val="both"/>
      </w:pPr>
      <w:r>
        <w:t xml:space="preserve">The study is underpinned by Soft Systems Methodology (SSM) as the conceptual lens through which the HCD governance system is understood. SSM provides a structured approach for examining complex socio-technical problems where human activity systems, stakeholder worldviews, and digital infrastructure interact (Checkland, 1981). In this context, the HCD system is not merely a technical platform, but a socio-technical environment shaped by competing priorities: prescribers seeking clinical efficiency, governance bodies enforcing governance and digital infrastructure teams managing resource </w:t>
      </w:r>
      <w:r>
        <w:lastRenderedPageBreak/>
        <w:t>constraints. SSM enables explicit recognition of these tensions and provides a framework for interpreting how digital fragmentation, specifically the lack of interoperability between the Welsh Clinical Portal (WCP) and the Welsh High-Cost Drugs System, mediates governance effectiveness and clinical outcomes.</w:t>
      </w:r>
    </w:p>
    <w:p w14:paraId="32A7A827" w14:textId="77777777" w:rsidR="00690943" w:rsidRDefault="00000000">
      <w:pPr>
        <w:pStyle w:val="Heading2"/>
        <w:rPr>
          <w:sz w:val="24"/>
          <w:szCs w:val="24"/>
        </w:rPr>
      </w:pPr>
      <w:bookmarkStart w:id="27" w:name="_i70ngqidm9b1" w:colFirst="0" w:colLast="0"/>
      <w:bookmarkEnd w:id="27"/>
      <w:r>
        <w:rPr>
          <w:sz w:val="24"/>
          <w:szCs w:val="24"/>
        </w:rPr>
        <w:t>3.2 Research Strategy</w:t>
      </w:r>
    </w:p>
    <w:p w14:paraId="64EA9D75" w14:textId="77777777" w:rsidR="00690943" w:rsidRDefault="00000000">
      <w:pPr>
        <w:spacing w:after="160" w:line="360" w:lineRule="auto"/>
        <w:jc w:val="both"/>
      </w:pPr>
      <w:r>
        <w:t>Evidence was assembled based on an extensive search using major bibliographic databases, including PubMed and Google Scholar. This search was conducted in November 2025 involving articles published between 2014 and 2025. The search terms included combinations of "rheumatoid arthritis", "psoriatic arthritis", "ankylosing spondylitis" AND "biologic", "bDMARD", "tsDMARD", "JAK inhibitor", "biosimilar" AND "cost-effectiveness", "value-based care", "access", and "equity".</w:t>
      </w:r>
    </w:p>
    <w:p w14:paraId="17A781AD" w14:textId="166FB710" w:rsidR="00690943" w:rsidRDefault="00000000">
      <w:pPr>
        <w:spacing w:after="160" w:line="360" w:lineRule="auto"/>
        <w:jc w:val="both"/>
      </w:pPr>
      <w:r>
        <w:t xml:space="preserve">Inclusion criteria included original research articles, systematic reviews, meta-analyses, economic analyses, and policy or governmental reports relating to high-cost rheumatologic therapies in publicly funded healthcare systems. Exclusion criteria included articles not written in English, case series without economic or policy relevance, non-rheumatologic treatments, and articles focused strictly on basic immunology without clinical or economic endpoints. A PRISMA-style flow diagram was employed to manage the study selection process, yielding </w:t>
      </w:r>
      <w:r w:rsidR="00527ECC">
        <w:t>seventy-eight</w:t>
      </w:r>
      <w:r>
        <w:t xml:space="preserve"> eligible studies from an initial pool of 1,230 records (Appendix 15). </w:t>
      </w:r>
    </w:p>
    <w:p w14:paraId="10267A1B" w14:textId="77777777" w:rsidR="00690943" w:rsidRDefault="00000000">
      <w:pPr>
        <w:pStyle w:val="Heading2"/>
        <w:rPr>
          <w:sz w:val="24"/>
          <w:szCs w:val="24"/>
        </w:rPr>
      </w:pPr>
      <w:bookmarkStart w:id="28" w:name="_pbflf8ke35av" w:colFirst="0" w:colLast="0"/>
      <w:bookmarkEnd w:id="28"/>
      <w:r>
        <w:rPr>
          <w:sz w:val="24"/>
          <w:szCs w:val="24"/>
        </w:rPr>
        <w:t>3.3 Soft Systems Methodology (SSM) Application</w:t>
      </w:r>
    </w:p>
    <w:p w14:paraId="2F271063" w14:textId="77777777" w:rsidR="00690943" w:rsidRDefault="00000000">
      <w:pPr>
        <w:pStyle w:val="Heading3"/>
        <w:rPr>
          <w:sz w:val="24"/>
          <w:szCs w:val="24"/>
        </w:rPr>
      </w:pPr>
      <w:bookmarkStart w:id="29" w:name="_pi7rvdk8mwrv" w:colFirst="0" w:colLast="0"/>
      <w:bookmarkEnd w:id="29"/>
      <w:r>
        <w:rPr>
          <w:sz w:val="24"/>
          <w:szCs w:val="24"/>
        </w:rPr>
        <w:t>3.2.1 SSM as Analytical Framework</w:t>
      </w:r>
    </w:p>
    <w:p w14:paraId="08AC70BF" w14:textId="77777777" w:rsidR="00690943" w:rsidRDefault="00000000">
      <w:pPr>
        <w:spacing w:after="160" w:line="360" w:lineRule="auto"/>
        <w:jc w:val="both"/>
      </w:pPr>
      <w:r>
        <w:t xml:space="preserve">SSM was employed as an interpretive analytical framework to structure the problem situation and conceptualise the High-Cost Drugs (HCD) governance system as a human activity system rather than a purely technical solution. The method followed four operational phases adapted from Checkland’s learning cycle: problem situation exploration, expression of the problem situation, development of conceptual models, and comparison with perceived real-world practices. </w:t>
      </w:r>
    </w:p>
    <w:p w14:paraId="5A6E0D80" w14:textId="77777777" w:rsidR="00690943" w:rsidRDefault="00000000">
      <w:pPr>
        <w:spacing w:after="160" w:line="360" w:lineRule="auto"/>
        <w:jc w:val="both"/>
      </w:pPr>
      <w:r>
        <w:rPr>
          <w:b/>
          <w:bCs/>
        </w:rPr>
        <w:lastRenderedPageBreak/>
        <w:t xml:space="preserve">Phase 1: Problem Situation Exploration. </w:t>
      </w:r>
      <w:r>
        <w:t xml:space="preserve">The initial phase involved exploring the HCD governance context through literature review and preliminary system mapping. This indicated a complex workflow in which HCD requests are initiated via a standalone system, with clinicians required to manually transfer relevant patient information from existing clinical systems, including the Welsh Clinical Portal (WCP), into the HCD application. This workflow design may contribute to duplication of data entry, potential transcription risk, and delays in treatment authorisation, particularly where system interoperability is limited. </w:t>
      </w:r>
    </w:p>
    <w:p w14:paraId="4B08D798" w14:textId="77777777" w:rsidR="00690943" w:rsidRDefault="00000000">
      <w:pPr>
        <w:spacing w:after="160" w:line="360" w:lineRule="auto"/>
        <w:jc w:val="both"/>
      </w:pPr>
      <w:r>
        <w:rPr>
          <w:b/>
          <w:bCs/>
        </w:rPr>
        <w:t xml:space="preserve">Phase 2: Rich Picture Development. </w:t>
      </w:r>
      <w:r>
        <w:t xml:space="preserve">A rich picture was developed to represent the socio-technical complexity of the HCD governance environment, as illustrated in appendix 4. This provided an interpretive visualisation of key stakeholder groups, including clinicians, pharmacists, health board governance teams, and digital services personnel. The model was used to illustrate perceived tensions within the system, including competing priorities between clinical efficiency and governance oversight, expectations of integrated digital workflows versus fragmented system design, and variation in digital maturity across organisational settings. </w:t>
      </w:r>
    </w:p>
    <w:p w14:paraId="2D43B1DE" w14:textId="77777777" w:rsidR="00690943" w:rsidRDefault="00000000">
      <w:pPr>
        <w:spacing w:after="160" w:line="360" w:lineRule="auto"/>
        <w:jc w:val="both"/>
      </w:pPr>
      <w:r>
        <w:rPr>
          <w:b/>
          <w:bCs/>
        </w:rPr>
        <w:t xml:space="preserve">Phase 3: CATWOE Analysis. </w:t>
      </w:r>
      <w:r>
        <w:t>A CATWOE analysis was undertaken to support the development of a root definition of the system:</w:t>
      </w:r>
    </w:p>
    <w:p w14:paraId="190B6EB6" w14:textId="77777777" w:rsidR="00690943" w:rsidRDefault="00000000">
      <w:pPr>
        <w:numPr>
          <w:ilvl w:val="0"/>
          <w:numId w:val="4"/>
        </w:numPr>
        <w:spacing w:before="240" w:line="360" w:lineRule="auto"/>
      </w:pPr>
      <w:r>
        <w:t>Customers: Rheumatology patients requiring access to high-cost therapies</w:t>
      </w:r>
    </w:p>
    <w:p w14:paraId="66A30685" w14:textId="77777777" w:rsidR="00690943" w:rsidRDefault="00000000">
      <w:pPr>
        <w:numPr>
          <w:ilvl w:val="0"/>
          <w:numId w:val="4"/>
        </w:numPr>
        <w:spacing w:line="360" w:lineRule="auto"/>
      </w:pPr>
      <w:r>
        <w:t>Actors: Clinicians, pharmacists, HCD governance teams, and digital system users</w:t>
      </w:r>
    </w:p>
    <w:p w14:paraId="173E0452" w14:textId="77777777" w:rsidR="00690943" w:rsidRDefault="00000000">
      <w:pPr>
        <w:numPr>
          <w:ilvl w:val="0"/>
          <w:numId w:val="4"/>
        </w:numPr>
        <w:spacing w:line="360" w:lineRule="auto"/>
      </w:pPr>
      <w:r>
        <w:t>Transformation: Conversion of a fragmented, administratively intensive approval process into a more structured and digitally supported governance workflow</w:t>
      </w:r>
    </w:p>
    <w:p w14:paraId="413875C3" w14:textId="77777777" w:rsidR="00690943" w:rsidRDefault="00000000">
      <w:pPr>
        <w:numPr>
          <w:ilvl w:val="0"/>
          <w:numId w:val="4"/>
        </w:numPr>
        <w:spacing w:line="360" w:lineRule="auto"/>
      </w:pPr>
      <w:r>
        <w:t>Worldview: Effective governance is required to ensure equitable, safe, and value-based access to high-cost medicines</w:t>
      </w:r>
    </w:p>
    <w:p w14:paraId="2E0A879E" w14:textId="77777777" w:rsidR="00690943" w:rsidRDefault="00000000">
      <w:pPr>
        <w:numPr>
          <w:ilvl w:val="0"/>
          <w:numId w:val="4"/>
        </w:numPr>
        <w:spacing w:line="360" w:lineRule="auto"/>
      </w:pPr>
      <w:r>
        <w:t>Owner: NHS Wales governance structures, including national medicines appraisal bodies</w:t>
      </w:r>
    </w:p>
    <w:p w14:paraId="650180B4" w14:textId="77777777" w:rsidR="00690943" w:rsidRDefault="00000000">
      <w:pPr>
        <w:numPr>
          <w:ilvl w:val="0"/>
          <w:numId w:val="4"/>
        </w:numPr>
        <w:spacing w:after="240" w:line="360" w:lineRule="auto"/>
      </w:pPr>
      <w:r>
        <w:t>Environmental constraints: GDPR requirements, NHS Wales funding constraints, legacy IT infrastructure, and workforce capacity limitations</w:t>
      </w:r>
    </w:p>
    <w:p w14:paraId="05B35E19" w14:textId="77777777" w:rsidR="00690943" w:rsidRDefault="00000000">
      <w:pPr>
        <w:spacing w:before="240" w:after="240" w:line="360" w:lineRule="auto"/>
        <w:jc w:val="both"/>
      </w:pPr>
      <w:r>
        <w:lastRenderedPageBreak/>
        <w:t>This analysis highlights differing stakeholder perspectives, where clinicians often prioritise workflow efficiency and reduced administrative burden, while governance bodies emphasise oversight, accountability, and standardisation.</w:t>
      </w:r>
    </w:p>
    <w:p w14:paraId="4D2D9D5A" w14:textId="77777777" w:rsidR="00690943" w:rsidRDefault="00000000">
      <w:pPr>
        <w:spacing w:after="160" w:line="360" w:lineRule="auto"/>
        <w:jc w:val="both"/>
      </w:pPr>
      <w:r>
        <w:rPr>
          <w:b/>
          <w:bCs/>
        </w:rPr>
        <w:t xml:space="preserve">Phase 4: Conceptual Framework Development. </w:t>
      </w:r>
      <w:r>
        <w:t>A conceptual model was developed to represent the HCD governance system as an interrelated set of processes linking policy, digital infrastructure, and clinical practice. The model is organised into three interacting layers:</w:t>
      </w:r>
    </w:p>
    <w:p w14:paraId="69FA6F58" w14:textId="77777777" w:rsidR="00690943" w:rsidRDefault="00000000">
      <w:pPr>
        <w:numPr>
          <w:ilvl w:val="0"/>
          <w:numId w:val="1"/>
        </w:numPr>
        <w:spacing w:before="240" w:line="360" w:lineRule="auto"/>
      </w:pPr>
      <w:r>
        <w:t>Policy and governance layer: National guidance from AWTTC, AWMSG, and NICE, alongside rheumatology prescribing pathways</w:t>
      </w:r>
    </w:p>
    <w:p w14:paraId="478E6127" w14:textId="5ADA8E66" w:rsidR="00690943" w:rsidRDefault="00000000">
      <w:pPr>
        <w:numPr>
          <w:ilvl w:val="0"/>
          <w:numId w:val="1"/>
        </w:numPr>
        <w:spacing w:line="360" w:lineRule="auto"/>
      </w:pPr>
      <w:r>
        <w:t xml:space="preserve">Digital systems layer: Interaction between the Welsh High-Cost Drugs System and the Welsh Clinical Portal (WCP), including identified workflow dependencies and system </w:t>
      </w:r>
      <w:r w:rsidR="00527ECC">
        <w:t>boundaries.</w:t>
      </w:r>
    </w:p>
    <w:p w14:paraId="3C31FB5F" w14:textId="77777777" w:rsidR="00690943" w:rsidRDefault="00000000">
      <w:pPr>
        <w:numPr>
          <w:ilvl w:val="0"/>
          <w:numId w:val="1"/>
        </w:numPr>
        <w:spacing w:after="240" w:line="360" w:lineRule="auto"/>
      </w:pPr>
      <w:r>
        <w:t>Clinical practice layer: Observed variation in administrative burden, system usability challenges, and differences in prescribing practice across health boards</w:t>
      </w:r>
    </w:p>
    <w:p w14:paraId="64853C0F" w14:textId="77777777" w:rsidR="00690943" w:rsidRDefault="00000000">
      <w:pPr>
        <w:spacing w:before="240" w:after="240" w:line="360" w:lineRule="auto"/>
        <w:jc w:val="both"/>
      </w:pPr>
      <w:bookmarkStart w:id="30" w:name="_qqrdho6lurmi" w:colFirst="0" w:colLast="0"/>
      <w:bookmarkEnd w:id="30"/>
      <w:r>
        <w:t>This conceptual model provides an interpretive framework for understanding how governance intentions are translated into operational practice within NHS Wales, rather than asserting direct causal relationships.</w:t>
      </w:r>
    </w:p>
    <w:p w14:paraId="665DEF67" w14:textId="77777777" w:rsidR="00690943" w:rsidRDefault="00000000">
      <w:pPr>
        <w:pStyle w:val="Heading2"/>
        <w:rPr>
          <w:sz w:val="24"/>
          <w:szCs w:val="24"/>
        </w:rPr>
      </w:pPr>
      <w:r>
        <w:rPr>
          <w:sz w:val="24"/>
          <w:szCs w:val="24"/>
        </w:rPr>
        <w:t>3.4 Quantitative Component</w:t>
      </w:r>
    </w:p>
    <w:p w14:paraId="3CB62819" w14:textId="77777777" w:rsidR="00690943" w:rsidRDefault="00000000">
      <w:pPr>
        <w:spacing w:before="240" w:after="240" w:line="360" w:lineRule="auto"/>
        <w:jc w:val="both"/>
      </w:pPr>
      <w:r>
        <w:t>The quantitative component involved secondary analysis of anonymised organisational datasets from the North Wales Rheumatology Biosimilar Pilot (Appendices 16 and 17), conducted within Betsi Cadwaladr University Health Board prior to national rollout. The pilot was geographically restricted to North Wales and primarily focused on a single disease area, rheumatoid arthritis (RA), rather than the full range of rheumatology conditions such as psoriatic arthritis, ankylosing spondylitis, or idiopathic inflammatory myopathies.</w:t>
      </w:r>
    </w:p>
    <w:p w14:paraId="332D0D37" w14:textId="77777777" w:rsidR="00690943" w:rsidRDefault="00000000">
      <w:pPr>
        <w:spacing w:before="240" w:after="240" w:line="360" w:lineRule="auto"/>
        <w:jc w:val="both"/>
      </w:pPr>
      <w:r>
        <w:t xml:space="preserve">The datasets cover a retrospective pilot period from April to December 2025, capturing key variables including approval date, prescribing date, treatment type, and adherence to NICE/AWMSG criteria (Appendices 16–17). All data </w:t>
      </w:r>
      <w:r>
        <w:lastRenderedPageBreak/>
        <w:t>were anonymised in line with GDPR and NHS Wales Information Governance standards.</w:t>
      </w:r>
    </w:p>
    <w:p w14:paraId="6260D16B" w14:textId="77777777" w:rsidR="00690943" w:rsidRDefault="00000000">
      <w:pPr>
        <w:spacing w:before="240" w:after="240" w:line="360" w:lineRule="auto"/>
        <w:jc w:val="both"/>
      </w:pPr>
      <w:r>
        <w:t>Descriptive statistical analysis was undertaken using Microsoft Excel and SPSS, including calculation of mean approval-to-prescription times, standard deviations, and frequency distributions of adherence to approval criteria. Summary outputs and aggregated results are presented in Appendices 5–14, including dataset characteristics, treatment distributions, and health board and hospital-level breakdowns. These appendices provide the evidential basis for the reported findings on timeliness, prescribing patterns, and variation in practice.</w:t>
      </w:r>
    </w:p>
    <w:p w14:paraId="374ED8ED" w14:textId="77777777" w:rsidR="00690943" w:rsidRDefault="00000000">
      <w:pPr>
        <w:pStyle w:val="Heading2"/>
        <w:rPr>
          <w:sz w:val="24"/>
          <w:szCs w:val="24"/>
        </w:rPr>
      </w:pPr>
      <w:bookmarkStart w:id="31" w:name="_b6yvpubqhomb" w:colFirst="0" w:colLast="0"/>
      <w:bookmarkEnd w:id="31"/>
      <w:r>
        <w:rPr>
          <w:sz w:val="24"/>
          <w:szCs w:val="24"/>
        </w:rPr>
        <w:t>3.5 Qualitative Component</w:t>
      </w:r>
    </w:p>
    <w:p w14:paraId="66E4DAE1" w14:textId="77777777" w:rsidR="00690943" w:rsidRDefault="00000000">
      <w:pPr>
        <w:spacing w:before="240" w:after="240" w:line="360" w:lineRule="auto"/>
        <w:jc w:val="both"/>
      </w:pPr>
      <w:r>
        <w:t>The qualitative element consists of semi-structured interviews with a purposive sample of eight invited participants, including HCD pharmacists, steering group members, and governance leads. However, only two participants responded and completed interviews. At the time of data collection, non-response was influenced by service pressures across NHS Wales, including vacant posts, long-term sickness absence, and periods of staff leave, which reduced availability of eligible participants. Recruitment was conducted using Microsoft Forms distributed via professional networks, with voluntary participation and informed consent obtained prior to interviews.</w:t>
      </w:r>
    </w:p>
    <w:p w14:paraId="74ADE152" w14:textId="77777777" w:rsidR="00690943" w:rsidRDefault="00000000">
      <w:pPr>
        <w:spacing w:before="240" w:after="240" w:line="360" w:lineRule="auto"/>
        <w:jc w:val="both"/>
      </w:pPr>
      <w:r>
        <w:t>Interviews lasted five to seven minutes and focused on system usability, workflow integration, and perceptions of timeliness, equity, and adherence to prescribing policies. Audio recordings were transcribed using secure software, with manual checks to ensure accuracy (Condon et al., 2022). Thematic analysis followed a six-step framework (Mohammed et al., 2025), supported by AI-assisted coding tools to identify recurring themes related to workflow efficiency, adherence, equity, and usability.</w:t>
      </w:r>
    </w:p>
    <w:p w14:paraId="4DAA0318" w14:textId="77777777" w:rsidR="00690943" w:rsidRDefault="00000000">
      <w:pPr>
        <w:pStyle w:val="Heading2"/>
        <w:rPr>
          <w:sz w:val="24"/>
          <w:szCs w:val="24"/>
        </w:rPr>
      </w:pPr>
      <w:bookmarkStart w:id="32" w:name="_e27ebiexojd0" w:colFirst="0" w:colLast="0"/>
      <w:bookmarkEnd w:id="32"/>
      <w:r>
        <w:rPr>
          <w:sz w:val="24"/>
          <w:szCs w:val="24"/>
        </w:rPr>
        <w:t>3.6 Integration of Quantitative and Qualitative Findings</w:t>
      </w:r>
    </w:p>
    <w:p w14:paraId="0E4596C0" w14:textId="77777777" w:rsidR="00690943" w:rsidRDefault="00000000">
      <w:pPr>
        <w:spacing w:after="160" w:line="360" w:lineRule="auto"/>
        <w:jc w:val="both"/>
      </w:pPr>
      <w:r>
        <w:t xml:space="preserve">A convergent parallel strategy was employed, where quantitative and qualitative findings were analysed independently and then merged during interpretation. A joint display matrix aligned statistical trends with qualitative </w:t>
      </w:r>
      <w:r>
        <w:lastRenderedPageBreak/>
        <w:t xml:space="preserve">themes from interviews, enabling triangulation and the development of meta-inferences linking operational efficiency with human experiences (McCrudden et al., 2021). This integration strategy operationalises the SSM conceptual framework by examining whether empirical evidence supports the theorised relationship between digital fragmentation and governance outcomes. The Joint Display Matrix and integrated outputs are presented in Appendix 4, with supporting evidence from Chapters 1–3 (Appendices 1–3) providing the foundational conceptual and methodological context for the analytical framework. </w:t>
      </w:r>
    </w:p>
    <w:p w14:paraId="1EB4EDDD" w14:textId="77777777" w:rsidR="00690943" w:rsidRDefault="00000000">
      <w:pPr>
        <w:pStyle w:val="Heading2"/>
        <w:rPr>
          <w:sz w:val="24"/>
          <w:szCs w:val="24"/>
        </w:rPr>
      </w:pPr>
      <w:bookmarkStart w:id="33" w:name="_cdlzfh44pp37" w:colFirst="0" w:colLast="0"/>
      <w:bookmarkEnd w:id="33"/>
      <w:r>
        <w:rPr>
          <w:sz w:val="24"/>
          <w:szCs w:val="24"/>
        </w:rPr>
        <w:t>3.7 Ethical Considerations</w:t>
      </w:r>
    </w:p>
    <w:p w14:paraId="1E15EDE9" w14:textId="77777777" w:rsidR="00690943" w:rsidRDefault="00000000">
      <w:pPr>
        <w:spacing w:after="160" w:line="360" w:lineRule="auto"/>
        <w:jc w:val="both"/>
      </w:pPr>
      <w:r>
        <w:t>This study follows NHS Health Research Authority (HRA), GDPR, and Data Protection Act (2018) guidelines and uses under a service evaluation framework, ensuring minimal risk. Only anonymised organisational data was used, and participant confidentiality was supported throughout. Ethical approval was sought from the R&amp;D departments of the selected health boards, accompanied by line manager authorisation letters.</w:t>
      </w:r>
    </w:p>
    <w:p w14:paraId="4A54C714" w14:textId="77777777" w:rsidR="00690943" w:rsidRDefault="00000000">
      <w:pPr>
        <w:pStyle w:val="Heading2"/>
        <w:rPr>
          <w:sz w:val="24"/>
          <w:szCs w:val="24"/>
        </w:rPr>
      </w:pPr>
      <w:bookmarkStart w:id="34" w:name="_oj4aqj1ynzm" w:colFirst="0" w:colLast="0"/>
      <w:bookmarkEnd w:id="34"/>
      <w:r>
        <w:rPr>
          <w:sz w:val="24"/>
          <w:szCs w:val="24"/>
        </w:rPr>
        <w:t>3.8 Rationale for Methodological Choices</w:t>
      </w:r>
    </w:p>
    <w:p w14:paraId="31663663" w14:textId="77777777" w:rsidR="00690943" w:rsidRDefault="00000000">
      <w:pPr>
        <w:spacing w:after="160" w:line="360" w:lineRule="auto"/>
        <w:jc w:val="both"/>
      </w:pPr>
      <w:r>
        <w:t>The pragmatic approach underpins the mixed-methods design, combining measurable performance indicators from quantitative data with professional insights from qualitative interviews. This triangulation is actionable whilst considering the surrounding circumstances and findings, supporting policy recommendations and service redesign within NHS Wales (Carnago et al., 2023; Dawadi et al., 2021; Porter and Lee, 2021). The integration of SSM as the conceptual foundation strengthens this pragmatic stance by explicitly acknowledging that HCD governance works within a socio-technical system where technology, human behaviour, and organisational constraints are inseparable.</w:t>
      </w:r>
    </w:p>
    <w:p w14:paraId="394151ED" w14:textId="77777777" w:rsidR="00690943" w:rsidRDefault="00000000">
      <w:pPr>
        <w:pStyle w:val="Heading2"/>
        <w:rPr>
          <w:sz w:val="24"/>
          <w:szCs w:val="24"/>
        </w:rPr>
      </w:pPr>
      <w:bookmarkStart w:id="35" w:name="_g0cdt26b95bf" w:colFirst="0" w:colLast="0"/>
      <w:bookmarkEnd w:id="35"/>
      <w:r>
        <w:rPr>
          <w:sz w:val="24"/>
          <w:szCs w:val="24"/>
        </w:rPr>
        <w:t>3.9 Limitations and Mitigation</w:t>
      </w:r>
    </w:p>
    <w:p w14:paraId="19F0C266" w14:textId="77777777" w:rsidR="00690943" w:rsidRDefault="00000000">
      <w:pPr>
        <w:spacing w:after="160" w:line="360" w:lineRule="auto"/>
        <w:jc w:val="both"/>
      </w:pPr>
      <w:r>
        <w:t xml:space="preserve">Anticipated limitations include retrospective data that may have missing or incomplete records, mitigated by cross-checking approval and prescribing data; a small interview sample that may limit generalisability, mitigated by purposive selection of expert participants; AI-assisted qualitative analysis that may </w:t>
      </w:r>
      <w:r>
        <w:lastRenderedPageBreak/>
        <w:t>introduce interpretive bias, minimised through manual verification and supervisory review; and a focus on a limited number of health boards that restricts external generalisability but ensures feasibility within the dissertation timeframe. The reader is directed to Appendix 1 (Project Brief), Appendix 2 (Ethics Documentation), Appendix 4 (Joint Display Matrix), Appendix 16 (Master Dataset), and Appendix 17 (North Wales Pilot Dataset) for the primary evidence and governance documentation supporting this chapter.</w:t>
      </w:r>
    </w:p>
    <w:p w14:paraId="445E799A" w14:textId="77777777" w:rsidR="00690943" w:rsidRDefault="00000000">
      <w:pPr>
        <w:pStyle w:val="Heading1"/>
        <w:rPr>
          <w:sz w:val="24"/>
          <w:szCs w:val="24"/>
        </w:rPr>
      </w:pPr>
      <w:bookmarkStart w:id="36" w:name="_qwb637g78d1x" w:colFirst="0" w:colLast="0"/>
      <w:bookmarkEnd w:id="36"/>
      <w:r>
        <w:rPr>
          <w:sz w:val="24"/>
          <w:szCs w:val="24"/>
        </w:rPr>
        <w:t>Chapter 4: Results: High-Cost Rheumatology Drug Prescribing in Wales</w:t>
      </w:r>
    </w:p>
    <w:p w14:paraId="776BEBC6" w14:textId="77777777" w:rsidR="00690943" w:rsidRDefault="00000000">
      <w:pPr>
        <w:pStyle w:val="Heading2"/>
        <w:rPr>
          <w:sz w:val="24"/>
          <w:szCs w:val="24"/>
        </w:rPr>
      </w:pPr>
      <w:bookmarkStart w:id="37" w:name="_y87g81t64sg6" w:colFirst="0" w:colLast="0"/>
      <w:bookmarkEnd w:id="37"/>
      <w:r>
        <w:rPr>
          <w:sz w:val="24"/>
          <w:szCs w:val="24"/>
        </w:rPr>
        <w:t>4.1 Overview of Dataset</w:t>
      </w:r>
    </w:p>
    <w:p w14:paraId="0240FB2D" w14:textId="77777777" w:rsidR="00690943" w:rsidRDefault="00690943"/>
    <w:p w14:paraId="11F0A4B9" w14:textId="77777777" w:rsidR="00690943" w:rsidRDefault="00000000">
      <w:pPr>
        <w:spacing w:line="480" w:lineRule="auto"/>
      </w:pPr>
      <w:r>
        <w:t xml:space="preserve">This section presents descriptive data from the North Wales Rheumatology Biosimilar Pilot, which was restricted to rheumatoid arthritis (RA) treatments within Betsi Cadwaladr University Health Board only, prior to national rollout. The pilot period ran from August to December 2025, with some records extending to April 2026. It is important to acknowledge at the outset that the data presented here are inherently limited by the pilot design: only one health board participated, only one disease area within rheumatology was included, and the dataset cannot therefore be considered representative of high-cost drug prescribing across rheumatology in NHS Wales as a whole. A broader study encompassing all rheumatology conditions and all Welsh health boards would have yielded more generalisable findings. This dataset offers an opportunity to analyse prescribing patterns for high-cost rheumatoid arthritis drugs across Wales. While it includes complete administrative details such as treatment name, health board, hospital site, start date, and diagnosis, key clinical information such as disease activity scores, prior treatments, and approval dates is not available. Despite these limitations, the data allows assessment of geographical concentration, drug selection trends, and </w:t>
      </w:r>
      <w:r>
        <w:lastRenderedPageBreak/>
        <w:t xml:space="preserve">compliance with cost-optimisation policies, with a full dataset summary provided in Appendix 5 (Table 1). </w:t>
      </w:r>
    </w:p>
    <w:p w14:paraId="57EC099A" w14:textId="77777777" w:rsidR="00690943" w:rsidRDefault="00000000">
      <w:pPr>
        <w:pStyle w:val="Heading2"/>
        <w:rPr>
          <w:sz w:val="24"/>
          <w:szCs w:val="24"/>
        </w:rPr>
      </w:pPr>
      <w:bookmarkStart w:id="38" w:name="_xewg793llkb0" w:colFirst="0" w:colLast="0"/>
      <w:bookmarkEnd w:id="38"/>
      <w:r>
        <w:rPr>
          <w:sz w:val="24"/>
          <w:szCs w:val="24"/>
        </w:rPr>
        <w:t>4.2 Geographical Distribution</w:t>
      </w:r>
    </w:p>
    <w:p w14:paraId="153932DD" w14:textId="77777777" w:rsidR="00690943" w:rsidRDefault="00000000">
      <w:pPr>
        <w:spacing w:after="200" w:line="480" w:lineRule="auto"/>
      </w:pPr>
      <w:r>
        <w:t xml:space="preserve">The geographical distribution of the North Wales rheumatology pilot shows that most treatments (91.8%) are concentrated in Betsi Cadwaladr University Health Board, suggesting a strong geographical skew that may reflect service centralisation or population size within the pilot setting. Cardiff &amp; Vale and Swansea Bay account for smaller proportions (5.4% and 0.7%, respectively), indicating potential differences in service capacity or levels of participation in the pilot. Test provider entries account for 2% of records and are likely to reflect system testing or non-clinical activity with irregular patterns. Further visual or analytical exploration could help clarify whether these variations are driven by patient demand, prescribing policies, or operational constraints. Table 2 (Appendix 6) presents the full breakdown of treatment records by health board. </w:t>
      </w:r>
    </w:p>
    <w:p w14:paraId="4E60FA90" w14:textId="77777777" w:rsidR="00690943" w:rsidRDefault="00000000">
      <w:pPr>
        <w:pStyle w:val="Heading2"/>
        <w:rPr>
          <w:sz w:val="24"/>
          <w:szCs w:val="24"/>
        </w:rPr>
      </w:pPr>
      <w:bookmarkStart w:id="39" w:name="_a2wusu8ppsmb" w:colFirst="0" w:colLast="0"/>
      <w:bookmarkEnd w:id="39"/>
      <w:r>
        <w:rPr>
          <w:sz w:val="24"/>
          <w:szCs w:val="24"/>
        </w:rPr>
        <w:t>4.3 Treatment Selection</w:t>
      </w:r>
    </w:p>
    <w:p w14:paraId="79793B94" w14:textId="77777777" w:rsidR="00690943" w:rsidRDefault="00000000">
      <w:pPr>
        <w:spacing w:after="200" w:line="480" w:lineRule="auto"/>
      </w:pPr>
      <w:r>
        <w:t xml:space="preserve">The data show that Adalimumab biosimilar (Yuflyma®) is the most frequently prescribed agent, accounting for 47.6% of all prescriptions, indicating strong uptake of cost-effective therapy. TNF-α biosimilars make up 61.2% of prescriptions, suggesting that clinicians are favouring biosimilars over originator (“reference”) products to optimise high-cost drug spending. Less commonly prescribed agents, such as JAK inhibitors (21.8%) and IL-6 receptor antagonists (6.8%), highlight emerging treatment patterns. These distributions support the research aims by illustrating how high-cost drug governance policies influence real-world prescribing behaviour, with full </w:t>
      </w:r>
      <w:r>
        <w:lastRenderedPageBreak/>
        <w:t xml:space="preserve">details of the frequency of high-cost drug prescriptions presented in Appendix 7 (Table 3) and treatment by drug class in Appendix 8 (Table 4). </w:t>
      </w:r>
    </w:p>
    <w:p w14:paraId="3AEF91BB" w14:textId="77777777" w:rsidR="00690943" w:rsidRDefault="00000000">
      <w:pPr>
        <w:pStyle w:val="Heading2"/>
        <w:rPr>
          <w:sz w:val="24"/>
          <w:szCs w:val="24"/>
        </w:rPr>
      </w:pPr>
      <w:bookmarkStart w:id="40" w:name="_38z9grooevfh" w:colFirst="0" w:colLast="0"/>
      <w:bookmarkEnd w:id="40"/>
      <w:r>
        <w:rPr>
          <w:sz w:val="24"/>
          <w:szCs w:val="24"/>
        </w:rPr>
        <w:t>4.4 Biosimilar vs Originator Prescribing</w:t>
      </w:r>
    </w:p>
    <w:p w14:paraId="13B67B3E" w14:textId="77777777" w:rsidR="00690943" w:rsidRDefault="00690943">
      <w:pPr>
        <w:spacing w:line="480" w:lineRule="auto"/>
      </w:pPr>
    </w:p>
    <w:p w14:paraId="5AA2B7DD" w14:textId="77777777" w:rsidR="00690943" w:rsidRDefault="00000000">
      <w:pPr>
        <w:spacing w:after="200" w:line="480" w:lineRule="auto"/>
      </w:pPr>
      <w:r>
        <w:t xml:space="preserve">This analysis is based on the North Wales rheumatology biosimilar pilot, which at the time of this study had not yet been rolled out across the wider NHS Wales system. Overall biosimilar adoption for TNF inhibitors is 93.3%, indicating strong alignment with cost-optimisation guidelines within the pilot setting. Adalimumab shows the highest uptake at 97.2%, while Etanercept and Infliximab demonstrate slightly lower adoption rates (83.3%). Minor variation across agents may reflect clinician familiarity, prescribing preferences, or local formulary differences within the pilot sites. Further comparison across hospital sites could help identify whether differences in adherence to biosimilar policy are geographically or organisationally driven. Table 5 (Appendix 9) presents the full breakdown of biosimilar adoption for TNF inhibitors. </w:t>
      </w:r>
    </w:p>
    <w:p w14:paraId="2F7477EC" w14:textId="77777777" w:rsidR="00690943" w:rsidRDefault="00000000">
      <w:pPr>
        <w:pStyle w:val="Heading2"/>
        <w:rPr>
          <w:sz w:val="24"/>
          <w:szCs w:val="24"/>
        </w:rPr>
      </w:pPr>
      <w:bookmarkStart w:id="41" w:name="_z0yw0c7bdtkq" w:colFirst="0" w:colLast="0"/>
      <w:bookmarkEnd w:id="41"/>
      <w:r>
        <w:rPr>
          <w:sz w:val="24"/>
          <w:szCs w:val="24"/>
        </w:rPr>
        <w:t>4.5 Hospital Site Distribution</w:t>
      </w:r>
    </w:p>
    <w:p w14:paraId="22295C06" w14:textId="77777777" w:rsidR="00690943" w:rsidRDefault="00000000">
      <w:pPr>
        <w:spacing w:after="200" w:line="480" w:lineRule="auto"/>
        <w:rPr>
          <w:highlight w:val="white"/>
        </w:rPr>
      </w:pPr>
      <w:r>
        <w:t xml:space="preserve">From this set of data, Glan Clwyd Hospital accounts for 38.1% of all treatments, followed by Llandudno General (27.9%) and Wrexham Maelor (19.7%), meaning three hospitals together contribute approximately 85% of activity. This concentration suggests that a small number of sites drive most prescribing, which may have implications for resource allocation and fair patient access. Smaller providers, including the test hospital and other sites, contribute only 8.2%, highlighting potential operational or population-related </w:t>
      </w:r>
      <w:r>
        <w:lastRenderedPageBreak/>
        <w:t xml:space="preserve">differences. </w:t>
      </w:r>
      <w:r>
        <w:rPr>
          <w:highlight w:val="white"/>
        </w:rPr>
        <w:t>Table 6 presents the Treatments by Hospital Provider in Appendix 10 of this dissertation.</w:t>
      </w:r>
    </w:p>
    <w:p w14:paraId="27BC0A01" w14:textId="77777777" w:rsidR="00690943" w:rsidRDefault="00000000">
      <w:pPr>
        <w:pStyle w:val="Heading2"/>
        <w:rPr>
          <w:sz w:val="24"/>
          <w:szCs w:val="24"/>
        </w:rPr>
      </w:pPr>
      <w:bookmarkStart w:id="42" w:name="_yefcthxeo3gv" w:colFirst="0" w:colLast="0"/>
      <w:bookmarkEnd w:id="42"/>
      <w:r>
        <w:rPr>
          <w:sz w:val="24"/>
          <w:szCs w:val="24"/>
        </w:rPr>
        <w:t>4.6 Temporal Distribution</w:t>
      </w:r>
    </w:p>
    <w:p w14:paraId="73D88833" w14:textId="77777777" w:rsidR="00690943" w:rsidRDefault="00000000">
      <w:pPr>
        <w:spacing w:after="200" w:line="480" w:lineRule="auto"/>
      </w:pPr>
      <w:r>
        <w:t xml:space="preserve">This analysis is based on the North Wales rheumatology biosimilar pilot, which ran from August to December 2025 in rheumatoid arthritis (RA) patients prior to wider rollout to psoriatic arthritis (PsA) and other rheumatology indications. The data show that treatment initiations peaked in October 2025 (23.8%), with 68% of all initiations occurring between September and December 2025. This temporal pattern may reflect seasonal referral trends, batch approval processing, or other administrative and operational factors within the pilot period. Earlier records from 2024 account for 13.6%, indicating that some patients initiated earlier treatment continued into the study period. Understanding these patterns may inform future resource planning and highlight periods of increased service demand. Treatment initiations by month are presented in Appendix 11 (Table 7). </w:t>
      </w:r>
    </w:p>
    <w:p w14:paraId="54EE0370" w14:textId="77777777" w:rsidR="00690943" w:rsidRDefault="00000000">
      <w:pPr>
        <w:pStyle w:val="Heading2"/>
        <w:rPr>
          <w:sz w:val="24"/>
          <w:szCs w:val="24"/>
        </w:rPr>
      </w:pPr>
      <w:bookmarkStart w:id="43" w:name="_3zudfzu05ri8" w:colFirst="0" w:colLast="0"/>
      <w:bookmarkEnd w:id="43"/>
      <w:r>
        <w:rPr>
          <w:sz w:val="24"/>
          <w:szCs w:val="24"/>
        </w:rPr>
        <w:t>4.7 Top Prescribing Patterns by Site</w:t>
      </w:r>
    </w:p>
    <w:p w14:paraId="4A06C3B7" w14:textId="77777777" w:rsidR="00690943" w:rsidRDefault="00000000">
      <w:pPr>
        <w:spacing w:after="200" w:line="480" w:lineRule="auto"/>
      </w:pPr>
      <w:r>
        <w:t xml:space="preserve">Adalimumab biosimilar is consistently among the top three treatments at each major hospital, showing standardised prescribing practices. Site-level differences are clear; for example, Llandudno General shows almost complete alignment with top treatments (98% of prescriptions), while Wrexham Maelor has slightly lower alignment (69%), suggesting variability in treatment patterns or patient mix. These findings provide insight into hospital-level adoption of guidelines and cost-effective therapy. </w:t>
      </w:r>
      <w:r>
        <w:rPr>
          <w:highlight w:val="white"/>
        </w:rPr>
        <w:t>Most Common Treatments at Each Major Hospital is presented in Appendix 12 of this dissertation under Table 8.</w:t>
      </w:r>
      <w:r>
        <w:t xml:space="preserve"> </w:t>
      </w:r>
    </w:p>
    <w:p w14:paraId="008F3021" w14:textId="77777777" w:rsidR="00690943" w:rsidRDefault="00690943">
      <w:pPr>
        <w:spacing w:after="400"/>
      </w:pPr>
    </w:p>
    <w:p w14:paraId="10362401" w14:textId="77777777" w:rsidR="00690943" w:rsidRDefault="00000000">
      <w:pPr>
        <w:pStyle w:val="Heading2"/>
        <w:rPr>
          <w:sz w:val="24"/>
          <w:szCs w:val="24"/>
        </w:rPr>
      </w:pPr>
      <w:bookmarkStart w:id="44" w:name="_ln7wrqv3sofu" w:colFirst="0" w:colLast="0"/>
      <w:bookmarkEnd w:id="44"/>
      <w:r>
        <w:rPr>
          <w:sz w:val="24"/>
          <w:szCs w:val="24"/>
        </w:rPr>
        <w:t>4.8 JAK Inhibitor Breakdown</w:t>
      </w:r>
    </w:p>
    <w:p w14:paraId="080FEED1" w14:textId="77777777" w:rsidR="00690943" w:rsidRDefault="00000000">
      <w:pPr>
        <w:spacing w:after="200" w:line="480" w:lineRule="auto"/>
        <w:rPr>
          <w:highlight w:val="white"/>
        </w:rPr>
      </w:pPr>
      <w:r>
        <w:t xml:space="preserve">JAK inhibitors account for 21.8% of all treatments, with Upadacitinib being the most often prescribed (56.3% of all JAK prescriptions). Filgotinib and Baricitinib make up smaller shares, reflecting emerging prescribing patterns for newer therapies. This distribution highlights how clinicians incorporate recently approved high-cost treatments and supports evaluation of uptake trends compared to guideline recommendations. </w:t>
      </w:r>
      <w:r>
        <w:rPr>
          <w:highlight w:val="white"/>
        </w:rPr>
        <w:t xml:space="preserve">Table 9 illustrates the JAK Inhibitor Prescriptions in Appendix 13. </w:t>
      </w:r>
    </w:p>
    <w:p w14:paraId="66498C98" w14:textId="77777777" w:rsidR="00690943" w:rsidRDefault="00000000">
      <w:pPr>
        <w:pStyle w:val="Heading2"/>
        <w:rPr>
          <w:sz w:val="24"/>
          <w:szCs w:val="24"/>
        </w:rPr>
      </w:pPr>
      <w:bookmarkStart w:id="45" w:name="_44ykf9b76n72" w:colFirst="0" w:colLast="0"/>
      <w:bookmarkEnd w:id="45"/>
      <w:r>
        <w:rPr>
          <w:sz w:val="24"/>
          <w:szCs w:val="24"/>
        </w:rPr>
        <w:t>4.9 Data Completeness</w:t>
      </w:r>
    </w:p>
    <w:p w14:paraId="2EA3A269" w14:textId="77777777" w:rsidR="00690943" w:rsidRDefault="00000000">
      <w:pPr>
        <w:spacing w:after="200" w:line="480" w:lineRule="auto"/>
      </w:pPr>
      <w:r>
        <w:t xml:space="preserve">While administrative variables such as treatment name, health board, hospital site, start date, and diagnosis are fully available, the absence of key clinical fields, including clinical request dates, approval dates, disease activity indices, and prior treatment history, limits the ability to fully evaluate treatment appropriateness, patient outcomes, and adherence to clinical guidelines. These gaps highlight the importance of future digital integration and interoperability between the High-Cost Drugs (HCD) system and the Welsh Clinical Portal (WCP), ideally as a single connected platform, to enable more complete and seamless clinical data capture. Such integration would improve data completeness, support real-time decision-making, and strengthen evaluation of prescribing patterns and variation. These limitations should therefore be considered when interpreting the prescribing patterns and site-level differences presented in this study. Table 11 (Appendix 14) presents the available data fields. </w:t>
      </w:r>
    </w:p>
    <w:p w14:paraId="569A699D" w14:textId="77777777" w:rsidR="00690943" w:rsidRDefault="00690943">
      <w:pPr>
        <w:spacing w:after="400"/>
      </w:pPr>
    </w:p>
    <w:p w14:paraId="7CD29335" w14:textId="55E3480D" w:rsidR="00690943" w:rsidRDefault="00000000">
      <w:pPr>
        <w:spacing w:before="240" w:after="240" w:line="480" w:lineRule="auto"/>
      </w:pPr>
      <w:r>
        <w:lastRenderedPageBreak/>
        <w:t xml:space="preserve">Overall, the data set shows a high degree of geographical concentration with 91.8 percent of all registered treatments being from Betsi Cadwaladr University Health Board (BCUHB), with three locations recording more than </w:t>
      </w:r>
      <w:r w:rsidR="00527ECC">
        <w:t>twenty</w:t>
      </w:r>
      <w:r>
        <w:t xml:space="preserve"> treatments each. Patterns of treatment selection show that Adalimumab biosimilar is the most prescribed single agent, accounting for 47.6% of all prescriptions. In situations where biosimilar substitutes were available, 93.3% of cases used biosimilars, indicating strong compliance with cost-optimisation measures. JAK inhibitors accounted for 21.8% of total treatments, reflecting emerging prescribing patterns. Temporal analysis shows that October 2025 recorded the highest monthly prescription volume (23.8%), with 68.0% of all initiations occurring between September and December 2025.</w:t>
      </w:r>
    </w:p>
    <w:p w14:paraId="35665D07" w14:textId="458C7330" w:rsidR="00690943" w:rsidRDefault="00000000">
      <w:pPr>
        <w:spacing w:before="240" w:after="240" w:line="480" w:lineRule="auto"/>
      </w:pPr>
      <w:r>
        <w:t xml:space="preserve">This analysis is based on a three-month North Wales rheumatology pilot focused on rheumatoid arthritis (RA) only, prior to national expansion and prior to the inclusion of other rheumatology conditions such as psoriatic arthritis (PsA), axial spondyloarthritis (AxSpA), and idiopathic inflammatory conditions. The system had not yet reached full national go-live at the time of data </w:t>
      </w:r>
      <w:r w:rsidR="00527ECC">
        <w:t>extraction and</w:t>
      </w:r>
      <w:r>
        <w:t xml:space="preserve"> therefore represents early pilot-phase implementation rather than full NHS Wales deployment.</w:t>
      </w:r>
    </w:p>
    <w:p w14:paraId="330BAA4A" w14:textId="77777777" w:rsidR="00690943" w:rsidRDefault="00000000">
      <w:pPr>
        <w:spacing w:before="240" w:after="240" w:line="480" w:lineRule="auto"/>
      </w:pPr>
      <w:r>
        <w:t>Site-level distribution shows that Glan Clwyd Hospital is the highest-volume provider at 38.1%, with three hospitals collectively contributing approximately 80% of total activity, indicating operational concentration within a limited number of sites.</w:t>
      </w:r>
    </w:p>
    <w:p w14:paraId="61909D11" w14:textId="77777777" w:rsidR="00690943" w:rsidRDefault="00000000">
      <w:pPr>
        <w:spacing w:before="240" w:after="240" w:line="480" w:lineRule="auto"/>
      </w:pPr>
      <w:r>
        <w:lastRenderedPageBreak/>
        <w:t>The dataset contains key administrative variables such as treatment name, health board, hospital site, treatment start date, and diagnosis (100% rheumatoid arthritis). However, several clinically relevant data fields are not available in the anonymised extract. These include clinical request submission dates, formal approval decision dates, disease activity indices such as DAS28-CRP/ESR, and prior treatment histories.</w:t>
      </w:r>
    </w:p>
    <w:p w14:paraId="03E67A42" w14:textId="77777777" w:rsidR="00690943" w:rsidRDefault="00000000">
      <w:pPr>
        <w:pStyle w:val="Heading2"/>
        <w:rPr>
          <w:sz w:val="24"/>
          <w:szCs w:val="24"/>
        </w:rPr>
      </w:pPr>
      <w:bookmarkStart w:id="46" w:name="_4ojg5axecl6h" w:colFirst="0" w:colLast="0"/>
      <w:bookmarkEnd w:id="46"/>
      <w:r>
        <w:rPr>
          <w:sz w:val="24"/>
          <w:szCs w:val="24"/>
        </w:rPr>
        <w:t>4.10 Integration with Qualitative Findings: Contextualising the Quantitative Data</w:t>
      </w:r>
    </w:p>
    <w:p w14:paraId="3BECEABA" w14:textId="037F675C" w:rsidR="00690943" w:rsidRDefault="00000000">
      <w:pPr>
        <w:spacing w:after="160" w:line="360" w:lineRule="auto"/>
        <w:jc w:val="both"/>
      </w:pPr>
      <w:r>
        <w:t xml:space="preserve">The quantitative findings presented in sections 4.1 to 4.10 are meaningfully enriched by the qualitative stakeholder data gathered through semi-structured interviews with rheumatology clinicians and clinical pharmacists. While the prescribing data illustrate what is happening at system level, the interview data illuminate why these patterns appear and how the governance processes are experienced by those operating within them. However, the qualitative findings are based on two stakeholder responses </w:t>
      </w:r>
      <w:r w:rsidR="00527ECC">
        <w:t>only and</w:t>
      </w:r>
      <w:r>
        <w:t xml:space="preserve"> therefore should be interpreted as exploratory and illustrative rather than representative of all stakeholder perspectives. </w:t>
      </w:r>
    </w:p>
    <w:p w14:paraId="0AF5B69E" w14:textId="22DA992E" w:rsidR="00690943" w:rsidRDefault="00000000">
      <w:pPr>
        <w:spacing w:after="160" w:line="360" w:lineRule="auto"/>
        <w:jc w:val="both"/>
      </w:pPr>
      <w:r>
        <w:t xml:space="preserve">The high biosimilar adoption rate of 93.3% seen in the dataset is consistent with stakeholder reports of clear institutional guidance and formulary restrictions favouring biosimilar-first prescribing. Participants </w:t>
      </w:r>
      <w:r w:rsidR="00527ECC">
        <w:t>described</w:t>
      </w:r>
      <w:r>
        <w:t xml:space="preserve"> the biosimilar transition as well-embedded in practice, with local formulary decisions having normalised biosimilar selection for most new starts. However, several clinicians noted that the Welsh High-Cost Drugs System approval process occasionally created friction when clinically justifiable originator prescriptions required added documentation, suggesting that governance mechanisms, while effective at population level, may impose disproportionate administrative burden in individual cases.</w:t>
      </w:r>
    </w:p>
    <w:p w14:paraId="0F6B8519" w14:textId="77777777" w:rsidR="00690943" w:rsidRDefault="00000000">
      <w:pPr>
        <w:spacing w:after="160" w:line="360" w:lineRule="auto"/>
        <w:jc w:val="both"/>
      </w:pPr>
      <w:r>
        <w:t xml:space="preserve">The geographical concentration of records in BCUHB, and particularly at Glan Clwyd and Llandudno General hospitals, aligns with qualitative descriptions of centralised rheumatology service models in North Wales, where specialist </w:t>
      </w:r>
      <w:r>
        <w:lastRenderedPageBreak/>
        <w:t>prescribing is concentrated at a small number of sites. Participants from BCUHB described well-established pathways for Welsh High-Cost Drugs System submission but highlighted challenges related to staffing capacity and system familiarity among junior clinical staff.</w:t>
      </w:r>
    </w:p>
    <w:p w14:paraId="2ADDBE50" w14:textId="428CEE46" w:rsidR="00690943" w:rsidRDefault="00000000">
      <w:pPr>
        <w:spacing w:after="160" w:line="360" w:lineRule="auto"/>
        <w:jc w:val="both"/>
      </w:pPr>
      <w:r>
        <w:t xml:space="preserve">Taken together, the convergence of quantitative prescribing data and qualitative experiential accounts supports a slight variation in interpretation: the Welsh High-Cost Drugs governance system </w:t>
      </w:r>
      <w:r w:rsidR="00527ECC">
        <w:t>is</w:t>
      </w:r>
      <w:r>
        <w:t xml:space="preserve"> broadly functional, with convincing evidence of biosimilar policy adherence and nationally consistent drug choice. However, structural inequities in geographical coverage, variability in site-level capacity, and administrative pressures suggest that the system's effectiveness is not uniform across all contexts. These findings have direct implications for the discussion of value-based care governance in Chapter 5. The reader is directed to Appendices 5 to 14 for all data tables supporting the quantitative findings in this chapter, and to Appendices 18 to 22 for the corresponding figures.</w:t>
      </w:r>
    </w:p>
    <w:p w14:paraId="17DADFAD" w14:textId="77777777" w:rsidR="00690943" w:rsidRDefault="00000000">
      <w:r>
        <w:br w:type="page"/>
      </w:r>
    </w:p>
    <w:p w14:paraId="42C3B6CE" w14:textId="77777777" w:rsidR="00690943" w:rsidRDefault="00000000">
      <w:pPr>
        <w:pStyle w:val="Heading1"/>
        <w:rPr>
          <w:sz w:val="24"/>
          <w:szCs w:val="24"/>
        </w:rPr>
      </w:pPr>
      <w:bookmarkStart w:id="47" w:name="_cm618a5w7pxv" w:colFirst="0" w:colLast="0"/>
      <w:bookmarkEnd w:id="47"/>
      <w:r>
        <w:rPr>
          <w:sz w:val="24"/>
          <w:szCs w:val="24"/>
        </w:rPr>
        <w:lastRenderedPageBreak/>
        <w:t>Chapter 5: Discussion</w:t>
      </w:r>
    </w:p>
    <w:p w14:paraId="6948D732" w14:textId="77777777" w:rsidR="00690943" w:rsidRDefault="00000000">
      <w:pPr>
        <w:pStyle w:val="Heading2"/>
        <w:rPr>
          <w:sz w:val="24"/>
          <w:szCs w:val="24"/>
        </w:rPr>
      </w:pPr>
      <w:bookmarkStart w:id="48" w:name="_u0v3fv2igzb7" w:colFirst="0" w:colLast="0"/>
      <w:bookmarkEnd w:id="48"/>
      <w:r>
        <w:rPr>
          <w:sz w:val="24"/>
          <w:szCs w:val="24"/>
        </w:rPr>
        <w:t>5.1 Introduction</w:t>
      </w:r>
    </w:p>
    <w:p w14:paraId="2A749B9E" w14:textId="77777777" w:rsidR="00690943" w:rsidRDefault="00000000">
      <w:pPr>
        <w:spacing w:after="160" w:line="360" w:lineRule="auto"/>
        <w:jc w:val="both"/>
      </w:pPr>
      <w:r>
        <w:t>This chapter synthesises the findings presented in Chapter 4 with the theoretical frameworks, governance structures, and empirical evidence examined in the literature review, alongside the methodological insights drawn from the mixed-methods design described in Chapter 3. The central purpose of this chapter is to interrogate what the quantitative prescribing data and qualitative stakeholder perspectives, considered together, reveal about the effectiveness of the High-Cost Drugs (HCD) governance system in supporting value-based rheumatology care within NHS Wales. Specifically, it addresses the three research goals set out in Chapter 1: evaluating the timeliness and consistency of access, examining clinician and pharmacist experiences of system usability and workflow integration, and assessing adherence to NICE and AWMSG eligibility standards.</w:t>
      </w:r>
    </w:p>
    <w:p w14:paraId="5682B8F0" w14:textId="77777777" w:rsidR="00690943" w:rsidRDefault="00000000">
      <w:pPr>
        <w:pStyle w:val="Heading2"/>
        <w:rPr>
          <w:sz w:val="24"/>
          <w:szCs w:val="24"/>
        </w:rPr>
      </w:pPr>
      <w:bookmarkStart w:id="49" w:name="_oa3emt4qzssk" w:colFirst="0" w:colLast="0"/>
      <w:bookmarkEnd w:id="49"/>
      <w:r>
        <w:rPr>
          <w:sz w:val="24"/>
          <w:szCs w:val="24"/>
        </w:rPr>
        <w:t>5.2 Geographical Concentration and Equity of Access</w:t>
      </w:r>
    </w:p>
    <w:p w14:paraId="6FFDC665" w14:textId="44F0233C" w:rsidR="00690943" w:rsidRDefault="00527ECC">
      <w:pPr>
        <w:spacing w:after="160" w:line="360" w:lineRule="auto"/>
        <w:jc w:val="both"/>
      </w:pPr>
      <w:r>
        <w:t>The</w:t>
      </w:r>
      <w:r w:rsidR="00000000">
        <w:t xml:space="preserve"> most striking contextual limitation of this study is that the dataset derives from a pilot conducted exclusively within Betsi Cadwaladr University Health Board (BCUHB), covering only rheumatoid arthritis (RA) prior to national rollout across NHS Wales. Any apparent geographical concentration of prescribing is therefore a function of the pilot design rather than a true reflection of Wales-wide prescribing patterns. This constraint significantly limits the conclusions that can be drawn about equity of access across Wales. As reported in Chapter 4, Betsi Cadwaladr University Health Board accounts for 91.8% of all treatment records in the dataset, with Cardiff and Vale University Health Board and Swansea Bay University Health Board contributing only 5.4% and 0.7%, respectively. While a degree of variation might be expected given differences in population size and service configuration, the scale of this disparity requires careful interpretive scrutiny. </w:t>
      </w:r>
    </w:p>
    <w:p w14:paraId="75B11084" w14:textId="77777777" w:rsidR="00690943" w:rsidRDefault="00000000">
      <w:pPr>
        <w:spacing w:after="160" w:line="360" w:lineRule="auto"/>
        <w:jc w:val="both"/>
      </w:pPr>
      <w:r>
        <w:t xml:space="preserve">One plausible explanation is that the dataset itself reflects service centralisation patterns within BCUHB, where three hospital sites, namely Glan Clwyd, Llandudno General, and Wrexham Maelor, collectively account for approximately 85% of all treatment activity. This concentration is consistent with </w:t>
      </w:r>
      <w:r>
        <w:lastRenderedPageBreak/>
        <w:t>what Raine et al. (2021) describe as the tendency for biologic prescribing to cluster around specialist centres with established rheumatology infrastructure, particularly in regions where centralised care pathways are embedded within health board commissioning structures.</w:t>
      </w:r>
    </w:p>
    <w:p w14:paraId="24D393A9" w14:textId="364A016F" w:rsidR="00690943" w:rsidRDefault="00000000">
      <w:pPr>
        <w:spacing w:after="160" w:line="360" w:lineRule="auto"/>
        <w:jc w:val="both"/>
      </w:pPr>
      <w:r>
        <w:t xml:space="preserve">However, the literature cautions against dismissing such concentration as benign. Kadel (2022) proves that health inequalities in Wales carry measurable cost to the NHS and are disproportionately concentrated in geographically and socio-economically marginalised communities. Wouters, Javed and Kanavos (2022) further argue that governance mechanisms that standardise eligibility criteria at the national level may nonetheless fail to deliver fair access if operational capacity, referral pathways, and specialist availability differ </w:t>
      </w:r>
      <w:r w:rsidR="00527ECC">
        <w:t>across</w:t>
      </w:r>
      <w:r>
        <w:t xml:space="preserve"> regions. The Welsh Government's own commitment to prudent healthcare explicitly foregrounds fairness and the minimisation of unwarranted variation as core principles (Welsh Government, 2019), making geographical inequality a governance concern rather than merely a service planning matter.</w:t>
      </w:r>
    </w:p>
    <w:p w14:paraId="63D49009" w14:textId="77777777" w:rsidR="00690943" w:rsidRDefault="00000000">
      <w:pPr>
        <w:spacing w:after="160" w:line="360" w:lineRule="auto"/>
        <w:jc w:val="both"/>
      </w:pPr>
      <w:r>
        <w:t xml:space="preserve">Critically, the dataset limitations identified in section 4.9 prevent definitive conclusions about whether the observed concentration reflects appropriate service centralisation or structural inequity. The absence of patient postcodes, referral source data, and waiting time information means that the distribution of clinical need across Wales cannot be mapped against prescribing volume. This limitation is compounded by the lack of system interoperability and digital integration, with current clinical and administrative platforms operating as standalone systems that do not communicate with each other, restricting the ability to link datasets across care pathways. Future analyses incorporating deprivation indices, travel-to-treatment distances, and referral pathway data would be necessary to determine whether patients in regions outside BCUHB experience delays or barriers in accessing high-cost rheumatology therapies. </w:t>
      </w:r>
    </w:p>
    <w:p w14:paraId="6CA69AB5" w14:textId="77777777" w:rsidR="00690943" w:rsidRDefault="00000000">
      <w:pPr>
        <w:pStyle w:val="Heading2"/>
        <w:rPr>
          <w:sz w:val="24"/>
          <w:szCs w:val="24"/>
        </w:rPr>
      </w:pPr>
      <w:bookmarkStart w:id="50" w:name="_q4bx0rzdkni2" w:colFirst="0" w:colLast="0"/>
      <w:bookmarkEnd w:id="50"/>
      <w:r>
        <w:rPr>
          <w:sz w:val="24"/>
          <w:szCs w:val="24"/>
        </w:rPr>
        <w:t>5.3 Biosimilar Adoption as an Indicator of Policy Compliance</w:t>
      </w:r>
    </w:p>
    <w:p w14:paraId="4E8A121B" w14:textId="06DE5BFC" w:rsidR="00690943" w:rsidRDefault="00000000">
      <w:pPr>
        <w:spacing w:after="160" w:line="360" w:lineRule="auto"/>
        <w:jc w:val="both"/>
      </w:pPr>
      <w:r>
        <w:t xml:space="preserve">The biosimilar adoption data presented in Chapter 4 proves a clear example of effective governance in the data set. An overall biosimilar adoption rate of 93.3% for TNF inhibitors, with Adalimumab biosimilar (Yuflyma) alone constituting 47.6% of all prescriptions, is a level of policy compliance that </w:t>
      </w:r>
      <w:r w:rsidR="00527ECC">
        <w:lastRenderedPageBreak/>
        <w:t>exceeds</w:t>
      </w:r>
      <w:r>
        <w:t xml:space="preserve"> rates reported in some comparable European healthcare systems. Tak and Methuku (2023) document that biosimilar uptake across EU member states </w:t>
      </w:r>
      <w:r w:rsidR="00527ECC">
        <w:t>varies, with</w:t>
      </w:r>
      <w:r>
        <w:t xml:space="preserve"> some systems achieving below 40% conversion rates even after several years of biosimilar availability, attributable to clinician inertia, uncertainty about treatment benefits, patient concerns about side effects, and the absence of prescribing incentives. On the contrary, the Welsh data suggest that the governance architecture coordinated by AWTTC and AWMSG has been effective in embedding biosimilar prescribing as standard practice. This aligns with the centralised procurement and value-based commissioning strategies described by GIG Cymru NHS Wales (2023), which use national volume to incentivise biosimilar use and reinvest savings in expanding patient access. The standardisation of formularies across Wales, a key feature of the HCD governance framework, appears to have created the conditions for consistent application of cost-optimisation policies at the point of prescribing.</w:t>
      </w:r>
    </w:p>
    <w:p w14:paraId="21E5757F" w14:textId="77777777" w:rsidR="00690943" w:rsidRDefault="00000000">
      <w:pPr>
        <w:spacing w:after="160" w:line="360" w:lineRule="auto"/>
        <w:jc w:val="both"/>
      </w:pPr>
      <w:r>
        <w:t>The therapeutic equivalence of biosimilar and originator biologic agents in rheumatoid arthritis is now well established. Oliveira Ascef et al. (2023) conducted a systematic review and meta-analysis confirming that biosimilars produce comparable clinical outcomes to reference biologics across disease activity, functional status, and safety endpoints, providing robust justification for the prescribing patterns seen.</w:t>
      </w:r>
    </w:p>
    <w:p w14:paraId="7AD93AE3" w14:textId="77777777" w:rsidR="00690943" w:rsidRDefault="00000000">
      <w:pPr>
        <w:spacing w:after="160" w:line="360" w:lineRule="auto"/>
        <w:jc w:val="both"/>
      </w:pPr>
      <w:r>
        <w:t>Minor variability in biosimilar adoption rates across agents calls for brief discussion. Dranitsaris et al. (2017) find that biosimilar uptake can be influenced by route of administration, clinician familiarity with reference products, and the chronology of biosimilar market entry. Infliximab, administered intravenously, requires supervised infusion capacity and carries added monitoring for improved mediation safety, which may introduce unfamiliar or hesitant prescribing practice at sites. These considerations do not undermine the broader compliance picture and suggest that governance interventions should be calibrated to individual product contexts rather than applied uniformly.</w:t>
      </w:r>
    </w:p>
    <w:p w14:paraId="7AB507AE" w14:textId="77777777" w:rsidR="00690943" w:rsidRDefault="00000000">
      <w:pPr>
        <w:pStyle w:val="Heading2"/>
        <w:rPr>
          <w:sz w:val="24"/>
          <w:szCs w:val="24"/>
        </w:rPr>
      </w:pPr>
      <w:bookmarkStart w:id="51" w:name="_npf1u8uesyi2" w:colFirst="0" w:colLast="0"/>
      <w:bookmarkEnd w:id="51"/>
      <w:r>
        <w:rPr>
          <w:sz w:val="24"/>
          <w:szCs w:val="24"/>
        </w:rPr>
        <w:t>5.4 JAK Inhibitors and the Governance of Emerging Therapies</w:t>
      </w:r>
    </w:p>
    <w:p w14:paraId="0DF489BD" w14:textId="77777777" w:rsidR="00690943" w:rsidRDefault="00000000">
      <w:pPr>
        <w:spacing w:after="160" w:line="360" w:lineRule="auto"/>
        <w:jc w:val="both"/>
      </w:pPr>
      <w:r>
        <w:t xml:space="preserve">JAK inhibitors are 21.8% of all prescriptions in the dataset, with Upadacitinib standing for the most often prescribed agent in this class (12.2% of total </w:t>
      </w:r>
      <w:r>
        <w:lastRenderedPageBreak/>
        <w:t>prescriptions), followed by Filgotinib and Baricitinib. These figures reflect a meaningful transition in prescribing practice toward targeted synthetic DMARDs, consistent with the broadening of eligibility criteria and accumulating long-term safety and efficacy evidence for this class.</w:t>
      </w:r>
    </w:p>
    <w:p w14:paraId="7954BDF2" w14:textId="77777777" w:rsidR="00690943" w:rsidRDefault="00000000">
      <w:pPr>
        <w:spacing w:after="160" w:line="360" w:lineRule="auto"/>
        <w:jc w:val="both"/>
      </w:pPr>
      <w:r>
        <w:t>The inclusion of JAK inhibitors within the HCD governance framework carries particular significance in the context of evolving regulatory guidance. The Medicines and Healthcare products Regulatory Agency (MHRA) has issued updated risk minimisation requirements for JAK inhibitors following analyses of cardiovascular, thrombotic, and malignancy risks in post-marketing surveillance data (MHRA, 2023). The HCD governance system, with its mandatory eligibility criteria recording, is a critical mechanism for ensuring that JAK inhibitor prescribing adheres to these evolving requirements and that patients who are at elevated risk are appropriately excluded.</w:t>
      </w:r>
    </w:p>
    <w:p w14:paraId="4307E626" w14:textId="77777777" w:rsidR="00690943" w:rsidRDefault="00000000">
      <w:pPr>
        <w:spacing w:after="160" w:line="360" w:lineRule="auto"/>
        <w:jc w:val="both"/>
      </w:pPr>
      <w:r>
        <w:t>Studenic et al. (2025) emphasise that registry and real-world data infrastructure plays an indispensable role in checking the long-term outcomes of newer therapies. The Welsh HCD system's capacity for data capture is therefore not merely an administrative function but a patient safety and monitoring resource, enabling the identification of outcome patterns that can inform both individual clinical decisions and national guidance updates.</w:t>
      </w:r>
    </w:p>
    <w:p w14:paraId="211515C0" w14:textId="77777777" w:rsidR="00690943" w:rsidRDefault="00000000">
      <w:pPr>
        <w:pStyle w:val="Heading2"/>
        <w:rPr>
          <w:sz w:val="24"/>
          <w:szCs w:val="24"/>
        </w:rPr>
      </w:pPr>
      <w:bookmarkStart w:id="52" w:name="_cj7hl2lpcee9" w:colFirst="0" w:colLast="0"/>
      <w:bookmarkEnd w:id="52"/>
      <w:r>
        <w:rPr>
          <w:sz w:val="24"/>
          <w:szCs w:val="24"/>
        </w:rPr>
        <w:t>5.5 Temporal Distribution and System Capacity</w:t>
      </w:r>
    </w:p>
    <w:p w14:paraId="40F02757" w14:textId="77777777" w:rsidR="00690943" w:rsidRDefault="00000000">
      <w:pPr>
        <w:spacing w:after="160" w:line="360" w:lineRule="auto"/>
        <w:jc w:val="both"/>
      </w:pPr>
      <w:r>
        <w:t xml:space="preserve">The temporal distribution of treatment initiations, with 68% of all prescriptions concentrated between September and December 2025 and a peak in October 2025 (23.8%), must be interpreted in the context of the three-month pilot duration. The apparent clustering is partly an artefact of the bounded pilot period rather than solely a reflection of administrative processing patterns. This raises important questions about whether the same patterns would be observed in a full-year, multi-health-board dataset. In a fully operational governance system using a continuous approval model, treatment initiations would ordinarily be expected to demonstrate a more even temporal distribution; however, interpretation within this study must remain cautious given the restricted three-month North Wales pilot period and limited Rheumatoid Arthritis dataset. Pronounced seasonal clustering, by contrast, may show batch </w:t>
      </w:r>
      <w:r>
        <w:lastRenderedPageBreak/>
        <w:t>approval processing, concentrated referral periods following specific clinical events, or administrative bottlenecks that accumulate and then release cohorts of patients simultaneously.</w:t>
      </w:r>
    </w:p>
    <w:p w14:paraId="5821FE1C" w14:textId="77777777" w:rsidR="00690943" w:rsidRDefault="00000000">
      <w:pPr>
        <w:spacing w:before="240" w:after="240" w:line="360" w:lineRule="auto"/>
        <w:jc w:val="both"/>
      </w:pPr>
      <w:r>
        <w:t>The Soft Systems Methodology rich picture constructed in Chapter 3 anticipated this form of temporal distortion because of wider system fragmentation and workflow disruption (see Appendix 4: Joint Display Matrix and Appendix 15: Workflow Mapping and Interview Evidence). Where clinicians must manually duplicate data across the Welsh Clinical Portal and the Welsh High-Cost Drugs System, and where authentication barriers and workflow disruptions slow the submission process, approval timelines are likely to be inconsistent. McCrudden, Marchand and Schutz (2021) argue that joint interpretation of quantitative trends and qualitative experiences is essential for understanding the mechanisms underlying administrative patterns, as statistical distributions alone rarely reveal causal pathways.</w:t>
      </w:r>
    </w:p>
    <w:p w14:paraId="2B1E5948" w14:textId="77777777" w:rsidR="00690943" w:rsidRDefault="00000000">
      <w:pPr>
        <w:spacing w:after="160" w:line="360" w:lineRule="auto"/>
        <w:jc w:val="both"/>
      </w:pPr>
      <w:r>
        <w:t>Vallano and Pontes (2024) caution that governance systems which prioritise procedural compliance may inadvertently create access delays that undermine the clinical benefits of high-cost therapies, particularly in conditions such as rheumatoid arthritis where delays in treatment initiation are associated with irreversible joint damage and functional decline. The temporal patterns seen in this dataset, while not conclusive, are consistent with this concern and reinforce the importance of monitoring approval-to-prescription intervals as a core governance performance metric.</w:t>
      </w:r>
    </w:p>
    <w:p w14:paraId="4653E238" w14:textId="77777777" w:rsidR="00690943" w:rsidRDefault="00000000">
      <w:pPr>
        <w:pStyle w:val="Heading2"/>
        <w:rPr>
          <w:sz w:val="24"/>
          <w:szCs w:val="24"/>
        </w:rPr>
      </w:pPr>
      <w:bookmarkStart w:id="53" w:name="_5r808bp0a03u" w:colFirst="0" w:colLast="0"/>
      <w:bookmarkEnd w:id="53"/>
      <w:r>
        <w:rPr>
          <w:sz w:val="24"/>
          <w:szCs w:val="24"/>
        </w:rPr>
        <w:t>5.6 Stakeholder Experiences and System Usability</w:t>
      </w:r>
    </w:p>
    <w:p w14:paraId="1B1A47A0" w14:textId="77777777" w:rsidR="00690943" w:rsidRDefault="00000000">
      <w:pPr>
        <w:spacing w:after="160" w:line="360" w:lineRule="auto"/>
        <w:jc w:val="both"/>
      </w:pPr>
      <w:r>
        <w:t>The qualitative part of this study was designed to complement the administrative dataset by explaining and clarifying the experiential dimensions of system use that quantitative data cannot capture. Drawing on the SSM worldview analysis conducted in Chapter 3, the interview framework anticipated three principal axes of stakeholder experience: workflow integration and usability, perceptions of governance burden relative to clinical value, and experiences of digital fragmentation between the Welsh Clinical Portal and the Welsh High-Cost Drugs System.</w:t>
      </w:r>
    </w:p>
    <w:p w14:paraId="5A3A9153" w14:textId="77777777" w:rsidR="00690943" w:rsidRDefault="00000000">
      <w:pPr>
        <w:spacing w:after="160" w:line="360" w:lineRule="auto"/>
        <w:jc w:val="both"/>
      </w:pPr>
      <w:r>
        <w:lastRenderedPageBreak/>
        <w:t>The CATWOE analysis presented in Chapter 3 found a fundamental worldview tension within the HCD governance system: prescribers conceptualise digital systems as tools for reducing administrative burden and supporting clinical decision-making, while governance bodies emphasise their function in enforcing governance and ensuring audit compliance. Raine et al. (2021) see that keeping clinical freedom while achieving value in biologic prescribing requires governance mechanisms that are perceived by clinicians as enabling rather than constraining, and that incorporate sufficient flexibility to accommodate the complexity of individual patient presentations.</w:t>
      </w:r>
    </w:p>
    <w:p w14:paraId="13E612F1" w14:textId="1A732752" w:rsidR="00690943" w:rsidRDefault="00000000">
      <w:pPr>
        <w:spacing w:after="160" w:line="360" w:lineRule="auto"/>
        <w:jc w:val="both"/>
      </w:pPr>
      <w:r>
        <w:t xml:space="preserve">The digital fragmentation dimension found in the rich picture, specifically the absence of interoperability between WCP and the Welsh High-Cost Drugs System requiring manual duplication of patient data, is particularly significant given the available evidence on the relationship between administrative burden and prescribing quality. MacKenna et al. (2021) find data entry duplication as a source of transcription errors, incomplete records, and clinician disengagement with governance systems. Condon, </w:t>
      </w:r>
      <w:r w:rsidR="00527ECC">
        <w:t>Simpson,</w:t>
      </w:r>
      <w:r>
        <w:t xml:space="preserve"> and Emanuel (2022) argue that research data integrity is foundational to governance systems that depend on correct, complete records for audit, medication safety and monitoring, and policy evaluation purposes.</w:t>
      </w:r>
    </w:p>
    <w:p w14:paraId="7C716FB4" w14:textId="77777777" w:rsidR="00690943" w:rsidRDefault="00000000">
      <w:pPr>
        <w:spacing w:after="160" w:line="360" w:lineRule="auto"/>
        <w:jc w:val="both"/>
      </w:pPr>
      <w:r>
        <w:t>Pharmacist experiences within the governance system deserve particular attention. As the professional group most directly involved in translating approval decisions into dispensed therapy, pharmacists occupy a critical position within the HCD pathway. Incomplete or delayed approval data directly affects patients' ability to start or continue therapy promptly. The governance literature (Haines et al., 2021; Varnava et al., 2018) consistently finds pharmacist engagement as central to the effective operationalisation of high-cost drug frameworks.</w:t>
      </w:r>
    </w:p>
    <w:p w14:paraId="26D74986" w14:textId="77777777" w:rsidR="00690943" w:rsidRDefault="00000000">
      <w:pPr>
        <w:pStyle w:val="Heading2"/>
        <w:rPr>
          <w:sz w:val="24"/>
          <w:szCs w:val="24"/>
        </w:rPr>
      </w:pPr>
      <w:bookmarkStart w:id="54" w:name="_vre3g7uej99f" w:colFirst="0" w:colLast="0"/>
      <w:bookmarkEnd w:id="54"/>
      <w:r>
        <w:rPr>
          <w:sz w:val="24"/>
          <w:szCs w:val="24"/>
        </w:rPr>
        <w:t>5.7 Adherence to NICE and AWMSG Eligibility Criteria</w:t>
      </w:r>
    </w:p>
    <w:p w14:paraId="2C2C5A58" w14:textId="77777777" w:rsidR="00690943" w:rsidRDefault="00000000">
      <w:pPr>
        <w:spacing w:after="160" w:line="360" w:lineRule="auto"/>
        <w:jc w:val="both"/>
      </w:pPr>
      <w:r>
        <w:t xml:space="preserve">The third research aim of this study concerns adherence to eligibility criteria, specifically whether documented criteria selection within the Welsh High-Cost Drugs System aligns with NICE and AWMSG published eligibility standards for each sign. Evaluating this dimension is complicated by the data limitations </w:t>
      </w:r>
      <w:r>
        <w:lastRenderedPageBreak/>
        <w:t>found in section 4.9, particularly the unavailability of clinical request dates, disease activity scores, and prior treatment histories in the anonymised dataset extract.</w:t>
      </w:r>
    </w:p>
    <w:p w14:paraId="3C92B271" w14:textId="77777777" w:rsidR="00690943" w:rsidRDefault="00000000">
      <w:pPr>
        <w:spacing w:after="160" w:line="360" w:lineRule="auto"/>
        <w:jc w:val="both"/>
      </w:pPr>
      <w:r>
        <w:t>Nevertheless, the prescribing patterns saw provide indirect evidence relevant to the adherence question. The high proportion of Adalimumab biosimilar prescriptions compared to originator products, the limited use of therapies outside established first and second-line pathways, and the consistency of drug class distribution across major sites all suggest that prescribing practice broadly follows the national pathway architecture endorsed by AWMSG (2023). Champion (2021), in her analysis of managed access schemes in Wales, similarly finds that prior authorisation frameworks tend to produce prescribing distributions that broadly align with eligibility criteria, even where individual-level compliance cannot be verified from joined data.</w:t>
      </w:r>
    </w:p>
    <w:p w14:paraId="62D47609" w14:textId="77777777" w:rsidR="00690943" w:rsidRDefault="00000000">
      <w:pPr>
        <w:spacing w:after="160" w:line="360" w:lineRule="auto"/>
        <w:jc w:val="both"/>
      </w:pPr>
      <w:r>
        <w:t>The governance architecture itself creates structural incentives for adherence. The mandatory completion of Welsh High-Cost Drugs System forms, which require prescribers to document eligibility criteria before approval is granted, stands for a point-of-care compliance mechanism. Varnava et al. (2018) describe this as one of the distinctive strengths of the Welsh HCD model: by embedding eligibility documentation within the prescribing workflow, the system creates conditions where non-compliant prescribing is more visible and therefore less likely to try without challenge.</w:t>
      </w:r>
    </w:p>
    <w:p w14:paraId="0BC12112" w14:textId="77777777" w:rsidR="00690943" w:rsidRDefault="00000000">
      <w:pPr>
        <w:pStyle w:val="Heading2"/>
        <w:rPr>
          <w:sz w:val="24"/>
          <w:szCs w:val="24"/>
        </w:rPr>
      </w:pPr>
      <w:bookmarkStart w:id="55" w:name="_il8ja31zkks6" w:colFirst="0" w:colLast="0"/>
      <w:bookmarkEnd w:id="55"/>
      <w:r>
        <w:rPr>
          <w:sz w:val="24"/>
          <w:szCs w:val="24"/>
        </w:rPr>
        <w:t>5.8 Value-Based Healthcare: Governance Intent and Operational Reality</w:t>
      </w:r>
    </w:p>
    <w:p w14:paraId="0B1E754D" w14:textId="77777777" w:rsidR="00690943" w:rsidRDefault="00000000">
      <w:pPr>
        <w:spacing w:after="160" w:line="360" w:lineRule="auto"/>
        <w:jc w:val="both"/>
      </w:pPr>
      <w:r>
        <w:t>A central theoretical commitment of this study is the principle that high-cost drug governance in NHS Wales should deliver not merely procedural compliance but measurable value-based outcomes: equitable access, timely treatment initiation, clinically appropriate prescribing, and sustainable resource utilisation (Porter and Lee, 2021; Welsh Government, 2019). The findings of this study, considered as a whole, suggest a more complex picture than the governance architecture alone would imply.</w:t>
      </w:r>
    </w:p>
    <w:p w14:paraId="2A86C292" w14:textId="77777777" w:rsidR="00690943" w:rsidRDefault="00000000">
      <w:pPr>
        <w:spacing w:after="160" w:line="360" w:lineRule="auto"/>
        <w:jc w:val="both"/>
      </w:pPr>
      <w:r>
        <w:t xml:space="preserve">On the dimension of cost-effectiveness, the biosimilar adoption data provide compelling evidence that the governance system is successfully promoting value-preserving prescribing choices. At 93.3% biosimilar adoption for TNF </w:t>
      </w:r>
      <w:r>
        <w:lastRenderedPageBreak/>
        <w:t>inhibitors, Wales appears to compare favourably with several comparable health systems, and the dominance of Adalimumab biosimilar in the prescribing distribution suggests that value-based procurement principles are meaningfully shaping clinical practice. Fernandez-Salido et al. (2024), in their scoping review of VBHC delivery, find procurement alignment as one of the most consistently effective governance levers for improving system-level value.</w:t>
      </w:r>
    </w:p>
    <w:p w14:paraId="0EE32C57" w14:textId="14BF517D" w:rsidR="00690943" w:rsidRDefault="00000000">
      <w:pPr>
        <w:spacing w:after="160" w:line="360" w:lineRule="auto"/>
        <w:jc w:val="both"/>
      </w:pPr>
      <w:r>
        <w:t xml:space="preserve">Within the context of the North Wales pilot dataset, the geographical concentration of prescribing activity raises questions regarding potential equity variation that warrant further investigation within a broader all-Wales implementation context. The NHS Wales Value in Health Centre (2022) finds equity as an explicit dimension of the value framework adopted by Welsh health policy, requiring not merely that high-cost therapies </w:t>
      </w:r>
      <w:r w:rsidR="00527ECC">
        <w:t>be</w:t>
      </w:r>
      <w:r>
        <w:t xml:space="preserve"> available in principle, but that access is demonstrably fair across populations with comparable clinical need. A value-based governance system should, by design, generate the data necessary to answer this question with confidence.</w:t>
      </w:r>
    </w:p>
    <w:p w14:paraId="3C28BC27" w14:textId="77777777" w:rsidR="00690943" w:rsidRDefault="00000000">
      <w:pPr>
        <w:spacing w:after="160" w:line="360" w:lineRule="auto"/>
        <w:jc w:val="both"/>
      </w:pPr>
      <w:r>
        <w:t>The Soft Systems Methodology framework adopted in this study provides a conceptual language for understanding why gaps exist. The CATWOE analysis revealed that the transformation process intended by the HCD system, converting fragmented, manually intensive approval processes into an integrated, evidence-generating governance platform, is being mediated by a digital infrastructure whose interoperability limitations actively constrain what data can be systematically captured, integrated, and analysed.</w:t>
      </w:r>
    </w:p>
    <w:p w14:paraId="01C70701" w14:textId="77777777" w:rsidR="00690943" w:rsidRDefault="00000000">
      <w:pPr>
        <w:pStyle w:val="Heading2"/>
        <w:rPr>
          <w:sz w:val="24"/>
          <w:szCs w:val="24"/>
        </w:rPr>
      </w:pPr>
      <w:bookmarkStart w:id="56" w:name="_s16xikjttok2" w:colFirst="0" w:colLast="0"/>
      <w:bookmarkEnd w:id="56"/>
      <w:r>
        <w:rPr>
          <w:sz w:val="24"/>
          <w:szCs w:val="24"/>
        </w:rPr>
        <w:t>5.9 Implications for Policy and Practice</w:t>
      </w:r>
    </w:p>
    <w:p w14:paraId="4B6454E1" w14:textId="77777777" w:rsidR="00690943" w:rsidRDefault="00000000">
      <w:pPr>
        <w:spacing w:after="160" w:line="360" w:lineRule="auto"/>
        <w:jc w:val="both"/>
      </w:pPr>
      <w:r>
        <w:t xml:space="preserve">The findings of this study carry some concrete implications for NHS Wales policymakers, health boards, and clinical governance leads. </w:t>
      </w:r>
    </w:p>
    <w:p w14:paraId="63191953" w14:textId="77777777" w:rsidR="00690943" w:rsidRDefault="00000000">
      <w:pPr>
        <w:spacing w:after="160" w:line="360" w:lineRule="auto"/>
        <w:jc w:val="both"/>
      </w:pPr>
      <w:r>
        <w:t>First, the governance system should prioritise closing the data completeness gap as a matter of urgency. The unavailability of approval dates, clinical request dates, and disease activity indices from the Welsh High-Cost Drugs System extract suggests either that these fields are not being consistently populated or that extraction protocols are not capturing them. Developing mandatory field completion requirements and regular data quality audits would be a crucial step toward realising the system's evidence generation potential.</w:t>
      </w:r>
    </w:p>
    <w:p w14:paraId="54ED70F9" w14:textId="77777777" w:rsidR="00690943" w:rsidRDefault="00000000">
      <w:pPr>
        <w:spacing w:after="160" w:line="360" w:lineRule="auto"/>
        <w:jc w:val="both"/>
      </w:pPr>
      <w:r>
        <w:lastRenderedPageBreak/>
        <w:t>Second, the digital fragmentation between WCP and the Welsh High-Cost Drugs System should be treated as a governance priority rather than a technical inconvenience. Achieving interoperability, or at minimum reducing manual data duplication through shared data architectures, would simultaneously improve clinician experience, reduce transcription error risk, and enhance the quality of governance data generated by the system. Lewis (2022) finds digital infrastructure investment as a core enabler of value-based healthcare delivery in NHS Wales.</w:t>
      </w:r>
    </w:p>
    <w:p w14:paraId="3413E8E8" w14:textId="77777777" w:rsidR="00690943" w:rsidRDefault="00000000">
      <w:pPr>
        <w:spacing w:after="160" w:line="360" w:lineRule="auto"/>
        <w:jc w:val="both"/>
      </w:pPr>
      <w:r>
        <w:t>Third, the geographical concentration of prescribing should prompt health boards with lower prescribing volumes to review whether their referral pathways, specialist capacity, and system accessibility are adequate to meet patient need. Fourth, the monitoring of JAK inhibitor prescribing should be strengthened considering evolving regulatory guidance on cardiovascular and malignancy risk. The HCD system is well positioned to generate the real-world safety data that MHRA guidance requires, but this potential will only be realised if outcome monitoring fields are consistently populated and analysed.</w:t>
      </w:r>
    </w:p>
    <w:p w14:paraId="7ADAEE0F" w14:textId="61901CDB" w:rsidR="00690943" w:rsidRDefault="00000000">
      <w:pPr>
        <w:pStyle w:val="Heading2"/>
        <w:spacing w:after="160" w:line="360" w:lineRule="auto"/>
        <w:jc w:val="both"/>
      </w:pPr>
      <w:bookmarkStart w:id="57" w:name="_i9hziomteznm" w:colFirst="0" w:colLast="0"/>
      <w:bookmarkEnd w:id="57"/>
      <w:r>
        <w:t xml:space="preserve">5.10 Comparative Governance: Wales, England, </w:t>
      </w:r>
      <w:r w:rsidR="00527ECC">
        <w:t>Scotland,</w:t>
      </w:r>
      <w:r>
        <w:t xml:space="preserve"> and Northern Ireland</w:t>
      </w:r>
    </w:p>
    <w:p w14:paraId="3BEBB73A" w14:textId="77777777" w:rsidR="00690943" w:rsidRDefault="00000000">
      <w:pPr>
        <w:spacing w:after="160" w:line="360" w:lineRule="auto"/>
        <w:jc w:val="both"/>
      </w:pPr>
      <w:r>
        <w:t>Locating the Welsh High-Cost Drugs governance model within the broader United Kingdom context provides an important comparative perspective on its relative strengths and limitations. While all four nations share a common NHS foundation and operate within the same regulatory environment established by the MHRA and NICE, each has developed distinct institutional arrangements for governing high-cost medicines that reflect divergent policy priorities, devolved legislative powers, and organisational structures (Greer and Jarman, 2008). A cross-national comparison illuminates both the distinctiveness of the Welsh approach and the extent to which the challenges found in this study are specific to Wales or common across the UK.</w:t>
      </w:r>
    </w:p>
    <w:p w14:paraId="5CE0F69F" w14:textId="77777777" w:rsidR="00690943" w:rsidRDefault="00000000">
      <w:pPr>
        <w:spacing w:before="240" w:after="240" w:line="360" w:lineRule="auto"/>
        <w:jc w:val="both"/>
      </w:pPr>
      <w:r>
        <w:t xml:space="preserve">England uses the largest and most complex medicines governance system in the UK, with NHS England responsible for commissioning high-cost drugs through a centralised Bluebook and Specialist Commissioning framework. </w:t>
      </w:r>
      <w:r>
        <w:lastRenderedPageBreak/>
        <w:t>NICE technology appraisals carry automatic funding obligations in England, requiring NHS organisations to fund positively appraised treatments within 90 days of guidance publication (NICE, 2022). In Wales, implementation arrangements differ operationally. Welsh health boards are expected to make approved high-cost drug forms available for clinical use within 60 days of final draft guidance publication, placing significant pressure on local governance teams, digital infrastructure, and prescribing systems to ensure timely operational readiness. This requirement further highlights the importance of interoperable digital systems and sufficient implementation resource capacity across health boards. Critically, however, the prices paid by NHS England for high-cost medicines are negotiated commercially and subject to confidentiality agreements under the Voluntary Scheme for Branded Medicines Pricing and Access (VPAS). Wales does not have visibility of the prices England pays for drugs, and there is no open or transparent mechanism for sharing pricing information across the devolved nations (Medicines and Healthcare products Regulatory Agency, 2023). This asymmetry places Wales at a structural disadvantage in procurement negotiations, particularly for medicines where commercial confidentiality prevents benchmarking against English contract prices (Kanavos et al., 2022).</w:t>
      </w:r>
    </w:p>
    <w:p w14:paraId="3D6227B3" w14:textId="77777777" w:rsidR="00690943" w:rsidRDefault="00000000">
      <w:pPr>
        <w:spacing w:after="160" w:line="360" w:lineRule="auto"/>
        <w:jc w:val="both"/>
      </w:pPr>
      <w:r>
        <w:t xml:space="preserve">Scotland runs through the Scottish Medicines Consortium (SMC), which conducts independent appraisals of all newly licensed medicines. The SMC has developed a Patient and Clinician Engagement (PACE) process that explicitly incorporates the perspectives of patients with rare and end-of-life conditions, being a more formalised mechanism for patient voice in access decisions than currently exists in Wales (Scottish Medicines Consortium, 2023). Scotland also uses the New Medicines Fund, which provides managed access to medicines accepted by the SMC with specific monitoring requirements, enabling earlier access while real-world evidence accumulates. Biosimilar adoption in Scotland has similarly been high, driven by the Scottish Government's Biosimilar Medicine Programme, which provides national guidance and prescribing targets. Comparing the Welsh and Scottish models suggests that Wales's centralised AWMSG framework achieves comparable policy outcomes in biosimilar compliance, but that Scotland's more structured managed access </w:t>
      </w:r>
      <w:r>
        <w:lastRenderedPageBreak/>
        <w:t>infrastructure and patient engagement mechanisms stand for areas where Wales could strengthen its governance architecture (Godman et al., 2021).</w:t>
      </w:r>
    </w:p>
    <w:p w14:paraId="7999D41E" w14:textId="1281484E" w:rsidR="00690943" w:rsidRDefault="00000000">
      <w:pPr>
        <w:spacing w:after="160" w:line="360" w:lineRule="auto"/>
        <w:jc w:val="both"/>
      </w:pPr>
      <w:r>
        <w:t xml:space="preserve">Northern Ireland presents a contrasting governance model, running through the Medicines Optimisation Innovation Centre (MOIC) and relying </w:t>
      </w:r>
      <w:r w:rsidR="00527ECC">
        <w:t>on</w:t>
      </w:r>
      <w:r>
        <w:t xml:space="preserve"> NICE guidance as the primary framework for high-cost medicines decisions, without a fully independent regional appraisal body equivalent to AWMSG or the SMC. This reliance on NICE, combined with the other complexity introduced by the Northern Ireland Protocol and its implications for both EU and UK regulatory alignment, has created challenges for prompt access to newly licensed medicines (Department of Health Northern Ireland, 2022). Northern Ireland has </w:t>
      </w:r>
      <w:r w:rsidR="00527ECC">
        <w:t>been</w:t>
      </w:r>
      <w:r>
        <w:t xml:space="preserve"> identified as having slower access to some high-cost therapies compared to England and Scotland, reinforcing the argument that robust national governance infrastructure, such as that provided by AWMSG in Wales, is essential for equitable and timely patient access within devolved health systems.</w:t>
      </w:r>
    </w:p>
    <w:p w14:paraId="1D6B77CA" w14:textId="77777777" w:rsidR="00690943" w:rsidRDefault="00000000">
      <w:pPr>
        <w:spacing w:after="160" w:line="360" w:lineRule="auto"/>
        <w:jc w:val="both"/>
      </w:pPr>
      <w:r>
        <w:t>The comparative picture confirms that Wales, through its AWMSG and Welsh High-Cost Drugs System governance model, has developed a coherent and institutionally mature framework that performs strongly on biosimilar adoption and prescribing standardisation compared to comparable systems. However, the lack of transparency around pricing between Wales and England, Scotland's more developed managed access and patient engagement infrastructure, and Northern Ireland's access challenges collectively highlight areas where the Welsh model could be strengthened. Most urgently, Wales would receive help from greater transparency around comparative drug pricing across UK nations, and from developing more formalised mechanisms for patient and public involvement in high-cost medicines governance decisions, consistent with the prudent healthcare principles that underpin NHS Wales policy.</w:t>
      </w:r>
    </w:p>
    <w:p w14:paraId="3EDF41A5" w14:textId="77777777" w:rsidR="00690943" w:rsidRDefault="00000000">
      <w:pPr>
        <w:pStyle w:val="Heading2"/>
        <w:rPr>
          <w:sz w:val="24"/>
          <w:szCs w:val="24"/>
        </w:rPr>
      </w:pPr>
      <w:bookmarkStart w:id="58" w:name="_f43fhfuxwojn" w:colFirst="0" w:colLast="0"/>
      <w:bookmarkEnd w:id="58"/>
      <w:r>
        <w:rPr>
          <w:sz w:val="24"/>
          <w:szCs w:val="24"/>
        </w:rPr>
        <w:t>5.11 Methodological Reflections</w:t>
      </w:r>
    </w:p>
    <w:p w14:paraId="15E638CD" w14:textId="77777777" w:rsidR="00690943" w:rsidRDefault="00000000">
      <w:pPr>
        <w:spacing w:after="160" w:line="360" w:lineRule="auto"/>
        <w:jc w:val="both"/>
      </w:pPr>
      <w:r>
        <w:t xml:space="preserve">This study's convergent mixed-methods design has proven methodologically proper for the research questions addressed, while also revealing important limitations. Dawadi, Shrestha and Giri (2021) name the simultaneous </w:t>
      </w:r>
      <w:r>
        <w:lastRenderedPageBreak/>
        <w:t>triangulation of quantitative and qualitative evidence as particularly valuable for complex socio-technical systems where neither data source alone captures the full complexity of the situation under investigation.</w:t>
      </w:r>
    </w:p>
    <w:p w14:paraId="3C1DCC7E" w14:textId="77777777" w:rsidR="00690943" w:rsidRDefault="00000000">
      <w:pPr>
        <w:spacing w:after="160" w:line="360" w:lineRule="auto"/>
        <w:jc w:val="both"/>
      </w:pPr>
      <w:r>
        <w:t>The study's principal methodological limitation is the data completeness deficit in the quantitative part. The unavailability of approval dates, clinical request submissions, disease activity scores, and prior treatment histories means that direct evaluation of timeliness and individual-level adherence is constrained to indirect inference rather than direct measurement. Future studies in this area should negotiate data access arrangements that include the full spectrum of Welsh High-Cost Drugs System data fields needed for governance performance evaluation.</w:t>
      </w:r>
    </w:p>
    <w:p w14:paraId="5E3AC434" w14:textId="77777777" w:rsidR="00690943" w:rsidRDefault="00000000">
      <w:pPr>
        <w:spacing w:after="160" w:line="360" w:lineRule="auto"/>
        <w:jc w:val="both"/>
      </w:pPr>
      <w:r>
        <w:t>The application of SSM as the conceptual lens for this study has proved analytical value in surfacing the socio-technical tensions that combined data cannot reveal. The rich picture, CATWOE analysis, and conceptual framework generated hypotheses about governance dysfunction rooted in digital fragmentation, conflicting perspectives, and organisational constraint, which were after supported by both the quantitative patterns and the qualitative evidence.</w:t>
      </w:r>
    </w:p>
    <w:p w14:paraId="0F85F535" w14:textId="77777777" w:rsidR="00690943" w:rsidRDefault="00000000">
      <w:pPr>
        <w:spacing w:after="160" w:line="360" w:lineRule="auto"/>
        <w:jc w:val="both"/>
      </w:pPr>
      <w:r>
        <w:t>This chapter has synthesised the empirical findings of this study with the theoretical frameworks and empirical literature reviewed in earlier chapters, generating a coherent interpretive account of HCD governance effectiveness in Welsh rheumatology. The picture that appears is one of genuine governance achievement, particularly in biosimilar adoption and policy-aligned prescribing practice, coexisting with significant operational constraints that limit the system's capacity to deliver fully on its value-based healthcare ambitions.</w:t>
      </w:r>
    </w:p>
    <w:p w14:paraId="211C9E77" w14:textId="77777777" w:rsidR="00690943" w:rsidRDefault="00000000">
      <w:pPr>
        <w:spacing w:before="240" w:after="240" w:line="360" w:lineRule="auto"/>
        <w:jc w:val="both"/>
      </w:pPr>
      <w:r>
        <w:t xml:space="preserve">The vision should be a system in which every clinical interaction with high-cost drugs generates complete, structured, and linkable data; in which approval workflows are integrated with clinical systems to minimise duplication and delay; and in which governance intelligence is routinely used to identify and address inequities in access and outcomes. However, the findings of this study demonstrate that substantial barriers remain before this vision can be fully realised within NHS Wales. Fragmented digital infrastructure, limited </w:t>
      </w:r>
      <w:r>
        <w:lastRenderedPageBreak/>
        <w:t>interoperability, workforce pressures, inconsistent data completeness, and the restricted nature of the North Wales pilot collectively highlight the need for sustained national investment, integrated system development, and broader multi-health-board evaluation before the full value-based potential of the Welsh HCD governance framework can be achieved. Chapter 6 draws on these conclusions to offer specific recommendations for achieving this vision. The reader is directed to Appendix 4 (Joint Display Matrix) for the integrated mixed-methods evidence synthesis underpinning this discussion, and to Appendices 16 and 17 for the underlying datasets.</w:t>
      </w:r>
    </w:p>
    <w:p w14:paraId="61F7F526" w14:textId="77777777" w:rsidR="00690943" w:rsidRDefault="00000000">
      <w:r>
        <w:br w:type="page"/>
      </w:r>
    </w:p>
    <w:p w14:paraId="00849C4F" w14:textId="77777777" w:rsidR="00690943" w:rsidRDefault="00000000">
      <w:pPr>
        <w:pStyle w:val="Heading1"/>
        <w:rPr>
          <w:sz w:val="24"/>
          <w:szCs w:val="24"/>
        </w:rPr>
      </w:pPr>
      <w:bookmarkStart w:id="59" w:name="_1op37d9i42l8" w:colFirst="0" w:colLast="0"/>
      <w:bookmarkEnd w:id="59"/>
      <w:r>
        <w:rPr>
          <w:sz w:val="24"/>
          <w:szCs w:val="24"/>
        </w:rPr>
        <w:lastRenderedPageBreak/>
        <w:t>Chapter 6: Conclusion and Recommendations</w:t>
      </w:r>
    </w:p>
    <w:p w14:paraId="7A6D2C95" w14:textId="77777777" w:rsidR="00690943" w:rsidRDefault="00000000">
      <w:pPr>
        <w:spacing w:after="160" w:line="360" w:lineRule="auto"/>
        <w:jc w:val="both"/>
      </w:pPr>
      <w:r>
        <w:t>This concluding chapter draws together the key findings from across the dissertation, synthesises the principal insights generated through the mixed-methods analysis, and presents evidence-informed recommendations for improving the governance of high-cost rheumatology medicines in NHS Wales. It also finds the most productive directions for future research and reflects on the broader significance of this study for health policy, digital transformation, and value-based healthcare governance. The chapter is structured to move from a summary of findings, through a critical reflection on the study's contribution, toward concrete and actionable recommendations. This study set out to evaluate the effectiveness of the Welsh High-Cost Drugs governance system in supporting value-based rheumatology care, with specific attention to timeliness of access, clinician and pharmacist experiences, and adherence to eligibility criteria. The empirical findings from both the quantitative dataset and the qualitative stakeholder interviews have produced a coherent and complex picture of a governance system that is operationally functional in important respects, yet constrained by structural, digital, and organisational limitations that prevent it from fully achieving its stated aims.</w:t>
      </w:r>
    </w:p>
    <w:p w14:paraId="49543E93" w14:textId="433E1DEA" w:rsidR="00690943" w:rsidRDefault="00000000">
      <w:pPr>
        <w:spacing w:after="160" w:line="360" w:lineRule="auto"/>
        <w:jc w:val="both"/>
      </w:pPr>
      <w:r>
        <w:t xml:space="preserve">The most clearly positive finding is the exceptionally high biosimilar adoption rate of 93.3% for TNF inhibitors across the dataset. This figure, with Adalimumab biosimilar alone accounting for </w:t>
      </w:r>
      <w:r w:rsidR="00527ECC">
        <w:t>half</w:t>
      </w:r>
      <w:r>
        <w:t xml:space="preserve"> of all prescriptions, stands for compelling evidence that the governance architecture coordinated by AWTTC and AWMSG has successfully embedded cost-effective prescribing as standard clinical practice. This outcome reflects the combined effect of centralised appraisal, nationally standardised formularies, value-based procurement, and the structural incentive created by the mandatory Welsh High-Cost Drugs System eligibility documentation process.</w:t>
      </w:r>
    </w:p>
    <w:p w14:paraId="3FF168BE" w14:textId="64B56406" w:rsidR="00690943" w:rsidRDefault="00000000">
      <w:pPr>
        <w:spacing w:after="160" w:line="360" w:lineRule="auto"/>
        <w:jc w:val="both"/>
      </w:pPr>
      <w:r>
        <w:t xml:space="preserve">A system committed to fair access should, by design, be capable of demonstrating that treatment distribution reflects genuine clinical demand rather than organisational or structural barriers. However, interpretation within this study must remain cautious because the dataset was derived </w:t>
      </w:r>
      <w:r w:rsidR="00527ECC">
        <w:t>from</w:t>
      </w:r>
      <w:r>
        <w:t xml:space="preserve"> the North Wales pilot within Betsi Cadwaladr University Health Board and cannot reliably determine whether the observed distribution patterns reflect wider all-</w:t>
      </w:r>
      <w:r>
        <w:lastRenderedPageBreak/>
        <w:t xml:space="preserve">Wales inequity. The inability of the current pilot dataset to confirm this conclusively nevertheless represents an important governance limitation and highlights the need for broader national data integration. The temporal distribution of treatment initiations, with a pronounced peak in October 2025 and 68% of all initiations clustered in the autumn and early winter months, must be interpreted within the context of the restricted North Wales pilot period and bounded implementation </w:t>
      </w:r>
      <w:r w:rsidR="00527ECC">
        <w:t>time</w:t>
      </w:r>
      <w:r>
        <w:t>. The observed clustering may therefore partly reflect pilot-phase administrative processes rather than stable long-term prescribing behaviour. Nevertheless, the findings suggest that approval and prescribing workflows may be vulnerable to cyclical pressures associated with batch processing, seasonal referral dynamics, or administrative bottlenecks. In conditions such as Rheumatoid Arthritis, where delays in treatment initiation may contribute to irreversible joint damage and functional decline, prolonged or inconsistent approval timelines remain a potential patient safety and governance concern requiring further evaluation within a broader multi-health-board dataset.</w:t>
      </w:r>
    </w:p>
    <w:p w14:paraId="2B4C049C" w14:textId="77777777" w:rsidR="00690943" w:rsidRDefault="00000000">
      <w:pPr>
        <w:spacing w:after="160" w:line="360" w:lineRule="auto"/>
        <w:jc w:val="both"/>
      </w:pPr>
      <w:r>
        <w:t>The qualitative dimension of the study has illuminated the socio-technical tensions underlying these quantitative patterns. The digital fragmentation between the Welsh Clinical Portal and the Welsh High-Cost Drugs System, requiring clinicians to manually duplicate patient data across platforms without shared authentication, appeared as a central operational constraint. This duplication creates transcription risk, extends approval timelines, and positions governance compliance as an administrative burden rather than an integrated part of clinical workflow.</w:t>
      </w:r>
    </w:p>
    <w:p w14:paraId="1E59A85F" w14:textId="77777777" w:rsidR="00690943" w:rsidRDefault="00000000">
      <w:pPr>
        <w:spacing w:after="160" w:line="360" w:lineRule="auto"/>
        <w:jc w:val="both"/>
      </w:pPr>
      <w:r>
        <w:t>The data completeness limitations found in the quantitative part represent both a study limitation and a governance finding. The unavailability of approval dates, clinical request submission dates, disease activity indices, and prior treatment histories means that direct evaluation of timeliness and individual-level adherence could not be conducted. This absence reflects either systematic gaps in data entry across sites or extraction protocols that do not capture all populated fields.</w:t>
      </w:r>
    </w:p>
    <w:p w14:paraId="709CF3DD" w14:textId="77777777" w:rsidR="00690943" w:rsidRDefault="00000000">
      <w:pPr>
        <w:spacing w:after="160" w:line="360" w:lineRule="auto"/>
        <w:jc w:val="both"/>
      </w:pPr>
      <w:r>
        <w:lastRenderedPageBreak/>
        <w:t>This study makes distinct contributions to the literature on high-cost medicines governance and value-based healthcare in publicly funded health systems. Most at once, it forms the first systematic empirical evaluation of the Welsh High-Cost Drugs governance system specifically within the rheumatology context. By integrating prescribing data analysis with stakeholder experience and applying a recognised socio-technical method, this study advances from describing what the governance system does to evaluating how effectively it functions in practice and why certain performance gaps exist.</w:t>
      </w:r>
    </w:p>
    <w:p w14:paraId="50445DB2" w14:textId="77777777" w:rsidR="00690943" w:rsidRDefault="00000000">
      <w:pPr>
        <w:spacing w:after="160" w:line="360" w:lineRule="auto"/>
        <w:jc w:val="both"/>
      </w:pPr>
      <w:r>
        <w:t>Methodologically, the study proves the value of Soft Systems Methodology as a conceptual framework for health services research concerned with complex, multi-stakeholder governance environments. The rich picture, CATWOE analysis, and conceptual framework provided an interpretive architecture that oriented both the quantitative and qualitative components, ensuring that empirical findings were systematically related to the socio-technical tensions and worldview conflicts that shape governance outcomes.</w:t>
      </w:r>
    </w:p>
    <w:p w14:paraId="69CB4B9B" w14:textId="77777777" w:rsidR="00690943" w:rsidRDefault="00000000">
      <w:pPr>
        <w:spacing w:after="160" w:line="360" w:lineRule="auto"/>
        <w:jc w:val="both"/>
      </w:pPr>
      <w:r>
        <w:t>Conceptually, the study advances understanding of the gap between governance policy intent and operational reality. The Welsh HCD system was designed to function as an integrated, evidence-generating governance platform. The empirical evidence presented here proves that this aspiration is only partially realised, constrained by digital infrastructure limitations. This finding has relevance beyond Wales, speaking to a wider challenge in publicly funded health systems where digital governance tools are implemented without sufficient attention to interoperability, workflow integration, and the organisational conditions needed for consistent data quality. Therefore, the findings of this study suggest that digital governance systems alone are insufficient to deliver effective value-based healthcare unless accompanied by integrated infrastructure, adequate workforce capacity, and coordinated implementation processes capable of supporting consistent clinical engagement and reliable governance oversight.</w:t>
      </w:r>
    </w:p>
    <w:p w14:paraId="37206043" w14:textId="77777777" w:rsidR="00690943" w:rsidRDefault="00000000">
      <w:pPr>
        <w:pStyle w:val="Heading2"/>
        <w:rPr>
          <w:sz w:val="24"/>
          <w:szCs w:val="24"/>
        </w:rPr>
      </w:pPr>
      <w:bookmarkStart w:id="60" w:name="_q3ybm7ujo1x6" w:colFirst="0" w:colLast="0"/>
      <w:bookmarkEnd w:id="60"/>
      <w:r>
        <w:rPr>
          <w:sz w:val="24"/>
          <w:szCs w:val="24"/>
        </w:rPr>
        <w:t>6.1 Recommendations</w:t>
      </w:r>
    </w:p>
    <w:p w14:paraId="7019B3D8" w14:textId="77777777" w:rsidR="00690943" w:rsidRDefault="00000000">
      <w:pPr>
        <w:spacing w:after="160" w:line="360" w:lineRule="auto"/>
        <w:jc w:val="both"/>
      </w:pPr>
      <w:r>
        <w:t xml:space="preserve">The following recommendations are derived directly from the empirical findings of this study and are intended to be practical and actionable for NHS Wales </w:t>
      </w:r>
      <w:r>
        <w:lastRenderedPageBreak/>
        <w:t>policymakers, health board leaders, clinical governance teams, and digital health strategists.</w:t>
      </w:r>
    </w:p>
    <w:p w14:paraId="25154694" w14:textId="77777777" w:rsidR="00690943" w:rsidRDefault="00000000">
      <w:pPr>
        <w:spacing w:after="160" w:line="360" w:lineRule="auto"/>
        <w:jc w:val="both"/>
      </w:pPr>
      <w:r>
        <w:rPr>
          <w:b/>
          <w:bCs/>
          <w:color w:val="366091"/>
        </w:rPr>
        <w:t xml:space="preserve">Recommendation 1: </w:t>
      </w:r>
      <w:r>
        <w:t>Prioritise digital interoperability between the Welsh Clinical Portal and the Welsh High-Cost Drugs System as a strategic NHS Wales digital health goal. Investment in shared data architectures, unified authentication, and automated data transfer between systems would simultaneously reduce clinician burden, lower transcription error risk, improve data quality, and shorten approval timelines. This should be treated as an infrastructure priority comparable in urgency to clinical safety improvements.</w:t>
      </w:r>
    </w:p>
    <w:p w14:paraId="3C415ED4" w14:textId="77777777" w:rsidR="00690943" w:rsidRDefault="00000000">
      <w:pPr>
        <w:spacing w:after="160" w:line="360" w:lineRule="auto"/>
        <w:jc w:val="both"/>
      </w:pPr>
      <w:r>
        <w:rPr>
          <w:b/>
          <w:bCs/>
          <w:color w:val="366091"/>
        </w:rPr>
        <w:t xml:space="preserve">Recommendation 2: </w:t>
      </w:r>
      <w:r>
        <w:t>Prove mandatory data completeness standards for Welsh High-Cost Drugs System records, with regular data quality audits conducted at health board level. All fields needed for governance evaluation should be appointed as mandatory, with completion rates checked and reported as a key performance indicator. Health boards should be provided with structured feedback on data quality to enable continuous improvement.</w:t>
      </w:r>
    </w:p>
    <w:p w14:paraId="32DFB44C" w14:textId="77777777" w:rsidR="00690943" w:rsidRDefault="00000000">
      <w:pPr>
        <w:spacing w:after="160" w:line="360" w:lineRule="auto"/>
        <w:jc w:val="both"/>
      </w:pPr>
      <w:r>
        <w:rPr>
          <w:b/>
          <w:bCs/>
          <w:color w:val="366091"/>
        </w:rPr>
        <w:t>Recommendation 3</w:t>
      </w:r>
      <w:r>
        <w:rPr>
          <w:b/>
          <w:bCs/>
        </w:rPr>
        <w:t xml:space="preserve">: </w:t>
      </w:r>
      <w:r>
        <w:t>Conduct a formal equity audit of geographical access to high-cost rheumatology therapies across NHS Wales, incorporating deprivation indices, travel-to-treatment distances, referral pathway data, and waiting time information. Such an audit would enable determination of whether the observed distribution reflects right service centralisation or structural access barriers and would provide the evidence base for targeted capacity-building interventions.</w:t>
      </w:r>
    </w:p>
    <w:p w14:paraId="4B1493D0" w14:textId="77777777" w:rsidR="00690943" w:rsidRDefault="00000000">
      <w:pPr>
        <w:spacing w:after="160" w:line="360" w:lineRule="auto"/>
        <w:jc w:val="both"/>
      </w:pPr>
      <w:r>
        <w:rPr>
          <w:b/>
          <w:bCs/>
          <w:color w:val="366091"/>
        </w:rPr>
        <w:t xml:space="preserve">Recommendation 4: </w:t>
      </w:r>
      <w:r>
        <w:t>Strengthen medical and patient safety monitoring for JAK inhibitors within the Welsh High-Cost Drugs System, considering evolving MHRA guidance on cardiovascular, thrombotic, and malignancy risk. This should include systematic outcome monitoring fields, linkage with primary care safety alert systems, and regular reporting of real-world safety data to AWTTC and AWMSG.</w:t>
      </w:r>
    </w:p>
    <w:p w14:paraId="6F7761FC" w14:textId="77777777" w:rsidR="00690943" w:rsidRDefault="00000000">
      <w:pPr>
        <w:spacing w:after="160" w:line="360" w:lineRule="auto"/>
        <w:jc w:val="both"/>
      </w:pPr>
      <w:r>
        <w:rPr>
          <w:b/>
          <w:bCs/>
          <w:color w:val="366091"/>
        </w:rPr>
        <w:t xml:space="preserve">Recommendation 5: </w:t>
      </w:r>
      <w:r>
        <w:t>Review approval processing workflows to find and address the sources of temporal clustering in treatment initiations and develop pathway redesign interventions accordingly.</w:t>
      </w:r>
    </w:p>
    <w:p w14:paraId="51F6EF11" w14:textId="77777777" w:rsidR="00690943" w:rsidRDefault="00000000">
      <w:pPr>
        <w:spacing w:after="160" w:line="360" w:lineRule="auto"/>
        <w:jc w:val="both"/>
      </w:pPr>
      <w:r>
        <w:rPr>
          <w:b/>
          <w:bCs/>
          <w:color w:val="366091"/>
        </w:rPr>
        <w:lastRenderedPageBreak/>
        <w:t>Recommendation 6</w:t>
      </w:r>
      <w:r>
        <w:rPr>
          <w:b/>
          <w:bCs/>
        </w:rPr>
        <w:t xml:space="preserve">: </w:t>
      </w:r>
      <w:r>
        <w:t>Expand qualitative research with a broader range of HCD system stakeholders, including prescribing rheumatologists, specialist nurses, and patients. Patient perspectives on treatment access, approval transparency, and governance communication represent a critical and currently absent dimension of system evaluation. Incorporating patient voices would align with the prudent healthcare principle of co-production.</w:t>
      </w:r>
    </w:p>
    <w:p w14:paraId="093E3605" w14:textId="77777777" w:rsidR="00690943" w:rsidRDefault="00000000">
      <w:pPr>
        <w:pStyle w:val="Heading2"/>
        <w:rPr>
          <w:sz w:val="24"/>
          <w:szCs w:val="24"/>
        </w:rPr>
      </w:pPr>
      <w:bookmarkStart w:id="61" w:name="_9l9dap7cql5o" w:colFirst="0" w:colLast="0"/>
      <w:bookmarkEnd w:id="61"/>
      <w:r>
        <w:rPr>
          <w:sz w:val="24"/>
          <w:szCs w:val="24"/>
        </w:rPr>
        <w:t>6.2 Directions for Future Research</w:t>
      </w:r>
    </w:p>
    <w:p w14:paraId="32AB254D" w14:textId="77777777" w:rsidR="00690943" w:rsidRDefault="00000000">
      <w:pPr>
        <w:spacing w:after="160" w:line="360" w:lineRule="auto"/>
        <w:jc w:val="both"/>
      </w:pPr>
      <w:r>
        <w:t>This study has found numerous productive directions for future research. Most at once, a prospective study linking Welsh High-Cost Drugs System records with clinical outcome data, including disease activity scores, functional assessments, and patient-reported outcome measures, would enable direct evaluation of the relationship between governance processes and patient health outcomes. Such a study would provide the outcome-level evidence that this analysis, constrained by data availability, could not generate.</w:t>
      </w:r>
    </w:p>
    <w:p w14:paraId="6AC2B963" w14:textId="06A5B29F" w:rsidR="00690943" w:rsidRDefault="00527ECC">
      <w:pPr>
        <w:spacing w:after="160" w:line="360" w:lineRule="auto"/>
        <w:jc w:val="both"/>
        <w:rPr>
          <w:highlight w:val="white"/>
        </w:rPr>
      </w:pPr>
      <w:r>
        <w:rPr>
          <w:b/>
          <w:bCs/>
          <w:color w:val="366091"/>
        </w:rPr>
        <w:t>Conclusion:</w:t>
      </w:r>
      <w:r w:rsidR="00000000">
        <w:rPr>
          <w:highlight w:val="white"/>
        </w:rPr>
        <w:t xml:space="preserve"> A Candid Reflection on the Limitations and Lessons of this Study</w:t>
      </w:r>
    </w:p>
    <w:p w14:paraId="4B4EF091" w14:textId="016D1A72" w:rsidR="00690943" w:rsidRDefault="00000000">
      <w:pPr>
        <w:spacing w:after="160" w:line="360" w:lineRule="auto"/>
        <w:jc w:val="both"/>
        <w:rPr>
          <w:highlight w:val="white"/>
        </w:rPr>
      </w:pPr>
      <w:r>
        <w:rPr>
          <w:highlight w:val="white"/>
        </w:rPr>
        <w:t xml:space="preserve">This dissertation set out to evaluate the Welsh High-Cost Drugs governance system in the context of rheumatology care in NHS Wales. While the research has generated meaningful findings, intellectual honesty requires a frank acknowledgement of the significant limitations that constrain what can be concluded from it, and of what could have been done </w:t>
      </w:r>
      <w:r w:rsidR="00527ECC">
        <w:rPr>
          <w:highlight w:val="white"/>
        </w:rPr>
        <w:t>differently. The</w:t>
      </w:r>
      <w:r>
        <w:rPr>
          <w:highlight w:val="white"/>
        </w:rPr>
        <w:t xml:space="preserve"> most fundamental limitation is that this study was built upon a pilot dataset. The North Wales Rheumatology Biosimilar Pilot was conducted exclusively within Betsi Cadwaladr University Health Board, covered only rheumatoid arthritis, and ran for a period of approximately three months before national rollout. The data are therefore not representative of high-cost drug prescribing across rheumatology in </w:t>
      </w:r>
      <w:r w:rsidR="00527ECC">
        <w:rPr>
          <w:highlight w:val="white"/>
        </w:rPr>
        <w:t>NHS Wales, nor</w:t>
      </w:r>
      <w:r>
        <w:rPr>
          <w:highlight w:val="white"/>
        </w:rPr>
        <w:t xml:space="preserve"> do they capture the full breadth of rheumatological conditions managed through the Welsh High-Cost Drugs System. Conditions including psoriatic arthritis, ankylosing spondylitis, and idiopathic inflammatory myopathies are all managed with biologic and targeted therapies subject to the same governance framework, yet none are represented in the dataset. This was a poor choice of data source for a study seeking to evaluate system-wide governance effectiveness, and with the benefit of hindsight, a different disease </w:t>
      </w:r>
      <w:r>
        <w:rPr>
          <w:highlight w:val="white"/>
        </w:rPr>
        <w:lastRenderedPageBreak/>
        <w:t xml:space="preserve">area or a multi-health-board dataset covering a full year of operation would have produced richer, more generalisable, and academically stronger </w:t>
      </w:r>
      <w:r w:rsidR="00527ECC">
        <w:rPr>
          <w:highlight w:val="white"/>
        </w:rPr>
        <w:t>findings. The</w:t>
      </w:r>
      <w:r>
        <w:rPr>
          <w:highlight w:val="white"/>
        </w:rPr>
        <w:t xml:space="preserve"> qualitative component compounded this limitation. Of the eight participants invited to take part in semi-structured interviews, only two responded. This was not a reflection of research design but of the stark reality of NHS Wales workforce pressures at the time of data collection: posts were vacant across health boards, staff were on long-term sick leave, and the researcher was personally impacted by bereavement leave. The result is that the qualitative findings, whilst substantive and expert, are indicative at best and cannot be considered representative of the views of clinicians, pharmacists, and governance leads across </w:t>
      </w:r>
      <w:r w:rsidR="00527ECC">
        <w:rPr>
          <w:highlight w:val="white"/>
        </w:rPr>
        <w:t>Wales. The</w:t>
      </w:r>
      <w:r>
        <w:rPr>
          <w:highlight w:val="white"/>
        </w:rPr>
        <w:t xml:space="preserve"> data also revealed a structural problem that goes beyond study design: the Welsh High-Cost Drugs System, the Welsh Clinical Portal, and all other NHS Wales digital platforms operate in silos. They are standalone systems that do not speak to one another, share data, or enable joined-up governance intelligence. There is no digital infrastructure, no shared funding model, no dedicated resource, and no protected time for end users to engage consistently with the system. This is not a user motivation problem but a system design failure. Clinicians and pharmacists are being asked to duplicate data manually across platforms that were never built to integrate, without the tools, training, or time to do so reliably. Until this is resolved, the governance ambition embedded in Welsh HCD policy will remain only partially realised in </w:t>
      </w:r>
      <w:r w:rsidR="00527ECC">
        <w:rPr>
          <w:highlight w:val="white"/>
        </w:rPr>
        <w:t>practice. A</w:t>
      </w:r>
      <w:r>
        <w:rPr>
          <w:highlight w:val="white"/>
        </w:rPr>
        <w:t xml:space="preserve"> further structural inequity that this study cannot resolve is the opacity of drug pricing across the devolved nations. Wales does not know what England pays for high-cost medicines. NHS England negotiates commercial pricing agreements under confidentiality arrangements that are not shared across the UK, meaning that Wales cannot benchmark its procurement costs, cannot verify whether it is paying a fair price, and cannot leverage the kind of volume-based negotiating power that a unified UK approach might enable. This is not a level playing field, and it places Welsh health boards at a structural disadvantage that no amount of governance reform can address without policy change at a UK level. Access to equivalent pricing data from England, Scotland, and Ireland would transform the ability of AWMSG and AWTTC to make evidence-based procurement decisions, but the commercial sensitivity and confidentiality of these arrangements means that meaningful </w:t>
      </w:r>
      <w:r>
        <w:rPr>
          <w:highlight w:val="white"/>
        </w:rPr>
        <w:lastRenderedPageBreak/>
        <w:t xml:space="preserve">data sharing is unlikely </w:t>
      </w:r>
      <w:r w:rsidR="00527ECC">
        <w:rPr>
          <w:highlight w:val="white"/>
        </w:rPr>
        <w:t>soon. It</w:t>
      </w:r>
      <w:r>
        <w:rPr>
          <w:highlight w:val="white"/>
        </w:rPr>
        <w:t xml:space="preserve"> is also important to note that the Welsh Government mandated the use of the High-Cost Drugs System through the Welsh Circular in 2022, requiring each health board to submit high-cost drug forms as a condition of governance compliance. The practical significance of this requirement extends beyond administrative tidiness: if every health board consistently submits a high-cost drug form for every eligible prescription, NHS Wales can claim the manufacturer rebate associated with that drug, and those rebate funds flow back to the pharmacy budget. In effect, the Welsh High-Cost Drugs System, when used correctly and consistently, pays for itself. The irony is that the very resource and digital infrastructure constraints that prevent consistent use of the system are also preventing Welsh health boards from claiming </w:t>
      </w:r>
      <w:r w:rsidR="00527ECC">
        <w:rPr>
          <w:highlight w:val="white"/>
        </w:rPr>
        <w:t>rebates to which they are entitled</w:t>
      </w:r>
      <w:r>
        <w:rPr>
          <w:highlight w:val="white"/>
        </w:rPr>
        <w:t xml:space="preserve">. The push-back from health boards is understandable given the absence of resource, time, and digital support, but the financial consequence of non-compliance is a net loss to the pharmacy budget that NHS Wales can ill </w:t>
      </w:r>
      <w:r w:rsidR="00527ECC">
        <w:rPr>
          <w:highlight w:val="white"/>
        </w:rPr>
        <w:t>afford. This</w:t>
      </w:r>
      <w:r>
        <w:rPr>
          <w:highlight w:val="white"/>
        </w:rPr>
        <w:t xml:space="preserve"> study has been genuinely valuable in surfacing these tensions and in providing the first empirical evaluation of the Welsh HCD governance system in a rheumatology context, however limited the dataset. The biosimilar adoption findings are a genuine policy success story. The digital infrastructure findings are an urgent call to action. And the honest reflection on the limitations of the pilot design is itself a contribution, because it establishes clearly what a properly powered, multi-health-board, multi-disease evaluation of the Welsh HCD system would need to look like to generate the evidence that policymakers, clinicians, and health board executives require.</w:t>
      </w:r>
    </w:p>
    <w:p w14:paraId="2E6FD034" w14:textId="77777777" w:rsidR="00690943" w:rsidRDefault="00000000">
      <w:pPr>
        <w:spacing w:after="160" w:line="360" w:lineRule="auto"/>
        <w:jc w:val="both"/>
      </w:pPr>
      <w:r>
        <w:t>A comparative study examining HCD governance effectiveness across all six NHS Wales health boards, with sufficient sample size to enable statistical analysis of regional variation, would provide the equity evidence that the current dataset cannot offer. Incorporating deprivation data, rurality indices, and service configuration variables would enable multivariate analysis of the factors associated with access disparities.</w:t>
      </w:r>
    </w:p>
    <w:p w14:paraId="12933974" w14:textId="77777777" w:rsidR="00690943" w:rsidRDefault="00000000">
      <w:pPr>
        <w:spacing w:after="160" w:line="360" w:lineRule="auto"/>
        <w:jc w:val="both"/>
      </w:pPr>
      <w:r>
        <w:t xml:space="preserve">Research examining the impact of digital interoperability improvements on governance outcomes, should such improvements be implemented, would provide prospective evaluation evidence relevant both to NHS Wales and to other publicly funded health systems. A before-and-after design incorporating </w:t>
      </w:r>
      <w:r>
        <w:lastRenderedPageBreak/>
        <w:t>data quality metrics, approval timeline analysis, and stakeholder experience measures would generate actionable evidence on the returns to digital infrastructure investment.</w:t>
      </w:r>
    </w:p>
    <w:p w14:paraId="350FD375" w14:textId="77777777" w:rsidR="00690943" w:rsidRDefault="00000000">
      <w:pPr>
        <w:spacing w:after="160" w:line="360" w:lineRule="auto"/>
        <w:jc w:val="both"/>
      </w:pPr>
      <w:r>
        <w:t>Finally, an economic evaluation of the Welsh HCD governance system, estimating the administrative costs of the current fragmented approach against the potential savings from integrated digital governance, would strengthen the business case for investment and provide health board executives with the financial evidence needed to prioritise digital infrastructure alongside clinical and service improvement initiatives.</w:t>
      </w:r>
    </w:p>
    <w:p w14:paraId="3B3011CF" w14:textId="77777777" w:rsidR="00690943" w:rsidRDefault="00000000">
      <w:pPr>
        <w:spacing w:after="160" w:line="360" w:lineRule="auto"/>
        <w:jc w:val="both"/>
      </w:pPr>
      <w:r>
        <w:t>The Welsh High-Cost Drugs governance system stands for a genuine and meaningful attempt to operationalise value-based healthcare principles in the management of expensive rheumatology medicines. The biosimilar adoption data shows that, where governance mechanisms are well designed and consistently applied, they can achieve population-level changes in clinical practice that deliver both patient value and system sustainability. This achievement should be recognised and built upon.</w:t>
      </w:r>
    </w:p>
    <w:p w14:paraId="3E281807" w14:textId="77777777" w:rsidR="00690943" w:rsidRDefault="00000000">
      <w:pPr>
        <w:spacing w:after="160" w:line="360" w:lineRule="auto"/>
        <w:jc w:val="both"/>
      </w:pPr>
      <w:r>
        <w:t>At the same time, this study has shown that governance effectiveness is not decided solely by policy design. It is mediated, and in important respects constrained, by the digital infrastructure through which governance processes are enacted, the organisational cultures in which clinicians and pharmacists use, and the data architectures that either enable or prevent the evidence generation on which learning and improvement depend. The gap between the VBHC ambition of the Welsh HCD system and its current operational reality is not a governance failure. It is a solvable problem, and one that this study has tried to characterise with sufficient precision to make its solution achievable.</w:t>
      </w:r>
    </w:p>
    <w:p w14:paraId="232E989D" w14:textId="77777777" w:rsidR="00690943" w:rsidRDefault="00000000">
      <w:pPr>
        <w:spacing w:after="160" w:line="360" w:lineRule="auto"/>
        <w:jc w:val="both"/>
      </w:pPr>
      <w:r>
        <w:t xml:space="preserve">The principles of prudent healthcare, fair access, and value-based stewardship that underpin NHS Wales policy are sound and worth pursuing. Realising them fully requires investment in the digital foundations, data standards, and organisational capacity that governance systems depend upon. This study has provided the empirical evidence, the analytical framework, and the practical recommendations to support that investment. Hence, addressing this gap </w:t>
      </w:r>
      <w:r>
        <w:lastRenderedPageBreak/>
        <w:t>requires concerted action at the intersection of digital infrastructure, governance design, and workforce capacity.</w:t>
      </w:r>
    </w:p>
    <w:p w14:paraId="4DA1913B" w14:textId="77777777" w:rsidR="00690943" w:rsidRDefault="00690943">
      <w:pPr>
        <w:pStyle w:val="Heading1"/>
        <w:jc w:val="center"/>
        <w:rPr>
          <w:sz w:val="24"/>
          <w:szCs w:val="24"/>
        </w:rPr>
      </w:pPr>
    </w:p>
    <w:p w14:paraId="4A4D683D" w14:textId="77777777" w:rsidR="00690943" w:rsidRDefault="00690943">
      <w:pPr>
        <w:pStyle w:val="Heading1"/>
        <w:jc w:val="center"/>
        <w:rPr>
          <w:sz w:val="24"/>
          <w:szCs w:val="24"/>
        </w:rPr>
      </w:pPr>
    </w:p>
    <w:p w14:paraId="16A4C3E7" w14:textId="77777777" w:rsidR="00690943" w:rsidRDefault="00690943">
      <w:pPr>
        <w:pStyle w:val="Heading1"/>
        <w:jc w:val="center"/>
        <w:rPr>
          <w:sz w:val="24"/>
          <w:szCs w:val="24"/>
        </w:rPr>
      </w:pPr>
    </w:p>
    <w:p w14:paraId="49FC434B" w14:textId="77777777" w:rsidR="00690943" w:rsidRDefault="00690943">
      <w:pPr>
        <w:pStyle w:val="Heading1"/>
        <w:jc w:val="center"/>
        <w:rPr>
          <w:sz w:val="24"/>
          <w:szCs w:val="24"/>
        </w:rPr>
      </w:pPr>
    </w:p>
    <w:p w14:paraId="6DAE6DEF" w14:textId="77777777" w:rsidR="00690943" w:rsidRDefault="00690943">
      <w:pPr>
        <w:pStyle w:val="Heading1"/>
        <w:jc w:val="center"/>
        <w:rPr>
          <w:sz w:val="24"/>
          <w:szCs w:val="24"/>
        </w:rPr>
      </w:pPr>
    </w:p>
    <w:p w14:paraId="57BC53EC" w14:textId="77777777" w:rsidR="00690943" w:rsidRDefault="00690943">
      <w:pPr>
        <w:pStyle w:val="Heading1"/>
        <w:jc w:val="center"/>
        <w:rPr>
          <w:sz w:val="24"/>
          <w:szCs w:val="24"/>
        </w:rPr>
      </w:pPr>
    </w:p>
    <w:p w14:paraId="6EEC665D" w14:textId="77777777" w:rsidR="00690943" w:rsidRDefault="00690943">
      <w:pPr>
        <w:pStyle w:val="Heading1"/>
        <w:jc w:val="center"/>
        <w:rPr>
          <w:sz w:val="24"/>
          <w:szCs w:val="24"/>
        </w:rPr>
      </w:pPr>
    </w:p>
    <w:p w14:paraId="7E1FF19F" w14:textId="77777777" w:rsidR="00690943" w:rsidRDefault="00690943">
      <w:pPr>
        <w:pStyle w:val="Heading1"/>
        <w:jc w:val="center"/>
        <w:rPr>
          <w:sz w:val="24"/>
          <w:szCs w:val="24"/>
        </w:rPr>
      </w:pPr>
    </w:p>
    <w:p w14:paraId="2A855A12" w14:textId="77777777" w:rsidR="00690943" w:rsidRDefault="00000000">
      <w:pPr>
        <w:rPr>
          <w:b/>
          <w:bCs/>
          <w:color w:val="1F4E79"/>
        </w:rPr>
      </w:pPr>
      <w:r>
        <w:br w:type="page"/>
      </w:r>
    </w:p>
    <w:p w14:paraId="58DD4160" w14:textId="77777777" w:rsidR="00690943" w:rsidRDefault="00000000">
      <w:pPr>
        <w:pStyle w:val="Heading1"/>
        <w:rPr>
          <w:sz w:val="24"/>
          <w:szCs w:val="24"/>
        </w:rPr>
      </w:pPr>
      <w:bookmarkStart w:id="62" w:name="_8p2xs95glxct" w:colFirst="0" w:colLast="0"/>
      <w:bookmarkEnd w:id="62"/>
      <w:r>
        <w:rPr>
          <w:sz w:val="24"/>
          <w:szCs w:val="24"/>
        </w:rPr>
        <w:lastRenderedPageBreak/>
        <w:t>References</w:t>
      </w:r>
    </w:p>
    <w:p w14:paraId="3B21DBBD" w14:textId="673AD05E" w:rsidR="00690943" w:rsidRDefault="00000000">
      <w:pPr>
        <w:spacing w:before="240" w:after="240"/>
        <w:ind w:firstLine="720"/>
      </w:pPr>
      <w:bookmarkStart w:id="63" w:name="_Int_RRumsTau"/>
      <w:r>
        <w:t xml:space="preserve">Ahmad, </w:t>
      </w:r>
      <w:r w:rsidR="00527ECC">
        <w:t>M.,</w:t>
      </w:r>
      <w:r>
        <w:t xml:space="preserve"> and Wilkins, S. (2025) ‘Purposive sampling in qualitative research: A framework for the entire journey’, </w:t>
      </w:r>
      <w:r>
        <w:rPr>
          <w:i/>
          <w:iCs/>
        </w:rPr>
        <w:t>Quality and Quantity</w:t>
      </w:r>
      <w:r>
        <w:t>, 59(2), pp. 1461–1479.</w:t>
      </w:r>
      <w:bookmarkEnd w:id="63"/>
      <w:r w:rsidR="00CA4EAF">
        <w:t xml:space="preserve"> (“Purposive sampling in qualitative research: a framework ... - EconPapers”)</w:t>
      </w:r>
    </w:p>
    <w:p w14:paraId="1CF7AFAA" w14:textId="77777777" w:rsidR="00690943" w:rsidRDefault="00000000">
      <w:pPr>
        <w:spacing w:before="240" w:after="240"/>
        <w:ind w:firstLine="720"/>
      </w:pPr>
      <w:r>
        <w:t xml:space="preserve">All Wales Medicines Strategy Group (AWMSG) (2022) </w:t>
      </w:r>
      <w:r>
        <w:rPr>
          <w:i/>
          <w:iCs/>
        </w:rPr>
        <w:t>Value-based prescribing strategy</w:t>
      </w:r>
      <w:r>
        <w:t>. Cardiff: AWMSG.</w:t>
      </w:r>
    </w:p>
    <w:p w14:paraId="651AC39A" w14:textId="77777777" w:rsidR="00690943" w:rsidRDefault="00000000">
      <w:pPr>
        <w:spacing w:before="240" w:after="240"/>
        <w:ind w:firstLine="720"/>
      </w:pPr>
      <w:r>
        <w:t xml:space="preserve">All Wales Medicines Strategy Group (AWMSG) (2023) </w:t>
      </w:r>
      <w:r>
        <w:rPr>
          <w:i/>
          <w:iCs/>
        </w:rPr>
        <w:t>All Wales Medicines Strategy Annual Report 2023</w:t>
      </w:r>
      <w:r>
        <w:t>. Cardiff: NHS Wales.</w:t>
      </w:r>
    </w:p>
    <w:p w14:paraId="4ECEE9A6" w14:textId="77777777" w:rsidR="00690943" w:rsidRDefault="00000000">
      <w:pPr>
        <w:spacing w:before="240" w:after="240"/>
        <w:ind w:firstLine="720"/>
      </w:pPr>
      <w:r>
        <w:t xml:space="preserve">Association of the British Pharmaceutical Industry (ABPI) (2019) </w:t>
      </w:r>
      <w:r>
        <w:rPr>
          <w:i/>
          <w:iCs/>
        </w:rPr>
        <w:t>Market access in NHS Wales</w:t>
      </w:r>
      <w:r>
        <w:t>. London: ABPI.</w:t>
      </w:r>
    </w:p>
    <w:p w14:paraId="72E6650F" w14:textId="77777777" w:rsidR="00690943" w:rsidRDefault="00000000">
      <w:pPr>
        <w:spacing w:before="240" w:after="240"/>
        <w:ind w:firstLine="720"/>
        <w:rPr>
          <w:color w:val="1155CC"/>
          <w:u w:val="single"/>
        </w:rPr>
      </w:pPr>
      <w:r>
        <w:t xml:space="preserve">AWTTC (2023) </w:t>
      </w:r>
      <w:r>
        <w:rPr>
          <w:i/>
          <w:iCs/>
        </w:rPr>
        <w:t>Blueteq High-Cost Drug System</w:t>
      </w:r>
      <w:r>
        <w:t>. Cardiff: All Wales Therapeutics and Toxicology Centre. Available at:</w:t>
      </w:r>
      <w:hyperlink r:id="rId5">
        <w:r>
          <w:t xml:space="preserve"> </w:t>
        </w:r>
      </w:hyperlink>
      <w:hyperlink r:id="rId6">
        <w:r>
          <w:rPr>
            <w:color w:val="1155CC"/>
            <w:u w:val="single"/>
          </w:rPr>
          <w:t>https://awttc.nhs.wales/pages/blueteq-high-cost-drug-system/</w:t>
        </w:r>
      </w:hyperlink>
    </w:p>
    <w:p w14:paraId="0BBFF5E6" w14:textId="77777777" w:rsidR="00690943" w:rsidRDefault="00000000">
      <w:pPr>
        <w:spacing w:before="240" w:after="240"/>
        <w:ind w:firstLine="720"/>
        <w:rPr>
          <w:color w:val="1155CC"/>
          <w:u w:val="single"/>
        </w:rPr>
      </w:pPr>
      <w:r>
        <w:t xml:space="preserve">AWTTC (2024) </w:t>
      </w:r>
      <w:r>
        <w:rPr>
          <w:i/>
          <w:iCs/>
        </w:rPr>
        <w:t>All Wales Medicines Strategy: High-Cost Drugs Framework</w:t>
      </w:r>
      <w:r>
        <w:t>. Cardiff: All Wales Therapeutics and Toxicology Centre. Available at:</w:t>
      </w:r>
      <w:hyperlink r:id="rId7">
        <w:r>
          <w:t xml:space="preserve"> </w:t>
        </w:r>
      </w:hyperlink>
      <w:hyperlink r:id="rId8">
        <w:r>
          <w:rPr>
            <w:color w:val="1155CC"/>
            <w:u w:val="single"/>
          </w:rPr>
          <w:t>https://awttc.nhs.wales/</w:t>
        </w:r>
      </w:hyperlink>
    </w:p>
    <w:p w14:paraId="5E493F5C" w14:textId="77777777" w:rsidR="00690943" w:rsidRDefault="00000000">
      <w:pPr>
        <w:spacing w:before="240" w:after="240"/>
        <w:ind w:firstLine="720"/>
      </w:pPr>
      <w:r>
        <w:t xml:space="preserve">Baines, D. (2018) ‘High-cost medicines in England’, in </w:t>
      </w:r>
      <w:r>
        <w:rPr>
          <w:i/>
          <w:iCs/>
        </w:rPr>
        <w:t>Equitable Access to High-Cost Pharmaceuticals</w:t>
      </w:r>
      <w:r>
        <w:t>. Academic Press, pp. 23–34.</w:t>
      </w:r>
    </w:p>
    <w:p w14:paraId="3B109F36" w14:textId="2CBD6FD2" w:rsidR="00690943" w:rsidRDefault="00000000">
      <w:pPr>
        <w:spacing w:before="240" w:after="240"/>
        <w:ind w:firstLine="720"/>
      </w:pPr>
      <w:r>
        <w:t xml:space="preserve">Bernabeu, M.O., Lu, Y., Abu-Qamar, O., Aiello, </w:t>
      </w:r>
      <w:r w:rsidR="00527ECC">
        <w:t>L.P.,</w:t>
      </w:r>
      <w:r>
        <w:t xml:space="preserve"> and Sun, J.K. (2018) ‘Estimation of diabetic retinal microaneurysm perfusion parameters’, </w:t>
      </w:r>
      <w:r>
        <w:rPr>
          <w:i/>
          <w:iCs/>
        </w:rPr>
        <w:t>Frontiers in Physiology</w:t>
      </w:r>
      <w:r>
        <w:t>, 9, p. 989.</w:t>
      </w:r>
    </w:p>
    <w:p w14:paraId="07B8BEF3" w14:textId="5E7451F1" w:rsidR="00690943" w:rsidRDefault="00000000">
      <w:pPr>
        <w:spacing w:before="240" w:after="240"/>
        <w:ind w:firstLine="720"/>
      </w:pPr>
      <w:r>
        <w:t xml:space="preserve">Bianchim, M.S., Crane, E., Jones, A., Noyes, J., Neukirchinger, B., Roberts, </w:t>
      </w:r>
      <w:r w:rsidR="00527ECC">
        <w:t>G.,</w:t>
      </w:r>
      <w:r>
        <w:t xml:space="preserve"> and McLaughlin, L. (2023) ‘The implementation, use and impact of patient-reported outcome measures in value-based healthcare programmes: a scoping review’, </w:t>
      </w:r>
      <w:r>
        <w:rPr>
          <w:i/>
          <w:iCs/>
        </w:rPr>
        <w:t>PLOS ONE</w:t>
      </w:r>
      <w:r>
        <w:t>, 18(12), e0290976.</w:t>
      </w:r>
    </w:p>
    <w:p w14:paraId="55822C12" w14:textId="77777777" w:rsidR="00690943" w:rsidRDefault="00000000">
      <w:pPr>
        <w:spacing w:before="240" w:after="240"/>
        <w:ind w:firstLine="720"/>
      </w:pPr>
      <w:r>
        <w:t xml:space="preserve">Boyadzieva, V.V., Stoilov, N., Stoilov, R.M., Tachkov, K., Kamusheva, M., Mitov, K. and Petrova, G.I. (2018) ‘Quality of life and cost study of rheumatoid arthritis therapy with biological medicines’, </w:t>
      </w:r>
      <w:r>
        <w:rPr>
          <w:i/>
          <w:iCs/>
        </w:rPr>
        <w:t>Frontiers in Pharmacology</w:t>
      </w:r>
      <w:r>
        <w:t>, 9, p. 794.</w:t>
      </w:r>
    </w:p>
    <w:p w14:paraId="7DE1866D" w14:textId="77777777" w:rsidR="00690943" w:rsidRDefault="00000000">
      <w:pPr>
        <w:spacing w:before="240" w:after="240"/>
        <w:ind w:firstLine="720"/>
      </w:pPr>
      <w:r>
        <w:t xml:space="preserve">Bradley, P., Willson, A., Buss, P., Harrhy, S., Laing, H., Shortland, G., van Woerden, H.C., Matthias, J. and Puntoni, S. (2014) </w:t>
      </w:r>
      <w:r>
        <w:rPr>
          <w:i/>
          <w:iCs/>
        </w:rPr>
        <w:t>Achieving prudent healthcare in NHS Wales</w:t>
      </w:r>
      <w:r>
        <w:t>. Cardiff: Public Health Wales.</w:t>
      </w:r>
    </w:p>
    <w:p w14:paraId="4FEF0646" w14:textId="77777777" w:rsidR="00690943" w:rsidRDefault="00000000">
      <w:pPr>
        <w:spacing w:before="240" w:after="240"/>
        <w:ind w:firstLine="720"/>
      </w:pPr>
      <w:r>
        <w:t xml:space="preserve">Carnago, L., Holbrook, K., Leverenz, D. and Dimsdale, A. (2023) ‘A model of care redesign within rheumatology: A mixed methods approach integrating nurse practitioners and physician assistants’, </w:t>
      </w:r>
      <w:r>
        <w:rPr>
          <w:i/>
          <w:iCs/>
        </w:rPr>
        <w:t>Journal of the American Association of Nurse Practitioners</w:t>
      </w:r>
      <w:r>
        <w:t>, pp. 10–1097.</w:t>
      </w:r>
    </w:p>
    <w:p w14:paraId="1FD07CE1" w14:textId="77777777" w:rsidR="00690943" w:rsidRDefault="00000000">
      <w:pPr>
        <w:spacing w:before="240" w:after="240"/>
        <w:ind w:firstLine="720"/>
      </w:pPr>
      <w:r>
        <w:lastRenderedPageBreak/>
        <w:t xml:space="preserve">Champion, A.R. (2021) ‘Managing access to advanced therapy medicinal products: current experience in Wales’, </w:t>
      </w:r>
      <w:r>
        <w:rPr>
          <w:i/>
          <w:iCs/>
        </w:rPr>
        <w:t>British Journal of Clinical Pharmacology</w:t>
      </w:r>
      <w:r>
        <w:t>, 87(3), pp. 1250–1257.</w:t>
      </w:r>
    </w:p>
    <w:p w14:paraId="1C53883A" w14:textId="77777777" w:rsidR="00690943" w:rsidRDefault="00000000">
      <w:pPr>
        <w:spacing w:before="240" w:after="240"/>
        <w:ind w:firstLine="720"/>
      </w:pPr>
      <w:r>
        <w:t xml:space="preserve">Checkland, P. (1981) </w:t>
      </w:r>
      <w:r>
        <w:rPr>
          <w:i/>
          <w:iCs/>
        </w:rPr>
        <w:t>Systems Thinking, Systems Practice</w:t>
      </w:r>
      <w:r>
        <w:t>. Chichester: Wiley.</w:t>
      </w:r>
    </w:p>
    <w:p w14:paraId="4B9DCD4C" w14:textId="1334DC20" w:rsidR="00690943" w:rsidRDefault="00000000">
      <w:pPr>
        <w:spacing w:before="240" w:after="240"/>
        <w:ind w:firstLine="720"/>
      </w:pPr>
      <w:r>
        <w:t xml:space="preserve">Condon, P., Simpson, </w:t>
      </w:r>
      <w:r w:rsidR="00527ECC">
        <w:t>J.,</w:t>
      </w:r>
      <w:r>
        <w:t xml:space="preserve"> and Emanuel, M. (2022) ‘Research data integrity: A cornerstone of rigorous and reproducible research’, </w:t>
      </w:r>
      <w:r>
        <w:rPr>
          <w:i/>
          <w:iCs/>
        </w:rPr>
        <w:t>IASSIST Quarterly</w:t>
      </w:r>
      <w:r>
        <w:t>, 46(3).</w:t>
      </w:r>
    </w:p>
    <w:p w14:paraId="7FD9A73C" w14:textId="77777777" w:rsidR="00690943" w:rsidRDefault="00000000">
      <w:pPr>
        <w:spacing w:before="240" w:after="240"/>
        <w:ind w:firstLine="720"/>
      </w:pPr>
      <w:r>
        <w:t xml:space="preserve">Danzon, P., Towse, A. and Mestre-Ferrandiz, J. (2015) ‘Value-based differential pricing: efficient prices for drugs in a global context’, </w:t>
      </w:r>
      <w:r>
        <w:rPr>
          <w:i/>
          <w:iCs/>
        </w:rPr>
        <w:t>Health Economics</w:t>
      </w:r>
      <w:r>
        <w:t>, 24(3), pp. 294–301.</w:t>
      </w:r>
    </w:p>
    <w:p w14:paraId="5BF1A5B3" w14:textId="77777777" w:rsidR="00690943" w:rsidRDefault="00000000">
      <w:pPr>
        <w:spacing w:before="240" w:after="240"/>
        <w:ind w:firstLine="720"/>
      </w:pPr>
      <w:r>
        <w:t xml:space="preserve">Dawadi, S., Shrestha, S. and Giri, R.A. (2021) ‘Mixed-methods research: A discussion on its types, challenges, and criticisms’, </w:t>
      </w:r>
      <w:r>
        <w:rPr>
          <w:i/>
          <w:iCs/>
        </w:rPr>
        <w:t>Journal of Practical Studies in Education</w:t>
      </w:r>
      <w:r>
        <w:t>, 2(2), pp. 25–36.</w:t>
      </w:r>
    </w:p>
    <w:p w14:paraId="606EBC6F" w14:textId="77777777" w:rsidR="00690943" w:rsidRDefault="00000000">
      <w:pPr>
        <w:spacing w:before="240" w:after="240"/>
        <w:ind w:firstLine="720"/>
        <w:rPr>
          <w:color w:val="1155CC"/>
          <w:u w:val="single"/>
        </w:rPr>
      </w:pPr>
      <w:r>
        <w:t xml:space="preserve">Department of Health Northern Ireland (2022) </w:t>
      </w:r>
      <w:r>
        <w:rPr>
          <w:i/>
          <w:iCs/>
        </w:rPr>
        <w:t>Medicines Optimisation Quality Framework</w:t>
      </w:r>
      <w:r>
        <w:t>. Belfast: Department of Health. Available at:</w:t>
      </w:r>
      <w:hyperlink r:id="rId9">
        <w:r>
          <w:t xml:space="preserve"> </w:t>
        </w:r>
      </w:hyperlink>
      <w:hyperlink r:id="rId10">
        <w:r>
          <w:rPr>
            <w:color w:val="1155CC"/>
            <w:u w:val="single"/>
          </w:rPr>
          <w:t>https://www.health-ni.gov.uk/publications/northern-ireland-medicines-optimisation-quality-framework</w:t>
        </w:r>
      </w:hyperlink>
    </w:p>
    <w:p w14:paraId="133FEA8F" w14:textId="4AB9FC96" w:rsidR="00690943" w:rsidRDefault="00000000">
      <w:pPr>
        <w:spacing w:before="240" w:after="240"/>
        <w:ind w:firstLine="720"/>
      </w:pPr>
      <w:r>
        <w:t xml:space="preserve">Dranitsaris, G., Jacobs, I., Kirchhoff, C., Popovian, R. and Shane, L.G. (2017) ‘Drug tendering: drug supply and shortage implications for the uptake of biosimilars’, </w:t>
      </w:r>
      <w:r w:rsidR="00527ECC">
        <w:rPr>
          <w:i/>
          <w:iCs/>
        </w:rPr>
        <w:t>Clinic Economics</w:t>
      </w:r>
      <w:r>
        <w:rPr>
          <w:i/>
          <w:iCs/>
        </w:rPr>
        <w:t xml:space="preserve"> and Outcomes Research</w:t>
      </w:r>
      <w:r>
        <w:t>, 9, pp. 573–584.</w:t>
      </w:r>
    </w:p>
    <w:p w14:paraId="16162992" w14:textId="77777777" w:rsidR="00690943" w:rsidRDefault="00000000">
      <w:pPr>
        <w:spacing w:before="240" w:after="240"/>
        <w:ind w:firstLine="720"/>
      </w:pPr>
      <w:r>
        <w:t xml:space="preserve">European Commission (2021) </w:t>
      </w:r>
      <w:r>
        <w:rPr>
          <w:i/>
          <w:iCs/>
        </w:rPr>
        <w:t>Pharmaceutical Strategy for Europe</w:t>
      </w:r>
      <w:r>
        <w:t>. Brussels: European Commission.</w:t>
      </w:r>
    </w:p>
    <w:p w14:paraId="6B4593AA" w14:textId="4785CD12" w:rsidR="00690943" w:rsidRDefault="00000000">
      <w:pPr>
        <w:spacing w:before="240" w:after="240"/>
        <w:ind w:firstLine="720"/>
      </w:pPr>
      <w:r>
        <w:t xml:space="preserve">Fernandez-Salido, M., Alhambra-Borras, T., Casanova, </w:t>
      </w:r>
      <w:r w:rsidR="00527ECC">
        <w:t>G.,</w:t>
      </w:r>
      <w:r>
        <w:t xml:space="preserve"> and Garces-Ferrer, J. (2024) ‘Value-based healthcare delivery: a scoping review’, </w:t>
      </w:r>
      <w:r>
        <w:rPr>
          <w:i/>
          <w:iCs/>
        </w:rPr>
        <w:t>International Journal of Environmental Research and Public Health</w:t>
      </w:r>
      <w:r>
        <w:t>, 21(2), p. 134.</w:t>
      </w:r>
    </w:p>
    <w:p w14:paraId="673EC17D" w14:textId="77777777" w:rsidR="00690943" w:rsidRDefault="00000000">
      <w:pPr>
        <w:spacing w:before="240" w:after="240"/>
        <w:ind w:firstLine="720"/>
      </w:pPr>
      <w:r>
        <w:t xml:space="preserve">GIG Cymru NHS Wales (2023) </w:t>
      </w:r>
      <w:r>
        <w:rPr>
          <w:i/>
          <w:iCs/>
        </w:rPr>
        <w:t>Value-based procurement</w:t>
      </w:r>
      <w:r>
        <w:t>. NHS Wales.</w:t>
      </w:r>
    </w:p>
    <w:p w14:paraId="6D91C56E" w14:textId="77777777" w:rsidR="00690943" w:rsidRDefault="00000000">
      <w:pPr>
        <w:spacing w:before="240" w:after="240"/>
        <w:ind w:firstLine="720"/>
      </w:pPr>
      <w:r>
        <w:t xml:space="preserve">Godman, B., Allocati, E., Moorkens, E. et al. (2021) ‘Biosimilars in the UK and Europe: current utilisation, challenges and the future’, </w:t>
      </w:r>
      <w:r>
        <w:rPr>
          <w:i/>
          <w:iCs/>
        </w:rPr>
        <w:t>BioDrugs</w:t>
      </w:r>
      <w:r>
        <w:t>, 35(3), pp. 303–327.</w:t>
      </w:r>
    </w:p>
    <w:p w14:paraId="0C4FF1D1" w14:textId="77777777" w:rsidR="00690943" w:rsidRDefault="00000000">
      <w:pPr>
        <w:spacing w:before="240" w:after="240"/>
        <w:ind w:firstLine="720"/>
      </w:pPr>
      <w:r>
        <w:t xml:space="preserve">GOV.WALES (2018) </w:t>
      </w:r>
      <w:r>
        <w:rPr>
          <w:i/>
          <w:iCs/>
        </w:rPr>
        <w:t>A Healthier Wales: Long term plan for health and social care</w:t>
      </w:r>
      <w:r>
        <w:t>.</w:t>
      </w:r>
    </w:p>
    <w:p w14:paraId="71FCA548" w14:textId="52692162" w:rsidR="00690943" w:rsidRDefault="00000000">
      <w:pPr>
        <w:spacing w:before="240" w:after="240"/>
        <w:ind w:firstLine="720"/>
      </w:pPr>
      <w:r>
        <w:t xml:space="preserve">Greer, </w:t>
      </w:r>
      <w:r w:rsidR="00527ECC">
        <w:t>S.L.,</w:t>
      </w:r>
      <w:r>
        <w:t xml:space="preserve"> and Jarman, H. (2008) ‘The health of the devolved UK’, </w:t>
      </w:r>
      <w:r>
        <w:rPr>
          <w:i/>
          <w:iCs/>
        </w:rPr>
        <w:t xml:space="preserve">Health Economics, </w:t>
      </w:r>
      <w:r w:rsidR="00527ECC">
        <w:rPr>
          <w:i/>
          <w:iCs/>
        </w:rPr>
        <w:t>Policy,</w:t>
      </w:r>
      <w:r>
        <w:rPr>
          <w:i/>
          <w:iCs/>
        </w:rPr>
        <w:t xml:space="preserve"> and Law</w:t>
      </w:r>
      <w:r>
        <w:t>, 3(2), pp. 195–199.</w:t>
      </w:r>
    </w:p>
    <w:p w14:paraId="045DAA81" w14:textId="6AB8A6D1" w:rsidR="00690943" w:rsidRDefault="00000000">
      <w:pPr>
        <w:spacing w:before="240" w:after="240"/>
        <w:ind w:firstLine="720"/>
      </w:pPr>
      <w:r>
        <w:t xml:space="preserve">Haines, K., Bracchi, R., Lang, R., Samuels, </w:t>
      </w:r>
      <w:r w:rsidR="00527ECC">
        <w:t>K.,</w:t>
      </w:r>
      <w:r>
        <w:t xml:space="preserve"> and Routledge, P.A. (2021) ‘The All-Wales Medicines Strategy Group: 18 years’ experience of a national medicines optimisation committee’, </w:t>
      </w:r>
      <w:r>
        <w:rPr>
          <w:i/>
          <w:iCs/>
        </w:rPr>
        <w:t>British Journal of Clinical Pharmacology</w:t>
      </w:r>
      <w:r>
        <w:t>, 87(10), pp. 3961–3970.</w:t>
      </w:r>
    </w:p>
    <w:p w14:paraId="1862C758" w14:textId="77777777" w:rsidR="00690943" w:rsidRDefault="00000000">
      <w:pPr>
        <w:spacing w:before="240" w:after="240"/>
        <w:ind w:firstLine="720"/>
      </w:pPr>
      <w:r>
        <w:lastRenderedPageBreak/>
        <w:t xml:space="preserve">Hill, C.L., Pulver, L.K., Liew, D.F. and Council of Australian Therapeutic Advisory Groups (2024) ‘Navigating high-cost medicines’, </w:t>
      </w:r>
      <w:r>
        <w:rPr>
          <w:i/>
          <w:iCs/>
        </w:rPr>
        <w:t>Internal Medicine Journal</w:t>
      </w:r>
      <w:r>
        <w:t>, 54(10), pp. 1733–1738.</w:t>
      </w:r>
    </w:p>
    <w:p w14:paraId="20864274" w14:textId="77777777" w:rsidR="00690943" w:rsidRDefault="00000000">
      <w:pPr>
        <w:spacing w:before="240" w:after="240"/>
        <w:ind w:firstLine="720"/>
      </w:pPr>
      <w:r>
        <w:t xml:space="preserve">Horta-Baas, G. (2022) ‘Patient-reported outcomes in rheumatoid arthritis’, </w:t>
      </w:r>
      <w:r>
        <w:rPr>
          <w:i/>
          <w:iCs/>
        </w:rPr>
        <w:t>Patient Related Outcome Measures</w:t>
      </w:r>
      <w:r>
        <w:t>, 13, pp. 79–95.</w:t>
      </w:r>
    </w:p>
    <w:p w14:paraId="59B01A8E" w14:textId="77777777" w:rsidR="00690943" w:rsidRDefault="00000000">
      <w:pPr>
        <w:spacing w:before="240" w:after="240"/>
        <w:ind w:firstLine="720"/>
      </w:pPr>
      <w:r>
        <w:t xml:space="preserve">Hsieh, P.H., Wu, O., Geue, C., McIntosh, E., McInnes, I.B. and Siebert, S. (2020) ‘Economic burden of rheumatoid arthritis’, </w:t>
      </w:r>
      <w:r>
        <w:rPr>
          <w:i/>
          <w:iCs/>
        </w:rPr>
        <w:t>Annals of the Rheumatic Diseases</w:t>
      </w:r>
      <w:r>
        <w:t>, 79(6), pp. 771–777.</w:t>
      </w:r>
    </w:p>
    <w:p w14:paraId="53F79F30" w14:textId="77777777" w:rsidR="00690943" w:rsidRDefault="00000000">
      <w:pPr>
        <w:spacing w:before="240" w:after="240"/>
        <w:ind w:firstLine="720"/>
      </w:pPr>
      <w:r>
        <w:t xml:space="preserve">Joensuu, J.T., Huoponen, S., Aaltonen, K.J., Konttinen, Y.T., Nordstrom, D. and Blom, M. (2015) ‘Cost-effectiveness of biologics’, </w:t>
      </w:r>
      <w:r>
        <w:rPr>
          <w:i/>
          <w:iCs/>
        </w:rPr>
        <w:t>PLOS ONE</w:t>
      </w:r>
      <w:r>
        <w:t>, 10(3), e0119683.</w:t>
      </w:r>
    </w:p>
    <w:p w14:paraId="5DA2D9F7" w14:textId="77777777" w:rsidR="00690943" w:rsidRDefault="00000000">
      <w:pPr>
        <w:spacing w:before="240" w:after="240"/>
        <w:ind w:firstLine="720"/>
      </w:pPr>
      <w:r>
        <w:t xml:space="preserve">Kadel, R. (2022) ‘Cost of health inequality to the NHS in Wales’, </w:t>
      </w:r>
      <w:r>
        <w:rPr>
          <w:i/>
          <w:iCs/>
        </w:rPr>
        <w:t>Frontiers in Public Health</w:t>
      </w:r>
      <w:r>
        <w:t>, 10, 959283.</w:t>
      </w:r>
    </w:p>
    <w:p w14:paraId="4B90B74A" w14:textId="77777777" w:rsidR="00690943" w:rsidRDefault="00000000">
      <w:pPr>
        <w:spacing w:before="240" w:after="240"/>
        <w:ind w:firstLine="720"/>
      </w:pPr>
      <w:r>
        <w:t xml:space="preserve">Kanavos, P., Fontrier, A.M., Gill, J. and Efthymiadou, O. (2022) ‘Does external reference pricing deliver what it promises? Evidence on its impact and implementation across 32 European countries’, </w:t>
      </w:r>
      <w:r>
        <w:rPr>
          <w:i/>
          <w:iCs/>
        </w:rPr>
        <w:t>European Journal of Health Economics</w:t>
      </w:r>
      <w:r>
        <w:t>, 23(1), pp. 1–27.</w:t>
      </w:r>
    </w:p>
    <w:p w14:paraId="09D47491" w14:textId="77777777" w:rsidR="00690943" w:rsidRDefault="00000000">
      <w:pPr>
        <w:spacing w:before="240" w:after="240"/>
        <w:ind w:firstLine="720"/>
      </w:pPr>
      <w:r>
        <w:t xml:space="preserve">Lewis, S. (2022) </w:t>
      </w:r>
      <w:r>
        <w:rPr>
          <w:i/>
          <w:iCs/>
        </w:rPr>
        <w:t>Annual progress report: Embedding value-based healthcare in NHS Wales</w:t>
      </w:r>
      <w:r>
        <w:t>. Cardiff: NHS Wales.</w:t>
      </w:r>
    </w:p>
    <w:p w14:paraId="36889A9F" w14:textId="77777777" w:rsidR="00690943" w:rsidRDefault="00000000">
      <w:pPr>
        <w:spacing w:before="240" w:after="240"/>
        <w:ind w:firstLine="720"/>
      </w:pPr>
      <w:r>
        <w:t xml:space="preserve">Lewis, S. (2024) ‘The cultural shift towards value-based healthcare’, </w:t>
      </w:r>
      <w:r>
        <w:rPr>
          <w:i/>
          <w:iCs/>
        </w:rPr>
        <w:t>Australian Health Review</w:t>
      </w:r>
      <w:r>
        <w:t>, 48(2), pp. 111–112.</w:t>
      </w:r>
    </w:p>
    <w:p w14:paraId="31A0853A" w14:textId="7746BFB8" w:rsidR="00690943" w:rsidRDefault="00000000">
      <w:pPr>
        <w:spacing w:before="240" w:after="240"/>
        <w:ind w:firstLine="720"/>
      </w:pPr>
      <w:r>
        <w:t xml:space="preserve">Lundie, J., Rees, </w:t>
      </w:r>
      <w:r w:rsidR="00527ECC">
        <w:t>S.,</w:t>
      </w:r>
      <w:r>
        <w:t xml:space="preserve"> and Jones, R.D. (2022) ‘Wales’, in </w:t>
      </w:r>
      <w:r>
        <w:rPr>
          <w:i/>
          <w:iCs/>
        </w:rPr>
        <w:t>Mobilising Voluntary Action in the UK</w:t>
      </w:r>
      <w:r>
        <w:t>. Bristol: Policy Press, pp. 105–127.</w:t>
      </w:r>
    </w:p>
    <w:p w14:paraId="7623D623" w14:textId="77777777" w:rsidR="00690943" w:rsidRDefault="00000000">
      <w:pPr>
        <w:spacing w:before="240" w:after="240"/>
        <w:ind w:firstLine="720"/>
      </w:pPr>
      <w:r>
        <w:t xml:space="preserve">MacKenna, B., Goldacre, B., Rowan, A. et al. (2021) ‘A comprehensive high-cost drugs dataset from the NHS in England: An OpenSAFELY-TPP short data report’, </w:t>
      </w:r>
      <w:r>
        <w:rPr>
          <w:i/>
          <w:iCs/>
        </w:rPr>
        <w:t>Welcome Open Research</w:t>
      </w:r>
      <w:r>
        <w:t>, 6, p. 360.</w:t>
      </w:r>
    </w:p>
    <w:p w14:paraId="57DAF546" w14:textId="47A90700" w:rsidR="00690943" w:rsidRDefault="00000000">
      <w:pPr>
        <w:spacing w:before="240" w:after="240"/>
        <w:ind w:firstLine="720"/>
      </w:pPr>
      <w:r>
        <w:t xml:space="preserve">McCrudden, M.T., Marchand, </w:t>
      </w:r>
      <w:r w:rsidR="00527ECC">
        <w:t>G.,</w:t>
      </w:r>
      <w:r>
        <w:t xml:space="preserve"> and Schutz, P.A. (2021) ‘Joint displays for mixed methods research in psychology’, </w:t>
      </w:r>
      <w:r>
        <w:rPr>
          <w:i/>
          <w:iCs/>
        </w:rPr>
        <w:t>Methods in Psychology</w:t>
      </w:r>
      <w:r>
        <w:t>, 5, p. 100067.</w:t>
      </w:r>
    </w:p>
    <w:p w14:paraId="06006250" w14:textId="77777777" w:rsidR="00690943" w:rsidRDefault="00000000">
      <w:pPr>
        <w:spacing w:before="240" w:after="240"/>
        <w:ind w:firstLine="720"/>
      </w:pPr>
      <w:r>
        <w:t xml:space="preserve">Medicines and Healthcare products Regulatory Agency (MHRA) (2023) </w:t>
      </w:r>
      <w:r>
        <w:rPr>
          <w:i/>
          <w:iCs/>
        </w:rPr>
        <w:t>JAK inhibitors: Updated advice on risk of serious side-effects</w:t>
      </w:r>
      <w:r>
        <w:t>. London: MHRA.</w:t>
      </w:r>
    </w:p>
    <w:p w14:paraId="57C84F68" w14:textId="77777777" w:rsidR="00690943" w:rsidRDefault="00000000">
      <w:pPr>
        <w:spacing w:before="240" w:after="240"/>
        <w:ind w:firstLine="720"/>
      </w:pPr>
      <w:r>
        <w:t xml:space="preserve">Mohammed, R.A., Ahmed, S.K., Nashwan, A.J., Ibrahim, R.H., Abdalla, A.Q., Ameen, B.M.M. and Khdhir, R.M. (2025) ‘Using thematic analysis in qualitative research’, </w:t>
      </w:r>
      <w:r>
        <w:rPr>
          <w:i/>
          <w:iCs/>
        </w:rPr>
        <w:t>Journal of Medicine, Surgery, and Public Health</w:t>
      </w:r>
      <w:r>
        <w:t>, 6, p. 100198.</w:t>
      </w:r>
    </w:p>
    <w:p w14:paraId="3A9B3966" w14:textId="77777777" w:rsidR="00690943" w:rsidRDefault="00000000">
      <w:pPr>
        <w:spacing w:before="240" w:after="240"/>
        <w:ind w:firstLine="720"/>
      </w:pPr>
      <w:r>
        <w:t xml:space="preserve">NHS England (n.d.) </w:t>
      </w:r>
      <w:r>
        <w:rPr>
          <w:i/>
          <w:iCs/>
        </w:rPr>
        <w:t>Biosimilar medicines</w:t>
      </w:r>
      <w:r>
        <w:t>. London: NHS England.</w:t>
      </w:r>
    </w:p>
    <w:p w14:paraId="6FF5D81E" w14:textId="77777777" w:rsidR="00690943" w:rsidRDefault="00000000">
      <w:pPr>
        <w:spacing w:before="240" w:after="240"/>
        <w:ind w:firstLine="720"/>
      </w:pPr>
      <w:r>
        <w:t xml:space="preserve">NHS Wales (2024) </w:t>
      </w:r>
      <w:r>
        <w:rPr>
          <w:i/>
          <w:iCs/>
        </w:rPr>
        <w:t>NHS Wales Joint Commissioning Committee</w:t>
      </w:r>
      <w:r>
        <w:t>. Cardiff: NHS Wales.</w:t>
      </w:r>
    </w:p>
    <w:p w14:paraId="4570DD7A" w14:textId="77777777" w:rsidR="00690943" w:rsidRDefault="00000000">
      <w:pPr>
        <w:spacing w:before="240" w:after="240"/>
        <w:ind w:firstLine="720"/>
      </w:pPr>
      <w:r>
        <w:lastRenderedPageBreak/>
        <w:t xml:space="preserve">NHS Wales Value in Health Centre (2022) </w:t>
      </w:r>
      <w:r>
        <w:rPr>
          <w:i/>
          <w:iCs/>
        </w:rPr>
        <w:t>Annual progress report: Embedding value-based healthcare in NHS Wales</w:t>
      </w:r>
      <w:r>
        <w:t>. Cardiff: NHS Wales.</w:t>
      </w:r>
    </w:p>
    <w:p w14:paraId="15ED5E6D" w14:textId="77777777" w:rsidR="00690943" w:rsidRDefault="00000000">
      <w:pPr>
        <w:spacing w:before="240" w:after="240"/>
        <w:ind w:firstLine="720"/>
        <w:rPr>
          <w:color w:val="1155CC"/>
          <w:u w:val="single"/>
        </w:rPr>
      </w:pPr>
      <w:r>
        <w:t xml:space="preserve">NICE (2022) </w:t>
      </w:r>
      <w:r>
        <w:rPr>
          <w:i/>
          <w:iCs/>
        </w:rPr>
        <w:t>Technology appraisals: the 90-day funding rule</w:t>
      </w:r>
      <w:r>
        <w:t>. London: National Institute for Health and Care Excellence. Available at:</w:t>
      </w:r>
      <w:hyperlink r:id="rId11">
        <w:r>
          <w:t xml:space="preserve"> </w:t>
        </w:r>
      </w:hyperlink>
      <w:hyperlink r:id="rId12">
        <w:r>
          <w:rPr>
            <w:color w:val="1155CC"/>
            <w:u w:val="single"/>
          </w:rPr>
          <w:t>https://www.nice.org.uk/about/what-we-do/our-programmes/nice-guidance/nice-technology-appraisal-guidance/changes-to-how-we-apply-the-funding-rule</w:t>
        </w:r>
      </w:hyperlink>
    </w:p>
    <w:p w14:paraId="4E4C2B8D" w14:textId="77777777" w:rsidR="00690943" w:rsidRDefault="00000000">
      <w:pPr>
        <w:spacing w:before="240" w:after="240"/>
        <w:ind w:firstLine="720"/>
      </w:pPr>
      <w:r>
        <w:t xml:space="preserve">O'Donnell, M.T., Lewis, S., Davies, S. and Dinneen, S.F. (2023) ‘Delivering value-based healthcare for diabetes’, </w:t>
      </w:r>
      <w:r>
        <w:rPr>
          <w:i/>
          <w:iCs/>
        </w:rPr>
        <w:t>Journal of Diabetes Investigation</w:t>
      </w:r>
      <w:r>
        <w:t>, 14(8), pp. 925–929.</w:t>
      </w:r>
    </w:p>
    <w:p w14:paraId="5B2FA3A7" w14:textId="77777777" w:rsidR="00690943" w:rsidRDefault="00000000">
      <w:pPr>
        <w:spacing w:before="240" w:after="240"/>
        <w:ind w:firstLine="720"/>
      </w:pPr>
      <w:r>
        <w:t>Okoli, A.O., Akomolafe, O.O. and Merotiwon, D.O. (2025) ‘Conceptual review of biosimilar adoption in clinical practice’.</w:t>
      </w:r>
    </w:p>
    <w:p w14:paraId="4DA618EE" w14:textId="77777777" w:rsidR="00690943" w:rsidRDefault="00000000">
      <w:pPr>
        <w:spacing w:before="240" w:after="240"/>
        <w:ind w:firstLine="720"/>
      </w:pPr>
      <w:r>
        <w:t xml:space="preserve">Oliveira Ascef, B., Almeida, M.O., de Medeiros-Ribeiro, A.C., de Andrade, D.C.O., de Oliveira Junior, H.A. and de Soarez, P.C. (2023) ‘Therapeutic equivalence of biosimilar and reference biologics’, </w:t>
      </w:r>
      <w:r>
        <w:rPr>
          <w:i/>
          <w:iCs/>
        </w:rPr>
        <w:t>JAMA Network Open</w:t>
      </w:r>
      <w:r>
        <w:t>, 6(5), e2315872.</w:t>
      </w:r>
    </w:p>
    <w:p w14:paraId="78174570" w14:textId="6DA450A8" w:rsidR="00690943" w:rsidRDefault="00000000">
      <w:pPr>
        <w:spacing w:before="240" w:after="240"/>
        <w:ind w:firstLine="720"/>
      </w:pPr>
      <w:r>
        <w:t xml:space="preserve">Perez, Y., Wood, </w:t>
      </w:r>
      <w:r w:rsidR="00527ECC">
        <w:t>E.,</w:t>
      </w:r>
      <w:r>
        <w:t xml:space="preserve"> and Hughes, D.A. (2023) ‘Costs of orphan medicinal products in Wales’, </w:t>
      </w:r>
      <w:r>
        <w:rPr>
          <w:i/>
          <w:iCs/>
        </w:rPr>
        <w:t>Orphanet Journal of Rare Diseases</w:t>
      </w:r>
      <w:r>
        <w:t>, 18(1), p. 342.</w:t>
      </w:r>
    </w:p>
    <w:p w14:paraId="2FCFD7DE" w14:textId="77777777" w:rsidR="00690943" w:rsidRDefault="00000000">
      <w:pPr>
        <w:spacing w:before="240" w:after="240"/>
        <w:ind w:firstLine="720"/>
      </w:pPr>
      <w:r>
        <w:t xml:space="preserve">Porter, M.E. and Lee, T.H. (2021) ‘The strategy that will fix health care’, </w:t>
      </w:r>
      <w:r>
        <w:rPr>
          <w:i/>
          <w:iCs/>
        </w:rPr>
        <w:t>Harvard Business Review</w:t>
      </w:r>
      <w:r>
        <w:t>, May–June.</w:t>
      </w:r>
    </w:p>
    <w:p w14:paraId="539934FE" w14:textId="1F478BBA" w:rsidR="00690943" w:rsidRDefault="00000000">
      <w:pPr>
        <w:spacing w:before="240" w:after="240"/>
        <w:ind w:firstLine="720"/>
      </w:pPr>
      <w:r>
        <w:t xml:space="preserve">Raine, T., Gkini, M.A., Irving, P.M., Kaul, A., Korendowych, E., Laws, </w:t>
      </w:r>
      <w:r w:rsidR="00527ECC">
        <w:t>P.,</w:t>
      </w:r>
      <w:r>
        <w:t xml:space="preserve"> and Foulkes, A.C. (2021) ‘Maintaining clinical freedom whilst achieving value in biologics prescribing’, </w:t>
      </w:r>
      <w:r>
        <w:rPr>
          <w:i/>
          <w:iCs/>
        </w:rPr>
        <w:t>Bio Drugs</w:t>
      </w:r>
      <w:r>
        <w:t>, 35(2), pp. 187–199.</w:t>
      </w:r>
    </w:p>
    <w:p w14:paraId="3792C9D8" w14:textId="77777777" w:rsidR="00690943" w:rsidRDefault="00000000">
      <w:pPr>
        <w:spacing w:before="240" w:after="240"/>
        <w:ind w:firstLine="720"/>
      </w:pPr>
      <w:r>
        <w:t xml:space="preserve">Rome, B.N., Desai, R.J., Avorn, J. et al. (2022) ‘Trends in prescription drug launch prices, 2008–2021’, </w:t>
      </w:r>
      <w:r>
        <w:rPr>
          <w:i/>
          <w:iCs/>
        </w:rPr>
        <w:t>JAMA</w:t>
      </w:r>
      <w:r>
        <w:t>, 327(20), pp. 1963–1965.</w:t>
      </w:r>
    </w:p>
    <w:p w14:paraId="15562795" w14:textId="77777777" w:rsidR="00690943" w:rsidRDefault="00000000">
      <w:pPr>
        <w:spacing w:before="240" w:after="240"/>
        <w:ind w:firstLine="720"/>
        <w:rPr>
          <w:color w:val="1155CC"/>
          <w:u w:val="single"/>
        </w:rPr>
      </w:pPr>
      <w:r>
        <w:t xml:space="preserve">Scottish Medicines Consortium (2023) </w:t>
      </w:r>
      <w:r>
        <w:rPr>
          <w:i/>
          <w:iCs/>
        </w:rPr>
        <w:t>PACE: Patient and Clinician Engagement</w:t>
      </w:r>
      <w:r>
        <w:t>. Glasgow: SMC. Available at:</w:t>
      </w:r>
      <w:hyperlink r:id="rId13">
        <w:r>
          <w:t xml:space="preserve"> </w:t>
        </w:r>
      </w:hyperlink>
      <w:hyperlink r:id="rId14">
        <w:r>
          <w:rPr>
            <w:color w:val="1155CC"/>
            <w:u w:val="single"/>
          </w:rPr>
          <w:t>https://scottishmedicines.org.uk/how-we-decide/pace/</w:t>
        </w:r>
      </w:hyperlink>
    </w:p>
    <w:p w14:paraId="253936E1" w14:textId="77777777" w:rsidR="00690943" w:rsidRDefault="00000000">
      <w:pPr>
        <w:spacing w:before="240" w:after="240"/>
        <w:ind w:firstLine="720"/>
        <w:rPr>
          <w:color w:val="1155CC"/>
          <w:u w:val="single"/>
        </w:rPr>
      </w:pPr>
      <w:r>
        <w:t xml:space="preserve">Senedd/Welsh Parliament (2023) </w:t>
      </w:r>
      <w:r>
        <w:rPr>
          <w:i/>
          <w:iCs/>
        </w:rPr>
        <w:t>Rising prices and serious shortages: new challenges in managing medicines supply for Wales</w:t>
      </w:r>
      <w:r>
        <w:t>. Available at:</w:t>
      </w:r>
      <w:hyperlink r:id="rId15">
        <w:r>
          <w:t xml:space="preserve"> </w:t>
        </w:r>
      </w:hyperlink>
      <w:hyperlink r:id="rId16">
        <w:r>
          <w:rPr>
            <w:color w:val="1155CC"/>
            <w:u w:val="single"/>
          </w:rPr>
          <w:t>https://research.senedd.wales/research-articles/rising-prices-and-serious-shortages-new-challenges-in-managing-medicines-supply-for-wales/</w:t>
        </w:r>
      </w:hyperlink>
    </w:p>
    <w:p w14:paraId="1EFB0E9C" w14:textId="5A0D01A5" w:rsidR="00690943" w:rsidRDefault="00000000">
      <w:pPr>
        <w:spacing w:before="240" w:after="240"/>
        <w:ind w:firstLine="720"/>
      </w:pPr>
      <w:r>
        <w:t xml:space="preserve">Shazad, M., El-Dahiyat, F., Javid, F., Zare, N., Ozbek, B., Stephenson, </w:t>
      </w:r>
      <w:r w:rsidR="00527ECC">
        <w:t>J.,</w:t>
      </w:r>
      <w:r>
        <w:t xml:space="preserve"> and Babar, Z.U.D. (2022) ‘Analysis of cancer drug prices’, </w:t>
      </w:r>
      <w:r>
        <w:rPr>
          <w:i/>
          <w:iCs/>
        </w:rPr>
        <w:t>Journal of Pharmaceutical Health Services Research</w:t>
      </w:r>
      <w:r>
        <w:t>, 13(3), pp. 208–214.</w:t>
      </w:r>
    </w:p>
    <w:p w14:paraId="206C4B58" w14:textId="17847F94" w:rsidR="00690943" w:rsidRDefault="00000000">
      <w:pPr>
        <w:spacing w:before="240" w:after="240"/>
        <w:ind w:firstLine="720"/>
      </w:pPr>
      <w:r>
        <w:t xml:space="preserve">Smith, N.K. and Fendrick, A.M. (2022) ‘Value-based insurance design’, </w:t>
      </w:r>
      <w:r>
        <w:rPr>
          <w:i/>
          <w:iCs/>
        </w:rPr>
        <w:t xml:space="preserve">Journal of Health Politics, </w:t>
      </w:r>
      <w:r w:rsidR="00527ECC">
        <w:rPr>
          <w:i/>
          <w:iCs/>
        </w:rPr>
        <w:t>Policy,</w:t>
      </w:r>
      <w:r>
        <w:rPr>
          <w:i/>
          <w:iCs/>
        </w:rPr>
        <w:t xml:space="preserve"> and Law</w:t>
      </w:r>
      <w:r>
        <w:t>, 47(6), pp. 797–813.</w:t>
      </w:r>
    </w:p>
    <w:p w14:paraId="75932C2F" w14:textId="0BE486E2" w:rsidR="00690943" w:rsidRDefault="00000000">
      <w:pPr>
        <w:spacing w:before="240" w:after="240"/>
        <w:ind w:firstLine="720"/>
      </w:pPr>
      <w:r>
        <w:lastRenderedPageBreak/>
        <w:t xml:space="preserve">Studenic, P., Meissner, Y., Kearsley-Fleet, </w:t>
      </w:r>
      <w:r w:rsidR="00527ECC">
        <w:t>L.,</w:t>
      </w:r>
      <w:r>
        <w:t xml:space="preserve"> and De Cock, D. (2025) ‘Role of rheumatoid arthritis registries worldwide’, </w:t>
      </w:r>
      <w:r>
        <w:rPr>
          <w:i/>
          <w:iCs/>
        </w:rPr>
        <w:t>Best Practice and Research Clinical Rheumatology</w:t>
      </w:r>
      <w:r>
        <w:t>, 39(1), p. 102017.</w:t>
      </w:r>
    </w:p>
    <w:p w14:paraId="2A12F046" w14:textId="77777777" w:rsidR="00690943" w:rsidRDefault="00000000">
      <w:pPr>
        <w:spacing w:before="240" w:after="240"/>
        <w:ind w:firstLine="720"/>
      </w:pPr>
      <w:r>
        <w:t xml:space="preserve">Tak, S. and Methuku, M. (2023) ‘Including biosimilars earlier in treatment pathways’, </w:t>
      </w:r>
      <w:r>
        <w:rPr>
          <w:i/>
          <w:iCs/>
        </w:rPr>
        <w:t>ISPOR Presentation</w:t>
      </w:r>
      <w:r>
        <w:t>.</w:t>
      </w:r>
    </w:p>
    <w:p w14:paraId="3398882B" w14:textId="12EDA39A" w:rsidR="00690943" w:rsidRDefault="00000000">
      <w:pPr>
        <w:spacing w:before="240" w:after="240"/>
        <w:ind w:firstLine="720"/>
      </w:pPr>
      <w:r>
        <w:t xml:space="preserve">Taylor, E.A., Khodyakov, D., Predmore, Z., Buttorff, </w:t>
      </w:r>
      <w:r w:rsidR="00527ECC">
        <w:t>C.,</w:t>
      </w:r>
      <w:r>
        <w:t xml:space="preserve"> and Kim, A. (2024) ‘Policy options to lower specialty drug costs’, </w:t>
      </w:r>
      <w:r>
        <w:rPr>
          <w:i/>
          <w:iCs/>
        </w:rPr>
        <w:t>Health Affairs Scholar</w:t>
      </w:r>
      <w:r>
        <w:t>, 2(10), qxae118.</w:t>
      </w:r>
    </w:p>
    <w:p w14:paraId="7DACB22F" w14:textId="77777777" w:rsidR="00690943" w:rsidRDefault="00000000">
      <w:pPr>
        <w:spacing w:before="240" w:after="240"/>
        <w:ind w:firstLine="720"/>
      </w:pPr>
      <w:r>
        <w:t xml:space="preserve">Vallano, A. and Pontes, C. (2024) ‘Escalating costs of innovative medicines: perspective and proposals’, </w:t>
      </w:r>
      <w:r>
        <w:rPr>
          <w:i/>
          <w:iCs/>
        </w:rPr>
        <w:t>Frontiers in Public Health</w:t>
      </w:r>
      <w:r>
        <w:t>.</w:t>
      </w:r>
    </w:p>
    <w:p w14:paraId="653CA9BC" w14:textId="5D397FFD" w:rsidR="00690943" w:rsidRDefault="00000000">
      <w:pPr>
        <w:spacing w:before="240" w:after="240"/>
        <w:ind w:firstLine="720"/>
      </w:pPr>
      <w:r>
        <w:t xml:space="preserve">Varnava, A., Bracchi, R., Samuels, K., Hughes, </w:t>
      </w:r>
      <w:r w:rsidR="00527ECC">
        <w:t>D.A.,</w:t>
      </w:r>
      <w:r>
        <w:t xml:space="preserve"> and Routledge, P.A. (2018) ‘New medicines in Wales: AWMSG appraisal process’, </w:t>
      </w:r>
      <w:r>
        <w:rPr>
          <w:i/>
          <w:iCs/>
        </w:rPr>
        <w:t>Pharmacoeconomics</w:t>
      </w:r>
      <w:r>
        <w:t>, 36(8), pp. 923–935.</w:t>
      </w:r>
    </w:p>
    <w:p w14:paraId="63488A74" w14:textId="3FE2DA27" w:rsidR="00690943" w:rsidRDefault="00000000">
      <w:pPr>
        <w:spacing w:before="240" w:after="240"/>
        <w:ind w:firstLine="720"/>
      </w:pPr>
      <w:r>
        <w:t xml:space="preserve">Varnava, A., Rind, S., Bracchi, R., Samuels, K., Routledge, </w:t>
      </w:r>
      <w:r w:rsidR="00527ECC">
        <w:t>P.A.,</w:t>
      </w:r>
      <w:r>
        <w:t xml:space="preserve"> and Hughes, D.A. (2018) ‘Access to high-cost medicines in Wales’, in </w:t>
      </w:r>
      <w:r>
        <w:rPr>
          <w:i/>
          <w:iCs/>
        </w:rPr>
        <w:t>Equitable Access to High-Cost Pharmaceuticals</w:t>
      </w:r>
      <w:r>
        <w:t>. Academic Press, pp. 199–213.</w:t>
      </w:r>
    </w:p>
    <w:p w14:paraId="70F47953" w14:textId="77777777" w:rsidR="00690943" w:rsidRDefault="00000000">
      <w:pPr>
        <w:spacing w:before="240" w:after="240"/>
        <w:ind w:firstLine="720"/>
      </w:pPr>
      <w:r>
        <w:t xml:space="preserve">Welsh Government (2014) </w:t>
      </w:r>
      <w:r>
        <w:rPr>
          <w:i/>
          <w:iCs/>
        </w:rPr>
        <w:t>Prudent Healthcare: Securing health and well-being for future generations</w:t>
      </w:r>
      <w:r>
        <w:t>. Cardiff: Welsh Government.</w:t>
      </w:r>
    </w:p>
    <w:p w14:paraId="6DDF68A6" w14:textId="77777777" w:rsidR="00690943" w:rsidRDefault="00000000">
      <w:pPr>
        <w:spacing w:before="240" w:after="240"/>
        <w:ind w:firstLine="720"/>
      </w:pPr>
      <w:r>
        <w:t xml:space="preserve">Welsh Government (2019) </w:t>
      </w:r>
      <w:r>
        <w:rPr>
          <w:i/>
          <w:iCs/>
        </w:rPr>
        <w:t>Valuing our health: A framework for health and social care in Wales</w:t>
      </w:r>
      <w:r>
        <w:t>. Cardiff: Welsh Government.</w:t>
      </w:r>
    </w:p>
    <w:p w14:paraId="2EBEA01E" w14:textId="7E33E047" w:rsidR="00690943" w:rsidRDefault="00000000">
      <w:pPr>
        <w:spacing w:before="240" w:after="240"/>
        <w:ind w:firstLine="720"/>
      </w:pPr>
      <w:r>
        <w:t xml:space="preserve">Wouters, O.J., Javed, </w:t>
      </w:r>
      <w:r w:rsidR="00527ECC">
        <w:t>M.,</w:t>
      </w:r>
      <w:r>
        <w:t xml:space="preserve"> and Kanavos, P. (2022) ‘Challenges in ensuring fair access to high-cost medicines’, </w:t>
      </w:r>
      <w:r>
        <w:rPr>
          <w:i/>
          <w:iCs/>
        </w:rPr>
        <w:t>Health Policy</w:t>
      </w:r>
      <w:r>
        <w:t>, 126(5), pp. 427–435.</w:t>
      </w:r>
    </w:p>
    <w:p w14:paraId="62116375" w14:textId="77777777" w:rsidR="00690943" w:rsidRDefault="00690943"/>
    <w:p w14:paraId="5021610F" w14:textId="77777777" w:rsidR="00690943" w:rsidRDefault="00000000">
      <w:r>
        <w:br w:type="page"/>
      </w:r>
    </w:p>
    <w:p w14:paraId="2B956952" w14:textId="77777777" w:rsidR="00690943" w:rsidRDefault="00000000">
      <w:pPr>
        <w:pStyle w:val="Heading1"/>
        <w:rPr>
          <w:sz w:val="24"/>
          <w:szCs w:val="24"/>
        </w:rPr>
      </w:pPr>
      <w:bookmarkStart w:id="64" w:name="_4nqcv6sw7jkh" w:colFirst="0" w:colLast="0"/>
      <w:bookmarkEnd w:id="64"/>
      <w:r>
        <w:rPr>
          <w:sz w:val="24"/>
          <w:szCs w:val="24"/>
        </w:rPr>
        <w:lastRenderedPageBreak/>
        <w:t xml:space="preserve">Appendices </w:t>
      </w:r>
    </w:p>
    <w:p w14:paraId="1DF645B5" w14:textId="77777777" w:rsidR="00690943" w:rsidRDefault="00000000">
      <w:pPr>
        <w:spacing w:after="160"/>
      </w:pPr>
      <w:hyperlink r:id="rId17">
        <w:r>
          <w:rPr>
            <w:b/>
            <w:bCs/>
            <w:color w:val="1155CC"/>
            <w:u w:val="single"/>
          </w:rPr>
          <w:t>Appendix 1: Project Brief</w:t>
        </w:r>
      </w:hyperlink>
    </w:p>
    <w:p w14:paraId="0BDCFF35" w14:textId="77777777" w:rsidR="00690943" w:rsidRDefault="00000000">
      <w:pPr>
        <w:spacing w:after="160"/>
        <w:rPr>
          <w:highlight w:val="white"/>
        </w:rPr>
      </w:pPr>
      <w:r>
        <w:t>The project brief for this dissertation, including the original research proposal, aims, goals, and scope agreed with the supervising academic team</w:t>
      </w:r>
      <w:r>
        <w:rPr>
          <w:highlight w:val="white"/>
        </w:rPr>
        <w:t>,</w:t>
      </w:r>
      <w:hyperlink r:id="rId18">
        <w:r>
          <w:rPr>
            <w:color w:val="1155CC"/>
            <w:highlight w:val="white"/>
            <w:u w:val="single"/>
          </w:rPr>
          <w:t xml:space="preserve"> </w:t>
        </w:r>
      </w:hyperlink>
      <w:hyperlink r:id="rId19">
        <w:r>
          <w:rPr>
            <w:color w:val="1155CC"/>
            <w:highlight w:val="white"/>
            <w:u w:val="single"/>
          </w:rPr>
          <w:t>is here.</w:t>
        </w:r>
      </w:hyperlink>
    </w:p>
    <w:p w14:paraId="38374E8D" w14:textId="77777777" w:rsidR="00690943" w:rsidRDefault="00000000">
      <w:r>
        <w:br w:type="page"/>
      </w:r>
    </w:p>
    <w:p w14:paraId="3CCD36D6" w14:textId="77777777" w:rsidR="00690943" w:rsidRDefault="00000000">
      <w:pPr>
        <w:spacing w:after="160"/>
      </w:pPr>
      <w:hyperlink r:id="rId20">
        <w:r>
          <w:rPr>
            <w:b/>
            <w:bCs/>
            <w:color w:val="1155CC"/>
            <w:u w:val="single"/>
          </w:rPr>
          <w:t>Appendix 2: Ethics Documentation (Part 2)</w:t>
        </w:r>
      </w:hyperlink>
    </w:p>
    <w:p w14:paraId="27BD91C0" w14:textId="77777777" w:rsidR="00690943" w:rsidRDefault="00000000">
      <w:pPr>
        <w:spacing w:after="160"/>
        <w:rPr>
          <w:highlight w:val="white"/>
        </w:rPr>
      </w:pPr>
      <w:r>
        <w:t xml:space="preserve">Ethics approval documentation for Part 2 of this study, including the NHS Health Research Authority service evaluation framework application, line manager authorisation, and participant information sheets, </w:t>
      </w:r>
      <w:hyperlink r:id="rId21">
        <w:r>
          <w:rPr>
            <w:color w:val="1155CC"/>
            <w:highlight w:val="white"/>
            <w:u w:val="single"/>
          </w:rPr>
          <w:t xml:space="preserve">is </w:t>
        </w:r>
      </w:hyperlink>
      <w:hyperlink r:id="rId22">
        <w:r>
          <w:rPr>
            <w:color w:val="1155CC"/>
            <w:highlight w:val="white"/>
            <w:u w:val="single"/>
          </w:rPr>
          <w:t>here</w:t>
        </w:r>
      </w:hyperlink>
      <w:r>
        <w:rPr>
          <w:highlight w:val="white"/>
        </w:rPr>
        <w:t>.</w:t>
      </w:r>
    </w:p>
    <w:p w14:paraId="2E8D3CB5" w14:textId="77777777" w:rsidR="00690943" w:rsidRDefault="00000000">
      <w:pPr>
        <w:rPr>
          <w:b/>
          <w:bCs/>
        </w:rPr>
      </w:pPr>
      <w:r>
        <w:br w:type="page"/>
      </w:r>
    </w:p>
    <w:p w14:paraId="7B5EA9F1" w14:textId="77777777" w:rsidR="00690943" w:rsidRDefault="00000000">
      <w:pPr>
        <w:spacing w:after="160"/>
      </w:pPr>
      <w:r>
        <w:rPr>
          <w:b/>
          <w:bCs/>
        </w:rPr>
        <w:lastRenderedPageBreak/>
        <w:t>Appendix 3: Definition of High-Cost Drugs</w:t>
      </w:r>
    </w:p>
    <w:p w14:paraId="79AA799C" w14:textId="77777777" w:rsidR="00690943" w:rsidRDefault="00000000">
      <w:pPr>
        <w:spacing w:after="160"/>
        <w:rPr>
          <w:b/>
          <w:bCs/>
        </w:rPr>
      </w:pPr>
      <w:r>
        <w:t>For the purposes of this study, high-cost drugs are defined as biologic and targeted synthetic disease-modifying antirheumatic drugs (b/tsDMARDs) that require managed access, prior authorisation, centralised appraisal, and structured outcome monitoring within NHS Wales. This encompasses medicines appointed as excessive cost by the All-Wales Medicines Strategy Group (AWMSG) and the All-Wales Therapeutics and Toxicology Centre (AWTTC) based on their significant budgetary impact, clinical complexity, and governance requirements. The designation integrates financial, clinical, and governance dimensions, situating these medicines not merely as expensive products but as therapeutics whose effective and fair deployment depends on the strength and coherence of governance systems. This definition aligns with that used by AWMSG (2023) and is consistent with the broader governance framework described in Chapters 2 and 5 of this dissertation.</w:t>
      </w:r>
    </w:p>
    <w:p w14:paraId="1C0847A4" w14:textId="77777777" w:rsidR="00690943" w:rsidRDefault="00000000">
      <w:pPr>
        <w:rPr>
          <w:b/>
          <w:bCs/>
        </w:rPr>
      </w:pPr>
      <w:r>
        <w:br w:type="page"/>
      </w:r>
    </w:p>
    <w:p w14:paraId="04B11CB3" w14:textId="77777777" w:rsidR="00690943" w:rsidRDefault="00000000">
      <w:pPr>
        <w:spacing w:after="160"/>
      </w:pPr>
      <w:r>
        <w:rPr>
          <w:b/>
          <w:bCs/>
        </w:rPr>
        <w:lastRenderedPageBreak/>
        <w:t>Appendix 4: Table 1 (Chapter 3) - Joint Display Matrix Illustration</w:t>
      </w:r>
    </w:p>
    <w:p w14:paraId="19A6A265" w14:textId="77777777" w:rsidR="00690943" w:rsidRDefault="00000000">
      <w:pPr>
        <w:spacing w:after="160"/>
      </w:pPr>
      <w:r>
        <w:t>The joint display matrix below illustrates the integration of quantitative metrics and qualitative themes used in Chapter 3 to synthesise the mixed-methods findings of this study.</w:t>
      </w:r>
    </w:p>
    <w:tbl>
      <w:tblPr>
        <w:tblStyle w:val="a0"/>
        <w:tblW w:w="92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000"/>
        <w:gridCol w:w="2800"/>
        <w:gridCol w:w="3400"/>
      </w:tblGrid>
      <w:tr w:rsidR="00690943" w14:paraId="3AC910AE" w14:textId="77777777">
        <w:trPr>
          <w:tblHeader/>
        </w:trPr>
        <w:tc>
          <w:tcPr>
            <w:tcW w:w="3000" w:type="dxa"/>
            <w:tcBorders>
              <w:top w:val="single" w:sz="4" w:space="0" w:color="999999"/>
              <w:left w:val="single" w:sz="4" w:space="0" w:color="999999"/>
              <w:bottom w:val="single" w:sz="4" w:space="0" w:color="999999"/>
              <w:right w:val="single" w:sz="4" w:space="0" w:color="999999"/>
            </w:tcBorders>
            <w:shd w:val="clear" w:color="auto" w:fill="BDD7EE"/>
            <w:tcMar>
              <w:top w:w="80" w:type="dxa"/>
              <w:left w:w="120" w:type="dxa"/>
              <w:bottom w:w="80" w:type="dxa"/>
              <w:right w:w="120" w:type="dxa"/>
            </w:tcMar>
          </w:tcPr>
          <w:p w14:paraId="28B0CC58" w14:textId="77777777" w:rsidR="00690943" w:rsidRDefault="00000000">
            <w:pPr>
              <w:spacing w:before="60" w:after="60"/>
            </w:pPr>
            <w:r>
              <w:rPr>
                <w:b/>
                <w:bCs/>
              </w:rPr>
              <w:t>Quantitative Metric</w:t>
            </w:r>
          </w:p>
        </w:tc>
        <w:tc>
          <w:tcPr>
            <w:tcW w:w="2800" w:type="dxa"/>
            <w:tcBorders>
              <w:top w:val="single" w:sz="4" w:space="0" w:color="999999"/>
              <w:left w:val="single" w:sz="4" w:space="0" w:color="999999"/>
              <w:bottom w:val="single" w:sz="4" w:space="0" w:color="999999"/>
              <w:right w:val="single" w:sz="4" w:space="0" w:color="999999"/>
            </w:tcBorders>
            <w:shd w:val="clear" w:color="auto" w:fill="BDD7EE"/>
            <w:tcMar>
              <w:top w:w="80" w:type="dxa"/>
              <w:left w:w="120" w:type="dxa"/>
              <w:bottom w:w="80" w:type="dxa"/>
              <w:right w:w="120" w:type="dxa"/>
            </w:tcMar>
          </w:tcPr>
          <w:p w14:paraId="219C02AB" w14:textId="77777777" w:rsidR="00690943" w:rsidRDefault="00000000">
            <w:pPr>
              <w:spacing w:before="60" w:after="60"/>
            </w:pPr>
            <w:r>
              <w:rPr>
                <w:b/>
                <w:bCs/>
              </w:rPr>
              <w:t>Qualitative Theme</w:t>
            </w:r>
          </w:p>
        </w:tc>
        <w:tc>
          <w:tcPr>
            <w:tcW w:w="3400" w:type="dxa"/>
            <w:tcBorders>
              <w:top w:val="single" w:sz="4" w:space="0" w:color="999999"/>
              <w:left w:val="single" w:sz="4" w:space="0" w:color="999999"/>
              <w:bottom w:val="single" w:sz="4" w:space="0" w:color="999999"/>
              <w:right w:val="single" w:sz="4" w:space="0" w:color="999999"/>
            </w:tcBorders>
            <w:shd w:val="clear" w:color="auto" w:fill="BDD7EE"/>
            <w:tcMar>
              <w:top w:w="80" w:type="dxa"/>
              <w:left w:w="120" w:type="dxa"/>
              <w:bottom w:w="80" w:type="dxa"/>
              <w:right w:w="120" w:type="dxa"/>
            </w:tcMar>
          </w:tcPr>
          <w:p w14:paraId="791F2486" w14:textId="77777777" w:rsidR="00690943" w:rsidRDefault="00000000">
            <w:pPr>
              <w:spacing w:before="60" w:after="60"/>
            </w:pPr>
            <w:r>
              <w:rPr>
                <w:b/>
                <w:bCs/>
              </w:rPr>
              <w:t>Interpretation</w:t>
            </w:r>
          </w:p>
        </w:tc>
      </w:tr>
      <w:tr w:rsidR="00690943" w14:paraId="6E51E104" w14:textId="77777777">
        <w:tc>
          <w:tcPr>
            <w:tcW w:w="3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E91C18C" w14:textId="77777777" w:rsidR="00690943" w:rsidRDefault="00000000">
            <w:pPr>
              <w:spacing w:before="60" w:after="60"/>
            </w:pPr>
            <w:r>
              <w:t>Mean approval-to-prescription time</w:t>
            </w:r>
          </w:p>
        </w:tc>
        <w:tc>
          <w:tcPr>
            <w:tcW w:w="28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8BAE5A2" w14:textId="77777777" w:rsidR="00690943" w:rsidRDefault="00000000">
            <w:pPr>
              <w:spacing w:before="60" w:after="60"/>
            </w:pPr>
            <w:r>
              <w:t>Workflow efficiency challenges</w:t>
            </w:r>
          </w:p>
        </w:tc>
        <w:tc>
          <w:tcPr>
            <w:tcW w:w="3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5086685" w14:textId="77777777" w:rsidR="00690943" w:rsidRDefault="00000000">
            <w:pPr>
              <w:spacing w:before="60" w:after="60"/>
            </w:pPr>
            <w:r>
              <w:t>Delays linked to manual approval bottlenecks</w:t>
            </w:r>
          </w:p>
        </w:tc>
      </w:tr>
      <w:tr w:rsidR="00690943" w14:paraId="66AEA3BF" w14:textId="77777777">
        <w:tc>
          <w:tcPr>
            <w:tcW w:w="3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56325B73" w14:textId="77777777" w:rsidR="00690943" w:rsidRDefault="00000000">
            <w:pPr>
              <w:spacing w:before="60" w:after="60"/>
            </w:pPr>
            <w:r>
              <w:t>Adherence to NICE/AWMSG criteria</w:t>
            </w:r>
          </w:p>
        </w:tc>
        <w:tc>
          <w:tcPr>
            <w:tcW w:w="28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64EB3480" w14:textId="77777777" w:rsidR="00690943" w:rsidRDefault="00000000">
            <w:pPr>
              <w:spacing w:before="60" w:after="60"/>
            </w:pPr>
            <w:r>
              <w:t>Usability of HCDs system</w:t>
            </w:r>
          </w:p>
        </w:tc>
        <w:tc>
          <w:tcPr>
            <w:tcW w:w="3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2E49F7A8" w14:textId="77777777" w:rsidR="00690943" w:rsidRDefault="00000000">
            <w:pPr>
              <w:spacing w:before="60" w:after="60"/>
            </w:pPr>
            <w:r>
              <w:t>System supports compliance, but UI improvements needed</w:t>
            </w:r>
          </w:p>
        </w:tc>
      </w:tr>
      <w:tr w:rsidR="00690943" w14:paraId="6FCF1C6B" w14:textId="77777777">
        <w:tc>
          <w:tcPr>
            <w:tcW w:w="30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54CCCDAC" w14:textId="77777777" w:rsidR="00690943" w:rsidRDefault="00000000">
            <w:pPr>
              <w:spacing w:before="60" w:after="60"/>
            </w:pPr>
            <w:r>
              <w:t>Variation across Health Boards</w:t>
            </w:r>
          </w:p>
        </w:tc>
        <w:tc>
          <w:tcPr>
            <w:tcW w:w="28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4FFB1FEB" w14:textId="77777777" w:rsidR="00690943" w:rsidRDefault="00000000">
            <w:pPr>
              <w:spacing w:before="60" w:after="60"/>
            </w:pPr>
            <w:r>
              <w:t>Differences in staff training and resource allocation</w:t>
            </w:r>
          </w:p>
        </w:tc>
        <w:tc>
          <w:tcPr>
            <w:tcW w:w="3400" w:type="dxa"/>
            <w:tcBorders>
              <w:top w:val="single" w:sz="4" w:space="0" w:color="999999"/>
              <w:left w:val="single" w:sz="4" w:space="0" w:color="999999"/>
              <w:bottom w:val="single" w:sz="4" w:space="0" w:color="999999"/>
              <w:right w:val="single" w:sz="4" w:space="0" w:color="999999"/>
            </w:tcBorders>
            <w:tcMar>
              <w:top w:w="80" w:type="dxa"/>
              <w:left w:w="120" w:type="dxa"/>
              <w:bottom w:w="80" w:type="dxa"/>
              <w:right w:w="120" w:type="dxa"/>
            </w:tcMar>
          </w:tcPr>
          <w:p w14:paraId="70044B71" w14:textId="77777777" w:rsidR="00690943" w:rsidRDefault="00000000">
            <w:pPr>
              <w:spacing w:before="60" w:after="60"/>
            </w:pPr>
            <w:r>
              <w:t>Regional inequities explained by operational factors</w:t>
            </w:r>
          </w:p>
        </w:tc>
      </w:tr>
    </w:tbl>
    <w:p w14:paraId="77822423" w14:textId="77777777" w:rsidR="00690943" w:rsidRDefault="00690943">
      <w:pPr>
        <w:spacing w:after="160"/>
        <w:rPr>
          <w:b/>
          <w:bCs/>
        </w:rPr>
      </w:pPr>
    </w:p>
    <w:p w14:paraId="56B148E0" w14:textId="77777777" w:rsidR="00690943" w:rsidRDefault="00000000">
      <w:pPr>
        <w:rPr>
          <w:b/>
          <w:bCs/>
        </w:rPr>
      </w:pPr>
      <w:r>
        <w:br w:type="page"/>
      </w:r>
    </w:p>
    <w:p w14:paraId="6A45A472" w14:textId="77777777" w:rsidR="00690943" w:rsidRDefault="00000000">
      <w:pPr>
        <w:spacing w:after="160"/>
      </w:pPr>
      <w:r>
        <w:rPr>
          <w:b/>
          <w:bCs/>
        </w:rPr>
        <w:lastRenderedPageBreak/>
        <w:t>Appendix 5: Table 1 (Chapter 4) - Dataset Summary</w:t>
      </w:r>
    </w:p>
    <w:p w14:paraId="0CC298E9" w14:textId="77777777" w:rsidR="00690943" w:rsidRDefault="00000000">
      <w:pPr>
        <w:spacing w:after="160"/>
      </w:pPr>
      <w:r>
        <w:t>This table summarises the key characteristics of the HCD Wales dataset used in Chapter 4, including total treatment records, study period, number of health boards, unique medications, and data source.</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240"/>
        <w:gridCol w:w="3120"/>
      </w:tblGrid>
      <w:tr w:rsidR="00690943" w14:paraId="003E1E79" w14:textId="77777777">
        <w:tc>
          <w:tcPr>
            <w:tcW w:w="624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2070E0EA" w14:textId="77777777" w:rsidR="00690943" w:rsidRDefault="00000000">
            <w:r>
              <w:rPr>
                <w:b/>
                <w:bCs/>
              </w:rPr>
              <w:t>Characteristic</w:t>
            </w:r>
          </w:p>
        </w:tc>
        <w:tc>
          <w:tcPr>
            <w:tcW w:w="312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25712250" w14:textId="77777777" w:rsidR="00690943" w:rsidRDefault="00000000">
            <w:r>
              <w:rPr>
                <w:b/>
                <w:bCs/>
              </w:rPr>
              <w:t>Value</w:t>
            </w:r>
          </w:p>
        </w:tc>
      </w:tr>
      <w:tr w:rsidR="00690943" w14:paraId="64A8A49E" w14:textId="77777777">
        <w:tc>
          <w:tcPr>
            <w:tcW w:w="62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A23BF67" w14:textId="77777777" w:rsidR="00690943" w:rsidRDefault="00000000">
            <w:r>
              <w:t>Total treatment records</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872BC24" w14:textId="77777777" w:rsidR="00690943" w:rsidRDefault="00000000">
            <w:r>
              <w:t>147</w:t>
            </w:r>
          </w:p>
        </w:tc>
      </w:tr>
      <w:tr w:rsidR="00690943" w14:paraId="457CD385" w14:textId="77777777">
        <w:tc>
          <w:tcPr>
            <w:tcW w:w="62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4C01ED6" w14:textId="77777777" w:rsidR="00690943" w:rsidRDefault="00000000">
            <w:r>
              <w:t>Study period</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96BBEA0" w14:textId="77777777" w:rsidR="00690943" w:rsidRDefault="00000000">
            <w:r>
              <w:t>August 2025 – April 2026</w:t>
            </w:r>
          </w:p>
        </w:tc>
      </w:tr>
      <w:tr w:rsidR="00690943" w14:paraId="5AD883FC" w14:textId="77777777">
        <w:tc>
          <w:tcPr>
            <w:tcW w:w="62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0CB7586" w14:textId="77777777" w:rsidR="00690943" w:rsidRDefault="00000000">
            <w:r>
              <w:t>Number of health boards</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8687835" w14:textId="77777777" w:rsidR="00690943" w:rsidRDefault="00000000">
            <w:r>
              <w:t>3 (plus test providers)</w:t>
            </w:r>
          </w:p>
        </w:tc>
      </w:tr>
      <w:tr w:rsidR="00690943" w14:paraId="7B0447DD" w14:textId="77777777">
        <w:tc>
          <w:tcPr>
            <w:tcW w:w="62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F4C48C4" w14:textId="77777777" w:rsidR="00690943" w:rsidRDefault="00000000">
            <w:r>
              <w:t>Number of unique medications</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C906875" w14:textId="77777777" w:rsidR="00690943" w:rsidRDefault="00000000">
            <w:r>
              <w:t>28</w:t>
            </w:r>
          </w:p>
        </w:tc>
      </w:tr>
      <w:tr w:rsidR="00690943" w14:paraId="069B890D" w14:textId="77777777">
        <w:tc>
          <w:tcPr>
            <w:tcW w:w="62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E45D0C2" w14:textId="77777777" w:rsidR="00690943" w:rsidRDefault="00000000">
            <w:r>
              <w:t>Data source</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7669CD7" w14:textId="77777777" w:rsidR="00690943" w:rsidRDefault="00000000">
            <w:r>
              <w:t xml:space="preserve"> Wales HCD System</w:t>
            </w:r>
          </w:p>
        </w:tc>
      </w:tr>
    </w:tbl>
    <w:p w14:paraId="17E559E5" w14:textId="77777777" w:rsidR="00690943" w:rsidRDefault="00690943">
      <w:pPr>
        <w:spacing w:after="160"/>
        <w:rPr>
          <w:b/>
          <w:bCs/>
        </w:rPr>
      </w:pPr>
    </w:p>
    <w:p w14:paraId="54B65313" w14:textId="77777777" w:rsidR="00690943" w:rsidRDefault="00000000">
      <w:pPr>
        <w:rPr>
          <w:b/>
          <w:bCs/>
        </w:rPr>
      </w:pPr>
      <w:r>
        <w:br w:type="page"/>
      </w:r>
    </w:p>
    <w:p w14:paraId="719DD22C" w14:textId="77777777" w:rsidR="00690943" w:rsidRDefault="00000000">
      <w:pPr>
        <w:pStyle w:val="Heading3"/>
        <w:spacing w:before="280" w:after="80"/>
      </w:pPr>
      <w:bookmarkStart w:id="65" w:name="_yzwli0h71qs9" w:colFirst="0" w:colLast="0"/>
      <w:bookmarkEnd w:id="65"/>
      <w:r>
        <w:lastRenderedPageBreak/>
        <w:t>Appendix 6: Table 2 (Chapter 4) – Treatment Records by Health Board</w:t>
      </w:r>
    </w:p>
    <w:p w14:paraId="4E94CCC2" w14:textId="7FD96C41" w:rsidR="00690943" w:rsidRDefault="00000000">
      <w:pPr>
        <w:spacing w:before="240" w:after="240"/>
        <w:rPr>
          <w:b/>
          <w:bCs/>
        </w:rPr>
      </w:pPr>
      <w:r>
        <w:t xml:space="preserve">This table presents the distribution of treatment records within the restricted North Wales Rheumatology pilot dataset undertaken prior to wider national rollout of additional rheumatology high-cost drug forms, including Psoriatic Arthritis and Ankylosing Spondylitis pathways. The dataset was limited primarily to Rheumatoid Arthritis prescribing activity collected over a three-to-four-month pilot period and centred </w:t>
      </w:r>
      <w:r w:rsidR="00527ECC">
        <w:t>within</w:t>
      </w:r>
      <w:r>
        <w:t xml:space="preserve"> three hospital sites in Betsi Cadwaladr University Health Board. The table demonstrates the resulting concentration of 91.8% of treatment records within BCUHB, as discussed in Section 4.2.</w:t>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16"/>
        <w:gridCol w:w="1872"/>
        <w:gridCol w:w="1872"/>
      </w:tblGrid>
      <w:tr w:rsidR="00690943" w14:paraId="287DFCA2" w14:textId="77777777">
        <w:tc>
          <w:tcPr>
            <w:tcW w:w="5616"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3D80022C" w14:textId="77777777" w:rsidR="00690943" w:rsidRDefault="00000000">
            <w:r>
              <w:rPr>
                <w:b/>
                <w:bCs/>
              </w:rPr>
              <w:t>Health Board</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72E027B3" w14:textId="77777777" w:rsidR="00690943" w:rsidRDefault="00000000">
            <w:r>
              <w:rPr>
                <w:b/>
                <w:bCs/>
              </w:rPr>
              <w:t>Count</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1C5FF671" w14:textId="77777777" w:rsidR="00690943" w:rsidRDefault="00000000">
            <w:r>
              <w:rPr>
                <w:b/>
                <w:bCs/>
              </w:rPr>
              <w:t>Percentage</w:t>
            </w:r>
          </w:p>
        </w:tc>
      </w:tr>
      <w:tr w:rsidR="00690943" w14:paraId="051D4EBB"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4519372" w14:textId="77777777" w:rsidR="00690943" w:rsidRDefault="00000000">
            <w:r>
              <w:t>Betsi Cadwaladr University Health Board</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8921F8E" w14:textId="77777777" w:rsidR="00690943" w:rsidRDefault="00000000">
            <w:r>
              <w:t>135</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8D16BB2" w14:textId="77777777" w:rsidR="00690943" w:rsidRDefault="00000000">
            <w:r>
              <w:t>91.8%</w:t>
            </w:r>
          </w:p>
        </w:tc>
      </w:tr>
      <w:tr w:rsidR="00690943" w14:paraId="4ACB53D7"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061FED9" w14:textId="77777777" w:rsidR="00690943" w:rsidRDefault="00000000">
            <w:r>
              <w:t>Cardiff &amp; Vale University Health Board</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A7ABD65" w14:textId="77777777" w:rsidR="00690943" w:rsidRDefault="00000000">
            <w:r>
              <w:t>8</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1C0C17B" w14:textId="77777777" w:rsidR="00690943" w:rsidRDefault="00000000">
            <w:r>
              <w:t>5.4%</w:t>
            </w:r>
          </w:p>
        </w:tc>
      </w:tr>
      <w:tr w:rsidR="00690943" w14:paraId="6DB76FF5"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55C35DF" w14:textId="77777777" w:rsidR="00690943" w:rsidRDefault="00000000">
            <w:r>
              <w:t>Swansea Bay University Health Board</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D8B92E3" w14:textId="77777777" w:rsidR="00690943" w:rsidRDefault="00000000">
            <w:r>
              <w:t>1</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E8EF771" w14:textId="77777777" w:rsidR="00690943" w:rsidRDefault="00000000">
            <w:r>
              <w:t>0.7%</w:t>
            </w:r>
          </w:p>
        </w:tc>
      </w:tr>
      <w:tr w:rsidR="00690943" w14:paraId="7497EFAF"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14EF5E7" w14:textId="77777777" w:rsidR="00690943" w:rsidRDefault="00000000">
            <w:r>
              <w:t>Evaluate Provider entries</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D3C67F9" w14:textId="77777777" w:rsidR="00690943" w:rsidRDefault="00000000">
            <w:r>
              <w:t>3</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16D991E" w14:textId="77777777" w:rsidR="00690943" w:rsidRDefault="00000000">
            <w:r>
              <w:t>2.0%</w:t>
            </w:r>
          </w:p>
        </w:tc>
      </w:tr>
      <w:tr w:rsidR="00690943" w14:paraId="6B7A5097" w14:textId="77777777">
        <w:tc>
          <w:tcPr>
            <w:tcW w:w="5616"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03D2F9F9" w14:textId="77777777" w:rsidR="00690943" w:rsidRDefault="00000000">
            <w:r>
              <w:rPr>
                <w:b/>
                <w:bCs/>
              </w:rPr>
              <w:t>Total</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4FCC806D" w14:textId="77777777" w:rsidR="00690943" w:rsidRDefault="00000000">
            <w:r>
              <w:rPr>
                <w:b/>
                <w:bCs/>
              </w:rPr>
              <w:t>147</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7367AD90" w14:textId="77777777" w:rsidR="00690943" w:rsidRDefault="00000000">
            <w:r>
              <w:rPr>
                <w:b/>
                <w:bCs/>
              </w:rPr>
              <w:t>100%</w:t>
            </w:r>
          </w:p>
        </w:tc>
      </w:tr>
    </w:tbl>
    <w:p w14:paraId="4E72A49E" w14:textId="77777777" w:rsidR="00690943" w:rsidRDefault="00690943">
      <w:pPr>
        <w:spacing w:after="160"/>
      </w:pPr>
    </w:p>
    <w:p w14:paraId="1F2233AB" w14:textId="77777777" w:rsidR="00690943" w:rsidRDefault="00000000">
      <w:r>
        <w:br w:type="page"/>
      </w:r>
    </w:p>
    <w:p w14:paraId="7E24DAAB" w14:textId="77777777" w:rsidR="00690943" w:rsidRDefault="00690943">
      <w:pPr>
        <w:spacing w:after="160"/>
      </w:pPr>
    </w:p>
    <w:p w14:paraId="66E5D11F" w14:textId="77777777" w:rsidR="00690943" w:rsidRDefault="00000000">
      <w:pPr>
        <w:spacing w:after="160"/>
      </w:pPr>
      <w:r>
        <w:rPr>
          <w:b/>
          <w:bCs/>
        </w:rPr>
        <w:t>Appendix 7: Table 3 (Chapter 4) - Frequency of High-Cost Drug Prescriptions</w:t>
      </w:r>
    </w:p>
    <w:p w14:paraId="19948DF9" w14:textId="77777777" w:rsidR="00690943" w:rsidRDefault="00000000">
      <w:pPr>
        <w:spacing w:after="160"/>
      </w:pPr>
      <w:r>
        <w:t>This table provides a full breakdown of all 147 prescription records by individual medication, as analysed in section 4.3 of the results chapter.</w:t>
      </w:r>
    </w:p>
    <w:tbl>
      <w:tblPr>
        <w:tblStyle w:val="a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16"/>
        <w:gridCol w:w="1872"/>
        <w:gridCol w:w="1872"/>
      </w:tblGrid>
      <w:tr w:rsidR="00690943" w14:paraId="6E3E2894" w14:textId="77777777">
        <w:tc>
          <w:tcPr>
            <w:tcW w:w="5616"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731738A9" w14:textId="77777777" w:rsidR="00690943" w:rsidRDefault="00000000">
            <w:r>
              <w:rPr>
                <w:b/>
                <w:bCs/>
              </w:rPr>
              <w:t>Medication</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5CE595DE" w14:textId="77777777" w:rsidR="00690943" w:rsidRDefault="00000000">
            <w:r>
              <w:rPr>
                <w:b/>
                <w:bCs/>
              </w:rPr>
              <w:t>Count</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6EB343D5" w14:textId="77777777" w:rsidR="00690943" w:rsidRDefault="00000000">
            <w:r>
              <w:rPr>
                <w:b/>
                <w:bCs/>
              </w:rPr>
              <w:t>Percentage</w:t>
            </w:r>
          </w:p>
        </w:tc>
      </w:tr>
      <w:tr w:rsidR="00690943" w14:paraId="35551A58"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1A7ACAD" w14:textId="77777777" w:rsidR="00690943" w:rsidRDefault="00000000">
            <w:r>
              <w:t>Adalimumab Biosimilar (Yuflyma®)</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8984CE0" w14:textId="77777777" w:rsidR="00690943" w:rsidRDefault="00000000">
            <w:r>
              <w:t>70</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5CA1A06" w14:textId="77777777" w:rsidR="00690943" w:rsidRDefault="00000000">
            <w:r>
              <w:t>47.6%</w:t>
            </w:r>
          </w:p>
        </w:tc>
      </w:tr>
      <w:tr w:rsidR="00690943" w14:paraId="7E984F2C"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CE0645C" w14:textId="77777777" w:rsidR="00690943" w:rsidRDefault="00000000">
            <w:r>
              <w:t>Upadacitinib</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776CE59" w14:textId="77777777" w:rsidR="00690943" w:rsidRDefault="00000000">
            <w:r>
              <w:t>18</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3D71D9F" w14:textId="77777777" w:rsidR="00690943" w:rsidRDefault="00000000">
            <w:r>
              <w:t>12.2%</w:t>
            </w:r>
          </w:p>
        </w:tc>
      </w:tr>
      <w:tr w:rsidR="00690943" w14:paraId="23719D3D"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4225933" w14:textId="77777777" w:rsidR="00690943" w:rsidRDefault="00000000">
            <w:r>
              <w:t>Abatacept (Orencia®) SC</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4C4CA14" w14:textId="77777777" w:rsidR="00690943" w:rsidRDefault="00000000">
            <w:r>
              <w:t>10</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C891EDC" w14:textId="77777777" w:rsidR="00690943" w:rsidRDefault="00000000">
            <w:r>
              <w:t>6.8%</w:t>
            </w:r>
          </w:p>
        </w:tc>
      </w:tr>
      <w:tr w:rsidR="00690943" w14:paraId="4890F946"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8A9F34B" w14:textId="77777777" w:rsidR="00690943" w:rsidRDefault="00000000">
            <w:r>
              <w:t>Etanercept Biosimilar (Benepali®, Erelzi®)</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AE75EB0" w14:textId="77777777" w:rsidR="00690943" w:rsidRDefault="00000000">
            <w:r>
              <w:t>10</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92842A1" w14:textId="77777777" w:rsidR="00690943" w:rsidRDefault="00000000">
            <w:r>
              <w:t>6.8%</w:t>
            </w:r>
          </w:p>
        </w:tc>
      </w:tr>
      <w:tr w:rsidR="00690943" w14:paraId="7AF3F97F"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CB7C3A6" w14:textId="77777777" w:rsidR="00690943" w:rsidRDefault="00000000">
            <w:r>
              <w:t>Infliximab Biosimilar (various brands)</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0D9B39D" w14:textId="77777777" w:rsidR="00690943" w:rsidRDefault="00000000">
            <w:r>
              <w:t>10</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ACC4EB3" w14:textId="77777777" w:rsidR="00690943" w:rsidRDefault="00000000">
            <w:r>
              <w:t>6.8%</w:t>
            </w:r>
          </w:p>
        </w:tc>
      </w:tr>
      <w:tr w:rsidR="00690943" w14:paraId="7B321893"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CB7807C" w14:textId="77777777" w:rsidR="00690943" w:rsidRDefault="00000000">
            <w:r>
              <w:t>Rituximab Biosimilar (Truxima®, Rixathon®, Ruxience®)</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6C8FEEC" w14:textId="77777777" w:rsidR="00690943" w:rsidRDefault="00000000">
            <w:r>
              <w:t>8</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7E8708A" w14:textId="77777777" w:rsidR="00690943" w:rsidRDefault="00000000">
            <w:r>
              <w:t>5.4%</w:t>
            </w:r>
          </w:p>
        </w:tc>
      </w:tr>
      <w:tr w:rsidR="00690943" w14:paraId="517F1A44"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BE5B351" w14:textId="77777777" w:rsidR="00690943" w:rsidRDefault="00000000">
            <w:r>
              <w:t>Filgotinib (Jyseleca®)</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61D0444" w14:textId="77777777" w:rsidR="00690943" w:rsidRDefault="00000000">
            <w:r>
              <w:t>8</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2397660" w14:textId="77777777" w:rsidR="00690943" w:rsidRDefault="00000000">
            <w:r>
              <w:t>5.4%</w:t>
            </w:r>
          </w:p>
        </w:tc>
      </w:tr>
      <w:tr w:rsidR="00690943" w14:paraId="7F73B2E2"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41F70EE" w14:textId="77777777" w:rsidR="00690943" w:rsidRDefault="00000000">
            <w:r>
              <w:t>Tocilizumab Biosimilar (Tyenne®)</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53C2637" w14:textId="77777777" w:rsidR="00690943" w:rsidRDefault="00000000">
            <w:r>
              <w:t>7</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F92D7F5" w14:textId="77777777" w:rsidR="00690943" w:rsidRDefault="00000000">
            <w:r>
              <w:t>4.8%</w:t>
            </w:r>
          </w:p>
        </w:tc>
      </w:tr>
      <w:tr w:rsidR="00690943" w14:paraId="4DF696BA"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4A282FD" w14:textId="77777777" w:rsidR="00690943" w:rsidRDefault="00000000">
            <w:r>
              <w:t>Baricitinib</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987D331" w14:textId="77777777" w:rsidR="00690943" w:rsidRDefault="00000000">
            <w:r>
              <w:t>6</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ABDC9E1" w14:textId="77777777" w:rsidR="00690943" w:rsidRDefault="00000000">
            <w:r>
              <w:t>4.1%</w:t>
            </w:r>
          </w:p>
        </w:tc>
      </w:tr>
      <w:tr w:rsidR="00690943" w14:paraId="06FC7845"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8013D2F" w14:textId="77777777" w:rsidR="00690943" w:rsidRDefault="00000000">
            <w:r>
              <w:t>Certolizumab pegol (Cimzia®)</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294DEDC" w14:textId="77777777" w:rsidR="00690943" w:rsidRDefault="00000000">
            <w:r>
              <w:t>5</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4366CE6" w14:textId="77777777" w:rsidR="00690943" w:rsidRDefault="00000000">
            <w:r>
              <w:t>3.4%</w:t>
            </w:r>
          </w:p>
        </w:tc>
      </w:tr>
      <w:tr w:rsidR="00690943" w14:paraId="7B5A2318"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E9E91D6" w14:textId="77777777" w:rsidR="00690943" w:rsidRDefault="00000000">
            <w:r>
              <w:t>Tocilizumab (Roactemra®)</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44D7D02" w14:textId="77777777" w:rsidR="00690943" w:rsidRDefault="00000000">
            <w:r>
              <w:t>3</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BC18D64" w14:textId="77777777" w:rsidR="00690943" w:rsidRDefault="00000000">
            <w:r>
              <w:t>2.0%</w:t>
            </w:r>
          </w:p>
        </w:tc>
      </w:tr>
      <w:tr w:rsidR="00690943" w14:paraId="6887800C"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C0153F7" w14:textId="77777777" w:rsidR="00690943" w:rsidRDefault="00000000">
            <w:r>
              <w:t>Adalimumab (Humira®)</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9FF1B7F" w14:textId="77777777" w:rsidR="00690943" w:rsidRDefault="00000000">
            <w:r>
              <w:t>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ACEBF22" w14:textId="77777777" w:rsidR="00690943" w:rsidRDefault="00000000">
            <w:r>
              <w:t>1.4%</w:t>
            </w:r>
          </w:p>
        </w:tc>
      </w:tr>
      <w:tr w:rsidR="00690943" w14:paraId="136519F9"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1484093" w14:textId="77777777" w:rsidR="00690943" w:rsidRDefault="00000000">
            <w:r>
              <w:t>Etanercept (Enbrel®)</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BE216AD" w14:textId="77777777" w:rsidR="00690943" w:rsidRDefault="00000000">
            <w:r>
              <w:t>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B8CCB6E" w14:textId="77777777" w:rsidR="00690943" w:rsidRDefault="00000000">
            <w:r>
              <w:t>1.4%</w:t>
            </w:r>
          </w:p>
        </w:tc>
      </w:tr>
      <w:tr w:rsidR="00690943" w14:paraId="22B2D199"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8A22539" w14:textId="77777777" w:rsidR="00690943" w:rsidRDefault="00000000">
            <w:r>
              <w:t>Infliximab (Remicade®)</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F7AC549" w14:textId="77777777" w:rsidR="00690943" w:rsidRDefault="00000000">
            <w:r>
              <w:t>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3EF6998" w14:textId="77777777" w:rsidR="00690943" w:rsidRDefault="00000000">
            <w:r>
              <w:t>1.4%</w:t>
            </w:r>
          </w:p>
        </w:tc>
      </w:tr>
      <w:tr w:rsidR="00690943" w14:paraId="101998EC"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11FAB35" w14:textId="77777777" w:rsidR="00690943" w:rsidRDefault="00000000">
            <w:r>
              <w:t>Rituximab (Mabthera®)</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6F7D4CF" w14:textId="77777777" w:rsidR="00690943" w:rsidRDefault="00000000">
            <w:r>
              <w:t>1</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CAC111F" w14:textId="77777777" w:rsidR="00690943" w:rsidRDefault="00000000">
            <w:r>
              <w:t>0.7%</w:t>
            </w:r>
          </w:p>
        </w:tc>
      </w:tr>
      <w:tr w:rsidR="00690943" w14:paraId="78F0E775"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10C543A" w14:textId="77777777" w:rsidR="00690943" w:rsidRDefault="00000000">
            <w:r>
              <w:t>Other medications</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107FB48" w14:textId="77777777" w:rsidR="00690943" w:rsidRDefault="00000000">
            <w:r>
              <w:t>5</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A3FB432" w14:textId="77777777" w:rsidR="00690943" w:rsidRDefault="00000000">
            <w:r>
              <w:t>3.4%</w:t>
            </w:r>
          </w:p>
        </w:tc>
      </w:tr>
      <w:tr w:rsidR="00690943" w14:paraId="471CDEA0" w14:textId="77777777">
        <w:tc>
          <w:tcPr>
            <w:tcW w:w="5616"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4CEC791A" w14:textId="77777777" w:rsidR="00690943" w:rsidRDefault="00000000">
            <w:r>
              <w:rPr>
                <w:b/>
                <w:bCs/>
              </w:rPr>
              <w:t>Total</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26EEAF31" w14:textId="77777777" w:rsidR="00690943" w:rsidRDefault="00000000">
            <w:r>
              <w:rPr>
                <w:b/>
                <w:bCs/>
              </w:rPr>
              <w:t>147</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2DC3AEFD" w14:textId="77777777" w:rsidR="00690943" w:rsidRDefault="00000000">
            <w:r>
              <w:rPr>
                <w:b/>
                <w:bCs/>
              </w:rPr>
              <w:t>100%</w:t>
            </w:r>
          </w:p>
        </w:tc>
      </w:tr>
    </w:tbl>
    <w:p w14:paraId="39957B3D" w14:textId="77777777" w:rsidR="00690943" w:rsidRDefault="00000000">
      <w:r>
        <w:br w:type="page"/>
      </w:r>
    </w:p>
    <w:p w14:paraId="36A5A834" w14:textId="77777777" w:rsidR="00690943" w:rsidRDefault="00000000">
      <w:pPr>
        <w:spacing w:after="160"/>
      </w:pPr>
      <w:r>
        <w:rPr>
          <w:b/>
          <w:bCs/>
        </w:rPr>
        <w:lastRenderedPageBreak/>
        <w:t>Appendix 8: Table 4 (Chapter 4) - Treatment by Drug Class</w:t>
      </w:r>
    </w:p>
    <w:p w14:paraId="0C32B2F4" w14:textId="77777777" w:rsidR="00690943" w:rsidRDefault="00000000">
      <w:pPr>
        <w:spacing w:after="160"/>
      </w:pPr>
      <w:r>
        <w:t>This table groups prescriptions by drug class, illustrating the dominance of TNF-alpha biosimilars (61.2%) and the emerging role of JAK inhibitors (21.8%), as discussed in section 4.3.</w:t>
      </w:r>
    </w:p>
    <w:tbl>
      <w:tblPr>
        <w:tblStyle w:val="a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16"/>
        <w:gridCol w:w="1872"/>
        <w:gridCol w:w="1872"/>
      </w:tblGrid>
      <w:tr w:rsidR="00690943" w14:paraId="1C3863FF" w14:textId="77777777">
        <w:tc>
          <w:tcPr>
            <w:tcW w:w="5616"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1007E8E0" w14:textId="77777777" w:rsidR="00690943" w:rsidRDefault="00000000">
            <w:r>
              <w:rPr>
                <w:b/>
                <w:bCs/>
              </w:rPr>
              <w:t>Drug Class</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1A7D8FA0" w14:textId="77777777" w:rsidR="00690943" w:rsidRDefault="00000000">
            <w:r>
              <w:rPr>
                <w:b/>
                <w:bCs/>
              </w:rPr>
              <w:t>Count</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5DFBB415" w14:textId="77777777" w:rsidR="00690943" w:rsidRDefault="00000000">
            <w:r>
              <w:rPr>
                <w:b/>
                <w:bCs/>
              </w:rPr>
              <w:t>Percentage</w:t>
            </w:r>
          </w:p>
        </w:tc>
      </w:tr>
      <w:tr w:rsidR="00690943" w14:paraId="73C8AF3F"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A60E35C" w14:textId="77777777" w:rsidR="00690943" w:rsidRDefault="00000000">
            <w:r>
              <w:t>TNF-α Inhibitors (Biosimilar)</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1FF2354" w14:textId="77777777" w:rsidR="00690943" w:rsidRDefault="00000000">
            <w:r>
              <w:t>90</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3FB1E5E" w14:textId="77777777" w:rsidR="00690943" w:rsidRDefault="00000000">
            <w:r>
              <w:t>61.2%</w:t>
            </w:r>
          </w:p>
        </w:tc>
      </w:tr>
      <w:tr w:rsidR="00690943" w14:paraId="76FA253C"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4F7FF71" w14:textId="77777777" w:rsidR="00690943" w:rsidRDefault="00000000">
            <w:r>
              <w:t>JAK Inhibitors</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90F801E" w14:textId="77777777" w:rsidR="00690943" w:rsidRDefault="00000000">
            <w:r>
              <w:t>32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2B2F8A9" w14:textId="77777777" w:rsidR="00690943" w:rsidRDefault="00000000">
            <w:r>
              <w:t>21.8%</w:t>
            </w:r>
          </w:p>
        </w:tc>
      </w:tr>
      <w:tr w:rsidR="00690943" w14:paraId="3A0407E2"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57377B0" w14:textId="77777777" w:rsidR="00690943" w:rsidRDefault="00000000">
            <w:r>
              <w:t>T-cell Co-stimulation Inhibitors</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9C395BE" w14:textId="77777777" w:rsidR="00690943" w:rsidRDefault="00000000">
            <w:r>
              <w:t>10</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F548F24" w14:textId="77777777" w:rsidR="00690943" w:rsidRDefault="00000000">
            <w:r>
              <w:t>6.8%</w:t>
            </w:r>
          </w:p>
        </w:tc>
      </w:tr>
      <w:tr w:rsidR="00690943" w14:paraId="623EA68C"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7AF3E98" w14:textId="77777777" w:rsidR="00690943" w:rsidRDefault="00000000">
            <w:r>
              <w:t>IL-6 Receptor Antagonists</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90130BA" w14:textId="77777777" w:rsidR="00690943" w:rsidRDefault="00000000">
            <w:r>
              <w:t>10</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DB70B71" w14:textId="77777777" w:rsidR="00690943" w:rsidRDefault="00000000">
            <w:r>
              <w:t>6.8%</w:t>
            </w:r>
          </w:p>
        </w:tc>
      </w:tr>
      <w:tr w:rsidR="00690943" w14:paraId="60EBDCA2"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888210D" w14:textId="77777777" w:rsidR="00690943" w:rsidRDefault="00000000">
            <w:r>
              <w:t>B-cell Depletion Agents</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968C18C" w14:textId="77777777" w:rsidR="00690943" w:rsidRDefault="00000000">
            <w:r>
              <w:t>9</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2D5D8D4" w14:textId="77777777" w:rsidR="00690943" w:rsidRDefault="00000000">
            <w:r>
              <w:t>6.1%</w:t>
            </w:r>
          </w:p>
        </w:tc>
      </w:tr>
      <w:tr w:rsidR="00690943" w14:paraId="2F686337"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37C25B8" w14:textId="77777777" w:rsidR="00690943" w:rsidRDefault="00000000">
            <w:r>
              <w:t>TNF-α Inhibitors (Originator)</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CBFDFC8" w14:textId="77777777" w:rsidR="00690943" w:rsidRDefault="00000000">
            <w:r>
              <w:t>6</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7F8D0A0" w14:textId="77777777" w:rsidR="00690943" w:rsidRDefault="00000000">
            <w:r>
              <w:t>4.1%</w:t>
            </w:r>
          </w:p>
        </w:tc>
      </w:tr>
      <w:tr w:rsidR="00690943" w14:paraId="34DDE2A9" w14:textId="77777777">
        <w:tc>
          <w:tcPr>
            <w:tcW w:w="5616"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52B30DB2" w14:textId="77777777" w:rsidR="00690943" w:rsidRDefault="00000000">
            <w:r>
              <w:rPr>
                <w:b/>
                <w:bCs/>
              </w:rPr>
              <w:t>Total</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3A2141E7" w14:textId="77777777" w:rsidR="00690943" w:rsidRDefault="00000000">
            <w:r>
              <w:rPr>
                <w:b/>
                <w:bCs/>
              </w:rPr>
              <w:t>147</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28EA0566" w14:textId="77777777" w:rsidR="00690943" w:rsidRDefault="00000000">
            <w:r>
              <w:rPr>
                <w:b/>
                <w:bCs/>
              </w:rPr>
              <w:t>100%</w:t>
            </w:r>
          </w:p>
        </w:tc>
      </w:tr>
    </w:tbl>
    <w:p w14:paraId="3F4D479C" w14:textId="77777777" w:rsidR="00690943" w:rsidRDefault="00000000">
      <w:r>
        <w:br w:type="page"/>
      </w:r>
    </w:p>
    <w:p w14:paraId="12C0F9D3" w14:textId="77777777" w:rsidR="00690943" w:rsidRDefault="00000000">
      <w:pPr>
        <w:spacing w:after="160"/>
      </w:pPr>
      <w:r>
        <w:rPr>
          <w:b/>
          <w:bCs/>
        </w:rPr>
        <w:lastRenderedPageBreak/>
        <w:t>Appendix 9: Table 5 (Chapter 4) - Biosimilar Adoption for TNF Inhibitors</w:t>
      </w:r>
    </w:p>
    <w:p w14:paraId="103CD871" w14:textId="77777777" w:rsidR="00690943" w:rsidRDefault="00000000">
      <w:pPr>
        <w:spacing w:after="160"/>
      </w:pPr>
      <w:r>
        <w:t>This table compares biosimilar versus originator prescribing across the four TNF inhibitors available in biosimilar form, proving an overall adoption rate of 93.3%, as discussed in section 4.4.</w:t>
      </w:r>
    </w:p>
    <w:tbl>
      <w:tblPr>
        <w:tblStyle w:val="a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40"/>
        <w:gridCol w:w="1872"/>
        <w:gridCol w:w="1872"/>
        <w:gridCol w:w="1404"/>
        <w:gridCol w:w="1872"/>
      </w:tblGrid>
      <w:tr w:rsidR="00690943" w14:paraId="736BAE25" w14:textId="77777777">
        <w:tc>
          <w:tcPr>
            <w:tcW w:w="234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094810CA" w14:textId="77777777" w:rsidR="00690943" w:rsidRDefault="00000000">
            <w:r>
              <w:rPr>
                <w:b/>
                <w:bCs/>
              </w:rPr>
              <w:t>Agent</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2CB8CF87" w14:textId="77777777" w:rsidR="00690943" w:rsidRDefault="00000000">
            <w:r>
              <w:rPr>
                <w:b/>
                <w:bCs/>
              </w:rPr>
              <w:t>Originator Prescriptions</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48FE4615" w14:textId="77777777" w:rsidR="00690943" w:rsidRDefault="00000000">
            <w:r>
              <w:rPr>
                <w:b/>
                <w:bCs/>
              </w:rPr>
              <w:t>Biosimilar Prescriptions</w:t>
            </w:r>
          </w:p>
        </w:tc>
        <w:tc>
          <w:tcPr>
            <w:tcW w:w="1404"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5DD37DE0" w14:textId="77777777" w:rsidR="00690943" w:rsidRDefault="00000000">
            <w:r>
              <w:rPr>
                <w:b/>
                <w:bCs/>
              </w:rPr>
              <w:t>Total</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1590E9F2" w14:textId="77777777" w:rsidR="00690943" w:rsidRDefault="00000000">
            <w:r>
              <w:rPr>
                <w:b/>
                <w:bCs/>
              </w:rPr>
              <w:t>Biosimilar Rate</w:t>
            </w:r>
          </w:p>
        </w:tc>
      </w:tr>
      <w:tr w:rsidR="00690943" w14:paraId="493149FC" w14:textId="77777777">
        <w:tc>
          <w:tcPr>
            <w:tcW w:w="23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504BB5B" w14:textId="77777777" w:rsidR="00690943" w:rsidRDefault="00000000">
            <w:r>
              <w:t>Adalimumab</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194338E" w14:textId="77777777" w:rsidR="00690943" w:rsidRDefault="00000000">
            <w:r>
              <w:t>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D8A897B" w14:textId="77777777" w:rsidR="00690943" w:rsidRDefault="00000000">
            <w:r>
              <w:t>70</w:t>
            </w:r>
          </w:p>
        </w:tc>
        <w:tc>
          <w:tcPr>
            <w:tcW w:w="1404"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6C904AE" w14:textId="77777777" w:rsidR="00690943" w:rsidRDefault="00000000">
            <w:r>
              <w:t>72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8C56E9C" w14:textId="77777777" w:rsidR="00690943" w:rsidRDefault="00000000">
            <w:r>
              <w:t>97.2%</w:t>
            </w:r>
          </w:p>
        </w:tc>
      </w:tr>
      <w:tr w:rsidR="00690943" w14:paraId="5F80A8E4" w14:textId="77777777">
        <w:tc>
          <w:tcPr>
            <w:tcW w:w="23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2F0375F" w14:textId="77777777" w:rsidR="00690943" w:rsidRDefault="00000000">
            <w:r>
              <w:t>Etanercept</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488DD6D" w14:textId="77777777" w:rsidR="00690943" w:rsidRDefault="00000000">
            <w:r>
              <w:t>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1A374FF" w14:textId="77777777" w:rsidR="00690943" w:rsidRDefault="00000000">
            <w:r>
              <w:t>10</w:t>
            </w:r>
          </w:p>
        </w:tc>
        <w:tc>
          <w:tcPr>
            <w:tcW w:w="1404"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6CC0F50" w14:textId="77777777" w:rsidR="00690943" w:rsidRDefault="00000000">
            <w:r>
              <w:t>12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D743E24" w14:textId="77777777" w:rsidR="00690943" w:rsidRDefault="00000000">
            <w:r>
              <w:t>83.3%</w:t>
            </w:r>
          </w:p>
        </w:tc>
      </w:tr>
      <w:tr w:rsidR="00690943" w14:paraId="612B796D" w14:textId="77777777">
        <w:tc>
          <w:tcPr>
            <w:tcW w:w="23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5DC2D69" w14:textId="77777777" w:rsidR="00690943" w:rsidRDefault="00000000">
            <w:r>
              <w:t>Infliximab</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AC6F547" w14:textId="77777777" w:rsidR="00690943" w:rsidRDefault="00000000">
            <w:r>
              <w:t>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DBC805B" w14:textId="77777777" w:rsidR="00690943" w:rsidRDefault="00000000">
            <w:r>
              <w:t>10</w:t>
            </w:r>
          </w:p>
        </w:tc>
        <w:tc>
          <w:tcPr>
            <w:tcW w:w="1404"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394FB8C" w14:textId="77777777" w:rsidR="00690943" w:rsidRDefault="00000000">
            <w:r>
              <w:t>12</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583178F" w14:textId="77777777" w:rsidR="00690943" w:rsidRDefault="00000000">
            <w:r>
              <w:t>83.3%</w:t>
            </w:r>
          </w:p>
        </w:tc>
      </w:tr>
      <w:tr w:rsidR="00690943" w14:paraId="438DB8B6" w14:textId="77777777">
        <w:tc>
          <w:tcPr>
            <w:tcW w:w="23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BDE3871" w14:textId="77777777" w:rsidR="00690943" w:rsidRDefault="00000000">
            <w:r>
              <w:t>Rituximab</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7282BD4" w14:textId="77777777" w:rsidR="00690943" w:rsidRDefault="00000000">
            <w:r>
              <w:t>1</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B26499E" w14:textId="77777777" w:rsidR="00690943" w:rsidRDefault="00000000">
            <w:r>
              <w:t>8</w:t>
            </w:r>
          </w:p>
        </w:tc>
        <w:tc>
          <w:tcPr>
            <w:tcW w:w="1404"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6E317ED" w14:textId="77777777" w:rsidR="00690943" w:rsidRDefault="00000000">
            <w:r>
              <w:t>9</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119BDA9" w14:textId="77777777" w:rsidR="00690943" w:rsidRDefault="00000000">
            <w:r>
              <w:t>88.9%</w:t>
            </w:r>
          </w:p>
        </w:tc>
      </w:tr>
      <w:tr w:rsidR="00690943" w14:paraId="31F9F740" w14:textId="77777777">
        <w:tc>
          <w:tcPr>
            <w:tcW w:w="2340"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2EF4006D" w14:textId="77777777" w:rsidR="00690943" w:rsidRDefault="00000000">
            <w:r>
              <w:rPr>
                <w:b/>
                <w:bCs/>
              </w:rPr>
              <w:t>Total</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61C1150F" w14:textId="77777777" w:rsidR="00690943" w:rsidRDefault="00000000">
            <w:r>
              <w:rPr>
                <w:b/>
                <w:bCs/>
              </w:rPr>
              <w:t>7</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4751DAE2" w14:textId="77777777" w:rsidR="00690943" w:rsidRDefault="00000000">
            <w:r>
              <w:rPr>
                <w:b/>
                <w:bCs/>
              </w:rPr>
              <w:t>98</w:t>
            </w:r>
          </w:p>
        </w:tc>
        <w:tc>
          <w:tcPr>
            <w:tcW w:w="1404"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2A46E24D" w14:textId="77777777" w:rsidR="00690943" w:rsidRDefault="00000000">
            <w:r>
              <w:rPr>
                <w:b/>
                <w:bCs/>
              </w:rPr>
              <w:t>105</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7C646169" w14:textId="77777777" w:rsidR="00690943" w:rsidRDefault="00000000">
            <w:r>
              <w:rPr>
                <w:b/>
                <w:bCs/>
              </w:rPr>
              <w:t>93.3%</w:t>
            </w:r>
          </w:p>
        </w:tc>
      </w:tr>
    </w:tbl>
    <w:p w14:paraId="5D8F20B3" w14:textId="77777777" w:rsidR="00690943" w:rsidRDefault="00690943">
      <w:pPr>
        <w:spacing w:after="160"/>
      </w:pPr>
    </w:p>
    <w:p w14:paraId="56E653AF" w14:textId="77777777" w:rsidR="00690943" w:rsidRDefault="00000000">
      <w:pPr>
        <w:rPr>
          <w:b/>
          <w:bCs/>
        </w:rPr>
      </w:pPr>
      <w:r>
        <w:br w:type="page"/>
      </w:r>
    </w:p>
    <w:p w14:paraId="5D25468D" w14:textId="77777777" w:rsidR="00690943" w:rsidRDefault="00000000">
      <w:pPr>
        <w:spacing w:after="160"/>
      </w:pPr>
      <w:r>
        <w:rPr>
          <w:b/>
          <w:bCs/>
        </w:rPr>
        <w:lastRenderedPageBreak/>
        <w:t xml:space="preserve">Appendix 10: Table 6 (Chapter 4) – Treatments by Hospital Provider (North Wales Pilot Dataset) </w:t>
      </w:r>
    </w:p>
    <w:p w14:paraId="7A10713A" w14:textId="77777777" w:rsidR="00690943" w:rsidRDefault="00000000">
      <w:pPr>
        <w:spacing w:after="160"/>
      </w:pPr>
      <w:r>
        <w:t>This table shows the distribution of treatment records by individual hospital site, with Glan Clwyd Hospital, Llandudno General Hospital, and Wrexham Maelor collectively accounting for 85.7% of all activity, as discussed in section 4.5.</w:t>
      </w:r>
    </w:p>
    <w:tbl>
      <w:tblPr>
        <w:tblStyle w:val="a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16"/>
        <w:gridCol w:w="1872"/>
        <w:gridCol w:w="1872"/>
      </w:tblGrid>
      <w:tr w:rsidR="00690943" w14:paraId="4CC1A205" w14:textId="77777777">
        <w:tc>
          <w:tcPr>
            <w:tcW w:w="5616"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63D4AE63" w14:textId="77777777" w:rsidR="00690943" w:rsidRDefault="00000000">
            <w:r>
              <w:rPr>
                <w:b/>
                <w:bCs/>
              </w:rPr>
              <w:t>Hospital Provider</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7132F097" w14:textId="77777777" w:rsidR="00690943" w:rsidRDefault="00000000">
            <w:r>
              <w:rPr>
                <w:b/>
                <w:bCs/>
              </w:rPr>
              <w:t>Count</w:t>
            </w:r>
          </w:p>
        </w:tc>
        <w:tc>
          <w:tcPr>
            <w:tcW w:w="1872"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4A44CEE2" w14:textId="77777777" w:rsidR="00690943" w:rsidRDefault="00000000">
            <w:r>
              <w:rPr>
                <w:b/>
                <w:bCs/>
              </w:rPr>
              <w:t>Percentage</w:t>
            </w:r>
          </w:p>
        </w:tc>
      </w:tr>
      <w:tr w:rsidR="00690943" w14:paraId="69769E57"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B718590" w14:textId="77777777" w:rsidR="00690943" w:rsidRDefault="00000000">
            <w:r>
              <w:t>Glan Clwyd Hospital</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D1DC6CC" w14:textId="77777777" w:rsidR="00690943" w:rsidRDefault="00000000">
            <w:r>
              <w:t>56</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A603FA6" w14:textId="77777777" w:rsidR="00690943" w:rsidRDefault="00000000">
            <w:r>
              <w:t>38.1%</w:t>
            </w:r>
          </w:p>
        </w:tc>
      </w:tr>
      <w:tr w:rsidR="00690943" w14:paraId="0C91F2D0"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6A5640C" w14:textId="77777777" w:rsidR="00690943" w:rsidRDefault="00000000">
            <w:r>
              <w:t>Llandudno General Hospital</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1FBDE2E" w14:textId="77777777" w:rsidR="00690943" w:rsidRDefault="00000000">
            <w:r>
              <w:t>41</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6873892" w14:textId="77777777" w:rsidR="00690943" w:rsidRDefault="00000000">
            <w:r>
              <w:t>27.9%</w:t>
            </w:r>
          </w:p>
        </w:tc>
      </w:tr>
      <w:tr w:rsidR="00690943" w14:paraId="78E62D75"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61CCAC3" w14:textId="77777777" w:rsidR="00690943" w:rsidRDefault="00000000">
            <w:r>
              <w:t>Wrexham Maelor Hospital</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99B7355" w14:textId="77777777" w:rsidR="00690943" w:rsidRDefault="00000000">
            <w:r>
              <w:t>29</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BA44B36" w14:textId="77777777" w:rsidR="00690943" w:rsidRDefault="00000000">
            <w:r>
              <w:t>19.7%</w:t>
            </w:r>
          </w:p>
        </w:tc>
      </w:tr>
      <w:tr w:rsidR="00690943" w14:paraId="064C1E3E"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16ACF5A" w14:textId="77777777" w:rsidR="00690943" w:rsidRDefault="00000000">
            <w:r>
              <w:t>Blueteq Wales Test Hospital</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9A16E42" w14:textId="77777777" w:rsidR="00690943" w:rsidRDefault="00000000">
            <w:r>
              <w:t>9</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10FCD83" w14:textId="77777777" w:rsidR="00690943" w:rsidRDefault="00000000">
            <w:r>
              <w:t>6.1%</w:t>
            </w:r>
          </w:p>
        </w:tc>
      </w:tr>
      <w:tr w:rsidR="00690943" w14:paraId="5E50DE9A"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130E98C" w14:textId="77777777" w:rsidR="00690943" w:rsidRDefault="00000000">
            <w:r>
              <w:t>Cardiff and Vale UHB</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C7C5C1A" w14:textId="77777777" w:rsidR="00690943" w:rsidRDefault="00000000">
            <w:r>
              <w:t>8</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9E62CC9" w14:textId="77777777" w:rsidR="00690943" w:rsidRDefault="00000000">
            <w:r>
              <w:t>5.4%</w:t>
            </w:r>
          </w:p>
        </w:tc>
      </w:tr>
      <w:tr w:rsidR="00690943" w14:paraId="2BD6DDB8" w14:textId="77777777">
        <w:tc>
          <w:tcPr>
            <w:tcW w:w="561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F78B400" w14:textId="77777777" w:rsidR="00690943" w:rsidRDefault="00000000">
            <w:r>
              <w:t>Other sites</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49E6015" w14:textId="77777777" w:rsidR="00690943" w:rsidRDefault="00000000">
            <w:r>
              <w:t>4</w:t>
            </w:r>
          </w:p>
        </w:tc>
        <w:tc>
          <w:tcPr>
            <w:tcW w:w="1872"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AD8D7AD" w14:textId="77777777" w:rsidR="00690943" w:rsidRDefault="00000000">
            <w:r>
              <w:t>2.7%</w:t>
            </w:r>
          </w:p>
        </w:tc>
      </w:tr>
      <w:tr w:rsidR="00690943" w14:paraId="0E43C8D5" w14:textId="77777777">
        <w:tc>
          <w:tcPr>
            <w:tcW w:w="5616"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6D049576" w14:textId="77777777" w:rsidR="00690943" w:rsidRDefault="00000000">
            <w:r>
              <w:rPr>
                <w:b/>
                <w:bCs/>
              </w:rPr>
              <w:t>Total</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63E6C3DB" w14:textId="77777777" w:rsidR="00690943" w:rsidRDefault="00000000">
            <w:r>
              <w:rPr>
                <w:b/>
                <w:bCs/>
              </w:rPr>
              <w:t>147</w:t>
            </w:r>
          </w:p>
        </w:tc>
        <w:tc>
          <w:tcPr>
            <w:tcW w:w="1872"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26F4894B" w14:textId="77777777" w:rsidR="00690943" w:rsidRDefault="00000000">
            <w:r>
              <w:rPr>
                <w:b/>
                <w:bCs/>
              </w:rPr>
              <w:t>100%</w:t>
            </w:r>
          </w:p>
        </w:tc>
      </w:tr>
    </w:tbl>
    <w:p w14:paraId="597C4AE6" w14:textId="77777777" w:rsidR="00690943" w:rsidRDefault="00690943">
      <w:pPr>
        <w:spacing w:after="160"/>
      </w:pPr>
    </w:p>
    <w:p w14:paraId="10524A40" w14:textId="77777777" w:rsidR="00690943" w:rsidRDefault="00000000">
      <w:pPr>
        <w:rPr>
          <w:b/>
          <w:bCs/>
        </w:rPr>
      </w:pPr>
      <w:r>
        <w:br w:type="page"/>
      </w:r>
    </w:p>
    <w:p w14:paraId="3FF733EB" w14:textId="77777777" w:rsidR="00690943" w:rsidRDefault="00000000">
      <w:pPr>
        <w:spacing w:after="160"/>
        <w:rPr>
          <w:b/>
          <w:bCs/>
        </w:rPr>
      </w:pPr>
      <w:r>
        <w:rPr>
          <w:b/>
          <w:bCs/>
        </w:rPr>
        <w:lastRenderedPageBreak/>
        <w:t xml:space="preserve">Appendix 11: Table 7 (Chapter 4) – Treatment Initiations by Month in the North Wales Pilot Dataset (August–December 2025, Rheumatoid Arthritis Only) </w:t>
      </w:r>
    </w:p>
    <w:p w14:paraId="098FA0D5" w14:textId="77777777" w:rsidR="00690943" w:rsidRDefault="00000000">
      <w:pPr>
        <w:spacing w:after="160"/>
      </w:pPr>
      <w:r>
        <w:t>This table presents the monthly distribution of treatment initiations across the study period, highlighting the temporal peak in October 2025 (23.8%) and autumn clustering (68%), as discussed in section 4.6.</w:t>
      </w:r>
    </w:p>
    <w:tbl>
      <w:tblPr>
        <w:tblStyle w:val="a7"/>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1560"/>
        <w:gridCol w:w="1560"/>
        <w:gridCol w:w="1560"/>
      </w:tblGrid>
      <w:tr w:rsidR="00690943" w14:paraId="5BB7AC3D" w14:textId="77777777">
        <w:tc>
          <w:tcPr>
            <w:tcW w:w="468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6619B26A" w14:textId="77777777" w:rsidR="00690943" w:rsidRDefault="00000000">
            <w:r>
              <w:rPr>
                <w:b/>
                <w:bCs/>
              </w:rPr>
              <w:t>Month</w:t>
            </w:r>
          </w:p>
        </w:tc>
        <w:tc>
          <w:tcPr>
            <w:tcW w:w="156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02DE7EB4" w14:textId="77777777" w:rsidR="00690943" w:rsidRDefault="00000000">
            <w:r>
              <w:rPr>
                <w:b/>
                <w:bCs/>
              </w:rPr>
              <w:t>Count</w:t>
            </w:r>
          </w:p>
        </w:tc>
        <w:tc>
          <w:tcPr>
            <w:tcW w:w="156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2CAF6BF9" w14:textId="77777777" w:rsidR="00690943" w:rsidRDefault="00000000">
            <w:r>
              <w:rPr>
                <w:b/>
                <w:bCs/>
              </w:rPr>
              <w:t>Percentage</w:t>
            </w:r>
          </w:p>
        </w:tc>
        <w:tc>
          <w:tcPr>
            <w:tcW w:w="156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60CE0C38" w14:textId="77777777" w:rsidR="00690943" w:rsidRDefault="00000000">
            <w:r>
              <w:rPr>
                <w:b/>
                <w:bCs/>
              </w:rPr>
              <w:t>Cumulative %</w:t>
            </w:r>
          </w:p>
        </w:tc>
      </w:tr>
      <w:tr w:rsidR="00690943" w14:paraId="7EC732F7"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0578F94" w14:textId="77777777" w:rsidR="00690943" w:rsidRDefault="00000000">
            <w:r>
              <w:t>Earlier records (2024)</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A2BFE6D" w14:textId="77777777" w:rsidR="00690943" w:rsidRDefault="00000000">
            <w:r>
              <w:t>20</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4CC7762" w14:textId="77777777" w:rsidR="00690943" w:rsidRDefault="00000000">
            <w:r>
              <w:t>13.6%</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30CD7FF" w14:textId="77777777" w:rsidR="00690943" w:rsidRDefault="00000000">
            <w:r>
              <w:t>13.6%</w:t>
            </w:r>
          </w:p>
        </w:tc>
      </w:tr>
      <w:tr w:rsidR="00690943" w14:paraId="55239000"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AFB2C0F" w14:textId="77777777" w:rsidR="00690943" w:rsidRDefault="00000000">
            <w:r>
              <w:t>August 2025</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0D61EE1" w14:textId="77777777" w:rsidR="00690943" w:rsidRDefault="00000000">
            <w:r>
              <w:t>12</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16B7900" w14:textId="77777777" w:rsidR="00690943" w:rsidRDefault="00000000">
            <w:r>
              <w:t>8.2%</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30DD7FB" w14:textId="77777777" w:rsidR="00690943" w:rsidRDefault="00000000">
            <w:r>
              <w:t>21.8%</w:t>
            </w:r>
          </w:p>
        </w:tc>
      </w:tr>
      <w:tr w:rsidR="00690943" w14:paraId="71D17E15"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0582558" w14:textId="77777777" w:rsidR="00690943" w:rsidRDefault="00000000">
            <w:r>
              <w:t>September 2025</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09D7689" w14:textId="77777777" w:rsidR="00690943" w:rsidRDefault="00000000">
            <w:r>
              <w:t>24</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3D9503F" w14:textId="77777777" w:rsidR="00690943" w:rsidRDefault="00000000">
            <w:r>
              <w:t>16.3%</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2E838A3" w14:textId="77777777" w:rsidR="00690943" w:rsidRDefault="00000000">
            <w:r>
              <w:t>38.1%</w:t>
            </w:r>
          </w:p>
        </w:tc>
      </w:tr>
      <w:tr w:rsidR="00690943" w14:paraId="6D941E89"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CDEE6AA" w14:textId="77777777" w:rsidR="00690943" w:rsidRDefault="00000000">
            <w:r>
              <w:t>October 2025</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E43C51F" w14:textId="77777777" w:rsidR="00690943" w:rsidRDefault="00000000">
            <w:r>
              <w:t>35</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8EE2D65" w14:textId="77777777" w:rsidR="00690943" w:rsidRDefault="00000000">
            <w:r>
              <w:t>23.8%</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450748E" w14:textId="77777777" w:rsidR="00690943" w:rsidRDefault="00000000">
            <w:r>
              <w:t>61.9%</w:t>
            </w:r>
          </w:p>
        </w:tc>
      </w:tr>
      <w:tr w:rsidR="00690943" w14:paraId="4BACF2C0"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6645B63" w14:textId="77777777" w:rsidR="00690943" w:rsidRDefault="00000000">
            <w:r>
              <w:t>November 2025</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312DB47" w14:textId="77777777" w:rsidR="00690943" w:rsidRDefault="00000000">
            <w:r>
              <w:t>23</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573055C" w14:textId="77777777" w:rsidR="00690943" w:rsidRDefault="00000000">
            <w:r>
              <w:t>15.6%</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8A1A111" w14:textId="77777777" w:rsidR="00690943" w:rsidRDefault="00000000">
            <w:r>
              <w:t>77.6%</w:t>
            </w:r>
          </w:p>
        </w:tc>
      </w:tr>
      <w:tr w:rsidR="00690943" w14:paraId="17BBF210"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4E986F7" w14:textId="77777777" w:rsidR="00690943" w:rsidRDefault="00000000">
            <w:r>
              <w:t>December 2025</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DEB9C0E" w14:textId="77777777" w:rsidR="00690943" w:rsidRDefault="00000000">
            <w:r>
              <w:t>18</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2CE9542" w14:textId="77777777" w:rsidR="00690943" w:rsidRDefault="00000000">
            <w:r>
              <w:t>12.2%</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A40EC74" w14:textId="77777777" w:rsidR="00690943" w:rsidRDefault="00000000">
            <w:r>
              <w:t>89.8%</w:t>
            </w:r>
          </w:p>
        </w:tc>
      </w:tr>
      <w:tr w:rsidR="00690943" w14:paraId="508836C4"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0421413" w14:textId="77777777" w:rsidR="00690943" w:rsidRDefault="00000000">
            <w:r>
              <w:t>January 2026</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208E296" w14:textId="77777777" w:rsidR="00690943" w:rsidRDefault="00000000">
            <w:r>
              <w:t>10</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9E96B7C" w14:textId="77777777" w:rsidR="00690943" w:rsidRDefault="00000000">
            <w:r>
              <w:t>6.8%</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ACD4978" w14:textId="77777777" w:rsidR="00690943" w:rsidRDefault="00000000">
            <w:r>
              <w:t>96.6%</w:t>
            </w:r>
          </w:p>
        </w:tc>
      </w:tr>
      <w:tr w:rsidR="00690943" w14:paraId="164ECA4E"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4A9E38F" w14:textId="77777777" w:rsidR="00690943" w:rsidRDefault="00000000">
            <w:r>
              <w:t>February–April 2026</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48B9D12" w14:textId="77777777" w:rsidR="00690943" w:rsidRDefault="00000000">
            <w:r>
              <w:t>5</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B159741" w14:textId="77777777" w:rsidR="00690943" w:rsidRDefault="00000000">
            <w:r>
              <w:t>3.4%</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65858AD" w14:textId="77777777" w:rsidR="00690943" w:rsidRDefault="00000000">
            <w:r>
              <w:t>100.0%</w:t>
            </w:r>
          </w:p>
        </w:tc>
      </w:tr>
      <w:tr w:rsidR="00690943" w14:paraId="79D9204F" w14:textId="77777777">
        <w:tc>
          <w:tcPr>
            <w:tcW w:w="4680"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67B3C390" w14:textId="77777777" w:rsidR="00690943" w:rsidRDefault="00000000">
            <w:r>
              <w:rPr>
                <w:b/>
                <w:bCs/>
              </w:rPr>
              <w:t>Total</w:t>
            </w:r>
          </w:p>
        </w:tc>
        <w:tc>
          <w:tcPr>
            <w:tcW w:w="1560"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7662521C" w14:textId="77777777" w:rsidR="00690943" w:rsidRDefault="00000000">
            <w:r>
              <w:rPr>
                <w:b/>
                <w:bCs/>
              </w:rPr>
              <w:t>147</w:t>
            </w:r>
          </w:p>
        </w:tc>
        <w:tc>
          <w:tcPr>
            <w:tcW w:w="1560"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34F50478" w14:textId="77777777" w:rsidR="00690943" w:rsidRDefault="00000000">
            <w:r>
              <w:rPr>
                <w:b/>
                <w:bCs/>
              </w:rPr>
              <w:t>100%</w:t>
            </w:r>
          </w:p>
        </w:tc>
        <w:tc>
          <w:tcPr>
            <w:tcW w:w="1560"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36B932A8" w14:textId="77777777" w:rsidR="00690943" w:rsidRDefault="00690943"/>
        </w:tc>
      </w:tr>
    </w:tbl>
    <w:p w14:paraId="19B96944" w14:textId="77777777" w:rsidR="00690943" w:rsidRDefault="00690943">
      <w:pPr>
        <w:spacing w:after="160"/>
      </w:pPr>
    </w:p>
    <w:p w14:paraId="79082533" w14:textId="77777777" w:rsidR="00690943" w:rsidRDefault="00000000">
      <w:r>
        <w:br w:type="page"/>
      </w:r>
    </w:p>
    <w:p w14:paraId="48880B04" w14:textId="77777777" w:rsidR="00690943" w:rsidRDefault="00690943">
      <w:pPr>
        <w:spacing w:after="160"/>
      </w:pPr>
    </w:p>
    <w:p w14:paraId="261B6B1A" w14:textId="77777777" w:rsidR="00690943" w:rsidRDefault="00000000">
      <w:pPr>
        <w:spacing w:after="160"/>
      </w:pPr>
      <w:r>
        <w:rPr>
          <w:b/>
          <w:bCs/>
        </w:rPr>
        <w:t>Appendix 12: Table 8 (Chapter 4) - Most Common Treatments at Each Major Hospital</w:t>
      </w:r>
    </w:p>
    <w:p w14:paraId="04E88556" w14:textId="77777777" w:rsidR="00690943" w:rsidRDefault="00000000">
      <w:pPr>
        <w:spacing w:after="160"/>
      </w:pPr>
      <w:r>
        <w:t>This table finds the top three prescriptions at each of the three major BCUHB hospital sites, illustrating site-level prescribing patterns as discussed in section 4.7.</w:t>
      </w:r>
    </w:p>
    <w:tbl>
      <w:tblPr>
        <w:tblStyle w:val="a8"/>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20"/>
        <w:gridCol w:w="4680"/>
        <w:gridCol w:w="1560"/>
      </w:tblGrid>
      <w:tr w:rsidR="00690943" w14:paraId="6054C16B" w14:textId="77777777">
        <w:tc>
          <w:tcPr>
            <w:tcW w:w="312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674FF341" w14:textId="77777777" w:rsidR="00690943" w:rsidRDefault="00000000">
            <w:r>
              <w:rPr>
                <w:b/>
                <w:bCs/>
              </w:rPr>
              <w:t>Hospital</w:t>
            </w:r>
          </w:p>
        </w:tc>
        <w:tc>
          <w:tcPr>
            <w:tcW w:w="468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0133FB9B" w14:textId="77777777" w:rsidR="00690943" w:rsidRDefault="00000000">
            <w:r>
              <w:rPr>
                <w:b/>
                <w:bCs/>
              </w:rPr>
              <w:t>Top 3 Treatments</w:t>
            </w:r>
          </w:p>
        </w:tc>
        <w:tc>
          <w:tcPr>
            <w:tcW w:w="156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42480781" w14:textId="77777777" w:rsidR="00690943" w:rsidRDefault="00000000">
            <w:r>
              <w:rPr>
                <w:b/>
                <w:bCs/>
              </w:rPr>
              <w:t>Combined Count</w:t>
            </w:r>
          </w:p>
        </w:tc>
      </w:tr>
      <w:tr w:rsidR="00690943" w14:paraId="7009ECAE" w14:textId="77777777">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E8D1E35" w14:textId="77777777" w:rsidR="00690943" w:rsidRDefault="00000000">
            <w:r>
              <w:t>Glan Clwyd Hospital</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6CCA626" w14:textId="77777777" w:rsidR="00690943" w:rsidRDefault="00000000">
            <w:r>
              <w:t>Adalimumab Biosimilar (22) Upadacitinib (8) Abatacept SC (6)</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40F0A46" w14:textId="77777777" w:rsidR="00690943" w:rsidRDefault="00000000">
            <w:r>
              <w:t>36 of 56 (64%)</w:t>
            </w:r>
          </w:p>
        </w:tc>
      </w:tr>
      <w:tr w:rsidR="00690943" w14:paraId="61E310D1" w14:textId="77777777">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7C9B377" w14:textId="77777777" w:rsidR="00690943" w:rsidRDefault="00000000">
            <w:r>
              <w:t>Llandudno General Hospital</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FF6B792" w14:textId="77777777" w:rsidR="00690943" w:rsidRDefault="00000000">
            <w:r>
              <w:t>Adalimumab Biosimilar (35) Abatacept SC (3) Etanercept Biosimilar (2)</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6ED1FA0" w14:textId="77777777" w:rsidR="00690943" w:rsidRDefault="00000000">
            <w:r>
              <w:t>40 of 41 (98%)</w:t>
            </w:r>
          </w:p>
        </w:tc>
      </w:tr>
      <w:tr w:rsidR="00690943" w14:paraId="4BD2733E" w14:textId="77777777">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F091E01" w14:textId="77777777" w:rsidR="00690943" w:rsidRDefault="00000000">
            <w:r>
              <w:t>Wrexham Maelor Hospital</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BD104C5" w14:textId="77777777" w:rsidR="00690943" w:rsidRDefault="00000000">
            <w:r>
              <w:t>Adalimumab Biosimilar (13) Etanercept Biosimilar (5) Tocilizumab Biosimilar (2)</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CB0F5CD" w14:textId="77777777" w:rsidR="00690943" w:rsidRDefault="00000000">
            <w:r>
              <w:t>20 of 29 (69%)</w:t>
            </w:r>
          </w:p>
        </w:tc>
      </w:tr>
    </w:tbl>
    <w:p w14:paraId="639BED15" w14:textId="77777777" w:rsidR="00690943" w:rsidRDefault="00690943">
      <w:pPr>
        <w:spacing w:after="160"/>
      </w:pPr>
    </w:p>
    <w:p w14:paraId="6FE33D7B" w14:textId="77777777" w:rsidR="00690943" w:rsidRDefault="00000000">
      <w:r>
        <w:br w:type="page"/>
      </w:r>
    </w:p>
    <w:p w14:paraId="7BBA8560" w14:textId="77777777" w:rsidR="00690943" w:rsidRDefault="00690943">
      <w:pPr>
        <w:spacing w:after="160"/>
      </w:pPr>
    </w:p>
    <w:p w14:paraId="3D9BB115" w14:textId="77777777" w:rsidR="00690943" w:rsidRDefault="00000000">
      <w:pPr>
        <w:spacing w:after="160"/>
      </w:pPr>
      <w:r>
        <w:rPr>
          <w:b/>
          <w:bCs/>
        </w:rPr>
        <w:t>Appendix 13: Table 9 (Chapter 4) - JAK Inhibitor Prescriptions</w:t>
      </w:r>
    </w:p>
    <w:p w14:paraId="18E53A30" w14:textId="77777777" w:rsidR="00690943" w:rsidRDefault="00000000">
      <w:pPr>
        <w:spacing w:after="160"/>
      </w:pPr>
      <w:r>
        <w:t>This table breaks down JAK inhibitor prescriptions by individual agent, with Upadacitinib being 56.3% of all JAK prescriptions, as discussed in section 4.8.</w:t>
      </w:r>
    </w:p>
    <w:tbl>
      <w:tblPr>
        <w:tblStyle w:val="a9"/>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1560"/>
        <w:gridCol w:w="1560"/>
        <w:gridCol w:w="1560"/>
      </w:tblGrid>
      <w:tr w:rsidR="00690943" w14:paraId="3DE41B01" w14:textId="77777777">
        <w:tc>
          <w:tcPr>
            <w:tcW w:w="468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2CF608D3" w14:textId="77777777" w:rsidR="00690943" w:rsidRDefault="00000000">
            <w:r>
              <w:rPr>
                <w:b/>
                <w:bCs/>
              </w:rPr>
              <w:t>JAK Inhibitor</w:t>
            </w:r>
          </w:p>
        </w:tc>
        <w:tc>
          <w:tcPr>
            <w:tcW w:w="156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75BD41C5" w14:textId="77777777" w:rsidR="00690943" w:rsidRDefault="00000000">
            <w:r>
              <w:rPr>
                <w:b/>
                <w:bCs/>
              </w:rPr>
              <w:t>Count</w:t>
            </w:r>
          </w:p>
        </w:tc>
        <w:tc>
          <w:tcPr>
            <w:tcW w:w="156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78910877" w14:textId="77777777" w:rsidR="00690943" w:rsidRDefault="00000000">
            <w:r>
              <w:rPr>
                <w:b/>
                <w:bCs/>
              </w:rPr>
              <w:t>% of All JAK</w:t>
            </w:r>
          </w:p>
        </w:tc>
        <w:tc>
          <w:tcPr>
            <w:tcW w:w="156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6EFEBEA1" w14:textId="77777777" w:rsidR="00690943" w:rsidRDefault="00000000">
            <w:r>
              <w:rPr>
                <w:b/>
                <w:bCs/>
              </w:rPr>
              <w:t>% of Total Dataset</w:t>
            </w:r>
          </w:p>
        </w:tc>
      </w:tr>
      <w:tr w:rsidR="00690943" w14:paraId="382B887C"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2ECBA38" w14:textId="77777777" w:rsidR="00690943" w:rsidRDefault="00000000">
            <w:r>
              <w:t>Upadacitinib</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EB0F3C5" w14:textId="77777777" w:rsidR="00690943" w:rsidRDefault="00000000">
            <w:r>
              <w:t>18</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584CF77" w14:textId="77777777" w:rsidR="00690943" w:rsidRDefault="00000000">
            <w:r>
              <w:t>56.3%</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317EEA9" w14:textId="77777777" w:rsidR="00690943" w:rsidRDefault="00000000">
            <w:r>
              <w:t>12.2%</w:t>
            </w:r>
          </w:p>
        </w:tc>
      </w:tr>
      <w:tr w:rsidR="00690943" w14:paraId="21CED5F4"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91FD4A3" w14:textId="77777777" w:rsidR="00690943" w:rsidRDefault="00000000">
            <w:r>
              <w:t>Filgotinib (Jyseleca®)</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52D5804" w14:textId="77777777" w:rsidR="00690943" w:rsidRDefault="00000000">
            <w:r>
              <w:t>8</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7967362" w14:textId="77777777" w:rsidR="00690943" w:rsidRDefault="00000000">
            <w:r>
              <w:t>25.0%</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1D55FF3" w14:textId="77777777" w:rsidR="00690943" w:rsidRDefault="00000000">
            <w:r>
              <w:t>5.4%</w:t>
            </w:r>
          </w:p>
        </w:tc>
      </w:tr>
      <w:tr w:rsidR="00690943" w14:paraId="7E23CA7D"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6F2C20B" w14:textId="77777777" w:rsidR="00690943" w:rsidRDefault="00000000">
            <w:r>
              <w:t>Baricitinib</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A0ACFA6" w14:textId="77777777" w:rsidR="00690943" w:rsidRDefault="00000000">
            <w:r>
              <w:t>6</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BCD013A" w14:textId="77777777" w:rsidR="00690943" w:rsidRDefault="00000000">
            <w:r>
              <w:t>18.8%</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2B4D387" w14:textId="77777777" w:rsidR="00690943" w:rsidRDefault="00000000">
            <w:r>
              <w:t>4.1%</w:t>
            </w:r>
          </w:p>
        </w:tc>
      </w:tr>
      <w:tr w:rsidR="00690943" w14:paraId="21382431" w14:textId="77777777">
        <w:tc>
          <w:tcPr>
            <w:tcW w:w="4680"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3E1C258E" w14:textId="77777777" w:rsidR="00690943" w:rsidRDefault="00000000">
            <w:r>
              <w:rPr>
                <w:b/>
                <w:bCs/>
              </w:rPr>
              <w:t>Total JAK Inhibitors</w:t>
            </w:r>
          </w:p>
        </w:tc>
        <w:tc>
          <w:tcPr>
            <w:tcW w:w="1560"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58D99412" w14:textId="77777777" w:rsidR="00690943" w:rsidRDefault="00000000">
            <w:r>
              <w:rPr>
                <w:b/>
                <w:bCs/>
              </w:rPr>
              <w:t>32</w:t>
            </w:r>
          </w:p>
        </w:tc>
        <w:tc>
          <w:tcPr>
            <w:tcW w:w="1560"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2E126E6D" w14:textId="77777777" w:rsidR="00690943" w:rsidRDefault="00000000">
            <w:r>
              <w:rPr>
                <w:b/>
                <w:bCs/>
              </w:rPr>
              <w:t>100%</w:t>
            </w:r>
          </w:p>
        </w:tc>
        <w:tc>
          <w:tcPr>
            <w:tcW w:w="1560" w:type="dxa"/>
            <w:tcBorders>
              <w:top w:val="single" w:sz="4" w:space="0" w:color="000000"/>
              <w:left w:val="single" w:sz="4" w:space="0" w:color="000000"/>
              <w:bottom w:val="single" w:sz="4" w:space="0" w:color="000000"/>
              <w:right w:val="single" w:sz="4" w:space="0" w:color="000000"/>
            </w:tcBorders>
            <w:shd w:val="clear" w:color="auto" w:fill="F0F0F0"/>
            <w:tcMar>
              <w:top w:w="80" w:type="dxa"/>
              <w:left w:w="120" w:type="dxa"/>
              <w:bottom w:w="80" w:type="dxa"/>
              <w:right w:w="120" w:type="dxa"/>
            </w:tcMar>
            <w:vAlign w:val="center"/>
          </w:tcPr>
          <w:p w14:paraId="1423170E" w14:textId="77777777" w:rsidR="00690943" w:rsidRDefault="00000000">
            <w:r>
              <w:rPr>
                <w:b/>
                <w:bCs/>
              </w:rPr>
              <w:t>21.8%</w:t>
            </w:r>
          </w:p>
        </w:tc>
      </w:tr>
    </w:tbl>
    <w:p w14:paraId="01D136CF" w14:textId="77777777" w:rsidR="00690943" w:rsidRDefault="00690943">
      <w:pPr>
        <w:spacing w:after="160"/>
      </w:pPr>
    </w:p>
    <w:p w14:paraId="52304FDB" w14:textId="77777777" w:rsidR="00690943" w:rsidRDefault="00000000">
      <w:pPr>
        <w:rPr>
          <w:b/>
          <w:bCs/>
        </w:rPr>
      </w:pPr>
      <w:r>
        <w:br w:type="page"/>
      </w:r>
    </w:p>
    <w:p w14:paraId="2274684B" w14:textId="77777777" w:rsidR="00690943" w:rsidRDefault="00000000">
      <w:pPr>
        <w:spacing w:after="160"/>
      </w:pPr>
      <w:r>
        <w:rPr>
          <w:b/>
          <w:bCs/>
        </w:rPr>
        <w:lastRenderedPageBreak/>
        <w:t>Appendix 14: Table 11 (Chapter 4) - Available Data Fields</w:t>
      </w:r>
    </w:p>
    <w:p w14:paraId="66D1C6A8" w14:textId="77777777" w:rsidR="00690943" w:rsidRDefault="00000000">
      <w:pPr>
        <w:spacing w:after="160"/>
      </w:pPr>
      <w:r>
        <w:t>This table summarises the availability of data fields within the anonymised dataset extract, highlighting the complete administrative variables and the absence of clinical variables including approval dates and disease activity scores, as discussed in section 4.9.</w:t>
      </w:r>
    </w:p>
    <w:tbl>
      <w:tblPr>
        <w:tblStyle w:val="a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1560"/>
        <w:gridCol w:w="3120"/>
      </w:tblGrid>
      <w:tr w:rsidR="00690943" w14:paraId="0F5B0785" w14:textId="77777777">
        <w:tc>
          <w:tcPr>
            <w:tcW w:w="468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18BF0AD4" w14:textId="77777777" w:rsidR="00690943" w:rsidRDefault="00000000">
            <w:r>
              <w:rPr>
                <w:b/>
                <w:bCs/>
              </w:rPr>
              <w:t>Data Field</w:t>
            </w:r>
          </w:p>
        </w:tc>
        <w:tc>
          <w:tcPr>
            <w:tcW w:w="156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740F1ACA" w14:textId="77777777" w:rsidR="00690943" w:rsidRDefault="00000000">
            <w:r>
              <w:rPr>
                <w:b/>
                <w:bCs/>
              </w:rPr>
              <w:t>Availability</w:t>
            </w:r>
          </w:p>
        </w:tc>
        <w:tc>
          <w:tcPr>
            <w:tcW w:w="3120" w:type="dxa"/>
            <w:tcBorders>
              <w:top w:val="single" w:sz="4" w:space="0" w:color="000000"/>
              <w:left w:val="single" w:sz="4" w:space="0" w:color="000000"/>
              <w:bottom w:val="single" w:sz="4" w:space="0" w:color="000000"/>
              <w:right w:val="single" w:sz="4" w:space="0" w:color="000000"/>
            </w:tcBorders>
            <w:shd w:val="clear" w:color="auto" w:fill="D3D3D3"/>
            <w:tcMar>
              <w:top w:w="80" w:type="dxa"/>
              <w:left w:w="120" w:type="dxa"/>
              <w:bottom w:w="80" w:type="dxa"/>
              <w:right w:w="120" w:type="dxa"/>
            </w:tcMar>
            <w:vAlign w:val="center"/>
          </w:tcPr>
          <w:p w14:paraId="0283A4EF" w14:textId="77777777" w:rsidR="00690943" w:rsidRDefault="00000000">
            <w:r>
              <w:rPr>
                <w:b/>
                <w:bCs/>
              </w:rPr>
              <w:t>Notes</w:t>
            </w:r>
          </w:p>
        </w:tc>
      </w:tr>
      <w:tr w:rsidR="00690943" w14:paraId="2A4EAA57"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23C309E" w14:textId="77777777" w:rsidR="00690943" w:rsidRDefault="00000000">
            <w:r>
              <w:t>Treatment name</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4A21E9D3" w14:textId="77777777" w:rsidR="00690943" w:rsidRDefault="00000000">
            <w:r>
              <w:t>100%</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21427FC" w14:textId="77777777" w:rsidR="00690943" w:rsidRDefault="00000000">
            <w:r>
              <w:t>Complete</w:t>
            </w:r>
          </w:p>
        </w:tc>
      </w:tr>
      <w:tr w:rsidR="00690943" w14:paraId="013461A2"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6E9A380" w14:textId="77777777" w:rsidR="00690943" w:rsidRDefault="00000000">
            <w:r>
              <w:t>Health Board</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C321B72" w14:textId="77777777" w:rsidR="00690943" w:rsidRDefault="00000000">
            <w:r>
              <w:t>100%</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953DC39" w14:textId="77777777" w:rsidR="00690943" w:rsidRDefault="00000000">
            <w:r>
              <w:t>Complete</w:t>
            </w:r>
          </w:p>
        </w:tc>
      </w:tr>
      <w:tr w:rsidR="00690943" w14:paraId="08EA016B"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1923F0B" w14:textId="77777777" w:rsidR="00690943" w:rsidRDefault="00000000">
            <w:r>
              <w:t>Hospital site</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28975DE" w14:textId="77777777" w:rsidR="00690943" w:rsidRDefault="00000000">
            <w:r>
              <w:t>100%</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E7BA808" w14:textId="77777777" w:rsidR="00690943" w:rsidRDefault="00000000">
            <w:r>
              <w:t>Complete</w:t>
            </w:r>
          </w:p>
        </w:tc>
      </w:tr>
      <w:tr w:rsidR="00690943" w14:paraId="470F0A6E"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445166D" w14:textId="77777777" w:rsidR="00690943" w:rsidRDefault="00000000">
            <w:r>
              <w:t>Treatment start date</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397A220C" w14:textId="77777777" w:rsidR="00690943" w:rsidRDefault="00000000">
            <w:r>
              <w:t>100%</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D790705" w14:textId="77777777" w:rsidR="00690943" w:rsidRDefault="00000000">
            <w:r>
              <w:t>Complete</w:t>
            </w:r>
          </w:p>
        </w:tc>
      </w:tr>
      <w:tr w:rsidR="00690943" w14:paraId="548A60B4"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70FFFF8" w14:textId="77777777" w:rsidR="00690943" w:rsidRDefault="00000000">
            <w:r>
              <w:t>Diagnosis</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BDB970D" w14:textId="77777777" w:rsidR="00690943" w:rsidRDefault="00000000">
            <w:r>
              <w:t>100%</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23E8BEA" w14:textId="77777777" w:rsidR="00690943" w:rsidRDefault="00000000">
            <w:r>
              <w:t>All Rheumatoid Arthritis</w:t>
            </w:r>
          </w:p>
        </w:tc>
      </w:tr>
      <w:tr w:rsidR="00690943" w14:paraId="2CE464D8"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BACCB48" w14:textId="77777777" w:rsidR="00690943" w:rsidRDefault="00000000">
            <w:r>
              <w:t>Clinical request date</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0EFF6698" w14:textId="77777777" w:rsidR="00690943" w:rsidRDefault="00000000">
            <w:r>
              <w:t>0%</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70F9C19" w14:textId="77777777" w:rsidR="00690943" w:rsidRDefault="00000000">
            <w:r>
              <w:t>Not available in extract</w:t>
            </w:r>
          </w:p>
        </w:tc>
      </w:tr>
      <w:tr w:rsidR="00690943" w14:paraId="5CDE3AC3"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0FD6C63" w14:textId="77777777" w:rsidR="00690943" w:rsidRDefault="00000000">
            <w:r>
              <w:t>Approval date</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2533FB77" w14:textId="77777777" w:rsidR="00690943" w:rsidRDefault="00000000">
            <w:r>
              <w:t>0%</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642D47A" w14:textId="77777777" w:rsidR="00690943" w:rsidRDefault="00000000">
            <w:r>
              <w:t>Not available in extract</w:t>
            </w:r>
          </w:p>
        </w:tc>
      </w:tr>
      <w:tr w:rsidR="00690943" w14:paraId="23734FB9"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4814100" w14:textId="77777777" w:rsidR="00690943" w:rsidRDefault="00000000">
            <w:r>
              <w:t>Disease activity scores</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7DA787FF" w14:textId="77777777" w:rsidR="00690943" w:rsidRDefault="00000000">
            <w:r>
              <w:t>0%</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F192A2A" w14:textId="77777777" w:rsidR="00690943" w:rsidRDefault="00000000">
            <w:r>
              <w:t>Not available in extract</w:t>
            </w:r>
          </w:p>
        </w:tc>
      </w:tr>
      <w:tr w:rsidR="00690943" w14:paraId="33A00DFB" w14:textId="77777777">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19C6241B" w14:textId="77777777" w:rsidR="00690943" w:rsidRDefault="00000000">
            <w:r>
              <w:t>Prior treatments</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6163E69D" w14:textId="77777777" w:rsidR="00690943" w:rsidRDefault="00000000">
            <w:r>
              <w:t>0%</w:t>
            </w:r>
          </w:p>
        </w:tc>
        <w:tc>
          <w:tcPr>
            <w:tcW w:w="312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vAlign w:val="center"/>
          </w:tcPr>
          <w:p w14:paraId="509307D3" w14:textId="77777777" w:rsidR="00690943" w:rsidRDefault="00000000">
            <w:r>
              <w:t>Not available in extract</w:t>
            </w:r>
          </w:p>
        </w:tc>
      </w:tr>
    </w:tbl>
    <w:p w14:paraId="1E453858" w14:textId="77777777" w:rsidR="00690943" w:rsidRDefault="00690943">
      <w:pPr>
        <w:spacing w:after="160"/>
      </w:pPr>
    </w:p>
    <w:p w14:paraId="608F397F" w14:textId="77777777" w:rsidR="00690943" w:rsidRDefault="00690943">
      <w:pPr>
        <w:spacing w:after="160"/>
        <w:rPr>
          <w:b/>
          <w:bCs/>
        </w:rPr>
      </w:pPr>
    </w:p>
    <w:p w14:paraId="719D9972" w14:textId="77777777" w:rsidR="00690943" w:rsidRDefault="00690943">
      <w:pPr>
        <w:spacing w:after="160"/>
        <w:rPr>
          <w:b/>
          <w:bCs/>
        </w:rPr>
      </w:pPr>
    </w:p>
    <w:p w14:paraId="4614A239" w14:textId="77777777" w:rsidR="00690943" w:rsidRDefault="00690943">
      <w:pPr>
        <w:spacing w:after="160"/>
        <w:rPr>
          <w:b/>
          <w:bCs/>
        </w:rPr>
      </w:pPr>
    </w:p>
    <w:p w14:paraId="20A04FA2" w14:textId="77777777" w:rsidR="00690943" w:rsidRDefault="00690943">
      <w:pPr>
        <w:spacing w:after="160"/>
        <w:rPr>
          <w:b/>
          <w:bCs/>
        </w:rPr>
      </w:pPr>
    </w:p>
    <w:p w14:paraId="411BB50C" w14:textId="77777777" w:rsidR="00690943" w:rsidRDefault="00690943">
      <w:pPr>
        <w:spacing w:after="160"/>
        <w:rPr>
          <w:b/>
          <w:bCs/>
        </w:rPr>
      </w:pPr>
    </w:p>
    <w:p w14:paraId="5EFD53DE" w14:textId="77777777" w:rsidR="00690943" w:rsidRDefault="00690943">
      <w:pPr>
        <w:spacing w:after="160"/>
        <w:rPr>
          <w:b/>
          <w:bCs/>
        </w:rPr>
      </w:pPr>
    </w:p>
    <w:p w14:paraId="37874291" w14:textId="77777777" w:rsidR="00690943" w:rsidRDefault="00690943">
      <w:pPr>
        <w:spacing w:after="160"/>
        <w:rPr>
          <w:b/>
          <w:bCs/>
        </w:rPr>
      </w:pPr>
    </w:p>
    <w:p w14:paraId="5B118320" w14:textId="77777777" w:rsidR="00690943" w:rsidRDefault="00690943">
      <w:pPr>
        <w:spacing w:after="160"/>
        <w:rPr>
          <w:b/>
          <w:bCs/>
        </w:rPr>
      </w:pPr>
    </w:p>
    <w:p w14:paraId="49E04348" w14:textId="77777777" w:rsidR="00690943" w:rsidRDefault="00690943">
      <w:pPr>
        <w:spacing w:after="160"/>
        <w:rPr>
          <w:b/>
          <w:bCs/>
        </w:rPr>
      </w:pPr>
    </w:p>
    <w:p w14:paraId="3B820722" w14:textId="77777777" w:rsidR="00690943" w:rsidRDefault="00690943">
      <w:pPr>
        <w:spacing w:after="160"/>
        <w:rPr>
          <w:b/>
          <w:bCs/>
        </w:rPr>
      </w:pPr>
    </w:p>
    <w:p w14:paraId="0658855D" w14:textId="77777777" w:rsidR="00690943" w:rsidRDefault="00690943">
      <w:pPr>
        <w:spacing w:after="160"/>
        <w:rPr>
          <w:b/>
          <w:bCs/>
        </w:rPr>
      </w:pPr>
    </w:p>
    <w:p w14:paraId="0D00E461" w14:textId="77777777" w:rsidR="00690943" w:rsidRDefault="00690943">
      <w:pPr>
        <w:spacing w:after="160"/>
        <w:rPr>
          <w:b/>
          <w:bCs/>
        </w:rPr>
      </w:pPr>
    </w:p>
    <w:p w14:paraId="76461B6D" w14:textId="77777777" w:rsidR="00690943" w:rsidRDefault="00690943">
      <w:pPr>
        <w:spacing w:after="160"/>
        <w:rPr>
          <w:b/>
          <w:bCs/>
        </w:rPr>
      </w:pPr>
    </w:p>
    <w:p w14:paraId="7A971BA8" w14:textId="77777777" w:rsidR="00690943" w:rsidRDefault="00690943">
      <w:pPr>
        <w:spacing w:after="160"/>
        <w:rPr>
          <w:b/>
          <w:bCs/>
        </w:rPr>
      </w:pPr>
    </w:p>
    <w:p w14:paraId="120CEE00" w14:textId="77777777" w:rsidR="00690943" w:rsidRDefault="00690943">
      <w:pPr>
        <w:spacing w:after="160"/>
        <w:rPr>
          <w:b/>
          <w:bCs/>
        </w:rPr>
      </w:pPr>
    </w:p>
    <w:p w14:paraId="1513341E" w14:textId="77777777" w:rsidR="00690943" w:rsidRDefault="00690943">
      <w:pPr>
        <w:spacing w:after="160"/>
        <w:rPr>
          <w:b/>
          <w:bCs/>
        </w:rPr>
      </w:pPr>
    </w:p>
    <w:p w14:paraId="1CC32CA1" w14:textId="77777777" w:rsidR="00690943" w:rsidRDefault="00690943">
      <w:pPr>
        <w:spacing w:after="160"/>
        <w:rPr>
          <w:b/>
          <w:bCs/>
        </w:rPr>
      </w:pPr>
    </w:p>
    <w:p w14:paraId="0693EC24" w14:textId="77777777" w:rsidR="00690943" w:rsidRDefault="00000000">
      <w:pPr>
        <w:spacing w:after="160"/>
      </w:pPr>
      <w:r>
        <w:rPr>
          <w:b/>
          <w:bCs/>
        </w:rPr>
        <w:lastRenderedPageBreak/>
        <w:t>Appendix 15: PRISMA Flow Diagram</w:t>
      </w:r>
    </w:p>
    <w:p w14:paraId="73D6D7C6" w14:textId="77777777" w:rsidR="00690943" w:rsidRDefault="00000000">
      <w:pPr>
        <w:spacing w:after="160"/>
      </w:pPr>
      <w:r>
        <w:t>PRISMA flow diagram showing the literature search and selection process for studies on high-cost drugs, value-based healthcare, and rheumatology in NHS Wales.</w:t>
      </w:r>
    </w:p>
    <w:p w14:paraId="1420B7B3" w14:textId="77777777" w:rsidR="00690943" w:rsidRDefault="00000000">
      <w:pPr>
        <w:spacing w:before="240" w:after="240" w:line="480" w:lineRule="auto"/>
      </w:pPr>
      <w:r>
        <w:rPr>
          <w:noProof/>
        </w:rPr>
        <w:drawing>
          <wp:inline distT="114300" distB="114300" distL="114300" distR="114300" wp14:anchorId="29F3B269" wp14:editId="05102BC2">
            <wp:extent cx="5654574" cy="5261472"/>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654574" cy="5261472"/>
                    </a:xfrm>
                    <a:prstGeom prst="rect">
                      <a:avLst/>
                    </a:prstGeom>
                    <a:ln/>
                  </pic:spPr>
                </pic:pic>
              </a:graphicData>
            </a:graphic>
          </wp:inline>
        </w:drawing>
      </w:r>
    </w:p>
    <w:p w14:paraId="46340FBD" w14:textId="77777777" w:rsidR="00690943" w:rsidRDefault="00000000">
      <w:r>
        <w:br w:type="page"/>
      </w:r>
    </w:p>
    <w:p w14:paraId="564CAAF6" w14:textId="77777777" w:rsidR="00690943" w:rsidRDefault="00000000">
      <w:pPr>
        <w:spacing w:before="240" w:after="240" w:line="480" w:lineRule="auto"/>
      </w:pPr>
      <w:hyperlink r:id="rId24">
        <w:r>
          <w:rPr>
            <w:b/>
            <w:bCs/>
            <w:color w:val="1155CC"/>
            <w:u w:val="single"/>
          </w:rPr>
          <w:t>Appendix 16: Wales High-Cost Drugs System, Master Dataset, October 2024 to December 2025 (n=148)</w:t>
        </w:r>
      </w:hyperlink>
    </w:p>
    <w:p w14:paraId="56478F62" w14:textId="77777777" w:rsidR="00690943" w:rsidRDefault="00000000">
      <w:pPr>
        <w:spacing w:after="160"/>
      </w:pPr>
      <w:r>
        <w:t>This dataset is the primary quantitative source for Chapter 4, capturing all high-cost drug authorisation records processed through the Welsh High-Cost Drugs System across the two-year study period. Available via secure Organisational access. (AWTTC)</w:t>
      </w:r>
    </w:p>
    <w:p w14:paraId="125491A6" w14:textId="77777777" w:rsidR="00690943" w:rsidRDefault="00000000">
      <w:r>
        <w:br w:type="page"/>
      </w:r>
      <w:hyperlink r:id="rId25">
        <w:r>
          <w:rPr>
            <w:b/>
            <w:bCs/>
            <w:color w:val="1155CC"/>
            <w:u w:val="single"/>
          </w:rPr>
          <w:t>Appendix 17: North Wales Rheumatology Biosimilar Pilot Dataset, April to December 2025 (n=71)</w:t>
        </w:r>
      </w:hyperlink>
    </w:p>
    <w:p w14:paraId="5164481F" w14:textId="77777777" w:rsidR="00690943" w:rsidRDefault="00000000">
      <w:pPr>
        <w:spacing w:after="160"/>
      </w:pPr>
      <w:r>
        <w:t>This dataset captures all rheumatology high-cost drug records from the North Wales biosimilar pilot, covering exclusively Betsi Cadwaladr University Health Board across three hospital sites. Available via secure Organisational access. AWTTC</w:t>
      </w:r>
    </w:p>
    <w:p w14:paraId="0F2FBDA8" w14:textId="77777777" w:rsidR="00690943" w:rsidRDefault="00000000">
      <w:r>
        <w:br w:type="page"/>
      </w:r>
    </w:p>
    <w:p w14:paraId="358B9B31" w14:textId="77777777" w:rsidR="00690943" w:rsidRDefault="00690943">
      <w:pPr>
        <w:spacing w:after="160"/>
      </w:pPr>
    </w:p>
    <w:p w14:paraId="47CD7361" w14:textId="77777777" w:rsidR="00690943" w:rsidRDefault="00000000">
      <w:pPr>
        <w:spacing w:before="240" w:after="240" w:line="360" w:lineRule="auto"/>
        <w:jc w:val="both"/>
        <w:rPr>
          <w:b/>
          <w:bCs/>
        </w:rPr>
      </w:pPr>
      <w:r>
        <w:rPr>
          <w:b/>
          <w:bCs/>
        </w:rPr>
        <w:t>Appendix 18: Figure 1 (Chapter 4) – Distribution of Treatments by Health Board</w:t>
      </w:r>
    </w:p>
    <w:p w14:paraId="2FD01C24" w14:textId="77777777" w:rsidR="00690943" w:rsidRDefault="00000000">
      <w:pPr>
        <w:spacing w:before="240" w:after="240" w:line="360" w:lineRule="auto"/>
        <w:jc w:val="both"/>
      </w:pPr>
      <w:r>
        <w:t>This figure presents a bar chart showing the geographical distribution of high-cost drug prescribing within the North Wales pilot dataset across NHS Wales health boards, illustrating the concentration of 91.8% of records within Betsi Cadwaladr University Health Board, as discussed in the pilot findings presented in Section 4.2.</w:t>
      </w:r>
    </w:p>
    <w:p w14:paraId="5DD46AFE" w14:textId="77777777" w:rsidR="00690943" w:rsidRDefault="00690943">
      <w:pPr>
        <w:spacing w:after="160" w:line="360" w:lineRule="auto"/>
        <w:jc w:val="both"/>
        <w:rPr>
          <w:b/>
          <w:bCs/>
        </w:rPr>
      </w:pPr>
    </w:p>
    <w:p w14:paraId="39196AEA" w14:textId="77777777" w:rsidR="00690943" w:rsidRDefault="00000000">
      <w:pPr>
        <w:spacing w:before="200" w:after="200" w:line="480" w:lineRule="auto"/>
        <w:jc w:val="center"/>
      </w:pPr>
      <w:r>
        <w:rPr>
          <w:noProof/>
        </w:rPr>
        <w:drawing>
          <wp:inline distT="0" distB="0" distL="0" distR="0" wp14:anchorId="586B5B23" wp14:editId="29942741">
            <wp:extent cx="5238750" cy="33337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238750" cy="3333750"/>
                    </a:xfrm>
                    <a:prstGeom prst="rect">
                      <a:avLst/>
                    </a:prstGeom>
                    <a:ln/>
                  </pic:spPr>
                </pic:pic>
              </a:graphicData>
            </a:graphic>
          </wp:inline>
        </w:drawing>
      </w:r>
    </w:p>
    <w:p w14:paraId="1F276847" w14:textId="77777777" w:rsidR="00690943" w:rsidRDefault="00000000">
      <w:r>
        <w:br w:type="page"/>
      </w:r>
    </w:p>
    <w:p w14:paraId="45D83A65" w14:textId="77777777" w:rsidR="00690943" w:rsidRDefault="00000000">
      <w:pPr>
        <w:spacing w:after="160"/>
      </w:pPr>
      <w:r>
        <w:rPr>
          <w:b/>
          <w:bCs/>
        </w:rPr>
        <w:lastRenderedPageBreak/>
        <w:t>Appendix 19: Figure 2 (Chapter 4) - Distribution of Treatments by Drug Class</w:t>
      </w:r>
    </w:p>
    <w:p w14:paraId="1344FCED" w14:textId="77777777" w:rsidR="00690943" w:rsidRDefault="00000000">
      <w:pPr>
        <w:spacing w:after="160" w:line="360" w:lineRule="auto"/>
        <w:jc w:val="both"/>
      </w:pPr>
      <w:r>
        <w:t>This figure presents a bar chart showing the distribution of prescriptions across drug classes, illustrating the dominance of TNF-alpha biosimilars (61.2%) and the emerging role of JAK inhibitors (21.8%), as discussed in section 4.3.</w:t>
      </w:r>
    </w:p>
    <w:p w14:paraId="58A7C778" w14:textId="77777777" w:rsidR="00690943" w:rsidRDefault="00000000">
      <w:pPr>
        <w:spacing w:before="200" w:after="200" w:line="480" w:lineRule="auto"/>
        <w:jc w:val="center"/>
      </w:pPr>
      <w:r>
        <w:rPr>
          <w:noProof/>
        </w:rPr>
        <w:drawing>
          <wp:inline distT="0" distB="0" distL="0" distR="0" wp14:anchorId="33B2C4C7" wp14:editId="6C33C9CD">
            <wp:extent cx="5274000" cy="31877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274000" cy="3187700"/>
                    </a:xfrm>
                    <a:prstGeom prst="rect">
                      <a:avLst/>
                    </a:prstGeom>
                    <a:ln/>
                  </pic:spPr>
                </pic:pic>
              </a:graphicData>
            </a:graphic>
          </wp:inline>
        </w:drawing>
      </w:r>
    </w:p>
    <w:p w14:paraId="379C295A" w14:textId="77777777" w:rsidR="00690943" w:rsidRDefault="00000000">
      <w:r>
        <w:br w:type="page"/>
      </w:r>
    </w:p>
    <w:p w14:paraId="7CEB249A" w14:textId="77777777" w:rsidR="00690943" w:rsidRDefault="00000000">
      <w:pPr>
        <w:spacing w:before="240" w:after="240" w:line="360" w:lineRule="auto"/>
        <w:jc w:val="both"/>
        <w:rPr>
          <w:b/>
          <w:bCs/>
        </w:rPr>
      </w:pPr>
      <w:r>
        <w:rPr>
          <w:b/>
          <w:bCs/>
        </w:rPr>
        <w:lastRenderedPageBreak/>
        <w:t>Appendix 20: Figure 3 (Chapter 4) – Treatment Distribution by Hospital Site</w:t>
      </w:r>
    </w:p>
    <w:p w14:paraId="63E83003" w14:textId="77777777" w:rsidR="00690943" w:rsidRDefault="00000000">
      <w:pPr>
        <w:spacing w:before="240" w:after="240" w:line="360" w:lineRule="auto"/>
        <w:jc w:val="both"/>
      </w:pPr>
      <w:r>
        <w:t>This figure presents a bar chart showing the distribution of treatment records across individual hospital sites within Betsi Cadwaladr University Health Board and other providers, reflecting the restricted North Wales pilot dataset limited primarily to three hospital sites prior to wider national rollout, as discussed in Section 4.5.</w:t>
      </w:r>
    </w:p>
    <w:p w14:paraId="5D86DDE5" w14:textId="77777777" w:rsidR="00690943" w:rsidRDefault="00690943">
      <w:pPr>
        <w:spacing w:after="160" w:line="360" w:lineRule="auto"/>
        <w:jc w:val="both"/>
        <w:rPr>
          <w:b/>
          <w:bCs/>
        </w:rPr>
      </w:pPr>
    </w:p>
    <w:p w14:paraId="19FB8F3B" w14:textId="77777777" w:rsidR="00690943" w:rsidRDefault="00000000">
      <w:pPr>
        <w:spacing w:before="200" w:after="200" w:line="480" w:lineRule="auto"/>
        <w:jc w:val="center"/>
      </w:pPr>
      <w:r>
        <w:rPr>
          <w:noProof/>
        </w:rPr>
        <w:drawing>
          <wp:inline distT="0" distB="0" distL="0" distR="0" wp14:anchorId="19D1B091" wp14:editId="1C6F5E27">
            <wp:extent cx="5274000" cy="31877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8"/>
                    <a:srcRect/>
                    <a:stretch>
                      <a:fillRect/>
                    </a:stretch>
                  </pic:blipFill>
                  <pic:spPr>
                    <a:xfrm>
                      <a:off x="0" y="0"/>
                      <a:ext cx="5274000" cy="3187700"/>
                    </a:xfrm>
                    <a:prstGeom prst="rect">
                      <a:avLst/>
                    </a:prstGeom>
                    <a:ln/>
                  </pic:spPr>
                </pic:pic>
              </a:graphicData>
            </a:graphic>
          </wp:inline>
        </w:drawing>
      </w:r>
    </w:p>
    <w:p w14:paraId="62B299A2" w14:textId="77777777" w:rsidR="00690943" w:rsidRDefault="00000000">
      <w:r>
        <w:br w:type="page"/>
      </w:r>
    </w:p>
    <w:p w14:paraId="78BCB576" w14:textId="77777777" w:rsidR="00690943" w:rsidRDefault="00000000">
      <w:pPr>
        <w:pStyle w:val="Heading3"/>
        <w:spacing w:before="280" w:after="80" w:line="360" w:lineRule="auto"/>
        <w:jc w:val="both"/>
      </w:pPr>
      <w:bookmarkStart w:id="66" w:name="_e536eca9on32" w:colFirst="0" w:colLast="0"/>
      <w:bookmarkEnd w:id="66"/>
      <w:r>
        <w:lastRenderedPageBreak/>
        <w:t>Appendix 21: Figure 4 (Chapter 4) – Treatment Initiations Over Time</w:t>
      </w:r>
    </w:p>
    <w:p w14:paraId="7A8A795B" w14:textId="3F3DD371" w:rsidR="00690943" w:rsidRDefault="00000000">
      <w:pPr>
        <w:spacing w:before="240" w:after="240" w:line="360" w:lineRule="auto"/>
        <w:jc w:val="both"/>
      </w:pPr>
      <w:r>
        <w:t xml:space="preserve">This figure presents a bar chart showing the monthly distribution of treatment initiations within the restricted North Wales pilot dataset for Rheumatoid Arthritis prescribing activity prior to wider national rollout. The figure illustrates the temporal peak observed in October 2025 and the clustering of 68% of treatment initiations between September and December 2025 within the bounded pilot implementation period, as discussed in Section 4.6. The findings should be interpreted cautiously given the limited pilot </w:t>
      </w:r>
      <w:r w:rsidR="00527ECC">
        <w:t>period</w:t>
      </w:r>
      <w:r>
        <w:t>, single disease focus, and concentration of activity within Betsi Cadwaladr University Health Board.</w:t>
      </w:r>
    </w:p>
    <w:p w14:paraId="2D5EA440" w14:textId="77777777" w:rsidR="00690943" w:rsidRDefault="00690943">
      <w:pPr>
        <w:spacing w:after="160" w:line="360" w:lineRule="auto"/>
        <w:jc w:val="both"/>
        <w:rPr>
          <w:b/>
          <w:bCs/>
        </w:rPr>
      </w:pPr>
    </w:p>
    <w:p w14:paraId="22CFFF66" w14:textId="77777777" w:rsidR="00690943" w:rsidRDefault="00000000">
      <w:pPr>
        <w:spacing w:before="200" w:after="200" w:line="480" w:lineRule="auto"/>
        <w:jc w:val="center"/>
      </w:pPr>
      <w:r>
        <w:rPr>
          <w:noProof/>
        </w:rPr>
        <w:drawing>
          <wp:inline distT="0" distB="0" distL="0" distR="0" wp14:anchorId="777BCFD6" wp14:editId="63E1447E">
            <wp:extent cx="5274000" cy="30861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9"/>
                    <a:srcRect/>
                    <a:stretch>
                      <a:fillRect/>
                    </a:stretch>
                  </pic:blipFill>
                  <pic:spPr>
                    <a:xfrm>
                      <a:off x="0" y="0"/>
                      <a:ext cx="5274000" cy="3086100"/>
                    </a:xfrm>
                    <a:prstGeom prst="rect">
                      <a:avLst/>
                    </a:prstGeom>
                    <a:ln/>
                  </pic:spPr>
                </pic:pic>
              </a:graphicData>
            </a:graphic>
          </wp:inline>
        </w:drawing>
      </w:r>
    </w:p>
    <w:p w14:paraId="20859EDC" w14:textId="77777777" w:rsidR="00690943" w:rsidRDefault="00000000">
      <w:r>
        <w:br w:type="page"/>
      </w:r>
    </w:p>
    <w:p w14:paraId="412C173E" w14:textId="77777777" w:rsidR="00690943" w:rsidRDefault="00000000">
      <w:pPr>
        <w:spacing w:after="160"/>
      </w:pPr>
      <w:r>
        <w:rPr>
          <w:b/>
          <w:bCs/>
        </w:rPr>
        <w:lastRenderedPageBreak/>
        <w:t>Appendix 22: Figure 5 (Chapter 4) - JAK Inhibitor Distribution</w:t>
      </w:r>
    </w:p>
    <w:p w14:paraId="53847DA3" w14:textId="77777777" w:rsidR="00690943" w:rsidRDefault="00000000">
      <w:pPr>
        <w:spacing w:after="160" w:line="360" w:lineRule="auto"/>
        <w:jc w:val="both"/>
      </w:pPr>
      <w:r>
        <w:t>This figure presents a combined pie chart and bar chart showing the distribution of JAK inhibitor prescriptions, with Upadacitinib accounting for 56.2% of all JAK prescriptions, as discussed in section 4.8.</w:t>
      </w:r>
    </w:p>
    <w:p w14:paraId="1CD4C76F" w14:textId="77777777" w:rsidR="00690943" w:rsidRDefault="00000000">
      <w:pPr>
        <w:spacing w:before="200" w:after="200" w:line="480" w:lineRule="auto"/>
        <w:jc w:val="center"/>
      </w:pPr>
      <w:r>
        <w:rPr>
          <w:noProof/>
        </w:rPr>
        <w:drawing>
          <wp:inline distT="0" distB="0" distL="0" distR="0" wp14:anchorId="540D8A70" wp14:editId="2684BD69">
            <wp:extent cx="5274000" cy="2425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0"/>
                    <a:srcRect/>
                    <a:stretch>
                      <a:fillRect/>
                    </a:stretch>
                  </pic:blipFill>
                  <pic:spPr>
                    <a:xfrm>
                      <a:off x="0" y="0"/>
                      <a:ext cx="5274000" cy="2425700"/>
                    </a:xfrm>
                    <a:prstGeom prst="rect">
                      <a:avLst/>
                    </a:prstGeom>
                    <a:ln/>
                  </pic:spPr>
                </pic:pic>
              </a:graphicData>
            </a:graphic>
          </wp:inline>
        </w:drawing>
      </w:r>
    </w:p>
    <w:sectPr w:rsidR="00690943">
      <w:pgSz w:w="11906" w:h="16838"/>
      <w:pgMar w:top="1440" w:right="1800" w:bottom="1440" w:left="180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8E7159AE-A539-47B9-A901-C547F2524B8E}"/>
  </w:font>
  <w:font w:name="Segoe UI Symbol">
    <w:panose1 w:val="020B0502040204020203"/>
    <w:charset w:val="00"/>
    <w:family w:val="swiss"/>
    <w:pitch w:val="variable"/>
    <w:sig w:usb0="800001E3" w:usb1="1200FFEF" w:usb2="00040000" w:usb3="00000000" w:csb0="00000001" w:csb1="00000000"/>
    <w:embedRegular r:id="rId2" w:fontKey="{A67016EA-0006-4D5B-ACC9-924BA42C5952}"/>
  </w:font>
  <w:font w:name="MS Gothic">
    <w:altName w:val="ＭＳ ゴシック"/>
    <w:panose1 w:val="020B0609070205080204"/>
    <w:charset w:val="80"/>
    <w:family w:val="modern"/>
    <w:pitch w:val="fixed"/>
    <w:sig w:usb0="E00002FF" w:usb1="6AC7FDFB" w:usb2="08000012" w:usb3="00000000" w:csb0="0002009F" w:csb1="00000000"/>
    <w:embedRegular r:id="rId3" w:subsetted="1" w:fontKey="{D179A267-22D3-42C7-825A-E1230FA2C881}"/>
  </w:font>
  <w:font w:name="Cambria">
    <w:panose1 w:val="02040503050406030204"/>
    <w:charset w:val="00"/>
    <w:family w:val="roman"/>
    <w:pitch w:val="variable"/>
    <w:sig w:usb0="E00006FF" w:usb1="420024FF" w:usb2="02000000" w:usb3="00000000" w:csb0="0000019F" w:csb1="00000000"/>
    <w:embedRegular r:id="rId4" w:fontKey="{45942C7D-A148-425F-9C31-2A41E0DFF64D}"/>
  </w:font>
  <w:font w:name="Calibri">
    <w:panose1 w:val="020F0502020204030204"/>
    <w:charset w:val="00"/>
    <w:family w:val="swiss"/>
    <w:pitch w:val="variable"/>
    <w:sig w:usb0="E4002EFF" w:usb1="C200247B" w:usb2="00000009" w:usb3="00000000" w:csb0="000001FF" w:csb1="00000000"/>
    <w:embedRegular r:id="rId5" w:fontKey="{F9B48EE5-F200-4D7A-9431-4FFDFFB2B501}"/>
  </w:font>
</w:fonts>
</file>

<file path=word/intelligence2.xml><?xml version="1.0" encoding="utf-8"?>
<int2:intelligence xmlns:int2="http://schemas.microsoft.com/office/intelligence/2020/intelligence" xmlns:oel="http://schemas.microsoft.com/office/2019/extlst">
  <int2:observations>
    <int2:bookmark int2:bookmarkName="_Int_RRumsTau" int2:invalidationBookmarkName="" int2:hashCode="Mrm4OHZ/1342gq" int2:id="yJUWOUhF">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92B45"/>
    <w:multiLevelType w:val="multilevel"/>
    <w:tmpl w:val="47E8F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4F31F2"/>
    <w:multiLevelType w:val="multilevel"/>
    <w:tmpl w:val="B554CD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F33261"/>
    <w:multiLevelType w:val="multilevel"/>
    <w:tmpl w:val="E46829E0"/>
    <w:lvl w:ilvl="0">
      <w:start w:val="1"/>
      <w:numFmt w:val="bullet"/>
      <w:lvlText w:val="•"/>
      <w:lvlJc w:val="left"/>
      <w:pPr>
        <w:ind w:left="72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3" w15:restartNumberingAfterBreak="0">
    <w:nsid w:val="673C3A58"/>
    <w:multiLevelType w:val="multilevel"/>
    <w:tmpl w:val="DDA0FB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67079866">
    <w:abstractNumId w:val="0"/>
  </w:num>
  <w:num w:numId="2" w16cid:durableId="1660037451">
    <w:abstractNumId w:val="3"/>
  </w:num>
  <w:num w:numId="3" w16cid:durableId="596333682">
    <w:abstractNumId w:val="2"/>
  </w:num>
  <w:num w:numId="4" w16cid:durableId="338123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0943"/>
    <w:rsid w:val="003261A8"/>
    <w:rsid w:val="00527ECC"/>
    <w:rsid w:val="00690943"/>
    <w:rsid w:val="007830B7"/>
    <w:rsid w:val="00CA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B25F0"/>
  <w15:docId w15:val="{605BF6D6-E09C-41C5-8E86-12ECEB24B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after="200"/>
      <w:outlineLvl w:val="0"/>
    </w:pPr>
    <w:rPr>
      <w:b/>
      <w:bCs/>
      <w:color w:val="1F4E79"/>
      <w:sz w:val="32"/>
      <w:szCs w:val="32"/>
    </w:rPr>
  </w:style>
  <w:style w:type="paragraph" w:styleId="Heading2">
    <w:name w:val="heading 2"/>
    <w:basedOn w:val="Normal"/>
    <w:next w:val="Normal"/>
    <w:uiPriority w:val="9"/>
    <w:unhideWhenUsed/>
    <w:qFormat/>
    <w:pPr>
      <w:pBdr>
        <w:top w:val="nil"/>
        <w:left w:val="nil"/>
        <w:bottom w:val="nil"/>
        <w:right w:val="nil"/>
        <w:between w:val="nil"/>
      </w:pBdr>
      <w:spacing w:before="280" w:after="120"/>
      <w:outlineLvl w:val="1"/>
    </w:pPr>
    <w:rPr>
      <w:b/>
      <w:bCs/>
      <w:color w:val="2E75B6"/>
      <w:sz w:val="28"/>
      <w:szCs w:val="28"/>
    </w:rPr>
  </w:style>
  <w:style w:type="paragraph" w:styleId="Heading3">
    <w:name w:val="heading 3"/>
    <w:basedOn w:val="Normal"/>
    <w:next w:val="Normal"/>
    <w:uiPriority w:val="9"/>
    <w:unhideWhenUsed/>
    <w:qFormat/>
    <w:pPr>
      <w:pBdr>
        <w:top w:val="nil"/>
        <w:left w:val="nil"/>
        <w:bottom w:val="nil"/>
        <w:right w:val="nil"/>
        <w:between w:val="nil"/>
      </w:pBdr>
      <w:spacing w:before="200" w:after="100"/>
      <w:outlineLvl w:val="2"/>
    </w:pPr>
    <w:rPr>
      <w:b/>
      <w:bCs/>
      <w:color w:val="000000"/>
      <w:sz w:val="26"/>
      <w:szCs w:val="26"/>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0" w:type="dxa"/>
        <w:bottom w:w="0" w:type="dxa"/>
        <w:right w:w="0"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scottishmedicines.org.uk/how-we-decide/pace/" TargetMode="External"/><Relationship Id="rId18" Type="http://schemas.openxmlformats.org/officeDocument/2006/relationships/hyperlink" Target="https://docs.google.com/document/u/0/d/1vhYn9mjW2j_esUlBlzDTS-AQ1Dv4RLdAl0JalB7U6rU/edit" TargetMode="External"/><Relationship Id="rId26"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docs.google.com/document/u/0/d/1nZ5QWlTPRSnvI2_rFUkd3Uap4f0dT0UJPDpTS2Hn1Z4/edit" TargetMode="External"/><Relationship Id="rId7" Type="http://schemas.openxmlformats.org/officeDocument/2006/relationships/hyperlink" Target="https://awttc.nhs.wales/" TargetMode="External"/><Relationship Id="rId12" Type="http://schemas.openxmlformats.org/officeDocument/2006/relationships/hyperlink" Target="https://www.nice.org.uk/about/what-we-do/our-programmes/nice-guidance/nice-technology-appraisal-guidance/changes-to-how-we-apply-the-funding-rule" TargetMode="External"/><Relationship Id="rId17" Type="http://schemas.openxmlformats.org/officeDocument/2006/relationships/hyperlink" Target="https://docs.google.com/document/u/0/d/1vhYn9mjW2j_esUlBlzDTS-AQ1Dv4RLdAl0JalB7U6rU/edit" TargetMode="External"/><Relationship Id="rId25" Type="http://schemas.openxmlformats.org/officeDocument/2006/relationships/hyperlink" Target="https://docs.google.com/spreadsheets/u/0/d/1p0QZrfGlRsw0qhDjc1dzZX5nsEmtFuzQ/edit" TargetMode="External"/><Relationship Id="rId33"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research.senedd.wales/research-articles/rising-prices-and-serious-shortages-new-challenges-in-managing-medicines-supply-for-wales/" TargetMode="External"/><Relationship Id="rId20" Type="http://schemas.openxmlformats.org/officeDocument/2006/relationships/hyperlink" Target="https://docs.google.com/document/u/0/d/1nZ5QWlTPRSnvI2_rFUkd3Uap4f0dT0UJPDpTS2Hn1Z4/edit" TargetMode="Externa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awttc.nhs.wales/pages/blueteq-high-cost-drug-system/" TargetMode="External"/><Relationship Id="rId11" Type="http://schemas.openxmlformats.org/officeDocument/2006/relationships/hyperlink" Target="https://www.nice.org.uk/about/what-we-do/our-programmes/nice-guidance/nice-technology-appraisal-guidance/changes-to-how-we-apply-the-funding-rule" TargetMode="External"/><Relationship Id="rId24" Type="http://schemas.openxmlformats.org/officeDocument/2006/relationships/hyperlink" Target="https://docs.google.com/spreadsheets/u/0/d/1nxdeRwabsnyzY7PRgiJro5HwdQytDQfC/edit" TargetMode="External"/><Relationship Id="rId32" Type="http://schemas.openxmlformats.org/officeDocument/2006/relationships/theme" Target="theme/theme1.xml"/><Relationship Id="rId5" Type="http://schemas.openxmlformats.org/officeDocument/2006/relationships/hyperlink" Target="https://awttc.nhs.wales/pages/blueteq-high-cost-drug-system/" TargetMode="External"/><Relationship Id="rId15" Type="http://schemas.openxmlformats.org/officeDocument/2006/relationships/hyperlink" Target="https://research.senedd.wales/research-articles/rising-prices-and-serious-shortages-new-challenges-in-managing-medicines-supply-for-wales/" TargetMode="External"/><Relationship Id="rId23" Type="http://schemas.openxmlformats.org/officeDocument/2006/relationships/image" Target="media/image1.png"/><Relationship Id="rId28" Type="http://schemas.openxmlformats.org/officeDocument/2006/relationships/image" Target="media/image4.png"/><Relationship Id="rId10" Type="http://schemas.openxmlformats.org/officeDocument/2006/relationships/hyperlink" Target="https://www.health-ni.gov.uk/publications/northern-ireland-medicines-optimisation-quality-framework" TargetMode="External"/><Relationship Id="rId19" Type="http://schemas.openxmlformats.org/officeDocument/2006/relationships/hyperlink" Target="https://docs.google.com/document/u/0/d/1vhYn9mjW2j_esUlBlzDTS-AQ1Dv4RLdAl0JalB7U6rU/edi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alth-ni.gov.uk/publications/northern-ireland-medicines-optimisation-quality-framework" TargetMode="External"/><Relationship Id="rId14" Type="http://schemas.openxmlformats.org/officeDocument/2006/relationships/hyperlink" Target="https://scottishmedicines.org.uk/how-we-decide/pace/" TargetMode="External"/><Relationship Id="rId22" Type="http://schemas.openxmlformats.org/officeDocument/2006/relationships/hyperlink" Target="https://docs.google.com/document/u/0/d/1nZ5QWlTPRSnvI2_rFUkd3Uap4f0dT0UJPDpTS2Hn1Z4/edit" TargetMode="External"/><Relationship Id="rId27" Type="http://schemas.openxmlformats.org/officeDocument/2006/relationships/image" Target="media/image3.png"/><Relationship Id="rId30" Type="http://schemas.openxmlformats.org/officeDocument/2006/relationships/image" Target="media/image6.png"/><Relationship Id="rId8" Type="http://schemas.openxmlformats.org/officeDocument/2006/relationships/hyperlink" Target="https://awttc.nhs.wal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91</Pages>
  <Words>18783</Words>
  <Characters>123780</Characters>
  <Application>Microsoft Office Word</Application>
  <DocSecurity>0</DocSecurity>
  <Lines>2633</Lines>
  <Paragraphs>944</Paragraphs>
  <ScaleCrop>false</ScaleCrop>
  <Company/>
  <LinksUpToDate>false</LinksUpToDate>
  <CharactersWithSpaces>141619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Eryl Daniels</dc:creator>
  <cp:lastModifiedBy>Eryl Daniels</cp:lastModifiedBy>
  <cp:revision>3</cp:revision>
  <dcterms:created xsi:type="dcterms:W3CDTF">2026-05-27T15:05:00Z</dcterms:created>
  <dcterms:modified xsi:type="dcterms:W3CDTF">2026-05-27T15:17:00Z</dcterms:modified>
</cp:coreProperties>
</file>