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14:paraId="36ACB60E" wp14:textId="35A424CE">
      <w:pPr>
        <w:pStyle w:val="Title"/>
      </w:pPr>
      <w:r w:rsidR="505D9306">
        <w:rPr/>
        <w:t xml:space="preserve">Proprietary Estoppel: Core Cases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xmlns:wp14="http://schemas.microsoft.com/office/word/2010/wordml" w14:paraId="706DC326" wp14:textId="77777777">
        <w:tc>
          <w:tcPr>
            <w:tcW w:w="2880" w:type="dxa"/>
          </w:tcPr>
          <w:p w14:paraId="33C75167" wp14:textId="77777777">
            <w:r>
              <w:t>Case</w:t>
            </w:r>
          </w:p>
        </w:tc>
        <w:tc>
          <w:tcPr>
            <w:tcW w:w="2880" w:type="dxa"/>
          </w:tcPr>
          <w:p w14:paraId="1D01F422" wp14:textId="77777777">
            <w:r>
              <w:t>Key Facts / Context</w:t>
            </w:r>
          </w:p>
        </w:tc>
        <w:tc>
          <w:tcPr>
            <w:tcW w:w="2880" w:type="dxa"/>
          </w:tcPr>
          <w:p w14:paraId="5BF49F30" wp14:textId="77777777">
            <w:r>
              <w:t>Key Legal Principle</w:t>
            </w:r>
          </w:p>
        </w:tc>
      </w:tr>
      <w:tr xmlns:wp14="http://schemas.microsoft.com/office/word/2010/wordml" w14:paraId="60C5863D" wp14:textId="77777777">
        <w:tc>
          <w:tcPr>
            <w:tcW w:w="2880" w:type="dxa"/>
          </w:tcPr>
          <w:p w14:paraId="50A6B73A" wp14:textId="77777777">
            <w:r>
              <w:t>Crabb v Arun DC [1976] Ch 179</w:t>
            </w:r>
          </w:p>
        </w:tc>
        <w:tc>
          <w:tcPr>
            <w:tcW w:w="2880" w:type="dxa"/>
          </w:tcPr>
          <w:p w14:paraId="4272FEBB" wp14:textId="77777777">
            <w:r>
              <w:t>Landowner relied on council indication that access would be granted.</w:t>
            </w:r>
          </w:p>
        </w:tc>
        <w:tc>
          <w:tcPr>
            <w:tcW w:w="2880" w:type="dxa"/>
          </w:tcPr>
          <w:p w14:paraId="68F4BD6B" wp14:textId="77777777">
            <w:r>
              <w:t>Proprietary estoppel can create an easement/right of way. Remedy should do the minimum equity necessary.</w:t>
            </w:r>
          </w:p>
        </w:tc>
      </w:tr>
      <w:tr xmlns:wp14="http://schemas.microsoft.com/office/word/2010/wordml" w14:paraId="299134E6" wp14:textId="77777777">
        <w:tc>
          <w:tcPr>
            <w:tcW w:w="2880" w:type="dxa"/>
          </w:tcPr>
          <w:p w14:paraId="1F92F441" wp14:textId="77777777">
            <w:r>
              <w:t>Thorner v Major [2009] UKHL 18</w:t>
            </w:r>
          </w:p>
        </w:tc>
        <w:tc>
          <w:tcPr>
            <w:tcW w:w="2880" w:type="dxa"/>
          </w:tcPr>
          <w:p w14:paraId="656FDC9F" wp14:textId="77777777">
            <w:r>
              <w:t>Farmer worked for years expecting to inherit farm.</w:t>
            </w:r>
          </w:p>
        </w:tc>
        <w:tc>
          <w:tcPr>
            <w:tcW w:w="2880" w:type="dxa"/>
          </w:tcPr>
          <w:p w14:paraId="36DC490F" wp14:textId="77777777">
            <w:r>
              <w:t>Assurance need not be express; it must be sufficiently clear in context.</w:t>
            </w:r>
          </w:p>
        </w:tc>
      </w:tr>
      <w:tr xmlns:wp14="http://schemas.microsoft.com/office/word/2010/wordml" w14:paraId="40909957" wp14:textId="77777777">
        <w:tc>
          <w:tcPr>
            <w:tcW w:w="2880" w:type="dxa"/>
          </w:tcPr>
          <w:p w14:paraId="69712078" wp14:textId="77777777">
            <w:r>
              <w:t>Yeoman's Row v Cobbe [2008] UKHL 55</w:t>
            </w:r>
          </w:p>
        </w:tc>
        <w:tc>
          <w:tcPr>
            <w:tcW w:w="2880" w:type="dxa"/>
          </w:tcPr>
          <w:p w14:paraId="50B75D60" wp14:textId="77777777">
            <w:r>
              <w:t>Developer relied on informal commercial agreement.</w:t>
            </w:r>
          </w:p>
        </w:tc>
        <w:tc>
          <w:tcPr>
            <w:tcW w:w="2880" w:type="dxa"/>
          </w:tcPr>
          <w:p w14:paraId="3C8DF142" wp14:textId="77777777">
            <w:r>
              <w:t>PE rarely assists uncertain commercial negotiations; unconscionability is central.</w:t>
            </w:r>
          </w:p>
        </w:tc>
      </w:tr>
      <w:tr xmlns:wp14="http://schemas.microsoft.com/office/word/2010/wordml" w14:paraId="71A675CF" wp14:textId="77777777">
        <w:tc>
          <w:tcPr>
            <w:tcW w:w="2880" w:type="dxa"/>
          </w:tcPr>
          <w:p w14:paraId="6D4B6EA0" wp14:textId="77777777">
            <w:r>
              <w:t>Taylors Fashions Ltd v Liverpool Victoria Trustees [1982] QB 133</w:t>
            </w:r>
          </w:p>
        </w:tc>
        <w:tc>
          <w:tcPr>
            <w:tcW w:w="2880" w:type="dxa"/>
          </w:tcPr>
          <w:p w14:paraId="59A1C4D4" wp14:textId="77777777">
            <w:r>
              <w:t>Tenant improved property expecting lease renewal.</w:t>
            </w:r>
          </w:p>
        </w:tc>
        <w:tc>
          <w:tcPr>
            <w:tcW w:w="2880" w:type="dxa"/>
          </w:tcPr>
          <w:p w14:paraId="7AFB4DF5" wp14:textId="77777777">
            <w:r>
              <w:t>Modern foundation of PE based on unconscionability.</w:t>
            </w:r>
          </w:p>
        </w:tc>
      </w:tr>
      <w:tr xmlns:wp14="http://schemas.microsoft.com/office/word/2010/wordml" w14:paraId="59EDFCCA" wp14:textId="77777777">
        <w:tc>
          <w:tcPr>
            <w:tcW w:w="2880" w:type="dxa"/>
          </w:tcPr>
          <w:p w14:paraId="5991132E" wp14:textId="77777777">
            <w:r>
              <w:t>Knowles v Knowles [2008] UKPC 30</w:t>
            </w:r>
          </w:p>
        </w:tc>
        <w:tc>
          <w:tcPr>
            <w:tcW w:w="2880" w:type="dxa"/>
          </w:tcPr>
          <w:p w14:paraId="005A5F68" wp14:textId="77777777">
            <w:r>
              <w:t>Family property dispute.</w:t>
            </w:r>
          </w:p>
        </w:tc>
        <w:tc>
          <w:tcPr>
            <w:tcW w:w="2880" w:type="dxa"/>
          </w:tcPr>
          <w:p w14:paraId="4462B220" wp14:textId="77777777">
            <w:r>
              <w:t>Assurance must be sufficiently clear and certain.</w:t>
            </w:r>
          </w:p>
        </w:tc>
      </w:tr>
      <w:tr xmlns:wp14="http://schemas.microsoft.com/office/word/2010/wordml" w14:paraId="62930BFF" wp14:textId="77777777">
        <w:tc>
          <w:tcPr>
            <w:tcW w:w="2880" w:type="dxa"/>
          </w:tcPr>
          <w:p w14:paraId="580AF2C7" wp14:textId="77777777">
            <w:r>
              <w:t>Gillett v Holt [2001] Ch 210</w:t>
            </w:r>
          </w:p>
        </w:tc>
        <w:tc>
          <w:tcPr>
            <w:tcW w:w="2880" w:type="dxa"/>
          </w:tcPr>
          <w:p w14:paraId="43215B5D" wp14:textId="77777777">
            <w:r>
              <w:t>Employee devoted life to landowner on promise of inheritance.</w:t>
            </w:r>
          </w:p>
        </w:tc>
        <w:tc>
          <w:tcPr>
            <w:tcW w:w="2880" w:type="dxa"/>
          </w:tcPr>
          <w:p w14:paraId="4C34DD5B" wp14:textId="77777777">
            <w:r>
              <w:t>Unconscionability lies at the heart of proprietary estoppel.</w:t>
            </w:r>
          </w:p>
        </w:tc>
      </w:tr>
      <w:tr xmlns:wp14="http://schemas.microsoft.com/office/word/2010/wordml" w14:paraId="0763E28F" wp14:textId="77777777">
        <w:tc>
          <w:tcPr>
            <w:tcW w:w="2880" w:type="dxa"/>
          </w:tcPr>
          <w:p w14:paraId="17656DB8" wp14:textId="77777777">
            <w:r>
              <w:t>Jennings v Rice [2002] EWCA Civ 159</w:t>
            </w:r>
          </w:p>
        </w:tc>
        <w:tc>
          <w:tcPr>
            <w:tcW w:w="2880" w:type="dxa"/>
          </w:tcPr>
          <w:p w14:paraId="1A62B2DB" wp14:textId="77777777">
            <w:r>
              <w:t>Carer expected to receive house.</w:t>
            </w:r>
          </w:p>
        </w:tc>
        <w:tc>
          <w:tcPr>
            <w:tcW w:w="2880" w:type="dxa"/>
          </w:tcPr>
          <w:p w14:paraId="3121CC49" wp14:textId="77777777">
            <w:r>
              <w:t>Remedies should be proportionate to detriment and expectation.</w:t>
            </w:r>
          </w:p>
        </w:tc>
      </w:tr>
      <w:tr xmlns:wp14="http://schemas.microsoft.com/office/word/2010/wordml" w14:paraId="144952E8" wp14:textId="77777777">
        <w:tc>
          <w:tcPr>
            <w:tcW w:w="2880" w:type="dxa"/>
          </w:tcPr>
          <w:p w14:paraId="0A4B3CAB" wp14:textId="77777777">
            <w:r>
              <w:t>Guest v Guest [2022] UKSC 27</w:t>
            </w:r>
          </w:p>
        </w:tc>
        <w:tc>
          <w:tcPr>
            <w:tcW w:w="2880" w:type="dxa"/>
          </w:tcPr>
          <w:p w14:paraId="6EBFD15C" wp14:textId="77777777">
            <w:r>
              <w:t>Son worked on family farm expecting inheritance.</w:t>
            </w:r>
          </w:p>
        </w:tc>
        <w:tc>
          <w:tcPr>
            <w:tcW w:w="2880" w:type="dxa"/>
          </w:tcPr>
          <w:p w14:paraId="6EAA4841" wp14:textId="77777777">
            <w:r>
              <w:t>Expectation-based relief unless disproportionate.</w:t>
            </w:r>
          </w:p>
        </w:tc>
      </w:tr>
      <w:tr xmlns:wp14="http://schemas.microsoft.com/office/word/2010/wordml" w14:paraId="0F5E9370" wp14:textId="77777777">
        <w:tc>
          <w:tcPr>
            <w:tcW w:w="2880" w:type="dxa"/>
          </w:tcPr>
          <w:p w14:paraId="5D403669" wp14:textId="77777777">
            <w:r>
              <w:t>Davies v Davies [2014/2016]</w:t>
            </w:r>
          </w:p>
        </w:tc>
        <w:tc>
          <w:tcPr>
            <w:tcW w:w="2880" w:type="dxa"/>
          </w:tcPr>
          <w:p w14:paraId="5428A367" wp14:textId="77777777">
            <w:r>
              <w:t>Daughter worked on family farm for low wages.</w:t>
            </w:r>
          </w:p>
        </w:tc>
        <w:tc>
          <w:tcPr>
            <w:tcW w:w="2880" w:type="dxa"/>
          </w:tcPr>
          <w:p w14:paraId="0E9F4A47" wp14:textId="77777777">
            <w:r>
              <w:t>Repeated assurances plus detrimental reliance can establish PE.</w:t>
            </w:r>
          </w:p>
        </w:tc>
      </w:tr>
      <w:tr xmlns:wp14="http://schemas.microsoft.com/office/word/2010/wordml" w14:paraId="0BC689F5" wp14:textId="77777777">
        <w:tc>
          <w:tcPr>
            <w:tcW w:w="2880" w:type="dxa"/>
          </w:tcPr>
          <w:p w14:paraId="39E323F6" wp14:textId="77777777">
            <w:r>
              <w:t>Habberfield v Habberfield [2019] EWCA Civ 890</w:t>
            </w:r>
          </w:p>
        </w:tc>
        <w:tc>
          <w:tcPr>
            <w:tcW w:w="2880" w:type="dxa"/>
          </w:tcPr>
          <w:p w14:paraId="188E7056" wp14:textId="77777777">
            <w:r>
              <w:t>Daughter worked on farm expecting inheritance.</w:t>
            </w:r>
          </w:p>
        </w:tc>
        <w:tc>
          <w:tcPr>
            <w:tcW w:w="2880" w:type="dxa"/>
          </w:tcPr>
          <w:p w14:paraId="51487EAD" wp14:textId="77777777">
            <w:r>
              <w:t>Court may award monetary compensation instead of land.</w:t>
            </w:r>
          </w:p>
        </w:tc>
      </w:tr>
      <w:tr xmlns:wp14="http://schemas.microsoft.com/office/word/2010/wordml" w14:paraId="5BEC7EAE" wp14:textId="77777777">
        <w:tc>
          <w:tcPr>
            <w:tcW w:w="2880" w:type="dxa"/>
          </w:tcPr>
          <w:p w14:paraId="2D40B227" wp14:textId="77777777">
            <w:r>
              <w:t>Wayling v Jones [1995] 2 FLR 1029</w:t>
            </w:r>
          </w:p>
        </w:tc>
        <w:tc>
          <w:tcPr>
            <w:tcW w:w="2880" w:type="dxa"/>
          </w:tcPr>
          <w:p w14:paraId="5356ABEF" wp14:textId="77777777">
            <w:r>
              <w:t>Claimant worked believing he would benefit.</w:t>
            </w:r>
          </w:p>
        </w:tc>
        <w:tc>
          <w:tcPr>
            <w:tcW w:w="2880" w:type="dxa"/>
          </w:tcPr>
          <w:p w14:paraId="20BE00E7" wp14:textId="77777777">
            <w:r>
              <w:t>Reliance may be inferred from conduct.</w:t>
            </w:r>
          </w:p>
        </w:tc>
      </w:tr>
      <w:tr xmlns:wp14="http://schemas.microsoft.com/office/word/2010/wordml" w14:paraId="59F03085" wp14:textId="77777777">
        <w:tc>
          <w:tcPr>
            <w:tcW w:w="2880" w:type="dxa"/>
          </w:tcPr>
          <w:p w14:paraId="20ACB3F8" wp14:textId="77777777">
            <w:r>
              <w:t>Greasley v Cooke [1980] 1 WLR 1306</w:t>
            </w:r>
          </w:p>
        </w:tc>
        <w:tc>
          <w:tcPr>
            <w:tcW w:w="2880" w:type="dxa"/>
          </w:tcPr>
          <w:p w14:paraId="620D39C5" wp14:textId="77777777">
            <w:r>
              <w:t>Housekeeper remained after assurances.</w:t>
            </w:r>
          </w:p>
        </w:tc>
        <w:tc>
          <w:tcPr>
            <w:tcW w:w="2880" w:type="dxa"/>
          </w:tcPr>
          <w:p w14:paraId="15F20E44" wp14:textId="77777777">
            <w:r>
              <w:t>Reliance may be presumed once assurance and detriment shown.</w:t>
            </w:r>
          </w:p>
        </w:tc>
      </w:tr>
      <w:tr xmlns:wp14="http://schemas.microsoft.com/office/word/2010/wordml" w14:paraId="7FA52D46" wp14:textId="77777777">
        <w:tc>
          <w:tcPr>
            <w:tcW w:w="2880" w:type="dxa"/>
          </w:tcPr>
          <w:p w14:paraId="7D471F6B" wp14:textId="77777777">
            <w:r>
              <w:t>Campbell v Griffin [2001] EWCA Civ 990</w:t>
            </w:r>
          </w:p>
        </w:tc>
        <w:tc>
          <w:tcPr>
            <w:tcW w:w="2880" w:type="dxa"/>
          </w:tcPr>
          <w:p w14:paraId="66971F82" wp14:textId="77777777">
            <w:r>
              <w:t>Claimants cared for elderly man expecting home.</w:t>
            </w:r>
          </w:p>
        </w:tc>
        <w:tc>
          <w:tcPr>
            <w:tcW w:w="2880" w:type="dxa"/>
          </w:tcPr>
          <w:p w14:paraId="63B6BA8F" wp14:textId="77777777">
            <w:r>
              <w:t>Caring responsibilities and life choices may constitute detriment.</w:t>
            </w:r>
          </w:p>
        </w:tc>
      </w:tr>
      <w:tr xmlns:wp14="http://schemas.microsoft.com/office/word/2010/wordml" w14:paraId="0BE5B3D4" wp14:textId="77777777">
        <w:tc>
          <w:tcPr>
            <w:tcW w:w="2880" w:type="dxa"/>
          </w:tcPr>
          <w:p w14:paraId="61CAD2D5" wp14:textId="77777777">
            <w:r>
              <w:t>Inwards v Baker [1965] 2 QB 29</w:t>
            </w:r>
          </w:p>
        </w:tc>
        <w:tc>
          <w:tcPr>
            <w:tcW w:w="2880" w:type="dxa"/>
          </w:tcPr>
          <w:p w14:paraId="15AF91DE" wp14:textId="77777777">
            <w:r>
              <w:t>Son built bungalow on father's land.</w:t>
            </w:r>
          </w:p>
        </w:tc>
        <w:tc>
          <w:tcPr>
            <w:tcW w:w="2880" w:type="dxa"/>
          </w:tcPr>
          <w:p w14:paraId="34B08239" wp14:textId="77777777">
            <w:r>
              <w:t>Building on land in reliance on assurances constitutes detriment.</w:t>
            </w:r>
          </w:p>
        </w:tc>
      </w:tr>
      <w:tr xmlns:wp14="http://schemas.microsoft.com/office/word/2010/wordml" w14:paraId="1E68644C" wp14:textId="77777777">
        <w:tc>
          <w:tcPr>
            <w:tcW w:w="2880" w:type="dxa"/>
          </w:tcPr>
          <w:p w14:paraId="43CF163E" wp14:textId="77777777">
            <w:r>
              <w:t>Southwell v Blackburn [2014] EWCA Civ 1347</w:t>
            </w:r>
          </w:p>
        </w:tc>
        <w:tc>
          <w:tcPr>
            <w:tcW w:w="2880" w:type="dxa"/>
          </w:tcPr>
          <w:p w14:paraId="15253E7B" wp14:textId="77777777">
            <w:r>
              <w:t>Woman gave up secure accommodation.</w:t>
            </w:r>
          </w:p>
        </w:tc>
        <w:tc>
          <w:tcPr>
            <w:tcW w:w="2880" w:type="dxa"/>
          </w:tcPr>
          <w:p w14:paraId="2D6836D2" wp14:textId="77777777">
            <w:r>
              <w:t>Relinquishing valuable rights can be substantial detriment.</w:t>
            </w:r>
          </w:p>
        </w:tc>
      </w:tr>
      <w:tr xmlns:wp14="http://schemas.microsoft.com/office/word/2010/wordml" w14:paraId="7C40F940" wp14:textId="77777777">
        <w:tc>
          <w:tcPr>
            <w:tcW w:w="2880" w:type="dxa"/>
          </w:tcPr>
          <w:p w14:paraId="0918F832" wp14:textId="77777777">
            <w:r>
              <w:t>Pascoe v Turner [1979] 1 WLR 431</w:t>
            </w:r>
          </w:p>
        </w:tc>
        <w:tc>
          <w:tcPr>
            <w:tcW w:w="2880" w:type="dxa"/>
          </w:tcPr>
          <w:p w14:paraId="45F2641C" wp14:textId="77777777">
            <w:r>
              <w:t>Claimant improved house after promise of ownership.</w:t>
            </w:r>
          </w:p>
        </w:tc>
        <w:tc>
          <w:tcPr>
            <w:tcW w:w="2880" w:type="dxa"/>
          </w:tcPr>
          <w:p w14:paraId="495FD3CB" wp14:textId="77777777">
            <w:r>
              <w:t>Transfer of freehold may be appropriate remedy.</w:t>
            </w:r>
          </w:p>
        </w:tc>
      </w:tr>
      <w:tr xmlns:wp14="http://schemas.microsoft.com/office/word/2010/wordml" w14:paraId="6EF631B3" wp14:textId="77777777">
        <w:tc>
          <w:tcPr>
            <w:tcW w:w="2880" w:type="dxa"/>
          </w:tcPr>
          <w:p w14:paraId="666F1D7B" wp14:textId="77777777">
            <w:r>
              <w:t>Yaxley v Gotts [2000] Ch 162</w:t>
            </w:r>
          </w:p>
        </w:tc>
        <w:tc>
          <w:tcPr>
            <w:tcW w:w="2880" w:type="dxa"/>
          </w:tcPr>
          <w:p w14:paraId="306C66D7" wp14:textId="77777777">
            <w:r>
              <w:t>Informal property agreement.</w:t>
            </w:r>
          </w:p>
        </w:tc>
        <w:tc>
          <w:tcPr>
            <w:tcW w:w="2880" w:type="dxa"/>
          </w:tcPr>
          <w:p w14:paraId="006B9FBF" wp14:textId="77777777">
            <w:r>
              <w:t>PE can overcome lack of statutory formalities.</w:t>
            </w:r>
          </w:p>
        </w:tc>
      </w:tr>
      <w:tr xmlns:wp14="http://schemas.microsoft.com/office/word/2010/wordml" w14:paraId="7C73EB5F" wp14:textId="77777777">
        <w:tc>
          <w:tcPr>
            <w:tcW w:w="2880" w:type="dxa"/>
          </w:tcPr>
          <w:p w14:paraId="58E306A6" wp14:textId="77777777">
            <w:r>
              <w:t>Sledmore v Dalby (1996) 72 P&amp;CR 196</w:t>
            </w:r>
          </w:p>
        </w:tc>
        <w:tc>
          <w:tcPr>
            <w:tcW w:w="2880" w:type="dxa"/>
          </w:tcPr>
          <w:p w14:paraId="326223CD" wp14:textId="77777777">
            <w:r>
              <w:t>Occupier had already received substantial benefits.</w:t>
            </w:r>
          </w:p>
        </w:tc>
        <w:tc>
          <w:tcPr>
            <w:tcW w:w="2880" w:type="dxa"/>
          </w:tcPr>
          <w:p w14:paraId="41B170B5" wp14:textId="77777777">
            <w:r>
              <w:t>Court balances benefits against detriment suffered.</w:t>
            </w:r>
          </w:p>
        </w:tc>
      </w:tr>
    </w:tbl>
    <w:sectPr w:rsidRPr="0006063C" w:rsidR="00FC693F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val="bestFit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505D9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15:docId w15:val="{0C81FFAE-A78D-42FD-BBA6-DB3460AB31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Kireene David</dc:creator>
  <keywords/>
  <dc:description>generated by python-docx</dc:description>
  <lastModifiedBy>Kireene David</lastModifiedBy>
  <revision>2</revision>
  <dcterms:created xsi:type="dcterms:W3CDTF">2026-10-18T11:46:25.1538741Z</dcterms:created>
  <dcterms:modified xsi:type="dcterms:W3CDTF">2026-10-18T11:47:18.1777927Z</dcterms:modified>
  <category/>
</coreProperties>
</file>