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DD62C7B" w:rsidR="00E66A71" w:rsidRDefault="00A75E87">
      <w:pPr>
        <w:spacing w:line="360" w:lineRule="auto"/>
        <w:jc w:val="both"/>
        <w:rPr>
          <w:sz w:val="24"/>
          <w:szCs w:val="24"/>
        </w:rPr>
      </w:pPr>
      <w:r>
        <w:rPr>
          <w:sz w:val="24"/>
          <w:szCs w:val="24"/>
        </w:rPr>
        <w:t xml:space="preserve">The case involving Polly and Mohammed presents a complex legal scenario, encompassing various criminal offenses and potential </w:t>
      </w:r>
      <w:r w:rsidR="00A00491">
        <w:rPr>
          <w:sz w:val="24"/>
          <w:szCs w:val="24"/>
        </w:rPr>
        <w:t>defences’</w:t>
      </w:r>
      <w:r>
        <w:rPr>
          <w:sz w:val="24"/>
          <w:szCs w:val="24"/>
        </w:rPr>
        <w:t xml:space="preserve">. This essay will conduct a detailed analysis of the actions of each party, considering offenses such as criminal damage, assault, and homicide. Relevant UK case law, criminal law principles, and statutory provisions will be explored, with a focus on establishing legal culpability and evaluating potential </w:t>
      </w:r>
      <w:r w:rsidR="00FB0A1C">
        <w:rPr>
          <w:sz w:val="24"/>
          <w:szCs w:val="24"/>
        </w:rPr>
        <w:t>defences’</w:t>
      </w:r>
      <w:r>
        <w:rPr>
          <w:sz w:val="24"/>
          <w:szCs w:val="24"/>
        </w:rPr>
        <w:t>.</w:t>
      </w:r>
    </w:p>
    <w:p w14:paraId="00000002" w14:textId="77777777" w:rsidR="00E66A71" w:rsidRDefault="00A75E87">
      <w:pPr>
        <w:spacing w:line="360" w:lineRule="auto"/>
        <w:jc w:val="both"/>
        <w:rPr>
          <w:sz w:val="24"/>
          <w:szCs w:val="24"/>
        </w:rPr>
      </w:pPr>
      <w:r>
        <w:rPr>
          <w:sz w:val="24"/>
          <w:szCs w:val="24"/>
        </w:rPr>
        <w:t>When determining a criminal defendant's punishment, mental illness is typically viewed as a mitigating factor. However, in order to use mental illness as a defence, the defendant must show that they were incapable of understanding the nature and consequences of their actions at the time of the offense. Polly's schizophrenia may have made it difficult for her to understand the gravity of her actions, especially murder.</w:t>
      </w:r>
    </w:p>
    <w:p w14:paraId="00000003" w14:textId="77777777" w:rsidR="00E66A71" w:rsidRDefault="00A75E87">
      <w:pPr>
        <w:spacing w:line="360" w:lineRule="auto"/>
        <w:jc w:val="both"/>
        <w:rPr>
          <w:sz w:val="24"/>
          <w:szCs w:val="24"/>
        </w:rPr>
      </w:pPr>
      <w:r>
        <w:rPr>
          <w:sz w:val="24"/>
          <w:szCs w:val="24"/>
        </w:rPr>
        <w:t>Mental health problems can be tricky to identify and assess, especially when the affected person is trying to downplay or deny their condition. Moreover, it can be difficult to determine the extent to which a mental illness influenced the individual's behaviour, even if a diagnosis has been made.</w:t>
      </w:r>
    </w:p>
    <w:p w14:paraId="00000004" w14:textId="77777777" w:rsidR="00E66A71" w:rsidRDefault="00A75E87">
      <w:pPr>
        <w:spacing w:line="360" w:lineRule="auto"/>
        <w:jc w:val="both"/>
        <w:rPr>
          <w:sz w:val="24"/>
          <w:szCs w:val="24"/>
        </w:rPr>
      </w:pPr>
      <w:r>
        <w:rPr>
          <w:sz w:val="24"/>
          <w:szCs w:val="24"/>
        </w:rPr>
        <w:t>Given Polly's serious mental health concerns, a normal criminal punishment may not be the best course of action. Taking into account her mental health concerns and attempting to address the root causes of her behaviour may necessitate a different strategy, such as therapy or rehabilitation. Medication, therapy, and other forms of help may need to be used together.</w:t>
      </w:r>
    </w:p>
    <w:p w14:paraId="00000005" w14:textId="77777777" w:rsidR="00E66A71" w:rsidRDefault="00E66A71">
      <w:pPr>
        <w:spacing w:line="360" w:lineRule="auto"/>
        <w:jc w:val="both"/>
        <w:rPr>
          <w:sz w:val="24"/>
          <w:szCs w:val="24"/>
        </w:rPr>
      </w:pPr>
    </w:p>
    <w:p w14:paraId="00000006" w14:textId="77777777" w:rsidR="00E66A71" w:rsidRPr="00F21BDE" w:rsidRDefault="00A75E87">
      <w:pPr>
        <w:spacing w:line="360" w:lineRule="auto"/>
        <w:jc w:val="both"/>
        <w:rPr>
          <w:b/>
          <w:bCs/>
          <w:sz w:val="24"/>
          <w:szCs w:val="24"/>
        </w:rPr>
      </w:pPr>
      <w:r w:rsidRPr="00F21BDE">
        <w:rPr>
          <w:b/>
          <w:bCs/>
          <w:sz w:val="24"/>
          <w:szCs w:val="24"/>
        </w:rPr>
        <w:t>Criminal Damage: Severing Brake Cables</w:t>
      </w:r>
    </w:p>
    <w:p w14:paraId="00000007" w14:textId="506BE904" w:rsidR="00E66A71" w:rsidRDefault="00A75E87">
      <w:pPr>
        <w:spacing w:line="360" w:lineRule="auto"/>
        <w:jc w:val="both"/>
        <w:rPr>
          <w:sz w:val="24"/>
          <w:szCs w:val="24"/>
        </w:rPr>
      </w:pPr>
      <w:r>
        <w:rPr>
          <w:sz w:val="24"/>
          <w:szCs w:val="24"/>
        </w:rPr>
        <w:t xml:space="preserve">Polly's act of severing the brake cables on Roxanne's moped constitutes criminal damage under the Criminal Damage Act 1971, Section 1(1). The </w:t>
      </w:r>
      <w:r w:rsidR="00967A31">
        <w:rPr>
          <w:sz w:val="24"/>
          <w:szCs w:val="24"/>
        </w:rPr>
        <w:t>action</w:t>
      </w:r>
      <w:r>
        <w:rPr>
          <w:sz w:val="24"/>
          <w:szCs w:val="24"/>
        </w:rPr>
        <w:t xml:space="preserve"> involves damaging property belonging to another, and the </w:t>
      </w:r>
      <w:r w:rsidR="00967A31">
        <w:rPr>
          <w:sz w:val="24"/>
          <w:szCs w:val="24"/>
        </w:rPr>
        <w:t>means</w:t>
      </w:r>
      <w:r>
        <w:rPr>
          <w:sz w:val="24"/>
          <w:szCs w:val="24"/>
        </w:rPr>
        <w:t xml:space="preserve"> requires either intent or recklessness. Because of the damage done, the property can no longer serve its intended purpose, which is a necessary element of the crime of criminal damage. Polly's purpose to damage Roxanne's property without lawful excuse or authority fits the men’s rea criterion for the crime of fundamental intent. In the case of ‘R v. Cunningham’ (1957), the court established that recklessness as to the consequence of one's actions is sufficient for criminal liability. Polly's intentional act of damaging Roxanne's moped would likely meet the criteria for criminal damage. According to </w:t>
      </w:r>
      <w:r>
        <w:rPr>
          <w:sz w:val="24"/>
          <w:szCs w:val="24"/>
        </w:rPr>
        <w:lastRenderedPageBreak/>
        <w:t>Section 1(1) of the Criminal Damage Act 1971, a person convicted of criminal damage may receive a fine, a community order, or imprisonment for a time not to exceed 10 years.</w:t>
      </w:r>
    </w:p>
    <w:p w14:paraId="00000008" w14:textId="77777777" w:rsidR="00E66A71" w:rsidRDefault="00A75E87">
      <w:pPr>
        <w:spacing w:line="360" w:lineRule="auto"/>
        <w:jc w:val="both"/>
        <w:rPr>
          <w:sz w:val="24"/>
          <w:szCs w:val="24"/>
        </w:rPr>
      </w:pPr>
      <w:r>
        <w:rPr>
          <w:sz w:val="24"/>
          <w:szCs w:val="24"/>
        </w:rPr>
        <w:t>In the case of R v. White [1970] 2 QB 138, the court held the defendant liable for criminal damage even if their actions were not the sole cause of the damage.</w:t>
      </w:r>
    </w:p>
    <w:p w14:paraId="00000009" w14:textId="77777777" w:rsidR="00E66A71" w:rsidRDefault="00E66A71">
      <w:pPr>
        <w:spacing w:line="360" w:lineRule="auto"/>
        <w:jc w:val="both"/>
        <w:rPr>
          <w:sz w:val="24"/>
          <w:szCs w:val="24"/>
        </w:rPr>
      </w:pPr>
    </w:p>
    <w:p w14:paraId="0000000A" w14:textId="77777777" w:rsidR="00E66A71" w:rsidRPr="00F21BDE" w:rsidRDefault="00A75E87">
      <w:pPr>
        <w:spacing w:line="360" w:lineRule="auto"/>
        <w:jc w:val="both"/>
        <w:rPr>
          <w:b/>
          <w:bCs/>
          <w:sz w:val="24"/>
          <w:szCs w:val="24"/>
        </w:rPr>
      </w:pPr>
      <w:r w:rsidRPr="00F21BDE">
        <w:rPr>
          <w:b/>
          <w:bCs/>
          <w:sz w:val="24"/>
          <w:szCs w:val="24"/>
        </w:rPr>
        <w:t>Assault and Public Order Offenses: Altercation at the Pub</w:t>
      </w:r>
    </w:p>
    <w:p w14:paraId="0000000B" w14:textId="1F86AB93" w:rsidR="00E66A71" w:rsidRDefault="00A75E87">
      <w:pPr>
        <w:spacing w:line="360" w:lineRule="auto"/>
        <w:jc w:val="both"/>
        <w:rPr>
          <w:sz w:val="24"/>
          <w:szCs w:val="24"/>
        </w:rPr>
      </w:pPr>
      <w:r>
        <w:rPr>
          <w:sz w:val="24"/>
          <w:szCs w:val="24"/>
        </w:rPr>
        <w:t xml:space="preserve">Polly's confrontation with Roxanne at the pub may give rise to offenses of assault and breaches of public order under the Public Order Act 1986 Sections 4 and 5. The </w:t>
      </w:r>
      <w:r w:rsidR="006B168E">
        <w:rPr>
          <w:sz w:val="24"/>
          <w:szCs w:val="24"/>
        </w:rPr>
        <w:t>acts</w:t>
      </w:r>
      <w:r>
        <w:rPr>
          <w:sz w:val="24"/>
          <w:szCs w:val="24"/>
        </w:rPr>
        <w:t xml:space="preserve"> </w:t>
      </w:r>
      <w:r w:rsidR="00057F72">
        <w:rPr>
          <w:sz w:val="24"/>
          <w:szCs w:val="24"/>
        </w:rPr>
        <w:t>requires</w:t>
      </w:r>
      <w:r>
        <w:rPr>
          <w:sz w:val="24"/>
          <w:szCs w:val="24"/>
        </w:rPr>
        <w:t xml:space="preserve"> for assault involves causing someone to fear immediate physical harm. In the case of ‘R v. </w:t>
      </w:r>
      <w:proofErr w:type="spellStart"/>
      <w:r>
        <w:rPr>
          <w:sz w:val="24"/>
          <w:szCs w:val="24"/>
        </w:rPr>
        <w:t>Constanza</w:t>
      </w:r>
      <w:proofErr w:type="spellEnd"/>
      <w:r>
        <w:rPr>
          <w:sz w:val="24"/>
          <w:szCs w:val="24"/>
        </w:rPr>
        <w:t xml:space="preserve">’ (1997), the court recognized that the use of offensive language and gestures could constitute an assault. Additionally, Polly's actions at the pub, including calling Roxanne a "bitch," may fall within the offenses of using threatening, abusive, or insulting words or behaviour with intent to cause harassment, alarm, or distress, as outlined in the Public Order Act 1986. In the case of ‘R v. Hatter’ (2013), the court ruled that an instantaneous purpose, rather than a conditional one, is required in order to constitute the intent to provoke fear of violence. In this particular instance, Polly's words and gestures were prompt, and Roxanne manifested an obvious fear of physical assault. As a summary offence, common assault carries a possible maximum sentence of six months in jail. </w:t>
      </w:r>
    </w:p>
    <w:p w14:paraId="0000000C" w14:textId="77777777" w:rsidR="00E66A71" w:rsidRDefault="00E66A71">
      <w:pPr>
        <w:spacing w:line="360" w:lineRule="auto"/>
        <w:jc w:val="both"/>
        <w:rPr>
          <w:sz w:val="24"/>
          <w:szCs w:val="24"/>
        </w:rPr>
      </w:pPr>
    </w:p>
    <w:p w14:paraId="0000000D" w14:textId="77777777" w:rsidR="00E66A71" w:rsidRPr="00136B2B" w:rsidRDefault="00A75E87">
      <w:pPr>
        <w:spacing w:line="360" w:lineRule="auto"/>
        <w:jc w:val="both"/>
        <w:rPr>
          <w:b/>
          <w:bCs/>
          <w:sz w:val="24"/>
          <w:szCs w:val="24"/>
        </w:rPr>
      </w:pPr>
      <w:r w:rsidRPr="00136B2B">
        <w:rPr>
          <w:b/>
          <w:bCs/>
          <w:sz w:val="24"/>
          <w:szCs w:val="24"/>
        </w:rPr>
        <w:t>Homicide: Fatal Assault on Mohammed</w:t>
      </w:r>
    </w:p>
    <w:p w14:paraId="0000000E" w14:textId="77777777" w:rsidR="00E66A71" w:rsidRDefault="00A75E87">
      <w:pPr>
        <w:spacing w:line="360" w:lineRule="auto"/>
        <w:jc w:val="both"/>
        <w:rPr>
          <w:sz w:val="24"/>
          <w:szCs w:val="24"/>
        </w:rPr>
      </w:pPr>
      <w:r>
        <w:rPr>
          <w:sz w:val="24"/>
          <w:szCs w:val="24"/>
        </w:rPr>
        <w:t xml:space="preserve">The fatal assault on Mohammed raises questions of whether Polly may face charges of manslaughter or murder. The Homicide Act 1957 and the Coroners and Justice Act 2009 are crucial statutes in this context. The </w:t>
      </w:r>
      <w:proofErr w:type="spellStart"/>
      <w:r>
        <w:rPr>
          <w:sz w:val="24"/>
          <w:szCs w:val="24"/>
        </w:rPr>
        <w:t>mens</w:t>
      </w:r>
      <w:proofErr w:type="spellEnd"/>
      <w:r>
        <w:rPr>
          <w:sz w:val="24"/>
          <w:szCs w:val="24"/>
        </w:rPr>
        <w:t xml:space="preserve"> rea for murder involves an intention to cause grievous bodily harm or death. If Polly lacked this intent but caused Mohammed's death, manslaughter could be considered. In the case of ‘R v. Cunningham’ (1957), the court clarified that recklessness as to causing some harm is sufficient for manslaughter. However, if Polly's actions were intentional, the offense could be elevated to murder.</w:t>
      </w:r>
    </w:p>
    <w:p w14:paraId="0000000F" w14:textId="77777777" w:rsidR="00E66A71" w:rsidRDefault="00E66A71">
      <w:pPr>
        <w:spacing w:line="360" w:lineRule="auto"/>
        <w:jc w:val="both"/>
        <w:rPr>
          <w:sz w:val="24"/>
          <w:szCs w:val="24"/>
        </w:rPr>
      </w:pPr>
    </w:p>
    <w:p w14:paraId="00000010" w14:textId="39D540A9" w:rsidR="00E66A71" w:rsidRPr="00136B2B" w:rsidRDefault="00F97C4D">
      <w:pPr>
        <w:spacing w:line="360" w:lineRule="auto"/>
        <w:jc w:val="both"/>
        <w:rPr>
          <w:b/>
          <w:bCs/>
          <w:sz w:val="24"/>
          <w:szCs w:val="24"/>
        </w:rPr>
      </w:pPr>
      <w:r w:rsidRPr="00136B2B">
        <w:rPr>
          <w:b/>
          <w:bCs/>
          <w:sz w:val="24"/>
          <w:szCs w:val="24"/>
        </w:rPr>
        <w:lastRenderedPageBreak/>
        <w:t>Defences</w:t>
      </w:r>
      <w:r w:rsidR="00A75E87" w:rsidRPr="00136B2B">
        <w:rPr>
          <w:b/>
          <w:bCs/>
          <w:sz w:val="24"/>
          <w:szCs w:val="24"/>
        </w:rPr>
        <w:t>: Diminished Responsibility</w:t>
      </w:r>
    </w:p>
    <w:p w14:paraId="00000011" w14:textId="41710CA8" w:rsidR="00E66A71" w:rsidRDefault="00A75E87">
      <w:pPr>
        <w:spacing w:line="360" w:lineRule="auto"/>
        <w:jc w:val="both"/>
        <w:rPr>
          <w:sz w:val="24"/>
          <w:szCs w:val="24"/>
        </w:rPr>
      </w:pPr>
      <w:r>
        <w:rPr>
          <w:sz w:val="24"/>
          <w:szCs w:val="24"/>
        </w:rPr>
        <w:t xml:space="preserve">Polly's schizophrenia may serve as a significant factor in her </w:t>
      </w:r>
      <w:r w:rsidR="006E251A">
        <w:rPr>
          <w:sz w:val="24"/>
          <w:szCs w:val="24"/>
        </w:rPr>
        <w:t>defence</w:t>
      </w:r>
      <w:r>
        <w:rPr>
          <w:sz w:val="24"/>
          <w:szCs w:val="24"/>
        </w:rPr>
        <w:t xml:space="preserve">. The </w:t>
      </w:r>
      <w:r w:rsidR="006E251A">
        <w:rPr>
          <w:sz w:val="24"/>
          <w:szCs w:val="24"/>
        </w:rPr>
        <w:t>defence</w:t>
      </w:r>
      <w:r>
        <w:rPr>
          <w:sz w:val="24"/>
          <w:szCs w:val="24"/>
        </w:rPr>
        <w:t xml:space="preserve"> of diminished responsibility, outlined in the Homicide Act 1957, allows for reduced culpability when a defendant's mental responsibility is substantially impaired. In the case of ‘R v. Byrne’ (1960), the court emphasized that diminished responsibility involves an abnormality of mental functioning that substantially impairs mental responsibility. Polly's schizophrenia, if established through expert testimony, may align with this precedent, potentially mitigating her culpability for the fatal assault.</w:t>
      </w:r>
    </w:p>
    <w:p w14:paraId="00000012" w14:textId="78C43A98" w:rsidR="00E66A71" w:rsidRPr="00136B2B" w:rsidRDefault="00F97C4D">
      <w:pPr>
        <w:spacing w:line="360" w:lineRule="auto"/>
        <w:jc w:val="both"/>
        <w:rPr>
          <w:b/>
          <w:bCs/>
          <w:sz w:val="24"/>
          <w:szCs w:val="24"/>
        </w:rPr>
      </w:pPr>
      <w:r w:rsidRPr="00136B2B">
        <w:rPr>
          <w:b/>
          <w:bCs/>
          <w:sz w:val="24"/>
          <w:szCs w:val="24"/>
        </w:rPr>
        <w:t>Defences</w:t>
      </w:r>
      <w:r w:rsidR="00A75E87" w:rsidRPr="00136B2B">
        <w:rPr>
          <w:b/>
          <w:bCs/>
          <w:sz w:val="24"/>
          <w:szCs w:val="24"/>
        </w:rPr>
        <w:t>: Insanity</w:t>
      </w:r>
    </w:p>
    <w:p w14:paraId="00000013" w14:textId="21B90D16" w:rsidR="00E66A71" w:rsidRDefault="00A75E87">
      <w:pPr>
        <w:spacing w:line="360" w:lineRule="auto"/>
        <w:jc w:val="both"/>
        <w:rPr>
          <w:sz w:val="24"/>
          <w:szCs w:val="24"/>
        </w:rPr>
      </w:pPr>
      <w:r>
        <w:rPr>
          <w:sz w:val="24"/>
          <w:szCs w:val="24"/>
        </w:rPr>
        <w:t xml:space="preserve">The insanity </w:t>
      </w:r>
      <w:r w:rsidR="00F97C4D">
        <w:rPr>
          <w:sz w:val="24"/>
          <w:szCs w:val="24"/>
        </w:rPr>
        <w:t>defence</w:t>
      </w:r>
      <w:r>
        <w:rPr>
          <w:sz w:val="24"/>
          <w:szCs w:val="24"/>
        </w:rPr>
        <w:t xml:space="preserve">, as established in ‘R v. </w:t>
      </w:r>
      <w:proofErr w:type="spellStart"/>
      <w:r>
        <w:rPr>
          <w:sz w:val="24"/>
          <w:szCs w:val="24"/>
        </w:rPr>
        <w:t>M'Naghten</w:t>
      </w:r>
      <w:proofErr w:type="spellEnd"/>
      <w:r>
        <w:rPr>
          <w:sz w:val="24"/>
          <w:szCs w:val="24"/>
        </w:rPr>
        <w:t xml:space="preserve">’ (1843), allows for an acquittal if the defendant was insane at the time of the offense. Polly's schizophrenia may provide grounds for an insanity </w:t>
      </w:r>
      <w:r w:rsidR="00967A31">
        <w:rPr>
          <w:sz w:val="24"/>
          <w:szCs w:val="24"/>
        </w:rPr>
        <w:t>defence</w:t>
      </w:r>
      <w:r>
        <w:rPr>
          <w:sz w:val="24"/>
          <w:szCs w:val="24"/>
        </w:rPr>
        <w:t xml:space="preserve">, emphasizing her lack of capacity to understand the nature and quality of her actions. To successfully invoke this </w:t>
      </w:r>
      <w:r w:rsidR="00967A31">
        <w:rPr>
          <w:sz w:val="24"/>
          <w:szCs w:val="24"/>
        </w:rPr>
        <w:t>defence</w:t>
      </w:r>
      <w:r>
        <w:rPr>
          <w:sz w:val="24"/>
          <w:szCs w:val="24"/>
        </w:rPr>
        <w:t>, Polly's legal team would need to demonstrate that her mental disorder substantially impaired her ability to appreciate the wrongfulness of her actions.</w:t>
      </w:r>
    </w:p>
    <w:p w14:paraId="00000014" w14:textId="4460AA3D" w:rsidR="00E66A71" w:rsidRPr="00136B2B" w:rsidRDefault="00B61A2E">
      <w:pPr>
        <w:spacing w:line="360" w:lineRule="auto"/>
        <w:jc w:val="both"/>
        <w:rPr>
          <w:b/>
          <w:bCs/>
          <w:sz w:val="24"/>
          <w:szCs w:val="24"/>
        </w:rPr>
      </w:pPr>
      <w:r w:rsidRPr="00136B2B">
        <w:rPr>
          <w:b/>
          <w:bCs/>
          <w:sz w:val="24"/>
          <w:szCs w:val="24"/>
        </w:rPr>
        <w:t>Defences</w:t>
      </w:r>
      <w:r w:rsidR="00A75E87" w:rsidRPr="00136B2B">
        <w:rPr>
          <w:b/>
          <w:bCs/>
          <w:sz w:val="24"/>
          <w:szCs w:val="24"/>
        </w:rPr>
        <w:t>: Provocation</w:t>
      </w:r>
    </w:p>
    <w:p w14:paraId="00000015" w14:textId="77777777" w:rsidR="00E66A71" w:rsidRDefault="00A75E87">
      <w:pPr>
        <w:spacing w:line="360" w:lineRule="auto"/>
        <w:jc w:val="both"/>
        <w:rPr>
          <w:sz w:val="24"/>
          <w:szCs w:val="24"/>
        </w:rPr>
      </w:pPr>
      <w:r>
        <w:rPr>
          <w:sz w:val="24"/>
          <w:szCs w:val="24"/>
        </w:rPr>
        <w:t>Mohammed's admission of an affair may be considered provocation, potentially mitigating Polly's culpability. In the case of ‘R v. Duffy’ (1949), the court emphasized that provocation must be of such a nature that it would cause a reasonable person to lose self-control. If Polly's actions were a direct result of the provocation, it could potentially reduce the offense from murder to manslaughter. However, the extent to which Polly's actions were a reasonable response to the provocation will be a crucial factor.</w:t>
      </w:r>
    </w:p>
    <w:p w14:paraId="00000016" w14:textId="35280143" w:rsidR="00E66A71" w:rsidRPr="005056DD" w:rsidRDefault="00B61A2E">
      <w:pPr>
        <w:spacing w:line="360" w:lineRule="auto"/>
        <w:jc w:val="both"/>
        <w:rPr>
          <w:b/>
          <w:bCs/>
          <w:sz w:val="24"/>
          <w:szCs w:val="24"/>
        </w:rPr>
      </w:pPr>
      <w:r w:rsidRPr="005056DD">
        <w:rPr>
          <w:b/>
          <w:bCs/>
          <w:sz w:val="24"/>
          <w:szCs w:val="24"/>
        </w:rPr>
        <w:t>Defences</w:t>
      </w:r>
      <w:r w:rsidR="00A75E87" w:rsidRPr="005056DD">
        <w:rPr>
          <w:b/>
          <w:bCs/>
          <w:sz w:val="24"/>
          <w:szCs w:val="24"/>
        </w:rPr>
        <w:t>: Self-</w:t>
      </w:r>
      <w:r w:rsidRPr="005056DD">
        <w:rPr>
          <w:b/>
          <w:bCs/>
          <w:sz w:val="24"/>
          <w:szCs w:val="24"/>
        </w:rPr>
        <w:t>Defence</w:t>
      </w:r>
    </w:p>
    <w:p w14:paraId="00000017" w14:textId="78E5586D" w:rsidR="00E66A71" w:rsidRDefault="00A75E87">
      <w:pPr>
        <w:spacing w:line="360" w:lineRule="auto"/>
        <w:jc w:val="both"/>
        <w:rPr>
          <w:sz w:val="24"/>
          <w:szCs w:val="24"/>
        </w:rPr>
      </w:pPr>
      <w:r>
        <w:rPr>
          <w:sz w:val="24"/>
          <w:szCs w:val="24"/>
        </w:rPr>
        <w:t xml:space="preserve">If Polly believed she faced an imminent threat, the concept of </w:t>
      </w:r>
      <w:r w:rsidR="00B61A2E">
        <w:rPr>
          <w:sz w:val="24"/>
          <w:szCs w:val="24"/>
        </w:rPr>
        <w:t>self-defence</w:t>
      </w:r>
      <w:r>
        <w:rPr>
          <w:sz w:val="24"/>
          <w:szCs w:val="24"/>
        </w:rPr>
        <w:t xml:space="preserve"> may arise. In the case of ‘R v. Bird’ (1985), the court emphasized that the use of force must be reasonable. Polly's perception of threat and the proportionality of her response will be critical in assessing the validity of a </w:t>
      </w:r>
      <w:r w:rsidR="00B61A2E">
        <w:rPr>
          <w:sz w:val="24"/>
          <w:szCs w:val="24"/>
        </w:rPr>
        <w:t>self-defence</w:t>
      </w:r>
      <w:r>
        <w:rPr>
          <w:sz w:val="24"/>
          <w:szCs w:val="24"/>
        </w:rPr>
        <w:t xml:space="preserve"> claim. However, given the circumstances described, establishing a credible claim of </w:t>
      </w:r>
      <w:r w:rsidR="00B61A2E">
        <w:rPr>
          <w:sz w:val="24"/>
          <w:szCs w:val="24"/>
        </w:rPr>
        <w:t>self-defence</w:t>
      </w:r>
      <w:r>
        <w:rPr>
          <w:sz w:val="24"/>
          <w:szCs w:val="24"/>
        </w:rPr>
        <w:t xml:space="preserve"> may be challenging.</w:t>
      </w:r>
    </w:p>
    <w:p w14:paraId="00000018" w14:textId="77777777" w:rsidR="00E66A71" w:rsidRDefault="00E66A71">
      <w:pPr>
        <w:spacing w:line="360" w:lineRule="auto"/>
        <w:jc w:val="both"/>
        <w:rPr>
          <w:sz w:val="24"/>
          <w:szCs w:val="24"/>
        </w:rPr>
      </w:pPr>
    </w:p>
    <w:p w14:paraId="00000019" w14:textId="77777777" w:rsidR="00E66A71" w:rsidRPr="005056DD" w:rsidRDefault="00A75E87">
      <w:pPr>
        <w:spacing w:line="360" w:lineRule="auto"/>
        <w:jc w:val="both"/>
        <w:rPr>
          <w:b/>
          <w:bCs/>
          <w:sz w:val="24"/>
          <w:szCs w:val="24"/>
        </w:rPr>
      </w:pPr>
      <w:r w:rsidRPr="005056DD">
        <w:rPr>
          <w:b/>
          <w:bCs/>
          <w:sz w:val="24"/>
          <w:szCs w:val="24"/>
        </w:rPr>
        <w:lastRenderedPageBreak/>
        <w:t>Sentencing Considerations</w:t>
      </w:r>
    </w:p>
    <w:p w14:paraId="0000001A" w14:textId="77777777" w:rsidR="00E66A71" w:rsidRDefault="00A75E87">
      <w:pPr>
        <w:spacing w:line="360" w:lineRule="auto"/>
        <w:jc w:val="both"/>
        <w:rPr>
          <w:sz w:val="24"/>
          <w:szCs w:val="24"/>
        </w:rPr>
      </w:pPr>
      <w:r>
        <w:rPr>
          <w:sz w:val="24"/>
          <w:szCs w:val="24"/>
        </w:rPr>
        <w:t>Potential sentences for each offense will depend on various factors, including aggravating and mitigating circumstances. Polly's mental health, established through expert testimony, may influence sentencing. In cases of criminal damage, assault, and homicide, the severity of the offenses will be taken into account during the sentencing process.</w:t>
      </w:r>
    </w:p>
    <w:p w14:paraId="0000001B" w14:textId="77777777" w:rsidR="00E66A71" w:rsidRDefault="00E66A71">
      <w:pPr>
        <w:spacing w:line="360" w:lineRule="auto"/>
        <w:jc w:val="both"/>
        <w:rPr>
          <w:sz w:val="24"/>
          <w:szCs w:val="24"/>
        </w:rPr>
      </w:pPr>
    </w:p>
    <w:p w14:paraId="0000001C" w14:textId="77777777" w:rsidR="00E66A71" w:rsidRPr="005056DD" w:rsidRDefault="00A75E87">
      <w:pPr>
        <w:spacing w:line="360" w:lineRule="auto"/>
        <w:jc w:val="both"/>
        <w:rPr>
          <w:b/>
          <w:bCs/>
          <w:sz w:val="24"/>
          <w:szCs w:val="24"/>
        </w:rPr>
      </w:pPr>
      <w:r w:rsidRPr="005056DD">
        <w:rPr>
          <w:b/>
          <w:bCs/>
          <w:sz w:val="24"/>
          <w:szCs w:val="24"/>
        </w:rPr>
        <w:t>Conclusion</w:t>
      </w:r>
    </w:p>
    <w:p w14:paraId="0000001D" w14:textId="623F1D44" w:rsidR="00E66A71" w:rsidRDefault="00A75E87">
      <w:pPr>
        <w:spacing w:line="360" w:lineRule="auto"/>
        <w:jc w:val="both"/>
        <w:rPr>
          <w:sz w:val="24"/>
          <w:szCs w:val="24"/>
        </w:rPr>
      </w:pPr>
      <w:r>
        <w:rPr>
          <w:sz w:val="24"/>
          <w:szCs w:val="24"/>
        </w:rPr>
        <w:t xml:space="preserve">In conclusion, the legal analysis of Polly and Mohammed's case involves a meticulous examination of criminal damage, assault, and homicide, considering potential </w:t>
      </w:r>
      <w:r w:rsidR="00B61A2E">
        <w:rPr>
          <w:sz w:val="24"/>
          <w:szCs w:val="24"/>
        </w:rPr>
        <w:t>defences</w:t>
      </w:r>
      <w:r>
        <w:rPr>
          <w:sz w:val="24"/>
          <w:szCs w:val="24"/>
        </w:rPr>
        <w:t xml:space="preserve"> and sentencing considerations. The interplay of Polly's schizophrenia and the various legal principles outlined in UK case law establishes a complex framework for determining legal culpability and appropriate remedies. The case underscores the importance of a thorough legal assessment, taking into account the nuances of each offense and potential </w:t>
      </w:r>
      <w:r w:rsidR="00B61A2E">
        <w:rPr>
          <w:sz w:val="24"/>
          <w:szCs w:val="24"/>
        </w:rPr>
        <w:t>defences</w:t>
      </w:r>
      <w:r>
        <w:rPr>
          <w:sz w:val="24"/>
          <w:szCs w:val="24"/>
        </w:rPr>
        <w:t>.</w:t>
      </w:r>
    </w:p>
    <w:p w14:paraId="0000001E" w14:textId="77777777" w:rsidR="00E66A71" w:rsidRDefault="00E66A71"/>
    <w:p w14:paraId="0000001F" w14:textId="77777777" w:rsidR="00E66A71" w:rsidRDefault="00E66A71"/>
    <w:p w14:paraId="00000020" w14:textId="77777777" w:rsidR="00E66A71" w:rsidRDefault="00E66A71"/>
    <w:p w14:paraId="00000021" w14:textId="77777777" w:rsidR="00E66A71" w:rsidRDefault="00E66A71"/>
    <w:p w14:paraId="00000022" w14:textId="77777777" w:rsidR="00E66A71" w:rsidRPr="0071613D" w:rsidRDefault="00A75E87">
      <w:pPr>
        <w:spacing w:line="360" w:lineRule="auto"/>
        <w:ind w:left="2880" w:firstLine="720"/>
        <w:rPr>
          <w:b/>
          <w:bCs/>
          <w:sz w:val="24"/>
          <w:szCs w:val="24"/>
        </w:rPr>
      </w:pPr>
      <w:r w:rsidRPr="0071613D">
        <w:rPr>
          <w:b/>
          <w:bCs/>
          <w:sz w:val="24"/>
          <w:szCs w:val="24"/>
        </w:rPr>
        <w:t>References</w:t>
      </w:r>
    </w:p>
    <w:p w14:paraId="00000023" w14:textId="77777777" w:rsidR="00E66A71" w:rsidRDefault="00E66A71">
      <w:pPr>
        <w:spacing w:line="360" w:lineRule="auto"/>
        <w:ind w:left="2880" w:firstLine="720"/>
        <w:rPr>
          <w:sz w:val="24"/>
          <w:szCs w:val="24"/>
        </w:rPr>
      </w:pPr>
    </w:p>
    <w:p w14:paraId="00000024" w14:textId="77777777" w:rsidR="00E66A71" w:rsidRDefault="00A75E87">
      <w:pPr>
        <w:spacing w:line="360" w:lineRule="auto"/>
        <w:rPr>
          <w:sz w:val="24"/>
          <w:szCs w:val="24"/>
        </w:rPr>
      </w:pPr>
      <w:r>
        <w:rPr>
          <w:i/>
          <w:sz w:val="24"/>
          <w:szCs w:val="24"/>
        </w:rPr>
        <w:t>Criminal Damage Act 1971</w:t>
      </w:r>
      <w:r>
        <w:rPr>
          <w:sz w:val="24"/>
          <w:szCs w:val="24"/>
        </w:rPr>
        <w:t xml:space="preserve">. [online] Available at: </w:t>
      </w:r>
      <w:hyperlink r:id="rId4" w:anchor=":~:text=(1)A%20person%20who%20without">
        <w:r>
          <w:rPr>
            <w:color w:val="0563C1"/>
            <w:sz w:val="24"/>
            <w:szCs w:val="24"/>
            <w:u w:val="single"/>
          </w:rPr>
          <w:t>https://www.legislation.gov.uk/ukpga/1971/48/section/1#:~:text=(1)A%20person%20who%20without</w:t>
        </w:r>
      </w:hyperlink>
      <w:r>
        <w:rPr>
          <w:sz w:val="24"/>
          <w:szCs w:val="24"/>
        </w:rPr>
        <w:t>. [Accessed 25 Nov 2023].</w:t>
      </w:r>
    </w:p>
    <w:p w14:paraId="00000025" w14:textId="77777777" w:rsidR="00E66A71" w:rsidRDefault="00A75E87">
      <w:pPr>
        <w:spacing w:line="360" w:lineRule="auto"/>
        <w:rPr>
          <w:sz w:val="24"/>
          <w:szCs w:val="24"/>
        </w:rPr>
      </w:pPr>
      <w:r>
        <w:rPr>
          <w:sz w:val="24"/>
          <w:szCs w:val="24"/>
        </w:rPr>
        <w:t xml:space="preserve">The </w:t>
      </w:r>
      <w:r>
        <w:rPr>
          <w:i/>
          <w:sz w:val="24"/>
          <w:szCs w:val="24"/>
        </w:rPr>
        <w:t xml:space="preserve">Coroners and Justice Act 2009. </w:t>
      </w:r>
      <w:r>
        <w:rPr>
          <w:sz w:val="24"/>
          <w:szCs w:val="24"/>
        </w:rPr>
        <w:t xml:space="preserve">[online] Available at: </w:t>
      </w:r>
      <w:hyperlink r:id="rId5">
        <w:r>
          <w:rPr>
            <w:color w:val="0563C1"/>
            <w:sz w:val="24"/>
            <w:szCs w:val="24"/>
            <w:u w:val="single"/>
          </w:rPr>
          <w:t>https://www.legislation.gov.uk/ukpga/2009/25/part/2</w:t>
        </w:r>
      </w:hyperlink>
      <w:r>
        <w:rPr>
          <w:sz w:val="24"/>
          <w:szCs w:val="24"/>
        </w:rPr>
        <w:t xml:space="preserve">. [Accessed 25 Nov 2023]. </w:t>
      </w:r>
    </w:p>
    <w:p w14:paraId="00000026" w14:textId="77777777" w:rsidR="00E66A71" w:rsidRDefault="00A75E87">
      <w:pPr>
        <w:pBdr>
          <w:top w:val="nil"/>
          <w:left w:val="nil"/>
          <w:bottom w:val="nil"/>
          <w:right w:val="nil"/>
          <w:between w:val="nil"/>
        </w:pBdr>
        <w:spacing w:after="240" w:line="360" w:lineRule="auto"/>
        <w:rPr>
          <w:color w:val="000000"/>
          <w:sz w:val="24"/>
          <w:szCs w:val="24"/>
        </w:rPr>
      </w:pPr>
      <w:r>
        <w:rPr>
          <w:i/>
          <w:color w:val="000000"/>
          <w:sz w:val="24"/>
          <w:szCs w:val="24"/>
        </w:rPr>
        <w:t>Homicide Act 1957</w:t>
      </w:r>
      <w:r>
        <w:rPr>
          <w:color w:val="000000"/>
          <w:sz w:val="24"/>
          <w:szCs w:val="24"/>
        </w:rPr>
        <w:t xml:space="preserve">. [online] Available at: </w:t>
      </w:r>
      <w:hyperlink r:id="rId6">
        <w:r>
          <w:rPr>
            <w:color w:val="0563C1"/>
            <w:sz w:val="24"/>
            <w:szCs w:val="24"/>
            <w:u w:val="single"/>
          </w:rPr>
          <w:t>https://www.legislation.gov.uk/ukpga/Eliz2/5-6/11/section/1</w:t>
        </w:r>
      </w:hyperlink>
      <w:r>
        <w:rPr>
          <w:color w:val="000000"/>
          <w:sz w:val="24"/>
          <w:szCs w:val="24"/>
        </w:rPr>
        <w:t>. [Accessed 25 Nov 2023].</w:t>
      </w:r>
    </w:p>
    <w:p w14:paraId="00000027" w14:textId="77777777" w:rsidR="00E66A71" w:rsidRDefault="00A75E87">
      <w:pPr>
        <w:spacing w:line="360" w:lineRule="auto"/>
        <w:rPr>
          <w:sz w:val="24"/>
          <w:szCs w:val="24"/>
        </w:rPr>
      </w:pPr>
      <w:r>
        <w:rPr>
          <w:sz w:val="24"/>
          <w:szCs w:val="24"/>
        </w:rPr>
        <w:t xml:space="preserve">The </w:t>
      </w:r>
      <w:r>
        <w:rPr>
          <w:i/>
          <w:sz w:val="24"/>
          <w:szCs w:val="24"/>
        </w:rPr>
        <w:t xml:space="preserve">Public Order Act 1986. </w:t>
      </w:r>
      <w:r>
        <w:rPr>
          <w:sz w:val="24"/>
          <w:szCs w:val="24"/>
        </w:rPr>
        <w:t xml:space="preserve">[online] Available at: </w:t>
      </w:r>
      <w:hyperlink r:id="rId7">
        <w:r>
          <w:rPr>
            <w:color w:val="0563C1"/>
            <w:sz w:val="24"/>
            <w:szCs w:val="24"/>
            <w:u w:val="single"/>
          </w:rPr>
          <w:t>https://www.legislation.gov.uk/ukpga/1986/64/section/4</w:t>
        </w:r>
      </w:hyperlink>
      <w:r>
        <w:rPr>
          <w:sz w:val="24"/>
          <w:szCs w:val="24"/>
        </w:rPr>
        <w:t xml:space="preserve">. [Accessed </w:t>
      </w:r>
      <w:r>
        <w:t>25</w:t>
      </w:r>
      <w:r>
        <w:rPr>
          <w:sz w:val="24"/>
          <w:szCs w:val="24"/>
        </w:rPr>
        <w:t xml:space="preserve"> </w:t>
      </w:r>
      <w:r>
        <w:t>Nov</w:t>
      </w:r>
      <w:r>
        <w:rPr>
          <w:sz w:val="24"/>
          <w:szCs w:val="24"/>
        </w:rPr>
        <w:t xml:space="preserve"> 2023].</w:t>
      </w:r>
    </w:p>
    <w:p w14:paraId="00000028" w14:textId="77777777" w:rsidR="00E66A71" w:rsidRDefault="00A75E87">
      <w:pPr>
        <w:spacing w:line="360" w:lineRule="auto"/>
        <w:rPr>
          <w:sz w:val="24"/>
          <w:szCs w:val="24"/>
        </w:rPr>
      </w:pPr>
      <w:r>
        <w:rPr>
          <w:sz w:val="24"/>
          <w:szCs w:val="24"/>
        </w:rPr>
        <w:lastRenderedPageBreak/>
        <w:t xml:space="preserve">‘R v. Bird’ (1985) 1 WLR 816. [online] Available at: </w:t>
      </w:r>
      <w:hyperlink r:id="rId8">
        <w:r>
          <w:rPr>
            <w:color w:val="0563C1"/>
            <w:sz w:val="24"/>
            <w:szCs w:val="24"/>
            <w:u w:val="single"/>
          </w:rPr>
          <w:t>https://journals.sagepub.com/doi/abs/10.1177/002201838504900402?journalCode=clja</w:t>
        </w:r>
      </w:hyperlink>
      <w:r>
        <w:rPr>
          <w:sz w:val="24"/>
          <w:szCs w:val="24"/>
        </w:rPr>
        <w:t xml:space="preserve">. [Accessed </w:t>
      </w:r>
      <w:r>
        <w:t>25</w:t>
      </w:r>
      <w:r>
        <w:rPr>
          <w:sz w:val="24"/>
          <w:szCs w:val="24"/>
        </w:rPr>
        <w:t xml:space="preserve"> </w:t>
      </w:r>
      <w:r>
        <w:t>Nov</w:t>
      </w:r>
      <w:r>
        <w:rPr>
          <w:sz w:val="24"/>
          <w:szCs w:val="24"/>
        </w:rPr>
        <w:t xml:space="preserve"> 2023].</w:t>
      </w:r>
    </w:p>
    <w:p w14:paraId="00000029" w14:textId="77777777" w:rsidR="00E66A71" w:rsidRDefault="00A75E87">
      <w:pPr>
        <w:spacing w:line="360" w:lineRule="auto"/>
        <w:rPr>
          <w:sz w:val="24"/>
          <w:szCs w:val="24"/>
        </w:rPr>
      </w:pPr>
      <w:r>
        <w:rPr>
          <w:sz w:val="24"/>
          <w:szCs w:val="24"/>
        </w:rPr>
        <w:t xml:space="preserve">'R v. Byrne' (1960) 2 QB 396. [online] Available at: </w:t>
      </w:r>
      <w:hyperlink r:id="rId9">
        <w:r>
          <w:rPr>
            <w:color w:val="0563C1"/>
            <w:sz w:val="24"/>
            <w:szCs w:val="24"/>
            <w:u w:val="single"/>
          </w:rPr>
          <w:t>https://simplestudying.com/r-v-byrne-patrick-joseph-1960-2-qb-396/</w:t>
        </w:r>
      </w:hyperlink>
      <w:r>
        <w:rPr>
          <w:sz w:val="24"/>
          <w:szCs w:val="24"/>
        </w:rPr>
        <w:t xml:space="preserve"> [Accessed 26 Nov 2023].</w:t>
      </w:r>
    </w:p>
    <w:p w14:paraId="0000002A" w14:textId="77777777" w:rsidR="00E66A71" w:rsidRDefault="00A75E87">
      <w:pPr>
        <w:spacing w:line="360" w:lineRule="auto"/>
        <w:rPr>
          <w:sz w:val="24"/>
          <w:szCs w:val="24"/>
        </w:rPr>
      </w:pPr>
      <w:r>
        <w:rPr>
          <w:sz w:val="24"/>
          <w:szCs w:val="24"/>
        </w:rPr>
        <w:t xml:space="preserve">‘R v. </w:t>
      </w:r>
      <w:proofErr w:type="spellStart"/>
      <w:r>
        <w:rPr>
          <w:sz w:val="24"/>
          <w:szCs w:val="24"/>
        </w:rPr>
        <w:t>Constanza</w:t>
      </w:r>
      <w:proofErr w:type="spellEnd"/>
      <w:r>
        <w:rPr>
          <w:sz w:val="24"/>
          <w:szCs w:val="24"/>
        </w:rPr>
        <w:t xml:space="preserve">’ (1997) 2 Cr App R 492. [online] Available at: </w:t>
      </w:r>
      <w:hyperlink r:id="rId10">
        <w:r>
          <w:rPr>
            <w:color w:val="0563C1"/>
            <w:sz w:val="24"/>
            <w:szCs w:val="24"/>
            <w:u w:val="single"/>
          </w:rPr>
          <w:t>https://www.lawteacher.net/cases/r-v-constanza.php</w:t>
        </w:r>
      </w:hyperlink>
      <w:r>
        <w:rPr>
          <w:sz w:val="24"/>
          <w:szCs w:val="24"/>
        </w:rPr>
        <w:t xml:space="preserve">. [Accessed </w:t>
      </w:r>
      <w:r>
        <w:t>25</w:t>
      </w:r>
      <w:r>
        <w:rPr>
          <w:sz w:val="24"/>
          <w:szCs w:val="24"/>
        </w:rPr>
        <w:t xml:space="preserve"> </w:t>
      </w:r>
      <w:r>
        <w:t>Nov</w:t>
      </w:r>
      <w:r>
        <w:rPr>
          <w:sz w:val="24"/>
          <w:szCs w:val="24"/>
        </w:rPr>
        <w:t xml:space="preserve"> 2023].</w:t>
      </w:r>
    </w:p>
    <w:p w14:paraId="0000002B" w14:textId="77777777" w:rsidR="00E66A71" w:rsidRDefault="00A75E87">
      <w:pPr>
        <w:spacing w:line="360" w:lineRule="auto"/>
        <w:rPr>
          <w:sz w:val="24"/>
          <w:szCs w:val="24"/>
        </w:rPr>
      </w:pPr>
      <w:r>
        <w:rPr>
          <w:sz w:val="24"/>
          <w:szCs w:val="24"/>
        </w:rPr>
        <w:t xml:space="preserve">‘R v. Cunningham’ (1957) 2 QB 396. [online] Available at: </w:t>
      </w:r>
      <w:hyperlink r:id="rId11">
        <w:r>
          <w:rPr>
            <w:color w:val="0563C1"/>
            <w:sz w:val="24"/>
            <w:szCs w:val="24"/>
            <w:u w:val="single"/>
          </w:rPr>
          <w:t>https://www1.law.umkc.edu/suni/crimLaw/calendar/Class_19_2001_Cunningham.htm</w:t>
        </w:r>
      </w:hyperlink>
      <w:r>
        <w:rPr>
          <w:sz w:val="24"/>
          <w:szCs w:val="24"/>
        </w:rPr>
        <w:t xml:space="preserve">. [Accessed </w:t>
      </w:r>
      <w:r>
        <w:t>26</w:t>
      </w:r>
      <w:r>
        <w:rPr>
          <w:sz w:val="24"/>
          <w:szCs w:val="24"/>
        </w:rPr>
        <w:t xml:space="preserve"> </w:t>
      </w:r>
      <w:r>
        <w:t>Nov</w:t>
      </w:r>
      <w:r>
        <w:rPr>
          <w:sz w:val="24"/>
          <w:szCs w:val="24"/>
        </w:rPr>
        <w:t xml:space="preserve"> 2023]. </w:t>
      </w:r>
    </w:p>
    <w:p w14:paraId="0000002C" w14:textId="77777777" w:rsidR="00E66A71" w:rsidRDefault="00A75E87">
      <w:pPr>
        <w:spacing w:line="360" w:lineRule="auto"/>
        <w:rPr>
          <w:sz w:val="24"/>
          <w:szCs w:val="24"/>
        </w:rPr>
      </w:pPr>
      <w:r>
        <w:rPr>
          <w:sz w:val="24"/>
          <w:szCs w:val="24"/>
        </w:rPr>
        <w:t xml:space="preserve">‘R v. Duffy’ (1949) 1 All ER 932. [online] Available at: </w:t>
      </w:r>
      <w:hyperlink r:id="rId12">
        <w:r>
          <w:rPr>
            <w:color w:val="0563C1"/>
            <w:sz w:val="24"/>
            <w:szCs w:val="24"/>
            <w:u w:val="single"/>
          </w:rPr>
          <w:t>https://www.lawteacher.net/free-law-essays/criminal-law/development-of-the-law.php</w:t>
        </w:r>
      </w:hyperlink>
      <w:r>
        <w:rPr>
          <w:sz w:val="24"/>
          <w:szCs w:val="24"/>
        </w:rPr>
        <w:t xml:space="preserve">. [Accessed </w:t>
      </w:r>
      <w:r>
        <w:t>26</w:t>
      </w:r>
      <w:r>
        <w:rPr>
          <w:sz w:val="24"/>
          <w:szCs w:val="24"/>
        </w:rPr>
        <w:t xml:space="preserve"> </w:t>
      </w:r>
      <w:r>
        <w:t>Nov</w:t>
      </w:r>
      <w:r>
        <w:rPr>
          <w:sz w:val="24"/>
          <w:szCs w:val="24"/>
        </w:rPr>
        <w:t xml:space="preserve"> 2023]. </w:t>
      </w:r>
    </w:p>
    <w:p w14:paraId="0000002D" w14:textId="77777777" w:rsidR="00E66A71" w:rsidRDefault="00A75E87">
      <w:pPr>
        <w:spacing w:line="360" w:lineRule="auto"/>
      </w:pPr>
      <w:r>
        <w:rPr>
          <w:sz w:val="24"/>
          <w:szCs w:val="24"/>
        </w:rPr>
        <w:t xml:space="preserve">‘R v. </w:t>
      </w:r>
      <w:proofErr w:type="spellStart"/>
      <w:r>
        <w:rPr>
          <w:sz w:val="24"/>
          <w:szCs w:val="24"/>
        </w:rPr>
        <w:t>M'Naghten</w:t>
      </w:r>
      <w:proofErr w:type="spellEnd"/>
      <w:r>
        <w:rPr>
          <w:sz w:val="24"/>
          <w:szCs w:val="24"/>
        </w:rPr>
        <w:t xml:space="preserve">’ (1843) 8 ER 718. [online] Available at: </w:t>
      </w:r>
      <w:hyperlink r:id="rId13">
        <w:r>
          <w:rPr>
            <w:color w:val="0563C1"/>
            <w:sz w:val="24"/>
            <w:szCs w:val="24"/>
            <w:u w:val="single"/>
          </w:rPr>
          <w:t>https://www.lawteacher.net/cases/r-v-m-naghten.php</w:t>
        </w:r>
      </w:hyperlink>
      <w:r>
        <w:rPr>
          <w:sz w:val="24"/>
          <w:szCs w:val="24"/>
        </w:rPr>
        <w:t xml:space="preserve">. [Accessed </w:t>
      </w:r>
      <w:r>
        <w:t>26</w:t>
      </w:r>
      <w:r>
        <w:rPr>
          <w:sz w:val="24"/>
          <w:szCs w:val="24"/>
        </w:rPr>
        <w:t xml:space="preserve"> </w:t>
      </w:r>
      <w:r>
        <w:t>Nov</w:t>
      </w:r>
      <w:r>
        <w:rPr>
          <w:sz w:val="24"/>
          <w:szCs w:val="24"/>
        </w:rPr>
        <w:t xml:space="preserve"> 2023].</w:t>
      </w:r>
    </w:p>
    <w:sectPr w:rsidR="00E66A7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A71"/>
    <w:rsid w:val="00057F72"/>
    <w:rsid w:val="00136B2B"/>
    <w:rsid w:val="005056DD"/>
    <w:rsid w:val="006B168E"/>
    <w:rsid w:val="006E251A"/>
    <w:rsid w:val="0071613D"/>
    <w:rsid w:val="00967A31"/>
    <w:rsid w:val="00A00491"/>
    <w:rsid w:val="00A75E87"/>
    <w:rsid w:val="00B61A2E"/>
    <w:rsid w:val="00E66A71"/>
    <w:rsid w:val="00F21BDE"/>
    <w:rsid w:val="00F97C4D"/>
    <w:rsid w:val="00FB0A1C"/>
    <w:rsid w:val="00FF1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4C97E7"/>
  <w15:docId w15:val="{089406E3-AF46-864D-B325-22288F508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2201838504900402?journalCode=clja" TargetMode="External" /><Relationship Id="rId13" Type="http://schemas.openxmlformats.org/officeDocument/2006/relationships/hyperlink" Target="https://www.lawteacher.net/cases/r-v-m-naghten.php" TargetMode="External" /><Relationship Id="rId3" Type="http://schemas.openxmlformats.org/officeDocument/2006/relationships/webSettings" Target="webSettings.xml" /><Relationship Id="rId7" Type="http://schemas.openxmlformats.org/officeDocument/2006/relationships/hyperlink" Target="https://www.legislation.gov.uk/ukpga/1986/64/section/4" TargetMode="External" /><Relationship Id="rId12" Type="http://schemas.openxmlformats.org/officeDocument/2006/relationships/hyperlink" Target="https://www.lawteacher.net/free-law-essays/criminal-law/development-of-the-law.php"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legislation.gov.uk/ukpga/Eliz2/5-6/11/section/1" TargetMode="External" /><Relationship Id="rId11" Type="http://schemas.openxmlformats.org/officeDocument/2006/relationships/hyperlink" Target="https://www1.law.umkc.edu/suni/crimLaw/calendar/Class_19_2001_Cunningham.htm" TargetMode="External" /><Relationship Id="rId5" Type="http://schemas.openxmlformats.org/officeDocument/2006/relationships/hyperlink" Target="https://www.legislation.gov.uk/ukpga/2009/25/part/2" TargetMode="External" /><Relationship Id="rId15" Type="http://schemas.openxmlformats.org/officeDocument/2006/relationships/theme" Target="theme/theme1.xml" /><Relationship Id="rId10" Type="http://schemas.openxmlformats.org/officeDocument/2006/relationships/hyperlink" Target="https://www.lawteacher.net/cases/r-v-constanza.php" TargetMode="External" /><Relationship Id="rId4" Type="http://schemas.openxmlformats.org/officeDocument/2006/relationships/hyperlink" Target="https://www.legislation.gov.uk/ukpga/1971/48/section/1" TargetMode="External" /><Relationship Id="rId9" Type="http://schemas.openxmlformats.org/officeDocument/2006/relationships/hyperlink" Target="https://simplestudying.com/r-v-byrne-patrick-joseph-1960-2-qb-396/"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1474</Words>
  <Characters>8403</Characters>
  <Application>Microsoft Office Word</Application>
  <DocSecurity>0</DocSecurity>
  <Lines>70</Lines>
  <Paragraphs>19</Paragraphs>
  <ScaleCrop>false</ScaleCrop>
  <Company/>
  <LinksUpToDate>false</LinksUpToDate>
  <CharactersWithSpaces>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Hafizul Hasan</cp:lastModifiedBy>
  <cp:revision>2</cp:revision>
  <dcterms:created xsi:type="dcterms:W3CDTF">2023-11-28T22:11:00Z</dcterms:created>
  <dcterms:modified xsi:type="dcterms:W3CDTF">2023-11-28T22:11:00Z</dcterms:modified>
</cp:coreProperties>
</file>