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185F2B" w14:textId="7F44D458" w:rsidR="00D43B50" w:rsidRDefault="00D43B50" w:rsidP="00D43B50">
      <w:pPr>
        <w:spacing w:line="360" w:lineRule="auto"/>
        <w:jc w:val="center"/>
        <w:rPr>
          <w:u w:val="single"/>
        </w:rPr>
      </w:pPr>
      <w:r>
        <w:rPr>
          <w:u w:val="single"/>
        </w:rPr>
        <w:t>A critical discussion of the ethical considerations needed to carry out an in-depth qualitative study on the psychosocial impact of receiving a diagnosis of dementia in a loved one</w:t>
      </w:r>
    </w:p>
    <w:p w14:paraId="0E933154" w14:textId="3FD812A5" w:rsidR="00D43B50" w:rsidRDefault="00D43B50" w:rsidP="00D43B50">
      <w:pPr>
        <w:spacing w:line="360" w:lineRule="auto"/>
        <w:jc w:val="center"/>
        <w:rPr>
          <w:u w:val="single"/>
        </w:rPr>
      </w:pPr>
    </w:p>
    <w:p w14:paraId="5F502772" w14:textId="036BF2CE" w:rsidR="00D43B50" w:rsidRDefault="00D43B50" w:rsidP="00D43B50">
      <w:pPr>
        <w:spacing w:line="360" w:lineRule="auto"/>
      </w:pPr>
      <w:r>
        <w:rPr>
          <w:u w:val="single"/>
        </w:rPr>
        <w:t xml:space="preserve"> </w:t>
      </w:r>
    </w:p>
    <w:p w14:paraId="25878E69" w14:textId="1F15232E" w:rsidR="00665B3A" w:rsidRPr="00C30F88" w:rsidRDefault="00D43B50" w:rsidP="00AE26B7">
      <w:pPr>
        <w:spacing w:line="360" w:lineRule="auto"/>
        <w:jc w:val="both"/>
      </w:pPr>
      <w:r>
        <w:t xml:space="preserve">       An ethically challenging, yet fundamental aspect of psychology is research on human participants.</w:t>
      </w:r>
      <w:r w:rsidR="005D129E">
        <w:t xml:space="preserve"> </w:t>
      </w:r>
      <w:r w:rsidR="00A97768">
        <w:t>Psychological</w:t>
      </w:r>
      <w:r w:rsidR="005D129E">
        <w:t xml:space="preserve"> research requires attaining approval from appropriate ethical committees and meeting the ethical standards set out by those committees (Braken-Roche et al., 2017). Within the United Kingdom, psychologists are </w:t>
      </w:r>
      <w:r w:rsidR="00502C0B">
        <w:t xml:space="preserve">expected to follow a number of </w:t>
      </w:r>
      <w:r w:rsidR="00A97768">
        <w:t>ethically moral</w:t>
      </w:r>
      <w:r w:rsidR="00502C0B">
        <w:t xml:space="preserve"> principles set out by the British Psychological Society. These aim to provide research guidance through all stages of research, regardless of topic or methodology</w:t>
      </w:r>
      <w:r w:rsidR="004D5ADA">
        <w:t>; determining both the benefits and/or risks</w:t>
      </w:r>
      <w:r w:rsidR="002313DE">
        <w:t xml:space="preserve"> of the research with fair participant recruitment and that informed consent has been sought voluntarily</w:t>
      </w:r>
      <w:r w:rsidR="002313DE" w:rsidRPr="00C363F7">
        <w:rPr>
          <w:color w:val="000000" w:themeColor="text1"/>
        </w:rPr>
        <w:t xml:space="preserve"> </w:t>
      </w:r>
      <w:r w:rsidR="00502C0B" w:rsidRPr="00C363F7">
        <w:rPr>
          <w:color w:val="000000" w:themeColor="text1"/>
        </w:rPr>
        <w:t>(</w:t>
      </w:r>
      <w:r w:rsidR="00C363F7" w:rsidRPr="00C363F7">
        <w:rPr>
          <w:color w:val="000000" w:themeColor="text1"/>
        </w:rPr>
        <w:t xml:space="preserve">Coleman, 2009; </w:t>
      </w:r>
      <w:r w:rsidR="00502C0B" w:rsidRPr="00C30F88">
        <w:t xml:space="preserve">British Psychological Society, </w:t>
      </w:r>
      <w:r w:rsidR="00C30F88" w:rsidRPr="00C30F88">
        <w:t>2014</w:t>
      </w:r>
      <w:r w:rsidR="002313DE" w:rsidRPr="00C30F88">
        <w:t>)</w:t>
      </w:r>
      <w:r w:rsidR="00502C0B" w:rsidRPr="00C30F88">
        <w:t>.</w:t>
      </w:r>
      <w:r w:rsidR="00D27B6C" w:rsidRPr="00C30F88">
        <w:t xml:space="preserve"> </w:t>
      </w:r>
    </w:p>
    <w:p w14:paraId="60CC2A77" w14:textId="7E454A48" w:rsidR="004B4FC3" w:rsidRDefault="00665B3A" w:rsidP="00AE26B7">
      <w:pPr>
        <w:spacing w:line="360" w:lineRule="auto"/>
        <w:jc w:val="both"/>
      </w:pPr>
      <w:r>
        <w:t xml:space="preserve">      </w:t>
      </w:r>
      <w:r w:rsidR="00857731">
        <w:t xml:space="preserve">Vulnerability in research refers to the suggestion that participants who are unable to provide a voluntary and informed consent may be liable to more harm (Nickel, 2006; Hurst, 2008). </w:t>
      </w:r>
      <w:r w:rsidR="002313DE">
        <w:t>Historically, there have been a number of guidelines and policies provid</w:t>
      </w:r>
      <w:r w:rsidR="00F90160">
        <w:t>ing the</w:t>
      </w:r>
      <w:r w:rsidR="002313DE">
        <w:t xml:space="preserve"> </w:t>
      </w:r>
      <w:r w:rsidR="00F90160">
        <w:t>scope for research to be carried out within a vulnerable population (Eriksson et al., 2008</w:t>
      </w:r>
      <w:r w:rsidR="00C363F7">
        <w:t xml:space="preserve">; </w:t>
      </w:r>
      <w:r>
        <w:t xml:space="preserve">ten </w:t>
      </w:r>
      <w:r w:rsidR="00C363F7">
        <w:t>Have, 2015</w:t>
      </w:r>
      <w:r w:rsidR="00F90160">
        <w:t>).</w:t>
      </w:r>
      <w:r w:rsidR="0021454F">
        <w:t xml:space="preserve"> </w:t>
      </w:r>
      <w:r w:rsidR="00AE26B7">
        <w:t xml:space="preserve">Although there is a more widespread agreement that participants in research </w:t>
      </w:r>
      <w:r w:rsidR="00DA54E7">
        <w:t>are perhaps</w:t>
      </w:r>
      <w:r w:rsidR="00AE26B7">
        <w:t xml:space="preserve"> vulnerable</w:t>
      </w:r>
      <w:r w:rsidR="00857731">
        <w:t xml:space="preserve"> and be </w:t>
      </w:r>
      <w:r w:rsidR="00AE26B7">
        <w:t>needing more protection; the idea of vulnerability can be vague (</w:t>
      </w:r>
      <w:r w:rsidR="00EA32BB">
        <w:t>Schr</w:t>
      </w:r>
      <w:r w:rsidR="006A5B7C">
        <w:t>o</w:t>
      </w:r>
      <w:r w:rsidR="00EA32BB">
        <w:t>eder &amp; Gefenas, 2009; Braken-Roche et al., 2017).</w:t>
      </w:r>
      <w:r>
        <w:t xml:space="preserve"> </w:t>
      </w:r>
      <w:r w:rsidR="006E3FD7">
        <w:t>A good me</w:t>
      </w:r>
      <w:r w:rsidR="00857731">
        <w:t xml:space="preserve">ans of </w:t>
      </w:r>
      <w:r w:rsidR="006E3FD7">
        <w:t>collecting data within a vulnerable population</w:t>
      </w:r>
      <w:r w:rsidR="00DA54E7">
        <w:t>, for example a dementia population,</w:t>
      </w:r>
      <w:r w:rsidR="006E3FD7">
        <w:t xml:space="preserve"> is</w:t>
      </w:r>
      <w:r w:rsidR="00857731">
        <w:t xml:space="preserve"> through </w:t>
      </w:r>
      <w:r w:rsidR="006E3FD7">
        <w:t>qualitative</w:t>
      </w:r>
      <w:r w:rsidR="00857731">
        <w:t xml:space="preserve"> approaches</w:t>
      </w:r>
      <w:r w:rsidR="006E3FD7">
        <w:t>. Carrying</w:t>
      </w:r>
      <w:r w:rsidR="004B4FC3">
        <w:t xml:space="preserve"> out</w:t>
      </w:r>
      <w:r w:rsidR="006E3FD7">
        <w:t xml:space="preserve"> research qualitatively </w:t>
      </w:r>
      <w:r w:rsidR="004B4FC3">
        <w:t>requires participants to describe their thoughts, feelings and experiences</w:t>
      </w:r>
      <w:r w:rsidR="00857731">
        <w:t xml:space="preserve">, while offering researchers the scope to carry out deep and </w:t>
      </w:r>
      <w:r>
        <w:t>thorough</w:t>
      </w:r>
      <w:r w:rsidR="00857731">
        <w:t xml:space="preserve"> overviews of experiences through the collection of this descriptive data</w:t>
      </w:r>
      <w:r w:rsidR="004B4FC3">
        <w:t xml:space="preserve"> (</w:t>
      </w:r>
      <w:r w:rsidR="00AE1B5B">
        <w:t>Stannard, 2012</w:t>
      </w:r>
      <w:r w:rsidR="00857731">
        <w:t xml:space="preserve">; </w:t>
      </w:r>
      <w:r w:rsidR="004B4FC3" w:rsidRPr="00E52614">
        <w:t>Abedsaeidi &amp; Amiraliakbari, 2015</w:t>
      </w:r>
      <w:r w:rsidR="004B4FC3">
        <w:t xml:space="preserve">; </w:t>
      </w:r>
      <w:r>
        <w:t>Ghaljiaie</w:t>
      </w:r>
      <w:r w:rsidR="004B4FC3">
        <w:t xml:space="preserve"> et al., 2017). </w:t>
      </w:r>
    </w:p>
    <w:p w14:paraId="351CE9B1" w14:textId="34A7A688" w:rsidR="005B7F80" w:rsidRDefault="00C80473" w:rsidP="00AE26B7">
      <w:pPr>
        <w:spacing w:line="360" w:lineRule="auto"/>
        <w:jc w:val="both"/>
      </w:pPr>
      <w:r>
        <w:t xml:space="preserve">      Through the decades there has been a dramatic increase in dementia prevalence, but the lack of effective treatment methods and research into social inclusion, quality of life and care has meant that a public health priority has been identified (Peeters et al., 2010; World Health Organisation, 2012: Black et al., 2013; Whitlatch &amp; Orsulic-Jeras, 2018). </w:t>
      </w:r>
      <w:r w:rsidR="006D40CA">
        <w:t>As qualitative research which involves individuals diagnosed with dementia expands; there has been a change in the methods and techniques used for engagement, from interviews and observations to those that are more widely used (Wiersma, 2011; Bartlett, 2012; Tanner, 2012; Novek &amp; Wilkinson, 201</w:t>
      </w:r>
      <w:r w:rsidR="008A72DA">
        <w:t>9</w:t>
      </w:r>
      <w:r w:rsidR="006D40CA">
        <w:t xml:space="preserve">). </w:t>
      </w:r>
      <w:r w:rsidR="00135EF9">
        <w:t xml:space="preserve">These changes provide convincing confirmation that individuals with dementia can </w:t>
      </w:r>
      <w:r w:rsidR="00135EF9">
        <w:lastRenderedPageBreak/>
        <w:t xml:space="preserve">participate actively in qualitative research, providing rich and deep data from life experiences (Pratt &amp; Wilkinson, 2001; Wilkinson, 2002; Wilkinson &amp; Milne, 2003; Hubbard et al., 2003; Hellstrom et al., 2007; </w:t>
      </w:r>
      <w:r w:rsidR="00194004">
        <w:t xml:space="preserve">Beuscher &amp; Grando, 2009; McKeown et al., 2010; Murphy et al., 2015; Digby et al., 2016). </w:t>
      </w:r>
      <w:r w:rsidR="00135EF9">
        <w:t xml:space="preserve"> </w:t>
      </w:r>
      <w:r w:rsidR="00DA54E7">
        <w:t>With that being said, t</w:t>
      </w:r>
      <w:r w:rsidR="00194004">
        <w:t xml:space="preserve">his inclusion of individuals with dementia </w:t>
      </w:r>
      <w:r w:rsidR="003D4E70">
        <w:t>in qualitative research while effective, can present its own issues both methodologically and ethically (Novek &amp; Wilkinson, 201</w:t>
      </w:r>
      <w:r w:rsidR="008A72DA">
        <w:t>9</w:t>
      </w:r>
      <w:r w:rsidR="003D4E70">
        <w:t xml:space="preserve">). </w:t>
      </w:r>
    </w:p>
    <w:p w14:paraId="58957CDF" w14:textId="7C06C31A" w:rsidR="007A1AB3" w:rsidRDefault="003D4E70" w:rsidP="00AE26B7">
      <w:pPr>
        <w:spacing w:line="360" w:lineRule="auto"/>
        <w:jc w:val="both"/>
        <w:rPr>
          <w:color w:val="000000" w:themeColor="text1"/>
        </w:rPr>
      </w:pPr>
      <w:r>
        <w:t xml:space="preserve">      While all research carried out with human participants can come with many risks, for research involving individuals with dementia</w:t>
      </w:r>
      <w:r w:rsidR="00C76C69">
        <w:t xml:space="preserve"> the potential risks can be amplified due to </w:t>
      </w:r>
      <w:r w:rsidR="00CF7F97">
        <w:t xml:space="preserve">illness associated stigma and the individual’s impaired cognition (Hellstrom et al., 2007; Garand et al., 2009; Pesonen et al., 2011). </w:t>
      </w:r>
      <w:r w:rsidR="006E73DF">
        <w:t xml:space="preserve">For this reason, there is a need to develop strategies which can guarantee safe participation for individuals with dementia; to aide wider research inclusion and gaining knowledge in dementia practice and policy (Pratt, 2002; Wilkinson, 2002; Hellstrom et al., 2007).  </w:t>
      </w:r>
      <w:r w:rsidR="007A1AB3">
        <w:rPr>
          <w:color w:val="000000" w:themeColor="text1"/>
        </w:rPr>
        <w:t xml:space="preserve">The idea of safe research practices in dementia research has been applied by Pratt (2002), Pratt also states that researchers should try to create a context for safe research. This need to guarantee safe research practices has also been emphasised by fellow scholars in dementia, with many publishing works reflecting approaches that promote well-being and safety, the issues they might have faced and how to potentially solve these issues (Novek &amp; Wilkinson, 2019). Individuals with dementia have also helped to develop dementia research guidelines as well as talking about their own research experiences (Scottish Dementia Working Group Research Sub-Group, 2014; Novek &amp; Wilkinson, 2019). Because of this, there are a number of strategies which are used to promote inclusive and safe research practices when involving individuals with dementia. </w:t>
      </w:r>
    </w:p>
    <w:p w14:paraId="5AFE74D8" w14:textId="00CDB22A" w:rsidR="007A1AB3" w:rsidRPr="00B45452" w:rsidRDefault="007A1AB3" w:rsidP="00AE26B7">
      <w:pPr>
        <w:spacing w:line="360" w:lineRule="auto"/>
        <w:jc w:val="both"/>
      </w:pPr>
      <w:r>
        <w:rPr>
          <w:color w:val="FF0000"/>
        </w:rPr>
        <w:t xml:space="preserve">      </w:t>
      </w:r>
      <w:r w:rsidRPr="00B45452">
        <w:t xml:space="preserve">With this in mind, this essay aims to present a critical discussion which explores the ethical considerations needed to carry out an in-depth qualitative study on the psychosocial impact of receiving a diagnosis of dementia in a loved one; more specifically moral sensitivity, consent and participation, </w:t>
      </w:r>
      <w:r w:rsidRPr="00B45452">
        <w:t>the use of the term ‘dementia’</w:t>
      </w:r>
      <w:r w:rsidRPr="00B45452">
        <w:t xml:space="preserve">, </w:t>
      </w:r>
      <w:r w:rsidR="007C4065" w:rsidRPr="00B45452">
        <w:t>the relationship between researcher and participant</w:t>
      </w:r>
      <w:r w:rsidR="00B45452" w:rsidRPr="00B45452">
        <w:t xml:space="preserve"> and </w:t>
      </w:r>
      <w:r w:rsidRPr="00B45452">
        <w:t>beneficence and non-maleficence</w:t>
      </w:r>
      <w:r w:rsidR="00B45452" w:rsidRPr="00B45452">
        <w:t xml:space="preserve">. </w:t>
      </w:r>
    </w:p>
    <w:p w14:paraId="05AE6038" w14:textId="5593EC36" w:rsidR="00350FDE" w:rsidRDefault="00EE68EE" w:rsidP="00AE26B7">
      <w:pPr>
        <w:spacing w:line="360" w:lineRule="auto"/>
        <w:jc w:val="both"/>
        <w:rPr>
          <w:color w:val="000000" w:themeColor="text1"/>
        </w:rPr>
      </w:pPr>
      <w:r>
        <w:rPr>
          <w:color w:val="000000" w:themeColor="text1"/>
        </w:rPr>
        <w:t xml:space="preserve">      </w:t>
      </w:r>
      <w:r w:rsidR="001C5C1A">
        <w:rPr>
          <w:color w:val="000000" w:themeColor="text1"/>
        </w:rPr>
        <w:t>For</w:t>
      </w:r>
      <w:r>
        <w:rPr>
          <w:color w:val="000000" w:themeColor="text1"/>
        </w:rPr>
        <w:t xml:space="preserve"> </w:t>
      </w:r>
      <w:r w:rsidR="001C5C1A">
        <w:rPr>
          <w:color w:val="000000" w:themeColor="text1"/>
        </w:rPr>
        <w:t xml:space="preserve">health </w:t>
      </w:r>
      <w:r>
        <w:rPr>
          <w:color w:val="000000" w:themeColor="text1"/>
        </w:rPr>
        <w:t>psychologists, there is a moral responsibility to provide knowledge and information</w:t>
      </w:r>
      <w:r w:rsidR="001C5C1A">
        <w:rPr>
          <w:color w:val="000000" w:themeColor="text1"/>
        </w:rPr>
        <w:t xml:space="preserve"> that can help to enhance care quality while maintaining the vulnerable individual’s dignity. In order to obtain this information and knowledge, showing that individuals with dementia are taken seriously; there is an importance for the individual’s voice to be heard</w:t>
      </w:r>
      <w:r w:rsidR="00CA15AF">
        <w:rPr>
          <w:color w:val="000000" w:themeColor="text1"/>
        </w:rPr>
        <w:t xml:space="preserve">. However, this inclusion can raise some specific ethical issues and gaining the knowledge on meeting </w:t>
      </w:r>
      <w:r w:rsidR="000716CB">
        <w:rPr>
          <w:color w:val="000000" w:themeColor="text1"/>
        </w:rPr>
        <w:t>these issues is of importance</w:t>
      </w:r>
      <w:r w:rsidR="00CA15AF">
        <w:rPr>
          <w:color w:val="000000" w:themeColor="text1"/>
        </w:rPr>
        <w:t xml:space="preserve"> (</w:t>
      </w:r>
      <w:r w:rsidR="000716CB">
        <w:rPr>
          <w:color w:val="000000" w:themeColor="text1"/>
        </w:rPr>
        <w:t xml:space="preserve">High et al., 1994; Parse, 1994; Parse, 1996; Bartlett &amp; </w:t>
      </w:r>
      <w:r w:rsidR="000716CB">
        <w:rPr>
          <w:color w:val="000000" w:themeColor="text1"/>
        </w:rPr>
        <w:lastRenderedPageBreak/>
        <w:t>Martin, 2002; Moore &amp; Hollett</w:t>
      </w:r>
      <w:r w:rsidR="00CA15AF">
        <w:rPr>
          <w:color w:val="000000" w:themeColor="text1"/>
        </w:rPr>
        <w:t>,</w:t>
      </w:r>
      <w:r w:rsidR="000716CB">
        <w:rPr>
          <w:color w:val="000000" w:themeColor="text1"/>
        </w:rPr>
        <w:t xml:space="preserve"> 2003)</w:t>
      </w:r>
      <w:r w:rsidR="00CA15AF">
        <w:rPr>
          <w:color w:val="000000" w:themeColor="text1"/>
        </w:rPr>
        <w:t>.</w:t>
      </w:r>
      <w:r w:rsidR="000716CB">
        <w:rPr>
          <w:color w:val="000000" w:themeColor="text1"/>
        </w:rPr>
        <w:t xml:space="preserve"> </w:t>
      </w:r>
      <w:r w:rsidR="008A72DA">
        <w:rPr>
          <w:color w:val="000000" w:themeColor="text1"/>
        </w:rPr>
        <w:t xml:space="preserve">The term moral sensitivity refers to the attention a researcher affords to </w:t>
      </w:r>
      <w:r w:rsidR="00C65556">
        <w:rPr>
          <w:color w:val="000000" w:themeColor="text1"/>
        </w:rPr>
        <w:t xml:space="preserve">the </w:t>
      </w:r>
      <w:r w:rsidR="008A72DA">
        <w:rPr>
          <w:color w:val="000000" w:themeColor="text1"/>
        </w:rPr>
        <w:t xml:space="preserve">moral standards </w:t>
      </w:r>
      <w:r w:rsidR="00C65556">
        <w:rPr>
          <w:color w:val="000000" w:themeColor="text1"/>
        </w:rPr>
        <w:t xml:space="preserve">which can arise in a situation, </w:t>
      </w:r>
      <w:r w:rsidR="00B71684">
        <w:rPr>
          <w:color w:val="000000" w:themeColor="text1"/>
        </w:rPr>
        <w:t xml:space="preserve">while recognising the role that they play in these situations. </w:t>
      </w:r>
      <w:r w:rsidR="00401BC5">
        <w:rPr>
          <w:color w:val="000000" w:themeColor="text1"/>
        </w:rPr>
        <w:t>Moral sensitivity is key to being morally attentive and having a full moral understanding of situations</w:t>
      </w:r>
      <w:r w:rsidR="00CB516F">
        <w:rPr>
          <w:color w:val="000000" w:themeColor="text1"/>
        </w:rPr>
        <w:t xml:space="preserve"> (Lutzen et al., 2006; Heggestad et al., 201</w:t>
      </w:r>
      <w:r w:rsidR="00F05328">
        <w:rPr>
          <w:color w:val="000000" w:themeColor="text1"/>
        </w:rPr>
        <w:t>3</w:t>
      </w:r>
      <w:r w:rsidR="00CB516F">
        <w:rPr>
          <w:color w:val="000000" w:themeColor="text1"/>
        </w:rPr>
        <w:t>)</w:t>
      </w:r>
      <w:r w:rsidR="00401BC5">
        <w:rPr>
          <w:color w:val="000000" w:themeColor="text1"/>
        </w:rPr>
        <w:t xml:space="preserve">. </w:t>
      </w:r>
    </w:p>
    <w:p w14:paraId="2902A443" w14:textId="3C4E390A" w:rsidR="00CB516F" w:rsidRDefault="00CB516F" w:rsidP="00AE26B7">
      <w:pPr>
        <w:spacing w:line="360" w:lineRule="auto"/>
        <w:jc w:val="both"/>
        <w:rPr>
          <w:color w:val="000000" w:themeColor="text1"/>
        </w:rPr>
      </w:pPr>
      <w:r>
        <w:rPr>
          <w:color w:val="000000" w:themeColor="text1"/>
        </w:rPr>
        <w:t xml:space="preserve">      In clinical research, the discussion of avoiding harm and risk there is a shared focus on </w:t>
      </w:r>
      <w:r w:rsidR="00F05328">
        <w:rPr>
          <w:color w:val="000000" w:themeColor="text1"/>
        </w:rPr>
        <w:t xml:space="preserve">the participant and </w:t>
      </w:r>
      <w:r>
        <w:rPr>
          <w:color w:val="000000" w:themeColor="text1"/>
        </w:rPr>
        <w:t>causing potential physical harm</w:t>
      </w:r>
      <w:r w:rsidR="00F05328">
        <w:rPr>
          <w:color w:val="000000" w:themeColor="text1"/>
        </w:rPr>
        <w:t xml:space="preserve">. Although an individual has dementia, it does not mean that they are incapable of providing consent and to suggest that an individual is not capable </w:t>
      </w:r>
      <w:r w:rsidR="002B0E09">
        <w:rPr>
          <w:color w:val="000000" w:themeColor="text1"/>
        </w:rPr>
        <w:t xml:space="preserve">due to a dementia diagnosis would exclude the individual (Heggestad et al., 2013). </w:t>
      </w:r>
      <w:r w:rsidR="00710CC0">
        <w:rPr>
          <w:color w:val="000000" w:themeColor="text1"/>
        </w:rPr>
        <w:t>A</w:t>
      </w:r>
      <w:r w:rsidR="002B0E09">
        <w:rPr>
          <w:color w:val="000000" w:themeColor="text1"/>
        </w:rPr>
        <w:t xml:space="preserve">s a result, individuals with a dementia diagnosis deserve the right to an evaluation of their competence that is fair in order to make </w:t>
      </w:r>
      <w:r w:rsidR="00710CC0">
        <w:rPr>
          <w:color w:val="000000" w:themeColor="text1"/>
        </w:rPr>
        <w:t>a</w:t>
      </w:r>
      <w:r w:rsidR="002B0E09">
        <w:rPr>
          <w:color w:val="000000" w:themeColor="text1"/>
        </w:rPr>
        <w:t xml:space="preserve"> </w:t>
      </w:r>
      <w:r w:rsidR="00710CC0">
        <w:rPr>
          <w:color w:val="000000" w:themeColor="text1"/>
        </w:rPr>
        <w:t xml:space="preserve">self-directed decision about their participation. In order to evaluate </w:t>
      </w:r>
      <w:r w:rsidR="00ED78A7">
        <w:rPr>
          <w:color w:val="000000" w:themeColor="text1"/>
        </w:rPr>
        <w:t>one’s</w:t>
      </w:r>
      <w:r w:rsidR="00710CC0">
        <w:rPr>
          <w:color w:val="000000" w:themeColor="text1"/>
        </w:rPr>
        <w:t xml:space="preserve"> capacity to provide their consent, the use of neuropsychological tests</w:t>
      </w:r>
      <w:r w:rsidR="00ED78A7">
        <w:rPr>
          <w:color w:val="000000" w:themeColor="text1"/>
        </w:rPr>
        <w:t xml:space="preserve"> – for example, the </w:t>
      </w:r>
      <w:r w:rsidR="00710CC0">
        <w:rPr>
          <w:color w:val="000000" w:themeColor="text1"/>
        </w:rPr>
        <w:t xml:space="preserve">Mini Mental State Examination </w:t>
      </w:r>
      <w:r w:rsidR="00ED78A7">
        <w:rPr>
          <w:color w:val="000000" w:themeColor="text1"/>
        </w:rPr>
        <w:t>(a cognitive impairment screening tool) is common practice; but these tests do not provide an insight into the individual’s ability for expressing experiences or feelings (</w:t>
      </w:r>
      <w:r w:rsidR="004135DE">
        <w:rPr>
          <w:color w:val="000000" w:themeColor="text1"/>
        </w:rPr>
        <w:t>Pratt, 2002;</w:t>
      </w:r>
      <w:r w:rsidR="00ED78A7">
        <w:rPr>
          <w:color w:val="000000" w:themeColor="text1"/>
        </w:rPr>
        <w:t xml:space="preserve"> Heggestad et al., 2013). </w:t>
      </w:r>
      <w:r w:rsidR="00A43201">
        <w:rPr>
          <w:color w:val="000000" w:themeColor="text1"/>
        </w:rPr>
        <w:t>Neuropsychological tests, such as the Mini Mental State Examination, also fail to capture a true representation of an individual’s competence to provide an informed consent</w:t>
      </w:r>
      <w:r w:rsidR="00820E46">
        <w:rPr>
          <w:color w:val="000000" w:themeColor="text1"/>
        </w:rPr>
        <w:t>. (</w:t>
      </w:r>
      <w:r w:rsidR="004135DE">
        <w:rPr>
          <w:color w:val="000000" w:themeColor="text1"/>
        </w:rPr>
        <w:t>Normann et al., 2011</w:t>
      </w:r>
      <w:r w:rsidR="00820E46">
        <w:rPr>
          <w:color w:val="000000" w:themeColor="text1"/>
        </w:rPr>
        <w:t xml:space="preserve">; Heggestad et al., 2013). An alternative to this process of cognitive screening, </w:t>
      </w:r>
      <w:r w:rsidR="00F47EB6">
        <w:rPr>
          <w:color w:val="000000" w:themeColor="text1"/>
        </w:rPr>
        <w:t>is a more holistic and broad evaluation carried out by a healthcare professional known to the individual</w:t>
      </w:r>
      <w:r w:rsidR="00424C56">
        <w:rPr>
          <w:color w:val="000000" w:themeColor="text1"/>
        </w:rPr>
        <w:t xml:space="preserve"> over a period of time (Heggestad et al., 2013). </w:t>
      </w:r>
    </w:p>
    <w:p w14:paraId="76BCFE7D" w14:textId="38C9332C" w:rsidR="00BD55A7" w:rsidRDefault="00BD55A7" w:rsidP="00AE26B7">
      <w:pPr>
        <w:spacing w:line="360" w:lineRule="auto"/>
        <w:jc w:val="both"/>
        <w:rPr>
          <w:color w:val="000000" w:themeColor="text1"/>
        </w:rPr>
      </w:pPr>
      <w:r>
        <w:rPr>
          <w:color w:val="000000" w:themeColor="text1"/>
        </w:rPr>
        <w:t xml:space="preserve">      In 2013, Heggestad and colleagues argued that neuropsychological tests should not be used in the process of inclusion for research; that the participation in these tests were likely to cause the individual more harm in comparison to the use of an evaluation which is more general and has been built upon over a period of time. For example, a healthcare professional </w:t>
      </w:r>
      <w:r w:rsidR="0008229E">
        <w:rPr>
          <w:color w:val="000000" w:themeColor="text1"/>
        </w:rPr>
        <w:t>being</w:t>
      </w:r>
      <w:r>
        <w:rPr>
          <w:color w:val="000000" w:themeColor="text1"/>
        </w:rPr>
        <w:t xml:space="preserve"> a</w:t>
      </w:r>
      <w:r w:rsidR="0008229E">
        <w:rPr>
          <w:color w:val="000000" w:themeColor="text1"/>
        </w:rPr>
        <w:t>sked to carry out a comprehensive and holistic evaluation of the individual which has been built from their prior knowledge of the individual’s capability to understand and digest any information that may be given about the research and their understanding of any implications that may arise from the decisions made (</w:t>
      </w:r>
      <w:r w:rsidR="004135DE">
        <w:rPr>
          <w:color w:val="000000" w:themeColor="text1"/>
        </w:rPr>
        <w:t>Krohne et al., 2011</w:t>
      </w:r>
      <w:r w:rsidR="0008229E">
        <w:rPr>
          <w:color w:val="000000" w:themeColor="text1"/>
        </w:rPr>
        <w:t xml:space="preserve">; Heggestad et al., 2013). </w:t>
      </w:r>
      <w:r w:rsidR="004F5190">
        <w:rPr>
          <w:color w:val="000000" w:themeColor="text1"/>
        </w:rPr>
        <w:t>Prior to their research being carried out, the researcher spent 6 – 10 weeks with the individuals with dementia in order to get to know each of them better in order to make a well-rounded judgement on the individual’s capacity to consent (Hegg</w:t>
      </w:r>
      <w:r w:rsidR="0012019C">
        <w:rPr>
          <w:color w:val="000000" w:themeColor="text1"/>
        </w:rPr>
        <w:t>e</w:t>
      </w:r>
      <w:r w:rsidR="004F5190">
        <w:rPr>
          <w:color w:val="000000" w:themeColor="text1"/>
        </w:rPr>
        <w:t xml:space="preserve">stad et al., 2013). </w:t>
      </w:r>
    </w:p>
    <w:p w14:paraId="3A2F45BF" w14:textId="4401EE1C" w:rsidR="005C4B81" w:rsidRDefault="00347FAC" w:rsidP="00AE26B7">
      <w:pPr>
        <w:spacing w:line="360" w:lineRule="auto"/>
        <w:jc w:val="both"/>
        <w:rPr>
          <w:color w:val="000000" w:themeColor="text1"/>
        </w:rPr>
      </w:pPr>
      <w:r>
        <w:rPr>
          <w:color w:val="000000" w:themeColor="text1"/>
        </w:rPr>
        <w:t xml:space="preserve">      A key</w:t>
      </w:r>
      <w:r w:rsidR="003B0116">
        <w:rPr>
          <w:color w:val="000000" w:themeColor="text1"/>
        </w:rPr>
        <w:t xml:space="preserve"> moral</w:t>
      </w:r>
      <w:r>
        <w:rPr>
          <w:color w:val="000000" w:themeColor="text1"/>
        </w:rPr>
        <w:t xml:space="preserve"> research ethic</w:t>
      </w:r>
      <w:r w:rsidR="007760AA">
        <w:rPr>
          <w:color w:val="000000" w:themeColor="text1"/>
        </w:rPr>
        <w:t>s</w:t>
      </w:r>
      <w:r>
        <w:rPr>
          <w:color w:val="000000" w:themeColor="text1"/>
        </w:rPr>
        <w:t xml:space="preserve"> principle is to provide the individual with a full informational rundown. When this information has not been provided by those carrying out the research</w:t>
      </w:r>
      <w:r w:rsidR="0012019C">
        <w:rPr>
          <w:color w:val="000000" w:themeColor="text1"/>
        </w:rPr>
        <w:t>, it can be deemed deceptive (</w:t>
      </w:r>
      <w:r w:rsidR="004135DE">
        <w:rPr>
          <w:color w:val="000000" w:themeColor="text1"/>
        </w:rPr>
        <w:t>Korn, 1997</w:t>
      </w:r>
      <w:r w:rsidR="0012019C">
        <w:rPr>
          <w:color w:val="000000" w:themeColor="text1"/>
        </w:rPr>
        <w:t xml:space="preserve">; Heggestad et al., 2013). </w:t>
      </w:r>
      <w:r w:rsidR="00C73221">
        <w:rPr>
          <w:color w:val="000000" w:themeColor="text1"/>
        </w:rPr>
        <w:t xml:space="preserve">To be deceptive is to make an </w:t>
      </w:r>
      <w:r w:rsidR="00C73221">
        <w:rPr>
          <w:color w:val="000000" w:themeColor="text1"/>
        </w:rPr>
        <w:lastRenderedPageBreak/>
        <w:t>individual believe false information or false impressions to be true (</w:t>
      </w:r>
      <w:r w:rsidR="004135DE">
        <w:rPr>
          <w:color w:val="000000" w:themeColor="text1"/>
        </w:rPr>
        <w:t>Korn, 1997</w:t>
      </w:r>
      <w:r w:rsidR="00C73221">
        <w:rPr>
          <w:color w:val="000000" w:themeColor="text1"/>
        </w:rPr>
        <w:t>). Benham (</w:t>
      </w:r>
      <w:r w:rsidR="004135DE">
        <w:rPr>
          <w:color w:val="000000" w:themeColor="text1"/>
        </w:rPr>
        <w:t>2008</w:t>
      </w:r>
      <w:r w:rsidR="00C73221">
        <w:rPr>
          <w:color w:val="000000" w:themeColor="text1"/>
        </w:rPr>
        <w:t>) and Korn (</w:t>
      </w:r>
      <w:r w:rsidR="004135DE">
        <w:rPr>
          <w:color w:val="000000" w:themeColor="text1"/>
        </w:rPr>
        <w:t>1997</w:t>
      </w:r>
      <w:r w:rsidR="00C73221">
        <w:rPr>
          <w:color w:val="000000" w:themeColor="text1"/>
        </w:rPr>
        <w:t>) believe that the deception of an individual displays a level of disrespect towards that individual’s autonomy and can challenge the trust needed for intera</w:t>
      </w:r>
      <w:r w:rsidR="00845F2C">
        <w:rPr>
          <w:color w:val="000000" w:themeColor="text1"/>
        </w:rPr>
        <w:t>c</w:t>
      </w:r>
      <w:r w:rsidR="00C73221">
        <w:rPr>
          <w:color w:val="000000" w:themeColor="text1"/>
        </w:rPr>
        <w:t xml:space="preserve">tion. </w:t>
      </w:r>
      <w:r w:rsidR="00C47DE6">
        <w:rPr>
          <w:color w:val="000000" w:themeColor="text1"/>
        </w:rPr>
        <w:t xml:space="preserve">Deception can also be perceived as the researcher abusing power (Heggestad et al., 2013). </w:t>
      </w:r>
      <w:r w:rsidR="00322244">
        <w:rPr>
          <w:color w:val="000000" w:themeColor="text1"/>
        </w:rPr>
        <w:t xml:space="preserve">The idea of being truthful </w:t>
      </w:r>
      <w:r w:rsidR="005C4B81">
        <w:rPr>
          <w:color w:val="000000" w:themeColor="text1"/>
        </w:rPr>
        <w:t>is seen to be an essential aspect of ethics but has come under much debate historically, as being truthful could also cause harm to the individual (</w:t>
      </w:r>
      <w:r w:rsidR="004135DE">
        <w:rPr>
          <w:color w:val="000000" w:themeColor="text1"/>
        </w:rPr>
        <w:t>Kant &amp; Paton, 1967</w:t>
      </w:r>
      <w:r w:rsidR="005C4B81">
        <w:rPr>
          <w:color w:val="000000" w:themeColor="text1"/>
        </w:rPr>
        <w:t>; Heggestad et al., 2013). In previous research, the inclusion of individuals with dementia has called for the focus not to be on the dementia diagnosis</w:t>
      </w:r>
      <w:r w:rsidR="004135DE">
        <w:rPr>
          <w:color w:val="000000" w:themeColor="text1"/>
        </w:rPr>
        <w:t xml:space="preserve"> when providing information on the research study if it is not brought up by the individual themselves (Bartlett &amp; Martin, 2002; Hellstrom et al., 2007). This potential fear of discussing a dementia diagnosis stems from the thought that harm may be caused to the individual due to the stigma surrounding it (Dobbs et al., 2008; Garand et al., 2009; Milne, 2010; Behuniak, 2011). </w:t>
      </w:r>
    </w:p>
    <w:p w14:paraId="33C822B5" w14:textId="24DF132F" w:rsidR="005B7F80" w:rsidRDefault="00D352AA" w:rsidP="00AE26B7">
      <w:pPr>
        <w:spacing w:line="360" w:lineRule="auto"/>
        <w:jc w:val="both"/>
        <w:rPr>
          <w:color w:val="000000" w:themeColor="text1"/>
        </w:rPr>
      </w:pPr>
      <w:r>
        <w:rPr>
          <w:color w:val="000000" w:themeColor="text1"/>
        </w:rPr>
        <w:t xml:space="preserve">      </w:t>
      </w:r>
      <w:r w:rsidR="005906D7">
        <w:rPr>
          <w:color w:val="000000" w:themeColor="text1"/>
        </w:rPr>
        <w:t>The practice of gaining</w:t>
      </w:r>
      <w:r>
        <w:rPr>
          <w:color w:val="000000" w:themeColor="text1"/>
        </w:rPr>
        <w:t xml:space="preserve"> consent</w:t>
      </w:r>
      <w:r w:rsidR="005906D7">
        <w:rPr>
          <w:color w:val="000000" w:themeColor="text1"/>
        </w:rPr>
        <w:t xml:space="preserve"> in psychological research</w:t>
      </w:r>
      <w:r>
        <w:rPr>
          <w:color w:val="000000" w:themeColor="text1"/>
        </w:rPr>
        <w:t xml:space="preserve"> involves consent being given voluntarily by competent participants who fully understand what they are being asked to take part in (</w:t>
      </w:r>
      <w:r w:rsidR="008B50E8">
        <w:rPr>
          <w:color w:val="000000" w:themeColor="text1"/>
        </w:rPr>
        <w:t>Conelly, 2005</w:t>
      </w:r>
      <w:r>
        <w:rPr>
          <w:color w:val="000000" w:themeColor="text1"/>
        </w:rPr>
        <w:t xml:space="preserve">). </w:t>
      </w:r>
      <w:r w:rsidR="008B50E8">
        <w:rPr>
          <w:color w:val="000000" w:themeColor="text1"/>
        </w:rPr>
        <w:t xml:space="preserve">Meaning that participants should be sufficiently informed, understand the information given and be given the freedom to choose whether to accept or decline participating in the research study (Polit &amp; Beck, 2014). </w:t>
      </w:r>
      <w:r w:rsidR="00BF4DF0">
        <w:rPr>
          <w:color w:val="000000" w:themeColor="text1"/>
        </w:rPr>
        <w:t xml:space="preserve">Dementia, as with other cognitive impairment disorders, is characterised as a gradual deterioration of one’s reasoning, memory and language skills which can have an impact on their capacity to make decisions (Thorogood et al., 2018). When seeking to obtain consent from individuals with dementia, researchers </w:t>
      </w:r>
      <w:r w:rsidR="0073092D">
        <w:rPr>
          <w:color w:val="000000" w:themeColor="text1"/>
        </w:rPr>
        <w:t>can face ethical doubt. For the treatment of dementia there are regulatory frameworks which govern the making of decisions, but there is not this framework for dementia research</w:t>
      </w:r>
      <w:r w:rsidR="0099729D">
        <w:rPr>
          <w:color w:val="000000" w:themeColor="text1"/>
        </w:rPr>
        <w:t xml:space="preserve"> (</w:t>
      </w:r>
      <w:r w:rsidR="009B3BB8">
        <w:rPr>
          <w:color w:val="000000" w:themeColor="text1"/>
        </w:rPr>
        <w:t>Grady, 2015</w:t>
      </w:r>
      <w:r w:rsidR="0099729D">
        <w:rPr>
          <w:color w:val="000000" w:themeColor="text1"/>
        </w:rPr>
        <w:t xml:space="preserve">; Thorogood et al., 2018). Jongsma and colleagues (2015) argue that this is because some ethical guidelines and laws sometimes place individuals with dementia in the same category as other groups of vulnerable people, perhaps overseeing ethical issues which are specific to individuals </w:t>
      </w:r>
      <w:r w:rsidR="009B3BB8">
        <w:rPr>
          <w:color w:val="000000" w:themeColor="text1"/>
        </w:rPr>
        <w:t xml:space="preserve">where their cognitive capacity is deteriorating. </w:t>
      </w:r>
    </w:p>
    <w:p w14:paraId="2EF2CB7D" w14:textId="653300D5" w:rsidR="007A1AB3" w:rsidRPr="00634CE6" w:rsidRDefault="00E109EA" w:rsidP="00AE26B7">
      <w:pPr>
        <w:spacing w:line="360" w:lineRule="auto"/>
        <w:jc w:val="both"/>
        <w:rPr>
          <w:color w:val="000000" w:themeColor="text1"/>
        </w:rPr>
      </w:pPr>
      <w:r>
        <w:rPr>
          <w:color w:val="000000" w:themeColor="text1"/>
        </w:rPr>
        <w:t xml:space="preserve">      However, attention should be afforded to individual vulnerabilities in research that come with dementia; the specific safeguards required </w:t>
      </w:r>
      <w:r w:rsidR="00994923">
        <w:rPr>
          <w:color w:val="000000" w:themeColor="text1"/>
        </w:rPr>
        <w:t>in order to protect the individual from any harm (</w:t>
      </w:r>
      <w:r w:rsidR="0082250E">
        <w:rPr>
          <w:color w:val="000000" w:themeColor="text1"/>
        </w:rPr>
        <w:t>CIOMS &amp; WHO</w:t>
      </w:r>
      <w:r w:rsidR="00994923">
        <w:rPr>
          <w:color w:val="000000" w:themeColor="text1"/>
        </w:rPr>
        <w:t>,</w:t>
      </w:r>
      <w:r w:rsidR="0082250E">
        <w:rPr>
          <w:color w:val="000000" w:themeColor="text1"/>
        </w:rPr>
        <w:t xml:space="preserve"> 2016; WMA</w:t>
      </w:r>
      <w:r w:rsidR="00994923">
        <w:rPr>
          <w:color w:val="000000" w:themeColor="text1"/>
        </w:rPr>
        <w:t>,</w:t>
      </w:r>
      <w:r w:rsidR="0082250E">
        <w:rPr>
          <w:color w:val="000000" w:themeColor="text1"/>
        </w:rPr>
        <w:t xml:space="preserve"> 2013; Jongsma et al.</w:t>
      </w:r>
      <w:r w:rsidR="00994923">
        <w:rPr>
          <w:color w:val="000000" w:themeColor="text1"/>
        </w:rPr>
        <w:t>,</w:t>
      </w:r>
      <w:r w:rsidR="0082250E">
        <w:rPr>
          <w:color w:val="000000" w:themeColor="text1"/>
        </w:rPr>
        <w:t xml:space="preserve"> 2015;</w:t>
      </w:r>
      <w:r w:rsidR="00994923">
        <w:rPr>
          <w:color w:val="000000" w:themeColor="text1"/>
        </w:rPr>
        <w:t xml:space="preserve"> </w:t>
      </w:r>
      <w:r w:rsidR="0082250E">
        <w:rPr>
          <w:color w:val="000000" w:themeColor="text1"/>
        </w:rPr>
        <w:t>UNESCO</w:t>
      </w:r>
      <w:r w:rsidR="00994923">
        <w:rPr>
          <w:color w:val="000000" w:themeColor="text1"/>
        </w:rPr>
        <w:t>,</w:t>
      </w:r>
      <w:r w:rsidR="0082250E">
        <w:rPr>
          <w:color w:val="000000" w:themeColor="text1"/>
        </w:rPr>
        <w:t xml:space="preserve"> 2005; ICH</w:t>
      </w:r>
      <w:r w:rsidR="00994923">
        <w:rPr>
          <w:color w:val="000000" w:themeColor="text1"/>
        </w:rPr>
        <w:t>,</w:t>
      </w:r>
      <w:r w:rsidR="0082250E">
        <w:rPr>
          <w:color w:val="000000" w:themeColor="text1"/>
        </w:rPr>
        <w:t xml:space="preserve"> 1996;</w:t>
      </w:r>
      <w:r w:rsidR="00994923">
        <w:rPr>
          <w:color w:val="000000" w:themeColor="text1"/>
        </w:rPr>
        <w:t xml:space="preserve"> </w:t>
      </w:r>
      <w:r w:rsidR="0082250E">
        <w:rPr>
          <w:color w:val="000000" w:themeColor="text1"/>
        </w:rPr>
        <w:t>ICH</w:t>
      </w:r>
      <w:r w:rsidR="00994923">
        <w:rPr>
          <w:color w:val="000000" w:themeColor="text1"/>
        </w:rPr>
        <w:t>,</w:t>
      </w:r>
      <w:r w:rsidR="0082250E">
        <w:rPr>
          <w:color w:val="000000" w:themeColor="text1"/>
        </w:rPr>
        <w:t xml:space="preserve"> 2017;</w:t>
      </w:r>
      <w:r w:rsidR="00994923">
        <w:rPr>
          <w:color w:val="000000" w:themeColor="text1"/>
        </w:rPr>
        <w:t xml:space="preserve"> </w:t>
      </w:r>
      <w:r w:rsidR="0082250E">
        <w:rPr>
          <w:color w:val="000000" w:themeColor="text1"/>
        </w:rPr>
        <w:t>Togni et al., 2014</w:t>
      </w:r>
      <w:r w:rsidR="00994923">
        <w:rPr>
          <w:color w:val="000000" w:themeColor="text1"/>
        </w:rPr>
        <w:t>). T</w:t>
      </w:r>
      <w:r w:rsidR="00F924E2">
        <w:rPr>
          <w:color w:val="000000" w:themeColor="text1"/>
        </w:rPr>
        <w:t>he best practice emerging t</w:t>
      </w:r>
      <w:r w:rsidR="00994923">
        <w:rPr>
          <w:color w:val="000000" w:themeColor="text1"/>
        </w:rPr>
        <w:t xml:space="preserve">o collect, link, use, reuse and share the individual’s data </w:t>
      </w:r>
      <w:r w:rsidR="00F924E2">
        <w:rPr>
          <w:color w:val="000000" w:themeColor="text1"/>
        </w:rPr>
        <w:t>is broad consent. Broad consent however does not come without concerns over informational independence, privacy and the protection of data (</w:t>
      </w:r>
      <w:r w:rsidR="0082250E">
        <w:rPr>
          <w:color w:val="000000" w:themeColor="text1"/>
        </w:rPr>
        <w:t>Council of the European Union</w:t>
      </w:r>
      <w:r w:rsidR="00F924E2">
        <w:rPr>
          <w:color w:val="000000" w:themeColor="text1"/>
        </w:rPr>
        <w:t>,</w:t>
      </w:r>
      <w:r w:rsidR="0082250E">
        <w:rPr>
          <w:color w:val="000000" w:themeColor="text1"/>
        </w:rPr>
        <w:t xml:space="preserve"> 2016;</w:t>
      </w:r>
      <w:r w:rsidR="00F924E2">
        <w:rPr>
          <w:color w:val="000000" w:themeColor="text1"/>
        </w:rPr>
        <w:t xml:space="preserve"> </w:t>
      </w:r>
      <w:r w:rsidR="0082250E">
        <w:rPr>
          <w:color w:val="000000" w:themeColor="text1"/>
        </w:rPr>
        <w:t>Rothstein et al., 2016</w:t>
      </w:r>
      <w:r w:rsidR="00F924E2">
        <w:rPr>
          <w:color w:val="000000" w:themeColor="text1"/>
        </w:rPr>
        <w:t xml:space="preserve">). The combination of broad consent and oversight ongoing </w:t>
      </w:r>
      <w:r w:rsidR="00F924E2">
        <w:rPr>
          <w:color w:val="000000" w:themeColor="text1"/>
        </w:rPr>
        <w:lastRenderedPageBreak/>
        <w:t>can assist in ensuring that there is protection for privacy. The processes of broad consent are seemingly suitable for the sharing of data that involves individuals with dementia where the individual may struggle to provide the necessary consent at a later date (Thorogood et al., 2018). Importantly, to support the making of decisions is to enable the individual with dementia to state their wishes and choices prior to participation. A balance is afforded between individual decision-making support, providing protection from being potentially manipulated and the benefits of all</w:t>
      </w:r>
      <w:r w:rsidR="0082250E">
        <w:rPr>
          <w:color w:val="000000" w:themeColor="text1"/>
        </w:rPr>
        <w:t xml:space="preserve"> (Thorogood et al., 2018). </w:t>
      </w:r>
    </w:p>
    <w:p w14:paraId="337397DC" w14:textId="0C61900C" w:rsidR="007A1AB3" w:rsidRDefault="007A1AB3" w:rsidP="00AE26B7">
      <w:pPr>
        <w:spacing w:line="360" w:lineRule="auto"/>
        <w:jc w:val="both"/>
      </w:pPr>
      <w:r w:rsidRPr="007A1AB3">
        <w:t xml:space="preserve">      Using</w:t>
      </w:r>
      <w:r>
        <w:t xml:space="preserve"> the word dementia is an issue that widely disputes, with a number of academics voicing their concern around the harm it can potentially cause if the individual is not aware of their diagnosis of dementia (Bartlett &amp; Martin, 2002; Pratt, 2002; Pesonen et al., 2011; Wiersma, 2011; Heggestad et al., 2013). It has been discussed by Bartlett and Martin (2002) that although individuals have had a dementia diagnosis, health care professionals may use terms which add to dementia stigma. This issue of using the term ‘dementia’ has generated many debates between dementia academics regarding the ethical </w:t>
      </w:r>
      <w:r w:rsidR="00AF2810">
        <w:t xml:space="preserve">consequences of using the term ‘dementia’ or not (Novek &amp; Wilkinson, 2019). If the individual does not associate themselves with the term ‘dementia’, placing a dementia label within materials for recruitment or throughout the interview or group session could cause the individual distress (Pratt, 2002; Bartlett &amp; Martin, 2002; Pesonen et al., 2011). However, the idea of providing informed consent means that the researcher explains the full purpose of the research study and what aims to be covered; and avoiding the use of the term ‘dementia’ could be seen to be deceptive (Bartlett &amp; Martin, 2002). </w:t>
      </w:r>
    </w:p>
    <w:p w14:paraId="15FF770E" w14:textId="7F21259A" w:rsidR="005B726C" w:rsidRDefault="00AF2810" w:rsidP="00AE26B7">
      <w:pPr>
        <w:spacing w:line="360" w:lineRule="auto"/>
        <w:jc w:val="both"/>
      </w:pPr>
      <w:r>
        <w:t xml:space="preserve">      Throughout dementia and ethical consideration literature there that been a number of strategies suggested to address this problem, although no simple solution has been acknowledged (Bartlett &amp; Martin, 2002). A number of researchers have avoided the use of the term ‘dementia’, choosing to use other terms – for example, memory issues or loss; arguing that the use of terms such as these are sensitive and can come with less stigma (Bartlett &amp; Martin, 2002; Hellstrom et al., 2007; Pesonen et al., 2011; Wiersma, 2011). </w:t>
      </w:r>
      <w:r w:rsidR="00735446">
        <w:t>Heggestad, colleagues (2013) and Pratt (2002) have also suggested taking the time to consult with carers or healthcare professionals to decide whether the individual is aware of their dementia diagnosis and if the individual is open to discuss this. He</w:t>
      </w:r>
      <w:r w:rsidR="00370A56">
        <w:t xml:space="preserve">ggestad and colleagues (2013) explain the use of ‘situational sensitivity’ as opposed to taking a more general approach when making the choice to release the main research focus. </w:t>
      </w:r>
      <w:r w:rsidR="005B726C">
        <w:t xml:space="preserve">In order to approach this topic both carefully and </w:t>
      </w:r>
      <w:r w:rsidR="005B726C">
        <w:lastRenderedPageBreak/>
        <w:t xml:space="preserve">sensitively, it is further suggested by Pratt (2002) that discussing dementia symptoms might be beneficial before mentioning the individual’s dementia diagnosis. </w:t>
      </w:r>
    </w:p>
    <w:p w14:paraId="15DFC38D" w14:textId="6DF6475E" w:rsidR="00AF2810" w:rsidRDefault="005B726C" w:rsidP="00AE26B7">
      <w:pPr>
        <w:spacing w:line="360" w:lineRule="auto"/>
        <w:jc w:val="both"/>
      </w:pPr>
      <w:r>
        <w:t xml:space="preserve">       </w:t>
      </w:r>
      <w:r w:rsidR="007C4065">
        <w:t xml:space="preserve">Choosing to conceal the focus of dementia in research and not use the term ‘dementia’, it could aide to protect individuals from harm and distress; however, it can raise a number of issues that call for consideration (Novek &amp; Wilkinson, 2019). Firstly, it is suggested that this approach of concealing information is being deceptive and can abuse the idea of providing a consent that is fully informed (Bartlett &amp; Martin, 2002). Researchers and academics who use terms such as ‘memory issues or loss’ during their research study should think about how they wish to report the findings. Choosing to not use dementia terms throughout the research study, but then choosing to then use it in the findings could been seen as causing harm and being deceptive (Novek &amp; Wilkinson, 2019). </w:t>
      </w:r>
    </w:p>
    <w:p w14:paraId="1C1CD0F2" w14:textId="4E1ED5AC" w:rsidR="007C4065" w:rsidRDefault="007C4065" w:rsidP="00AE26B7">
      <w:pPr>
        <w:spacing w:line="360" w:lineRule="auto"/>
        <w:jc w:val="both"/>
      </w:pPr>
      <w:r>
        <w:t xml:space="preserve">      Secondly, to avoid disease category discussions might not be entirely possible. For example, research which looks to examine individual experiences of a specific dementia type like Frontotemporal dementia may not only need information on the study that is clear, but precise criteria of eligibility (Novek &amp; Wilkinson, 2019). It may be necessary to use the term ‘dementia’ when exploring policies, initiatives and/or programmes that are related to dementia. In involved projects where individuals with dementia are participants, it can be seen as inappropriate to use euphemisms (Novek &amp; Wilkinson, 2019). Additionally, these terms fail to reflect the full scope of dementia symptoms and not seen to be suitable for all research studies (Sachdev et al., 2014).  </w:t>
      </w:r>
    </w:p>
    <w:p w14:paraId="0FF80167" w14:textId="6FE97756" w:rsidR="007C4065" w:rsidRDefault="007C4065" w:rsidP="00AE26B7">
      <w:pPr>
        <w:spacing w:line="360" w:lineRule="auto"/>
        <w:jc w:val="both"/>
      </w:pPr>
      <w:r>
        <w:t xml:space="preserve">      In qualitative research, the relationship between the researcher and participant can be considered essential (Corbin &amp; Morse, 2003; Nygard, 2006; Dickson-Swift et al., 2007). To enable conversation, trust should be built upon and a comfortable atmosphere should be created; this will also potentially encourage the individuals participating to share experiences and information that is personal to them (Dickson-Swift et al., 2007). Taking the time to develop these relationships of trust can enrich the individual’s experience of the research study process and could also help to reduce the lack of equality between the researcher and the individual (Hellstrom et al., 2007). In dementia literature, there is an emphasis on taking the time to build on relationships and develop this rapport (Novek &amp; Wilkinson, 2019). Individuals with dementia alongside researchers have recognised a number of approaches to build upon this rapport by meeting with the individual prior to carrying out the research, to engage in conversations that are informal both before and after the research interviews and for the </w:t>
      </w:r>
      <w:r>
        <w:lastRenderedPageBreak/>
        <w:t xml:space="preserve">research to take place over a several meetings (Pratt, 2002; Hubbard et al., 2003; McKillop &amp; Wilkinson, 2004; Hellstrom et al., 2007; Beuscher &amp; Grando, 2009; Pesonen et al., 2011). </w:t>
      </w:r>
    </w:p>
    <w:p w14:paraId="6A940976" w14:textId="176A5DB1" w:rsidR="007C4065" w:rsidRDefault="007C4065" w:rsidP="00AE26B7">
      <w:pPr>
        <w:spacing w:line="360" w:lineRule="auto"/>
        <w:jc w:val="both"/>
      </w:pPr>
      <w:r>
        <w:t xml:space="preserve">      In 2012, Tanner suggested that asking individuals with dementia to be co-researchers greater improved the rapport and gave a shared understanding, however, the degree of connection between the individual and the researcher differed. These approaches have the potential to ease any anxieties the individual might have surrounding the process of the research and nurtures an atmosphere that is supportive, where individuals will feel safe (Digby et al., 2016; McKillop &amp; Wilkinson, 2004). Taking the time to spend with participating individuals can also provide the researchers an opportunity to become familiar with the communication and cognitive capabilities of each participant, allowing them to alter how they approach and communicate with each individual (Hubbard et al., 2003; Digby et al., 2016). </w:t>
      </w:r>
      <w:r w:rsidR="00E759CE">
        <w:t xml:space="preserve">Pratt (2002) carried out a number of interviews with individuals with dementia and discovered that her own level of comfort and skills to communicate had improved with each interview she conducted. Whereas Hubbard and colleagues (2003) carried out prior conversations as a means to determine if each participant was suitable for interviews or observation. </w:t>
      </w:r>
      <w:r w:rsidR="00736C0B">
        <w:t>It has been recommended by t</w:t>
      </w:r>
      <w:r w:rsidR="00E759CE">
        <w:t>he Scottish Dementia Working Group Research Sub-Group (2014)</w:t>
      </w:r>
      <w:r w:rsidR="00736C0B">
        <w:t xml:space="preserve"> to ask to the start of a meeting or interview how the individual is feeling and find out if any support is needed. Researchers can use this initial meeting to assess the well-being of the individual, identifying any raised concerns or issues and adapt accordingly (Dewing, 2002; Hellstrom et al., 2007). </w:t>
      </w:r>
    </w:p>
    <w:p w14:paraId="669915A8" w14:textId="31E54CB0" w:rsidR="00517004" w:rsidRDefault="00517004" w:rsidP="00AE26B7">
      <w:pPr>
        <w:spacing w:line="360" w:lineRule="auto"/>
        <w:jc w:val="both"/>
      </w:pPr>
      <w:r>
        <w:t xml:space="preserve">      When developing this relationship between researcher and participant, choosing the location and time can be key. Giving the individual with dementia the opportunity to choose the location, duration and time for their research interview or any other meetings (Hubbard et al., 2003; McKillop &amp; Wilkinson, 2004; Scottish Dementia Working Group Research Sub-Group, 2014). </w:t>
      </w:r>
      <w:r w:rsidR="00D93F3C">
        <w:t xml:space="preserve">It is common for research which involves individuals living within the community to take place in an environment which is familiar in order to create a sense of comfort (McKillop &amp; Wilkinson, 2004; Hellstrom et al., 2007; Beuscher &amp; Grando, 2009; Pesonen et al., 2011; Bartlett, 2012). It is recommended by Nygard (2006) to adapt where possible the duration of any research interviews and/or meetings for each individual </w:t>
      </w:r>
      <w:r w:rsidR="00B960D7">
        <w:t>participating and</w:t>
      </w:r>
      <w:r w:rsidR="00D93F3C">
        <w:t xml:space="preserve"> providing the option of several shorter interviews and/or meetings. </w:t>
      </w:r>
      <w:r w:rsidR="00B960D7">
        <w:t xml:space="preserve">Allowing the individual to have this choice and providing flexibility can promote inclusivity while giving participating individuals elements of control in the research study process (Hubbard et al., 2003; Nygard, 2006). </w:t>
      </w:r>
    </w:p>
    <w:p w14:paraId="44BBD0E8" w14:textId="613A5279" w:rsidR="00C73410" w:rsidRDefault="00C73410" w:rsidP="00AE26B7">
      <w:pPr>
        <w:spacing w:line="360" w:lineRule="auto"/>
        <w:jc w:val="both"/>
      </w:pPr>
      <w:r>
        <w:lastRenderedPageBreak/>
        <w:t xml:space="preserve">      An element of the relationship between the researcher and participant is to clarify roles. The issue of ambiguity between roles is discussed by Pratt (2002) and Pesonen and colleagues (2011) who highlight how important it is to explain the role of the researcher throughout the research study process. Cognitive issues that come with dementia could add to any confusion over the role which the researcher plays and individuals with dementia may forget who the researcher may be or forget the aim and purpose of the study (Novek &amp; Wilkinson, 2019). It is essential to ensure that individuals participating understand the role in which the researcher plays to ensure fully informed consent is maintained (Novek &amp; Wilkinson, 2019). It is suggested by Pesonen and colleagues (2011) to pay closer attention to the participating individuals’ opinion and what they expect from the researcher. For a number of cases, the researcher may have to clarify their role and the aim and purpose of the research study throughout their interview and/or meeting (Pratt, 2002; Nygard, 2006). </w:t>
      </w:r>
    </w:p>
    <w:p w14:paraId="27C008C3" w14:textId="58C1C876" w:rsidR="00C73410" w:rsidRDefault="00C73410" w:rsidP="00AE26B7">
      <w:pPr>
        <w:spacing w:line="360" w:lineRule="auto"/>
        <w:jc w:val="both"/>
      </w:pPr>
      <w:r>
        <w:t xml:space="preserve">      From the participating individual’s perspective, the researcher-practitioner boundaries may become blurred, especially if the researcher is a practitioner of health or if the research is being carried out in a health care setting (Richards &amp; Schwartz, 2002; Hewitt, 2007). Situations have been described by Pratt (2002) and Pesonen and colleagues (2011) where participating individuals seek advice regarding health conditions, options for treatment and what services are available. It can be challenging to negotiate these questions, more specifically when the individual appears to not have their support needs met</w:t>
      </w:r>
      <w:r w:rsidR="00FA3276">
        <w:t>.</w:t>
      </w:r>
      <w:r>
        <w:t xml:space="preserve"> </w:t>
      </w:r>
      <w:r w:rsidR="00FA3276">
        <w:t xml:space="preserve">Where researchers also have a health care background a role conflict may arise and balancing both identities may become a struggle </w:t>
      </w:r>
      <w:r w:rsidR="00FA3276">
        <w:t xml:space="preserve">(Pesonen et al., 2011). </w:t>
      </w:r>
      <w:r w:rsidR="00FA3276">
        <w:t xml:space="preserve"> </w:t>
      </w:r>
      <w:r>
        <w:t xml:space="preserve"> </w:t>
      </w:r>
    </w:p>
    <w:p w14:paraId="22DB5375" w14:textId="02C283D5" w:rsidR="00C30F88" w:rsidRDefault="00634CE6" w:rsidP="00AE26B7">
      <w:pPr>
        <w:spacing w:line="360" w:lineRule="auto"/>
        <w:jc w:val="both"/>
        <w:rPr>
          <w:color w:val="000000" w:themeColor="text1"/>
        </w:rPr>
      </w:pPr>
      <w:r>
        <w:t xml:space="preserve">      </w:t>
      </w:r>
      <w:r w:rsidR="00BB3DF3">
        <w:t>In research ethics there is the notion of beneficence (to do good) and non-maleficence (not to harm), these principles are concerned with both the risks and benefits associated with carrying out a research study (Saratakos, 2013; Scott, 2013). Where beneficence is concerned, there is a need to look at one’s right to autonomy; this includes any action where doing well is the main focus (Strom &amp; Engedal, 2020). This can be shown through compassion, mercy and sympathy, while resisting bad and doing good, making sure that one’s rights are protected and defended, preventing harm to others and removing anything that may cause harm (</w:t>
      </w:r>
      <w:r w:rsidR="00FA41E1">
        <w:t>Beauchamp &amp; Childress, 2019</w:t>
      </w:r>
      <w:r w:rsidR="00BB3DF3">
        <w:t xml:space="preserve">). When thinking about potential psychosocial interventions for, the main aim is the promotion of well-being; this satisfies </w:t>
      </w:r>
      <w:r w:rsidR="00BB3DF3">
        <w:rPr>
          <w:color w:val="000000" w:themeColor="text1"/>
        </w:rPr>
        <w:t xml:space="preserve">the notion of doing and the promotion of good. Simultaneously, it is one’s duty to defend and protect the individual, and where possible, be sure that all decisions made are for the good of the individual (Strom &amp; Engedal, 2020). </w:t>
      </w:r>
    </w:p>
    <w:p w14:paraId="238515F9" w14:textId="16F7F7CD" w:rsidR="007A1AB3" w:rsidRDefault="00C30F88" w:rsidP="00AE26B7">
      <w:pPr>
        <w:spacing w:line="360" w:lineRule="auto"/>
        <w:jc w:val="both"/>
        <w:rPr>
          <w:color w:val="000000" w:themeColor="text1"/>
        </w:rPr>
      </w:pPr>
      <w:r>
        <w:rPr>
          <w:color w:val="000000" w:themeColor="text1"/>
        </w:rPr>
        <w:lastRenderedPageBreak/>
        <w:t xml:space="preserve">      </w:t>
      </w:r>
      <w:r w:rsidR="00A97889">
        <w:rPr>
          <w:color w:val="000000" w:themeColor="text1"/>
        </w:rPr>
        <w:t xml:space="preserve">More specifically, there are a number of challenging characteristics relating to beneficence and psychosocial interventions. </w:t>
      </w:r>
      <w:r>
        <w:rPr>
          <w:color w:val="000000" w:themeColor="text1"/>
        </w:rPr>
        <w:t xml:space="preserve">Firstly, for the individual, what is best? An aspect of care which is person-centred is to make sure that all activities and care is adapted (Strom &amp; Engedal, 2020; </w:t>
      </w:r>
      <w:r w:rsidR="00FA41E1">
        <w:rPr>
          <w:color w:val="000000" w:themeColor="text1"/>
        </w:rPr>
        <w:t>Brooker, 2004</w:t>
      </w:r>
      <w:r>
        <w:rPr>
          <w:color w:val="000000" w:themeColor="text1"/>
        </w:rPr>
        <w:t>). But, for the individual – how do we know what is best? Where does the knowledge come from? A requirement for the assessment of what is best for the individual is to understand what they desire. (Strom &amp; Engedal, 2020). It has been emphasised by Harnett (</w:t>
      </w:r>
      <w:r w:rsidR="00FA41E1">
        <w:rPr>
          <w:color w:val="000000" w:themeColor="text1"/>
        </w:rPr>
        <w:t>2006, 2014</w:t>
      </w:r>
      <w:r>
        <w:rPr>
          <w:color w:val="000000" w:themeColor="text1"/>
        </w:rPr>
        <w:t xml:space="preserve">) however, that </w:t>
      </w:r>
      <w:r>
        <w:rPr>
          <w:i/>
          <w:iCs/>
          <w:color w:val="000000" w:themeColor="text1"/>
        </w:rPr>
        <w:t xml:space="preserve">“spontaneous, unplanned and unprompted activities that emerge through a relational and person-centred understanding of care are less often addressed in this research field”. </w:t>
      </w:r>
      <w:r>
        <w:rPr>
          <w:color w:val="000000" w:themeColor="text1"/>
        </w:rPr>
        <w:t>The dementia guidelines in Norway place emphasis on the measures adapted for the interest, resources and needs of the individual, and should be adjusted depending on dementia progression changes (</w:t>
      </w:r>
      <w:r w:rsidR="00FA41E1">
        <w:rPr>
          <w:color w:val="000000" w:themeColor="text1"/>
        </w:rPr>
        <w:t>The Norwegian Directorate of Health, 2016</w:t>
      </w:r>
      <w:r>
        <w:rPr>
          <w:color w:val="000000" w:themeColor="text1"/>
        </w:rPr>
        <w:t>). The approach put forward by Harnett (</w:t>
      </w:r>
      <w:r w:rsidR="00FA41E1">
        <w:rPr>
          <w:color w:val="000000" w:themeColor="text1"/>
        </w:rPr>
        <w:t>2006, 201</w:t>
      </w:r>
      <w:r>
        <w:rPr>
          <w:color w:val="000000" w:themeColor="text1"/>
        </w:rPr>
        <w:t xml:space="preserve">4) is consistent with </w:t>
      </w:r>
      <w:r>
        <w:rPr>
          <w:i/>
          <w:iCs/>
          <w:color w:val="000000" w:themeColor="text1"/>
        </w:rPr>
        <w:t>‘VIPS’</w:t>
      </w:r>
      <w:r>
        <w:rPr>
          <w:color w:val="000000" w:themeColor="text1"/>
        </w:rPr>
        <w:t xml:space="preserve"> framework, emphasising the individuality of the individual with dementia (</w:t>
      </w:r>
      <w:r w:rsidR="00FA41E1">
        <w:rPr>
          <w:color w:val="000000" w:themeColor="text1"/>
        </w:rPr>
        <w:t>Beauchamp &amp; Childress, 2019</w:t>
      </w:r>
      <w:r>
        <w:rPr>
          <w:color w:val="000000" w:themeColor="text1"/>
        </w:rPr>
        <w:t xml:space="preserve">). </w:t>
      </w:r>
      <w:r w:rsidR="004B75BF">
        <w:rPr>
          <w:color w:val="000000" w:themeColor="text1"/>
        </w:rPr>
        <w:t xml:space="preserve">There is however an extensive range of psychosocial interventions, which raises questions relating to what is preferred by the individual (Strom &amp; Engedal, 2020). </w:t>
      </w:r>
    </w:p>
    <w:p w14:paraId="514558C2" w14:textId="733A47EF" w:rsidR="00E5120C" w:rsidRDefault="00A42ABB" w:rsidP="00AE26B7">
      <w:pPr>
        <w:spacing w:line="360" w:lineRule="auto"/>
        <w:jc w:val="both"/>
        <w:rPr>
          <w:color w:val="000000" w:themeColor="text1"/>
        </w:rPr>
      </w:pPr>
      <w:r>
        <w:rPr>
          <w:color w:val="000000" w:themeColor="text1"/>
        </w:rPr>
        <w:t xml:space="preserve">      A way to safeguard an individual’s desires is by knowing the history of their life, gaining the knowledge of events and interests of their past (Strom &amp; Engedal, 2020). Brooker (</w:t>
      </w:r>
      <w:r w:rsidR="00FA41E1">
        <w:rPr>
          <w:color w:val="000000" w:themeColor="text1"/>
        </w:rPr>
        <w:t>2004</w:t>
      </w:r>
      <w:r>
        <w:rPr>
          <w:color w:val="000000" w:themeColor="text1"/>
        </w:rPr>
        <w:t>) suggests that this is a way to safeguard one’s ability to comprehend the individual’s perspective of the world. Still, even with information of the individual’s events and interests of the past, there is an importance to observe the individual to identify any signs of discomfort or distress (Strom &amp; Engedal, 2020). The idea of enabling a psychosocial environment is a basic standard in care that is patient centred. It will challenge one to think about the psychosocial interventions and which ones are suitable</w:t>
      </w:r>
      <w:r w:rsidR="00E5120C">
        <w:rPr>
          <w:color w:val="000000" w:themeColor="text1"/>
        </w:rPr>
        <w:t xml:space="preserve">, choosing the method that the individual is more likely to enjoy </w:t>
      </w:r>
      <w:r>
        <w:rPr>
          <w:color w:val="000000" w:themeColor="text1"/>
        </w:rPr>
        <w:t>(</w:t>
      </w:r>
      <w:r w:rsidR="00FA41E1">
        <w:rPr>
          <w:color w:val="000000" w:themeColor="text1"/>
        </w:rPr>
        <w:t>Brooker, 2004</w:t>
      </w:r>
      <w:r>
        <w:rPr>
          <w:color w:val="000000" w:themeColor="text1"/>
        </w:rPr>
        <w:t>).</w:t>
      </w:r>
      <w:r w:rsidR="00E5120C">
        <w:rPr>
          <w:color w:val="000000" w:themeColor="text1"/>
        </w:rPr>
        <w:t xml:space="preserve"> Mohler and colleagues (</w:t>
      </w:r>
      <w:r w:rsidR="00FA41E1">
        <w:rPr>
          <w:color w:val="000000" w:themeColor="text1"/>
        </w:rPr>
        <w:t>Mohler et al., 2018</w:t>
      </w:r>
      <w:r w:rsidR="00E5120C">
        <w:rPr>
          <w:color w:val="000000" w:themeColor="text1"/>
        </w:rPr>
        <w:t xml:space="preserve">) however reported that no evidence supported this notion that more individually tailored activities can be more effective. </w:t>
      </w:r>
    </w:p>
    <w:p w14:paraId="21D47A1D" w14:textId="63851770" w:rsidR="00E5120C" w:rsidRDefault="00E5120C" w:rsidP="00AE26B7">
      <w:pPr>
        <w:spacing w:line="360" w:lineRule="auto"/>
        <w:jc w:val="both"/>
        <w:rPr>
          <w:color w:val="000000" w:themeColor="text1"/>
        </w:rPr>
      </w:pPr>
      <w:r>
        <w:rPr>
          <w:color w:val="000000" w:themeColor="text1"/>
        </w:rPr>
        <w:t xml:space="preserve">      Related to beneficence, the idea of non-maleficence </w:t>
      </w:r>
      <w:r w:rsidR="004467CB">
        <w:rPr>
          <w:color w:val="000000" w:themeColor="text1"/>
        </w:rPr>
        <w:t>is a basic principle of research ethics; although distinguishing between the two is not always the easiest (</w:t>
      </w:r>
      <w:r w:rsidR="00FA41E1">
        <w:rPr>
          <w:color w:val="000000" w:themeColor="text1"/>
        </w:rPr>
        <w:t>Beauchamp &amp; Childress, 2019</w:t>
      </w:r>
      <w:r w:rsidR="004467CB">
        <w:rPr>
          <w:color w:val="000000" w:themeColor="text1"/>
        </w:rPr>
        <w:t>; Strom &amp; Engedal, 2020). For research and treatment, it is important of a balance between trying to avoid causing harm and doing good. Although there is the assumption that to participate in a psychosocial intervention is not likely to cause the individual harm, a question is raised as to whether psychosocial or physical discomfort/inconvenience to the individual with dementia (</w:t>
      </w:r>
      <w:r w:rsidR="00FA41E1">
        <w:rPr>
          <w:color w:val="000000" w:themeColor="text1"/>
        </w:rPr>
        <w:t>Ruyter et al., 2014</w:t>
      </w:r>
      <w:r w:rsidR="004467CB">
        <w:rPr>
          <w:color w:val="000000" w:themeColor="text1"/>
        </w:rPr>
        <w:t xml:space="preserve">; Strom &amp; Engedal, 2020). For example, </w:t>
      </w:r>
      <w:r w:rsidR="000576A8">
        <w:rPr>
          <w:color w:val="000000" w:themeColor="text1"/>
        </w:rPr>
        <w:t xml:space="preserve">using massage in dementia care can help to increase well-being, reduce stress while contributing to the </w:t>
      </w:r>
      <w:r w:rsidR="000576A8">
        <w:rPr>
          <w:color w:val="000000" w:themeColor="text1"/>
        </w:rPr>
        <w:lastRenderedPageBreak/>
        <w:t>community experience (</w:t>
      </w:r>
      <w:proofErr w:type="spellStart"/>
      <w:r w:rsidR="00FA41E1">
        <w:rPr>
          <w:color w:val="000000" w:themeColor="text1"/>
        </w:rPr>
        <w:t>Skovdahl</w:t>
      </w:r>
      <w:proofErr w:type="spellEnd"/>
      <w:r w:rsidR="00FA41E1">
        <w:rPr>
          <w:color w:val="000000" w:themeColor="text1"/>
        </w:rPr>
        <w:t>, 2003</w:t>
      </w:r>
      <w:r w:rsidR="000576A8">
        <w:rPr>
          <w:color w:val="000000" w:themeColor="text1"/>
        </w:rPr>
        <w:t xml:space="preserve">). This establishes support for the assumption of doing good. But similarly, one is faced with a challenge as not everyone will enjoy massage and feel it to be too intimate and uncomfortable (Strom &amp; Engedal, 2020). To expose an individual with dementia to a psychosocial intervention can be complicated and can cause some frustration and/or harm, potentially triggering a number of effects that could be adverse, for example – depression, agitation or anxiety (Strom &amp; Engedal, 2020). </w:t>
      </w:r>
    </w:p>
    <w:p w14:paraId="03E11788" w14:textId="57964BCE" w:rsidR="00DA096E" w:rsidRDefault="00DA096E" w:rsidP="00AE26B7">
      <w:pPr>
        <w:spacing w:line="360" w:lineRule="auto"/>
        <w:jc w:val="both"/>
        <w:rPr>
          <w:color w:val="000000" w:themeColor="text1"/>
        </w:rPr>
      </w:pPr>
      <w:r>
        <w:rPr>
          <w:color w:val="000000" w:themeColor="text1"/>
        </w:rPr>
        <w:t xml:space="preserve">      This essay has shown that there are a number of ethical challenges that face the researcher, which can be ever changing with the inclusion of individuals with dementia in research that is qualitative. When being faced with these ethical challenges </w:t>
      </w:r>
      <w:r w:rsidR="00B45452">
        <w:rPr>
          <w:color w:val="000000" w:themeColor="text1"/>
        </w:rPr>
        <w:t xml:space="preserve">it is important to be aware of any cues </w:t>
      </w:r>
      <w:r w:rsidR="003D2E6C">
        <w:rPr>
          <w:color w:val="000000" w:themeColor="text1"/>
        </w:rPr>
        <w:t>from the individual with dementia that they are in distress in any way. It is important to take the time to maintain the individual’s dignity and to avoid risk where possible, while providing all the information necessary to gain a fully informed consent</w:t>
      </w:r>
      <w:r w:rsidR="00BB4AB9">
        <w:rPr>
          <w:color w:val="000000" w:themeColor="text1"/>
        </w:rPr>
        <w:t xml:space="preserve"> and being attentive to the relationship between researcher and individual with moral sensitivity. </w:t>
      </w:r>
      <w:r w:rsidR="00632C7C">
        <w:rPr>
          <w:color w:val="000000" w:themeColor="text1"/>
        </w:rPr>
        <w:t xml:space="preserve">Attention should be given to the vulnerabilities of the individual with dementia, safeguarding from harm and protecting from stigma. </w:t>
      </w:r>
    </w:p>
    <w:p w14:paraId="2EB6B9D5" w14:textId="13DDAFF4" w:rsidR="00A42ABB" w:rsidRPr="00C30F88" w:rsidRDefault="00E5120C" w:rsidP="00AE26B7">
      <w:pPr>
        <w:spacing w:line="360" w:lineRule="auto"/>
        <w:jc w:val="both"/>
        <w:rPr>
          <w:color w:val="000000" w:themeColor="text1"/>
        </w:rPr>
      </w:pPr>
      <w:r>
        <w:rPr>
          <w:color w:val="000000" w:themeColor="text1"/>
        </w:rPr>
        <w:t xml:space="preserve">        </w:t>
      </w:r>
    </w:p>
    <w:p w14:paraId="2991E4A4" w14:textId="7D2FEB4F" w:rsidR="00C30F88" w:rsidRPr="00BB3DF3" w:rsidRDefault="00C30F88" w:rsidP="00AE26B7">
      <w:pPr>
        <w:spacing w:line="360" w:lineRule="auto"/>
        <w:jc w:val="both"/>
      </w:pPr>
      <w:r>
        <w:rPr>
          <w:color w:val="000000" w:themeColor="text1"/>
        </w:rPr>
        <w:t xml:space="preserve">      </w:t>
      </w:r>
    </w:p>
    <w:p w14:paraId="4B6BA884" w14:textId="44B658BB" w:rsidR="006E73DF" w:rsidRDefault="006E73DF" w:rsidP="00AE26B7">
      <w:pPr>
        <w:spacing w:line="360" w:lineRule="auto"/>
        <w:jc w:val="both"/>
        <w:rPr>
          <w:color w:val="000000" w:themeColor="text1"/>
        </w:rPr>
      </w:pPr>
      <w:r>
        <w:rPr>
          <w:color w:val="000000" w:themeColor="text1"/>
        </w:rPr>
        <w:t xml:space="preserve">      </w:t>
      </w:r>
    </w:p>
    <w:p w14:paraId="40816C30" w14:textId="51EC333E" w:rsidR="002313DE" w:rsidRPr="00DA096E" w:rsidRDefault="002313DE" w:rsidP="00DA096E">
      <w:pPr>
        <w:spacing w:line="360" w:lineRule="auto"/>
        <w:jc w:val="both"/>
        <w:rPr>
          <w:color w:val="000000" w:themeColor="text1"/>
        </w:rPr>
      </w:pPr>
    </w:p>
    <w:p w14:paraId="3204D8D6" w14:textId="7EFF562A" w:rsidR="002313DE" w:rsidRDefault="002313DE" w:rsidP="00D43B50">
      <w:pPr>
        <w:spacing w:line="360" w:lineRule="auto"/>
      </w:pPr>
    </w:p>
    <w:p w14:paraId="249993F4" w14:textId="32CDB382" w:rsidR="002313DE" w:rsidRDefault="002313DE" w:rsidP="00D43B50">
      <w:pPr>
        <w:spacing w:line="360" w:lineRule="auto"/>
      </w:pPr>
    </w:p>
    <w:p w14:paraId="186C6117" w14:textId="10D56130" w:rsidR="002313DE" w:rsidRDefault="002313DE" w:rsidP="00D43B50">
      <w:pPr>
        <w:spacing w:line="360" w:lineRule="auto"/>
      </w:pPr>
    </w:p>
    <w:p w14:paraId="2EF5747D" w14:textId="77777777" w:rsidR="0097285F" w:rsidRDefault="0097285F" w:rsidP="0097285F">
      <w:pPr>
        <w:spacing w:line="360" w:lineRule="auto"/>
        <w:rPr>
          <w:u w:val="single"/>
        </w:rPr>
      </w:pPr>
    </w:p>
    <w:p w14:paraId="475CFA2C" w14:textId="77777777" w:rsidR="0097285F" w:rsidRDefault="0097285F" w:rsidP="0097285F">
      <w:pPr>
        <w:spacing w:line="360" w:lineRule="auto"/>
        <w:rPr>
          <w:u w:val="single"/>
        </w:rPr>
      </w:pPr>
    </w:p>
    <w:p w14:paraId="05D9EFBC" w14:textId="77777777" w:rsidR="0097285F" w:rsidRDefault="0097285F" w:rsidP="0097285F">
      <w:pPr>
        <w:spacing w:line="360" w:lineRule="auto"/>
        <w:rPr>
          <w:u w:val="single"/>
        </w:rPr>
      </w:pPr>
    </w:p>
    <w:p w14:paraId="5882098A" w14:textId="77777777" w:rsidR="0097285F" w:rsidRDefault="0097285F" w:rsidP="0097285F">
      <w:pPr>
        <w:spacing w:line="360" w:lineRule="auto"/>
        <w:rPr>
          <w:u w:val="single"/>
        </w:rPr>
      </w:pPr>
    </w:p>
    <w:p w14:paraId="299AB66D" w14:textId="77777777" w:rsidR="0097285F" w:rsidRDefault="0097285F" w:rsidP="0097285F">
      <w:pPr>
        <w:spacing w:line="360" w:lineRule="auto"/>
        <w:rPr>
          <w:u w:val="single"/>
        </w:rPr>
      </w:pPr>
    </w:p>
    <w:p w14:paraId="7696F2B6" w14:textId="77777777" w:rsidR="0097285F" w:rsidRDefault="0097285F" w:rsidP="0097285F">
      <w:pPr>
        <w:spacing w:line="360" w:lineRule="auto"/>
        <w:rPr>
          <w:u w:val="single"/>
        </w:rPr>
      </w:pPr>
    </w:p>
    <w:p w14:paraId="0B24CFF4" w14:textId="77777777" w:rsidR="0097285F" w:rsidRDefault="0097285F" w:rsidP="0097285F">
      <w:pPr>
        <w:spacing w:line="360" w:lineRule="auto"/>
        <w:rPr>
          <w:u w:val="single"/>
        </w:rPr>
      </w:pPr>
    </w:p>
    <w:p w14:paraId="2CDF0802" w14:textId="77777777" w:rsidR="0097285F" w:rsidRDefault="0097285F" w:rsidP="0097285F">
      <w:pPr>
        <w:spacing w:line="360" w:lineRule="auto"/>
        <w:rPr>
          <w:u w:val="single"/>
        </w:rPr>
      </w:pPr>
    </w:p>
    <w:p w14:paraId="3B6526F3" w14:textId="77777777" w:rsidR="0097285F" w:rsidRDefault="0097285F" w:rsidP="0097285F">
      <w:pPr>
        <w:spacing w:line="360" w:lineRule="auto"/>
        <w:rPr>
          <w:u w:val="single"/>
        </w:rPr>
      </w:pPr>
    </w:p>
    <w:p w14:paraId="6908A597" w14:textId="3BE706A9" w:rsidR="0097285F" w:rsidRDefault="0097285F" w:rsidP="0097285F">
      <w:pPr>
        <w:spacing w:line="360" w:lineRule="auto"/>
        <w:rPr>
          <w:u w:val="single"/>
        </w:rPr>
      </w:pPr>
    </w:p>
    <w:p w14:paraId="28F75FA8" w14:textId="77777777" w:rsidR="00632C7C" w:rsidRDefault="00632C7C" w:rsidP="0097285F">
      <w:pPr>
        <w:spacing w:line="360" w:lineRule="auto"/>
        <w:rPr>
          <w:u w:val="single"/>
        </w:rPr>
      </w:pPr>
    </w:p>
    <w:p w14:paraId="0F09075A" w14:textId="1626C963" w:rsidR="00136C23" w:rsidRPr="00136C23" w:rsidRDefault="002313DE" w:rsidP="0097285F">
      <w:pPr>
        <w:spacing w:line="360" w:lineRule="auto"/>
      </w:pPr>
      <w:r>
        <w:rPr>
          <w:u w:val="single"/>
        </w:rPr>
        <w:lastRenderedPageBreak/>
        <w:t>Reference List</w:t>
      </w:r>
    </w:p>
    <w:p w14:paraId="54212B52" w14:textId="77777777" w:rsidR="004A600F" w:rsidRPr="00E52614" w:rsidRDefault="004A600F" w:rsidP="00AE1B5B">
      <w:pPr>
        <w:spacing w:line="360" w:lineRule="auto"/>
        <w:ind w:left="720" w:hanging="720"/>
      </w:pPr>
      <w:r w:rsidRPr="00E52614">
        <w:t xml:space="preserve">Abedsaeidi, J., &amp; Amiraliakbari, S. (2015). </w:t>
      </w:r>
      <w:r w:rsidRPr="00E52614">
        <w:rPr>
          <w:i/>
          <w:iCs/>
        </w:rPr>
        <w:t>Research Method in Medical Sciences and Health.</w:t>
      </w:r>
      <w:r w:rsidRPr="00E52614">
        <w:t xml:space="preserve"> Tehran: </w:t>
      </w:r>
      <w:proofErr w:type="spellStart"/>
      <w:r w:rsidRPr="00E52614">
        <w:t>Salemi</w:t>
      </w:r>
      <w:proofErr w:type="spellEnd"/>
      <w:r w:rsidRPr="00E52614">
        <w:t xml:space="preserve">. </w:t>
      </w:r>
    </w:p>
    <w:p w14:paraId="1787CE52" w14:textId="77777777" w:rsidR="004A600F" w:rsidRDefault="004A600F" w:rsidP="008A72DA">
      <w:pPr>
        <w:spacing w:line="360" w:lineRule="auto"/>
        <w:ind w:left="720" w:hanging="720"/>
        <w:jc w:val="both"/>
        <w:rPr>
          <w:color w:val="222222"/>
          <w:shd w:val="clear" w:color="auto" w:fill="FFFFFF"/>
        </w:rPr>
      </w:pPr>
      <w:r>
        <w:rPr>
          <w:color w:val="222222"/>
          <w:shd w:val="clear" w:color="auto" w:fill="FFFFFF"/>
        </w:rPr>
        <w:t xml:space="preserve">Bartlett, H., &amp; Martin, W. (2002). Ethical issues in dementia care research. In H. Wilkinson (Ed.) The perspectives of people with dementia: Research methods and motivations (pp. 47 – 61). London: Jessica Kingsley. </w:t>
      </w:r>
    </w:p>
    <w:p w14:paraId="5002D7FC" w14:textId="77777777" w:rsidR="004A600F" w:rsidRDefault="004A600F" w:rsidP="00350FDE">
      <w:pPr>
        <w:spacing w:line="360" w:lineRule="auto"/>
        <w:ind w:left="720" w:hanging="720"/>
        <w:jc w:val="both"/>
      </w:pPr>
      <w:r w:rsidRPr="00350FDE">
        <w:t xml:space="preserve">Bartlett, R. (2012). Modifying the diary interview method to research the lives of people with dementia. </w:t>
      </w:r>
      <w:r w:rsidRPr="008A72DA">
        <w:rPr>
          <w:i/>
          <w:iCs/>
        </w:rPr>
        <w:t>Qualitative Health Research, 22(12),</w:t>
      </w:r>
      <w:r w:rsidRPr="00350FDE">
        <w:t xml:space="preserve"> 1717–1726. </w:t>
      </w:r>
    </w:p>
    <w:p w14:paraId="1824C13B" w14:textId="77777777" w:rsidR="004A600F" w:rsidRDefault="004A600F" w:rsidP="00136C23">
      <w:pPr>
        <w:spacing w:line="360" w:lineRule="auto"/>
        <w:ind w:left="720" w:hanging="720"/>
        <w:jc w:val="both"/>
      </w:pPr>
      <w:r>
        <w:t xml:space="preserve">Beauchamp, T. L. &amp; Childress, J. F. (2019). </w:t>
      </w:r>
      <w:r>
        <w:rPr>
          <w:i/>
          <w:iCs/>
        </w:rPr>
        <w:t xml:space="preserve">Principles of biomedical ethics </w:t>
      </w:r>
      <w:r>
        <w:t>(8</w:t>
      </w:r>
      <w:r w:rsidRPr="000576A8">
        <w:rPr>
          <w:vertAlign w:val="superscript"/>
        </w:rPr>
        <w:t>th</w:t>
      </w:r>
      <w:r>
        <w:t xml:space="preserve"> eds.). New York: Oxford University Press. </w:t>
      </w:r>
    </w:p>
    <w:p w14:paraId="5515B060" w14:textId="77777777" w:rsidR="004A600F" w:rsidRPr="00A35576" w:rsidRDefault="004A600F" w:rsidP="00A35576">
      <w:pPr>
        <w:spacing w:line="360" w:lineRule="auto"/>
        <w:ind w:left="720" w:hanging="720"/>
        <w:jc w:val="both"/>
        <w:rPr>
          <w:i/>
          <w:iCs/>
        </w:rPr>
      </w:pPr>
      <w:r w:rsidRPr="000D5B1E">
        <w:t>Behuniak, S. K., (2011). The living dead? The construction of people with Alzheimer’s</w:t>
      </w:r>
      <w:r>
        <w:t xml:space="preserve"> disease </w:t>
      </w:r>
      <w:r w:rsidRPr="00A35576">
        <w:t xml:space="preserve">as zombies. </w:t>
      </w:r>
      <w:r w:rsidRPr="00A35576">
        <w:rPr>
          <w:i/>
          <w:iCs/>
        </w:rPr>
        <w:t>Aging Soc, 31, 70 – 92.</w:t>
      </w:r>
    </w:p>
    <w:p w14:paraId="3C1C38B4" w14:textId="77777777" w:rsidR="004A600F" w:rsidRPr="00AB746E" w:rsidRDefault="004A600F" w:rsidP="00AB746E">
      <w:pPr>
        <w:spacing w:line="360" w:lineRule="auto"/>
        <w:ind w:left="720" w:hanging="720"/>
        <w:jc w:val="both"/>
        <w:rPr>
          <w:i/>
          <w:iCs/>
        </w:rPr>
      </w:pPr>
      <w:r w:rsidRPr="00AB746E">
        <w:t xml:space="preserve">Benham, B. (2008). The ubiquity of deception and the ethics of deceptive research. </w:t>
      </w:r>
      <w:r w:rsidRPr="00AB746E">
        <w:rPr>
          <w:i/>
          <w:iCs/>
        </w:rPr>
        <w:t>Bio eithcs, 22(3), 147 – 156.</w:t>
      </w:r>
    </w:p>
    <w:p w14:paraId="21B82576" w14:textId="77777777" w:rsidR="004A600F" w:rsidRDefault="004A600F" w:rsidP="000576A8">
      <w:pPr>
        <w:spacing w:line="360" w:lineRule="auto"/>
        <w:ind w:left="720" w:hanging="720"/>
        <w:jc w:val="both"/>
      </w:pPr>
      <w:proofErr w:type="spellStart"/>
      <w:r w:rsidRPr="000576A8">
        <w:t>Bergland</w:t>
      </w:r>
      <w:proofErr w:type="spellEnd"/>
      <w:r w:rsidRPr="000576A8">
        <w:t xml:space="preserve"> </w:t>
      </w:r>
      <w:proofErr w:type="spellStart"/>
      <w:r w:rsidRPr="000576A8">
        <w:t>Kirkevold</w:t>
      </w:r>
      <w:proofErr w:type="spellEnd"/>
      <w:r>
        <w:t>,</w:t>
      </w:r>
      <w:r w:rsidRPr="000576A8">
        <w:t xml:space="preserve"> A</w:t>
      </w:r>
      <w:r>
        <w:t xml:space="preserve">. </w:t>
      </w:r>
      <w:r w:rsidRPr="000576A8">
        <w:t>M.</w:t>
      </w:r>
      <w:r>
        <w:t xml:space="preserve"> (2006).</w:t>
      </w:r>
      <w:r w:rsidRPr="000576A8">
        <w:t xml:space="preserve"> Thriving in nursing homes in Norway: contributing aspects described by residents. </w:t>
      </w:r>
      <w:r w:rsidRPr="000576A8">
        <w:rPr>
          <w:i/>
          <w:iCs/>
        </w:rPr>
        <w:t xml:space="preserve">Int J </w:t>
      </w:r>
      <w:proofErr w:type="spellStart"/>
      <w:r w:rsidRPr="000576A8">
        <w:rPr>
          <w:i/>
          <w:iCs/>
        </w:rPr>
        <w:t>Nurs</w:t>
      </w:r>
      <w:proofErr w:type="spellEnd"/>
      <w:r w:rsidRPr="000576A8">
        <w:rPr>
          <w:i/>
          <w:iCs/>
        </w:rPr>
        <w:t xml:space="preserve"> Stud</w:t>
      </w:r>
      <w:r w:rsidRPr="000576A8">
        <w:rPr>
          <w:i/>
          <w:iCs/>
        </w:rPr>
        <w:t>,</w:t>
      </w:r>
      <w:r w:rsidRPr="000576A8">
        <w:rPr>
          <w:i/>
          <w:iCs/>
        </w:rPr>
        <w:t xml:space="preserve"> 43(6)</w:t>
      </w:r>
      <w:r>
        <w:rPr>
          <w:i/>
          <w:iCs/>
        </w:rPr>
        <w:t>,</w:t>
      </w:r>
      <w:r w:rsidRPr="000576A8">
        <w:t xml:space="preserve"> 681–691. </w:t>
      </w:r>
    </w:p>
    <w:p w14:paraId="3081F211" w14:textId="77777777" w:rsidR="004A600F" w:rsidRDefault="004A600F" w:rsidP="00350FDE">
      <w:pPr>
        <w:spacing w:line="360" w:lineRule="auto"/>
        <w:ind w:left="720" w:hanging="720"/>
        <w:jc w:val="both"/>
      </w:pPr>
      <w:r w:rsidRPr="00350FDE">
        <w:t xml:space="preserve">Beuscher, L., &amp; Grando, V. T. (2009). Challenges in conducting qualitative research with individuals with dementia. </w:t>
      </w:r>
      <w:r w:rsidRPr="008A72DA">
        <w:rPr>
          <w:i/>
          <w:iCs/>
        </w:rPr>
        <w:t>Research in Gerontological Nursing, 2(1),</w:t>
      </w:r>
      <w:r w:rsidRPr="00350FDE">
        <w:t xml:space="preserve"> 6–11. </w:t>
      </w:r>
    </w:p>
    <w:p w14:paraId="0430339F" w14:textId="77777777" w:rsidR="004A600F" w:rsidRDefault="004A600F" w:rsidP="00C41E69">
      <w:pPr>
        <w:spacing w:line="360" w:lineRule="auto"/>
        <w:ind w:left="720" w:hanging="720"/>
        <w:jc w:val="both"/>
        <w:rPr>
          <w:color w:val="3A3A3A"/>
          <w:shd w:val="clear" w:color="auto" w:fill="FFFFFF"/>
        </w:rPr>
      </w:pPr>
      <w:r w:rsidRPr="00C41E69">
        <w:rPr>
          <w:color w:val="3A3A3A"/>
          <w:shd w:val="clear" w:color="auto" w:fill="FFFFFF"/>
        </w:rPr>
        <w:t xml:space="preserve">Black, B. S., Johnston, D., Rabins, P. V., Morrison, A., </w:t>
      </w:r>
      <w:proofErr w:type="spellStart"/>
      <w:r w:rsidRPr="00C41E69">
        <w:rPr>
          <w:color w:val="3A3A3A"/>
          <w:shd w:val="clear" w:color="auto" w:fill="FFFFFF"/>
        </w:rPr>
        <w:t>Lyketsos</w:t>
      </w:r>
      <w:proofErr w:type="spellEnd"/>
      <w:r w:rsidRPr="00C41E69">
        <w:rPr>
          <w:color w:val="3A3A3A"/>
          <w:shd w:val="clear" w:color="auto" w:fill="FFFFFF"/>
        </w:rPr>
        <w:t>, C., &amp; Samus, Q. M. (2013). Unmet Needs of Community‐Residing Persons with Dementia and Their Informal Caregivers: Findings from the Maximizing Independence at Home Study. </w:t>
      </w:r>
      <w:r w:rsidRPr="00C41E69">
        <w:rPr>
          <w:i/>
          <w:iCs/>
          <w:color w:val="3A3A3A"/>
        </w:rPr>
        <w:t>Journal of the American Geriatrics Society (JAGS)</w:t>
      </w:r>
      <w:r w:rsidRPr="00C41E69">
        <w:rPr>
          <w:color w:val="3A3A3A"/>
          <w:shd w:val="clear" w:color="auto" w:fill="FFFFFF"/>
        </w:rPr>
        <w:t>, </w:t>
      </w:r>
      <w:r w:rsidRPr="00C41E69">
        <w:rPr>
          <w:i/>
          <w:iCs/>
          <w:color w:val="3A3A3A"/>
        </w:rPr>
        <w:t>61</w:t>
      </w:r>
      <w:r w:rsidRPr="00C41E69">
        <w:rPr>
          <w:color w:val="3A3A3A"/>
          <w:shd w:val="clear" w:color="auto" w:fill="FFFFFF"/>
        </w:rPr>
        <w:t xml:space="preserve">(12), 2087–2095. </w:t>
      </w:r>
      <w:hyperlink r:id="rId7" w:history="1">
        <w:r w:rsidRPr="00C41E69">
          <w:rPr>
            <w:rStyle w:val="Hyperlink"/>
            <w:shd w:val="clear" w:color="auto" w:fill="FFFFFF"/>
          </w:rPr>
          <w:t>https://doi.org/10.1111/jgs.12549</w:t>
        </w:r>
      </w:hyperlink>
    </w:p>
    <w:p w14:paraId="48390C24" w14:textId="77777777" w:rsidR="004A600F" w:rsidRDefault="004A600F" w:rsidP="00AE1B5B">
      <w:pPr>
        <w:spacing w:line="360" w:lineRule="auto"/>
        <w:ind w:left="720" w:hanging="720"/>
        <w:jc w:val="both"/>
        <w:rPr>
          <w:color w:val="3A3A3A"/>
          <w:shd w:val="clear" w:color="auto" w:fill="FFFFFF"/>
        </w:rPr>
      </w:pPr>
      <w:r>
        <w:rPr>
          <w:color w:val="222222"/>
          <w:shd w:val="clear" w:color="auto" w:fill="FFFFFF"/>
        </w:rPr>
        <w:t xml:space="preserve">Braken-Roche, D., Bell, E., Macdonald, M. E., &amp; Racine, E. (2017). </w:t>
      </w:r>
      <w:r w:rsidRPr="00AE1B5B">
        <w:rPr>
          <w:color w:val="3A3A3A"/>
          <w:shd w:val="clear" w:color="auto" w:fill="FFFFFF"/>
        </w:rPr>
        <w:t>The concept of 'vulnerability' in research ethics: an in-depth analysis of policies and guidelines. </w:t>
      </w:r>
      <w:r w:rsidRPr="00AE1B5B">
        <w:rPr>
          <w:i/>
          <w:iCs/>
          <w:color w:val="3A3A3A"/>
        </w:rPr>
        <w:t>Health Research Policy and Systems</w:t>
      </w:r>
      <w:r w:rsidRPr="00AE1B5B">
        <w:rPr>
          <w:color w:val="3A3A3A"/>
          <w:shd w:val="clear" w:color="auto" w:fill="FFFFFF"/>
        </w:rPr>
        <w:t>, </w:t>
      </w:r>
      <w:r w:rsidRPr="00AE1B5B">
        <w:rPr>
          <w:i/>
          <w:iCs/>
          <w:color w:val="3A3A3A"/>
        </w:rPr>
        <w:t>15</w:t>
      </w:r>
      <w:r w:rsidRPr="00AE1B5B">
        <w:rPr>
          <w:color w:val="3A3A3A"/>
          <w:shd w:val="clear" w:color="auto" w:fill="FFFFFF"/>
        </w:rPr>
        <w:t xml:space="preserve">(1), 8–8. </w:t>
      </w:r>
      <w:hyperlink r:id="rId8" w:history="1">
        <w:r w:rsidRPr="00791C72">
          <w:rPr>
            <w:rStyle w:val="Hyperlink"/>
            <w:shd w:val="clear" w:color="auto" w:fill="FFFFFF"/>
          </w:rPr>
          <w:t>https://doi.org/10.1186/s12961-016-0164-6</w:t>
        </w:r>
      </w:hyperlink>
    </w:p>
    <w:p w14:paraId="4F938F74" w14:textId="77777777" w:rsidR="004A600F" w:rsidRPr="00C30F88" w:rsidRDefault="004A600F" w:rsidP="00AE1B5B">
      <w:pPr>
        <w:spacing w:line="360" w:lineRule="auto"/>
      </w:pPr>
      <w:r w:rsidRPr="00C30F88">
        <w:t xml:space="preserve">British Psychological Society. (2014). Code of Human Research Ethics. </w:t>
      </w:r>
    </w:p>
    <w:p w14:paraId="6AF32ED4" w14:textId="77777777" w:rsidR="004A600F" w:rsidRDefault="004A600F" w:rsidP="00136C23">
      <w:pPr>
        <w:spacing w:line="360" w:lineRule="auto"/>
        <w:ind w:left="720" w:hanging="720"/>
        <w:jc w:val="both"/>
      </w:pPr>
      <w:r>
        <w:t xml:space="preserve">Brooker, D. (2004). What is person-centred care in dementia? </w:t>
      </w:r>
      <w:r>
        <w:rPr>
          <w:i/>
          <w:iCs/>
        </w:rPr>
        <w:t xml:space="preserve">Rev Clin </w:t>
      </w:r>
      <w:proofErr w:type="spellStart"/>
      <w:r>
        <w:rPr>
          <w:i/>
          <w:iCs/>
        </w:rPr>
        <w:t>Gerontol</w:t>
      </w:r>
      <w:proofErr w:type="spellEnd"/>
      <w:r>
        <w:rPr>
          <w:i/>
          <w:iCs/>
        </w:rPr>
        <w:t xml:space="preserve">, 13, </w:t>
      </w:r>
      <w:r>
        <w:t xml:space="preserve">215 – 222. </w:t>
      </w:r>
    </w:p>
    <w:p w14:paraId="0E58651E" w14:textId="77777777" w:rsidR="004A600F" w:rsidRPr="006A5B7C" w:rsidRDefault="004A600F" w:rsidP="00AE1B5B">
      <w:pPr>
        <w:spacing w:line="360" w:lineRule="auto"/>
        <w:ind w:left="720" w:hanging="720"/>
        <w:jc w:val="both"/>
      </w:pPr>
      <w:r w:rsidRPr="00665B3A">
        <w:rPr>
          <w:color w:val="3A3A3A"/>
          <w:shd w:val="clear" w:color="auto" w:fill="FFFFFF"/>
        </w:rPr>
        <w:t xml:space="preserve">Coleman, </w:t>
      </w:r>
      <w:r>
        <w:rPr>
          <w:color w:val="3A3A3A"/>
          <w:shd w:val="clear" w:color="auto" w:fill="FFFFFF"/>
        </w:rPr>
        <w:t>C.</w:t>
      </w:r>
      <w:r w:rsidRPr="00665B3A">
        <w:rPr>
          <w:color w:val="3A3A3A"/>
          <w:shd w:val="clear" w:color="auto" w:fill="FFFFFF"/>
        </w:rPr>
        <w:t xml:space="preserve"> H. (2009). Vulnerability as a Regulatory Category in Human Subject Research. </w:t>
      </w:r>
      <w:r w:rsidRPr="00665B3A">
        <w:rPr>
          <w:i/>
          <w:iCs/>
          <w:color w:val="3A3A3A"/>
        </w:rPr>
        <w:t>The Journal of Law, Medicine &amp; Ethics</w:t>
      </w:r>
      <w:r w:rsidRPr="00665B3A">
        <w:rPr>
          <w:color w:val="3A3A3A"/>
          <w:shd w:val="clear" w:color="auto" w:fill="FFFFFF"/>
        </w:rPr>
        <w:t>, </w:t>
      </w:r>
      <w:r w:rsidRPr="00665B3A">
        <w:rPr>
          <w:i/>
          <w:iCs/>
          <w:color w:val="3A3A3A"/>
        </w:rPr>
        <w:t>37</w:t>
      </w:r>
      <w:r w:rsidRPr="00665B3A">
        <w:rPr>
          <w:color w:val="3A3A3A"/>
          <w:shd w:val="clear" w:color="auto" w:fill="FFFFFF"/>
        </w:rPr>
        <w:t>(1), 12–18. https://doi.org/10.1111/j.1748-720X.2009.00346.x</w:t>
      </w:r>
    </w:p>
    <w:p w14:paraId="702BEB2A" w14:textId="77777777" w:rsidR="004A600F" w:rsidRDefault="004A600F" w:rsidP="002635FF">
      <w:pPr>
        <w:spacing w:line="360" w:lineRule="auto"/>
        <w:ind w:left="720" w:hanging="720"/>
        <w:jc w:val="both"/>
        <w:rPr>
          <w:i/>
          <w:iCs/>
          <w:color w:val="222222"/>
          <w:shd w:val="clear" w:color="auto" w:fill="FFFFFF"/>
        </w:rPr>
      </w:pPr>
      <w:r>
        <w:rPr>
          <w:color w:val="222222"/>
          <w:shd w:val="clear" w:color="auto" w:fill="FFFFFF"/>
        </w:rPr>
        <w:lastRenderedPageBreak/>
        <w:t xml:space="preserve">Conelly, L. M. (2005). Ethical considerations in research studies. </w:t>
      </w:r>
      <w:proofErr w:type="spellStart"/>
      <w:r>
        <w:rPr>
          <w:i/>
          <w:iCs/>
          <w:color w:val="222222"/>
          <w:shd w:val="clear" w:color="auto" w:fill="FFFFFF"/>
        </w:rPr>
        <w:t>Medsurg</w:t>
      </w:r>
      <w:proofErr w:type="spellEnd"/>
      <w:r>
        <w:rPr>
          <w:i/>
          <w:iCs/>
          <w:color w:val="222222"/>
          <w:shd w:val="clear" w:color="auto" w:fill="FFFFFF"/>
        </w:rPr>
        <w:t xml:space="preserve"> Nursing, 23(1), 54 – 55.</w:t>
      </w:r>
    </w:p>
    <w:p w14:paraId="5FE99E18" w14:textId="77777777" w:rsidR="004A600F" w:rsidRDefault="004A600F" w:rsidP="00136C23">
      <w:pPr>
        <w:spacing w:line="360" w:lineRule="auto"/>
        <w:ind w:left="720" w:hanging="720"/>
        <w:jc w:val="both"/>
        <w:rPr>
          <w:i/>
          <w:iCs/>
        </w:rPr>
      </w:pPr>
      <w:r w:rsidRPr="00136C23">
        <w:t xml:space="preserve">Corbin, J., &amp; Morse, J. M. (2003). The unstructured interactive interview: Issues of reciprocity and risks when dealing with sensitive topics. </w:t>
      </w:r>
      <w:r w:rsidRPr="00136C23">
        <w:rPr>
          <w:i/>
          <w:iCs/>
        </w:rPr>
        <w:t xml:space="preserve">Qualitative Inquiry, 9(3), 335–354. </w:t>
      </w:r>
    </w:p>
    <w:p w14:paraId="2062F808" w14:textId="77777777" w:rsidR="004A600F" w:rsidRDefault="004A600F" w:rsidP="00AB746E">
      <w:pPr>
        <w:spacing w:line="360" w:lineRule="auto"/>
        <w:ind w:left="720" w:hanging="720"/>
        <w:jc w:val="both"/>
        <w:rPr>
          <w:i/>
          <w:iCs/>
        </w:rPr>
      </w:pPr>
      <w:r>
        <w:t xml:space="preserve">Council for International Organisations of Medical Sciences (CIOMS) &amp; the World Health Organisation (WHO). (2016). International Ethical Guidelines for Biomedical Research Involving Human Subjects. </w:t>
      </w:r>
      <w:r w:rsidRPr="0082250E">
        <w:t>Geneva: CIOMS.</w:t>
      </w:r>
      <w:r>
        <w:rPr>
          <w:i/>
          <w:iCs/>
        </w:rPr>
        <w:t xml:space="preserve"> </w:t>
      </w:r>
    </w:p>
    <w:p w14:paraId="0FD2014F" w14:textId="77777777" w:rsidR="004A600F" w:rsidRDefault="004A600F" w:rsidP="00AB746E">
      <w:pPr>
        <w:spacing w:line="360" w:lineRule="auto"/>
        <w:ind w:left="720" w:hanging="720"/>
        <w:jc w:val="both"/>
      </w:pPr>
      <w:r>
        <w:t xml:space="preserve">Council of the European Union (2016). Regulation 2016/679 of the European Parliament and of the Council of 27 April 2016 on the protection of natural persons with regard to the processing of personal data and on the free movement of such data, and repealing Directive 95/46/EC. </w:t>
      </w:r>
    </w:p>
    <w:p w14:paraId="0688E23C" w14:textId="77777777" w:rsidR="004A600F" w:rsidRDefault="004A600F" w:rsidP="00136C23">
      <w:pPr>
        <w:spacing w:line="360" w:lineRule="auto"/>
        <w:ind w:left="720" w:hanging="720"/>
        <w:jc w:val="both"/>
        <w:rPr>
          <w:i/>
          <w:iCs/>
        </w:rPr>
      </w:pPr>
      <w:r w:rsidRPr="00136C23">
        <w:t xml:space="preserve">Dewing, J. (2002). From ritual to relationship: A person-centred approach to consent in qualitative research with older people who have a dementia. </w:t>
      </w:r>
      <w:r w:rsidRPr="00136C23">
        <w:rPr>
          <w:i/>
          <w:iCs/>
        </w:rPr>
        <w:t>Dementia, 1(2), 157–171.</w:t>
      </w:r>
    </w:p>
    <w:p w14:paraId="4C5BC38E" w14:textId="77777777" w:rsidR="004A600F" w:rsidRDefault="004A600F" w:rsidP="00136C23">
      <w:pPr>
        <w:spacing w:line="360" w:lineRule="auto"/>
        <w:ind w:left="720" w:hanging="720"/>
        <w:jc w:val="both"/>
        <w:rPr>
          <w:i/>
          <w:iCs/>
        </w:rPr>
      </w:pPr>
      <w:r w:rsidRPr="00136C23">
        <w:t xml:space="preserve">Dickson-Swift, V., James, E. L., </w:t>
      </w:r>
      <w:proofErr w:type="spellStart"/>
      <w:r w:rsidRPr="00136C23">
        <w:t>Kippen</w:t>
      </w:r>
      <w:proofErr w:type="spellEnd"/>
      <w:r w:rsidRPr="00136C23">
        <w:t xml:space="preserve">, S., &amp; Liamputtong, P. (2007). Doing sensitive research: What challenges do qualitative researchers face? </w:t>
      </w:r>
      <w:r w:rsidRPr="00136C23">
        <w:rPr>
          <w:i/>
          <w:iCs/>
        </w:rPr>
        <w:t>Qualitative Research, 7(3), 327–353.</w:t>
      </w:r>
    </w:p>
    <w:p w14:paraId="7769FB6B" w14:textId="77777777" w:rsidR="004A600F" w:rsidRDefault="004A600F" w:rsidP="008A72DA">
      <w:pPr>
        <w:spacing w:line="360" w:lineRule="auto"/>
        <w:ind w:left="720" w:hanging="720"/>
        <w:jc w:val="both"/>
      </w:pPr>
      <w:r w:rsidRPr="008A72DA">
        <w:t xml:space="preserve">Digby, R., Lee, S., &amp; Williams, A. (2016). Interviewing people with dementia in hospital: Recommendations for researchers. </w:t>
      </w:r>
      <w:r w:rsidRPr="008A72DA">
        <w:rPr>
          <w:i/>
          <w:iCs/>
        </w:rPr>
        <w:t>Journal of Clinical Nursing, 25(7–8),</w:t>
      </w:r>
      <w:r w:rsidRPr="008A72DA">
        <w:t xml:space="preserve"> 1156–1165. </w:t>
      </w:r>
    </w:p>
    <w:p w14:paraId="37DF3A19" w14:textId="77777777" w:rsidR="004A600F" w:rsidRDefault="004A600F" w:rsidP="00AB746E">
      <w:pPr>
        <w:spacing w:line="360" w:lineRule="auto"/>
        <w:ind w:left="720" w:hanging="720"/>
        <w:jc w:val="both"/>
        <w:rPr>
          <w:sz w:val="18"/>
          <w:szCs w:val="18"/>
        </w:rPr>
      </w:pPr>
      <w:r w:rsidRPr="000D5B1E">
        <w:t xml:space="preserve">Dobbs, D., </w:t>
      </w:r>
      <w:proofErr w:type="spellStart"/>
      <w:r w:rsidRPr="000D5B1E">
        <w:t>Ecket</w:t>
      </w:r>
      <w:proofErr w:type="spellEnd"/>
      <w:r w:rsidRPr="000D5B1E">
        <w:t xml:space="preserve">, J. K., </w:t>
      </w:r>
      <w:proofErr w:type="spellStart"/>
      <w:r w:rsidRPr="000D5B1E">
        <w:t>Rubenstien</w:t>
      </w:r>
      <w:proofErr w:type="spellEnd"/>
      <w:r w:rsidRPr="000D5B1E">
        <w:t xml:space="preserve">, B., et al. (2008). An </w:t>
      </w:r>
      <w:proofErr w:type="spellStart"/>
      <w:r w:rsidRPr="000D5B1E">
        <w:t>ethonographic</w:t>
      </w:r>
      <w:proofErr w:type="spellEnd"/>
      <w:r w:rsidRPr="000D5B1E">
        <w:t xml:space="preserve"> study of stigma and ageism in residential care or assisted living. </w:t>
      </w:r>
      <w:proofErr w:type="spellStart"/>
      <w:r w:rsidRPr="000D5B1E">
        <w:rPr>
          <w:i/>
          <w:iCs/>
        </w:rPr>
        <w:t>Gerentologist</w:t>
      </w:r>
      <w:proofErr w:type="spellEnd"/>
      <w:r w:rsidRPr="000D5B1E">
        <w:rPr>
          <w:i/>
          <w:iCs/>
        </w:rPr>
        <w:t>, 48(4), 10pp.</w:t>
      </w:r>
      <w:r w:rsidRPr="000D5B1E">
        <w:rPr>
          <w:sz w:val="18"/>
          <w:szCs w:val="18"/>
        </w:rPr>
        <w:t xml:space="preserve"> </w:t>
      </w:r>
    </w:p>
    <w:p w14:paraId="09C49F3C" w14:textId="77777777" w:rsidR="004A600F" w:rsidRDefault="004A600F" w:rsidP="000576A8">
      <w:pPr>
        <w:spacing w:line="360" w:lineRule="auto"/>
        <w:ind w:left="720" w:hanging="720"/>
        <w:jc w:val="both"/>
      </w:pPr>
      <w:proofErr w:type="spellStart"/>
      <w:r>
        <w:t>Edvardsson</w:t>
      </w:r>
      <w:proofErr w:type="spellEnd"/>
      <w:r>
        <w:t xml:space="preserve">, D., </w:t>
      </w:r>
      <w:proofErr w:type="spellStart"/>
      <w:r>
        <w:t>Petersson</w:t>
      </w:r>
      <w:proofErr w:type="spellEnd"/>
      <w:r>
        <w:t xml:space="preserve">, L., Sjogren, K., et al. (2014).  Everyday activities for people with dementia in residential aged care: associations with person-centredness and quality of life. </w:t>
      </w:r>
      <w:r>
        <w:rPr>
          <w:i/>
          <w:iCs/>
        </w:rPr>
        <w:t xml:space="preserve">Int J Older People </w:t>
      </w:r>
      <w:proofErr w:type="spellStart"/>
      <w:r>
        <w:rPr>
          <w:i/>
          <w:iCs/>
        </w:rPr>
        <w:t>Nurs</w:t>
      </w:r>
      <w:proofErr w:type="spellEnd"/>
      <w:r>
        <w:rPr>
          <w:i/>
          <w:iCs/>
        </w:rPr>
        <w:t xml:space="preserve">, 9(4), </w:t>
      </w:r>
      <w:r>
        <w:t xml:space="preserve">269 – 276. </w:t>
      </w:r>
    </w:p>
    <w:p w14:paraId="571D8594" w14:textId="77777777" w:rsidR="004A600F" w:rsidRPr="006A5B7C" w:rsidRDefault="004A600F" w:rsidP="00AE1B5B">
      <w:pPr>
        <w:spacing w:line="360" w:lineRule="auto"/>
        <w:ind w:left="720" w:hanging="720"/>
        <w:jc w:val="both"/>
      </w:pPr>
      <w:r w:rsidRPr="006A5B7C">
        <w:rPr>
          <w:color w:val="3A3A3A"/>
          <w:shd w:val="clear" w:color="auto" w:fill="FFFFFF"/>
        </w:rPr>
        <w:t xml:space="preserve">Eriksson, S., </w:t>
      </w:r>
      <w:proofErr w:type="spellStart"/>
      <w:r w:rsidRPr="006A5B7C">
        <w:rPr>
          <w:color w:val="3A3A3A"/>
          <w:shd w:val="clear" w:color="auto" w:fill="FFFFFF"/>
        </w:rPr>
        <w:t>Höglund</w:t>
      </w:r>
      <w:proofErr w:type="spellEnd"/>
      <w:r w:rsidRPr="006A5B7C">
        <w:rPr>
          <w:color w:val="3A3A3A"/>
          <w:shd w:val="clear" w:color="auto" w:fill="FFFFFF"/>
        </w:rPr>
        <w:t xml:space="preserve">, A. T., &amp; </w:t>
      </w:r>
      <w:proofErr w:type="spellStart"/>
      <w:r w:rsidRPr="006A5B7C">
        <w:rPr>
          <w:color w:val="3A3A3A"/>
          <w:shd w:val="clear" w:color="auto" w:fill="FFFFFF"/>
        </w:rPr>
        <w:t>Helgesson</w:t>
      </w:r>
      <w:proofErr w:type="spellEnd"/>
      <w:r w:rsidRPr="006A5B7C">
        <w:rPr>
          <w:color w:val="3A3A3A"/>
          <w:shd w:val="clear" w:color="auto" w:fill="FFFFFF"/>
        </w:rPr>
        <w:t>, G. (2008). Do Ethical Guidelines Give Guidance? A Critical Examination of Eight Ethics Regulations. </w:t>
      </w:r>
      <w:r w:rsidRPr="006A5B7C">
        <w:rPr>
          <w:i/>
          <w:iCs/>
          <w:color w:val="3A3A3A"/>
        </w:rPr>
        <w:t>Cambridge Quarterly of Healthcare Ethics</w:t>
      </w:r>
      <w:r w:rsidRPr="006A5B7C">
        <w:rPr>
          <w:color w:val="3A3A3A"/>
          <w:shd w:val="clear" w:color="auto" w:fill="FFFFFF"/>
        </w:rPr>
        <w:t>, </w:t>
      </w:r>
      <w:r w:rsidRPr="006A5B7C">
        <w:rPr>
          <w:i/>
          <w:iCs/>
          <w:color w:val="3A3A3A"/>
        </w:rPr>
        <w:t>17</w:t>
      </w:r>
      <w:r w:rsidRPr="006A5B7C">
        <w:rPr>
          <w:color w:val="3A3A3A"/>
          <w:shd w:val="clear" w:color="auto" w:fill="FFFFFF"/>
        </w:rPr>
        <w:t>(1), 15–29. https://doi.org/10.1017/S0963180108080031</w:t>
      </w:r>
    </w:p>
    <w:p w14:paraId="229A753B" w14:textId="77777777" w:rsidR="004A600F" w:rsidRDefault="004A600F" w:rsidP="008A72DA">
      <w:pPr>
        <w:spacing w:line="360" w:lineRule="auto"/>
        <w:ind w:left="720" w:hanging="720"/>
        <w:jc w:val="both"/>
      </w:pPr>
      <w:r w:rsidRPr="008A72DA">
        <w:t xml:space="preserve">Garand, L., </w:t>
      </w:r>
      <w:proofErr w:type="spellStart"/>
      <w:r w:rsidRPr="008A72DA">
        <w:t>Lingler</w:t>
      </w:r>
      <w:proofErr w:type="spellEnd"/>
      <w:r w:rsidRPr="008A72DA">
        <w:t xml:space="preserve">, J. H., Conner, K. O., &amp; Dew, M. A. (2009). Diagnostic labels, stigma, and participation in research related to dementia and mild cognitive impairment. </w:t>
      </w:r>
      <w:r w:rsidRPr="008A72DA">
        <w:rPr>
          <w:i/>
          <w:iCs/>
        </w:rPr>
        <w:t>Research in Gerontological Nursing, 2(2),</w:t>
      </w:r>
      <w:r w:rsidRPr="008A72DA">
        <w:t xml:space="preserve"> 112–121. </w:t>
      </w:r>
    </w:p>
    <w:p w14:paraId="1A901295" w14:textId="77777777" w:rsidR="004A600F" w:rsidRDefault="004A600F" w:rsidP="00AE1B5B">
      <w:pPr>
        <w:spacing w:line="360" w:lineRule="auto"/>
        <w:ind w:left="720" w:hanging="720"/>
        <w:jc w:val="both"/>
        <w:rPr>
          <w:color w:val="222222"/>
          <w:shd w:val="clear" w:color="auto" w:fill="FFFFFF"/>
        </w:rPr>
      </w:pPr>
      <w:proofErr w:type="spellStart"/>
      <w:r w:rsidRPr="00665B3A">
        <w:rPr>
          <w:color w:val="222222"/>
          <w:shd w:val="clear" w:color="auto" w:fill="FFFFFF"/>
        </w:rPr>
        <w:t>Ghaljaie</w:t>
      </w:r>
      <w:proofErr w:type="spellEnd"/>
      <w:r w:rsidRPr="00665B3A">
        <w:rPr>
          <w:color w:val="222222"/>
          <w:shd w:val="clear" w:color="auto" w:fill="FFFFFF"/>
        </w:rPr>
        <w:t xml:space="preserve">, F., </w:t>
      </w:r>
      <w:proofErr w:type="spellStart"/>
      <w:r w:rsidRPr="00665B3A">
        <w:rPr>
          <w:color w:val="222222"/>
          <w:shd w:val="clear" w:color="auto" w:fill="FFFFFF"/>
        </w:rPr>
        <w:t>Naderifar</w:t>
      </w:r>
      <w:proofErr w:type="spellEnd"/>
      <w:r w:rsidRPr="00665B3A">
        <w:rPr>
          <w:color w:val="222222"/>
          <w:shd w:val="clear" w:color="auto" w:fill="FFFFFF"/>
        </w:rPr>
        <w:t xml:space="preserve">, M., &amp; </w:t>
      </w:r>
      <w:proofErr w:type="spellStart"/>
      <w:r w:rsidRPr="00665B3A">
        <w:rPr>
          <w:color w:val="222222"/>
          <w:shd w:val="clear" w:color="auto" w:fill="FFFFFF"/>
        </w:rPr>
        <w:t>Goli</w:t>
      </w:r>
      <w:proofErr w:type="spellEnd"/>
      <w:r w:rsidRPr="00665B3A">
        <w:rPr>
          <w:color w:val="222222"/>
          <w:shd w:val="clear" w:color="auto" w:fill="FFFFFF"/>
        </w:rPr>
        <w:t>, H. (2017). Snowball sampling: A purposeful method of sampling in qualitative research. </w:t>
      </w:r>
      <w:r w:rsidRPr="00665B3A">
        <w:rPr>
          <w:i/>
          <w:iCs/>
          <w:color w:val="222222"/>
        </w:rPr>
        <w:t>Strides in Development of Medical Education</w:t>
      </w:r>
      <w:r w:rsidRPr="00665B3A">
        <w:rPr>
          <w:color w:val="222222"/>
          <w:shd w:val="clear" w:color="auto" w:fill="FFFFFF"/>
        </w:rPr>
        <w:t>, </w:t>
      </w:r>
      <w:r w:rsidRPr="00665B3A">
        <w:rPr>
          <w:i/>
          <w:iCs/>
          <w:color w:val="222222"/>
        </w:rPr>
        <w:t>14</w:t>
      </w:r>
      <w:r w:rsidRPr="00665B3A">
        <w:rPr>
          <w:color w:val="222222"/>
          <w:shd w:val="clear" w:color="auto" w:fill="FFFFFF"/>
        </w:rPr>
        <w:t>(3).</w:t>
      </w:r>
      <w:r>
        <w:rPr>
          <w:color w:val="222222"/>
          <w:shd w:val="clear" w:color="auto" w:fill="FFFFFF"/>
        </w:rPr>
        <w:t xml:space="preserve"> https://doi.org/10.5812/sdme.67670</w:t>
      </w:r>
    </w:p>
    <w:p w14:paraId="24258FCF" w14:textId="77777777" w:rsidR="004A600F" w:rsidRDefault="004A600F" w:rsidP="00AB746E">
      <w:pPr>
        <w:spacing w:line="360" w:lineRule="auto"/>
        <w:ind w:left="720" w:hanging="720"/>
        <w:jc w:val="both"/>
        <w:rPr>
          <w:i/>
          <w:iCs/>
        </w:rPr>
      </w:pPr>
      <w:r>
        <w:lastRenderedPageBreak/>
        <w:t xml:space="preserve">Grady, C. (2015). Enduring and emerging challenges of informed consent. </w:t>
      </w:r>
      <w:proofErr w:type="spellStart"/>
      <w:r>
        <w:rPr>
          <w:i/>
          <w:iCs/>
        </w:rPr>
        <w:t>Engl</w:t>
      </w:r>
      <w:proofErr w:type="spellEnd"/>
      <w:r>
        <w:rPr>
          <w:i/>
          <w:iCs/>
        </w:rPr>
        <w:t xml:space="preserve"> J Med, 372, 855 – 862. </w:t>
      </w:r>
    </w:p>
    <w:p w14:paraId="500ABC15" w14:textId="77777777" w:rsidR="004A600F" w:rsidRDefault="004A600F" w:rsidP="000D5B1E">
      <w:pPr>
        <w:spacing w:line="360" w:lineRule="auto"/>
        <w:ind w:left="720" w:hanging="720"/>
        <w:jc w:val="both"/>
        <w:rPr>
          <w:color w:val="3A3A3A"/>
          <w:shd w:val="clear" w:color="auto" w:fill="FFFFFF"/>
        </w:rPr>
      </w:pPr>
      <w:r w:rsidRPr="00F05328">
        <w:rPr>
          <w:color w:val="3A3A3A"/>
          <w:shd w:val="clear" w:color="auto" w:fill="FFFFFF"/>
        </w:rPr>
        <w:t>Heggestad, A</w:t>
      </w:r>
      <w:r>
        <w:rPr>
          <w:color w:val="3A3A3A"/>
          <w:shd w:val="clear" w:color="auto" w:fill="FFFFFF"/>
        </w:rPr>
        <w:t>.</w:t>
      </w:r>
      <w:r w:rsidRPr="00F05328">
        <w:rPr>
          <w:color w:val="3A3A3A"/>
          <w:shd w:val="clear" w:color="auto" w:fill="FFFFFF"/>
        </w:rPr>
        <w:t xml:space="preserve"> K</w:t>
      </w:r>
      <w:r>
        <w:rPr>
          <w:color w:val="3A3A3A"/>
          <w:shd w:val="clear" w:color="auto" w:fill="FFFFFF"/>
        </w:rPr>
        <w:t>.</w:t>
      </w:r>
      <w:r w:rsidRPr="00F05328">
        <w:rPr>
          <w:color w:val="3A3A3A"/>
          <w:shd w:val="clear" w:color="auto" w:fill="FFFFFF"/>
        </w:rPr>
        <w:t xml:space="preserve"> T</w:t>
      </w:r>
      <w:r>
        <w:rPr>
          <w:color w:val="3A3A3A"/>
          <w:shd w:val="clear" w:color="auto" w:fill="FFFFFF"/>
        </w:rPr>
        <w:t>.</w:t>
      </w:r>
      <w:r w:rsidRPr="00F05328">
        <w:rPr>
          <w:color w:val="3A3A3A"/>
          <w:shd w:val="clear" w:color="auto" w:fill="FFFFFF"/>
        </w:rPr>
        <w:t xml:space="preserve">, </w:t>
      </w:r>
      <w:proofErr w:type="spellStart"/>
      <w:r w:rsidRPr="00F05328">
        <w:rPr>
          <w:color w:val="3A3A3A"/>
          <w:shd w:val="clear" w:color="auto" w:fill="FFFFFF"/>
        </w:rPr>
        <w:t>Nortvedt</w:t>
      </w:r>
      <w:proofErr w:type="spellEnd"/>
      <w:r w:rsidRPr="00F05328">
        <w:rPr>
          <w:color w:val="3A3A3A"/>
          <w:shd w:val="clear" w:color="auto" w:fill="FFFFFF"/>
        </w:rPr>
        <w:t xml:space="preserve">, </w:t>
      </w:r>
      <w:r>
        <w:rPr>
          <w:color w:val="3A3A3A"/>
          <w:shd w:val="clear" w:color="auto" w:fill="FFFFFF"/>
        </w:rPr>
        <w:t>P.,</w:t>
      </w:r>
      <w:r w:rsidRPr="00F05328">
        <w:rPr>
          <w:color w:val="3A3A3A"/>
          <w:shd w:val="clear" w:color="auto" w:fill="FFFFFF"/>
        </w:rPr>
        <w:t xml:space="preserve"> &amp; </w:t>
      </w:r>
      <w:proofErr w:type="spellStart"/>
      <w:r w:rsidRPr="00F05328">
        <w:rPr>
          <w:color w:val="3A3A3A"/>
          <w:shd w:val="clear" w:color="auto" w:fill="FFFFFF"/>
        </w:rPr>
        <w:t>Slettebø</w:t>
      </w:r>
      <w:proofErr w:type="spellEnd"/>
      <w:r w:rsidRPr="00F05328">
        <w:rPr>
          <w:color w:val="3A3A3A"/>
          <w:shd w:val="clear" w:color="auto" w:fill="FFFFFF"/>
        </w:rPr>
        <w:t>, Å. (2013). The importance of moral sensitivity when including persons with dementia in qualitative research. </w:t>
      </w:r>
      <w:r w:rsidRPr="00F05328">
        <w:rPr>
          <w:i/>
          <w:iCs/>
          <w:color w:val="3A3A3A"/>
        </w:rPr>
        <w:t>Nursing Ethics</w:t>
      </w:r>
      <w:r w:rsidRPr="00F05328">
        <w:rPr>
          <w:color w:val="3A3A3A"/>
          <w:shd w:val="clear" w:color="auto" w:fill="FFFFFF"/>
        </w:rPr>
        <w:t>, </w:t>
      </w:r>
      <w:r w:rsidRPr="00F05328">
        <w:rPr>
          <w:i/>
          <w:iCs/>
          <w:color w:val="3A3A3A"/>
        </w:rPr>
        <w:t>20</w:t>
      </w:r>
      <w:r w:rsidRPr="00F05328">
        <w:rPr>
          <w:color w:val="3A3A3A"/>
          <w:shd w:val="clear" w:color="auto" w:fill="FFFFFF"/>
        </w:rPr>
        <w:t xml:space="preserve">(1), 30–40. </w:t>
      </w:r>
      <w:hyperlink r:id="rId9" w:history="1">
        <w:r w:rsidRPr="00791C72">
          <w:rPr>
            <w:rStyle w:val="Hyperlink"/>
            <w:shd w:val="clear" w:color="auto" w:fill="FFFFFF"/>
          </w:rPr>
          <w:t>https://doi.org/10.1177/0969733012455564</w:t>
        </w:r>
      </w:hyperlink>
    </w:p>
    <w:p w14:paraId="46DE6132" w14:textId="77777777" w:rsidR="004A600F" w:rsidRDefault="004A600F" w:rsidP="00350FDE">
      <w:pPr>
        <w:spacing w:line="360" w:lineRule="auto"/>
        <w:ind w:left="720" w:hanging="720"/>
        <w:jc w:val="both"/>
      </w:pPr>
      <w:r w:rsidRPr="00350FDE">
        <w:t xml:space="preserve">Hellstrom, I., Nolan, M., </w:t>
      </w:r>
      <w:proofErr w:type="spellStart"/>
      <w:r w:rsidRPr="00350FDE">
        <w:t>Nordenfelt</w:t>
      </w:r>
      <w:proofErr w:type="spellEnd"/>
      <w:r w:rsidRPr="00350FDE">
        <w:t xml:space="preserve">, L., &amp; </w:t>
      </w:r>
      <w:proofErr w:type="spellStart"/>
      <w:r w:rsidRPr="00350FDE">
        <w:t>Lundh</w:t>
      </w:r>
      <w:proofErr w:type="spellEnd"/>
      <w:r w:rsidRPr="00350FDE">
        <w:t xml:space="preserve">, U. (2007). Ethical and methodological issues in interviewing persons with dementia. </w:t>
      </w:r>
      <w:r w:rsidRPr="008A72DA">
        <w:rPr>
          <w:i/>
          <w:iCs/>
        </w:rPr>
        <w:t>Nursing Ethics, 14(5),</w:t>
      </w:r>
      <w:r w:rsidRPr="00350FDE">
        <w:t xml:space="preserve"> 608–619. </w:t>
      </w:r>
    </w:p>
    <w:p w14:paraId="5C43A6C2" w14:textId="77777777" w:rsidR="004A600F" w:rsidRPr="00136C23" w:rsidRDefault="004A600F" w:rsidP="00136C23">
      <w:pPr>
        <w:spacing w:line="360" w:lineRule="auto"/>
        <w:ind w:left="720" w:hanging="720"/>
        <w:jc w:val="both"/>
        <w:rPr>
          <w:i/>
          <w:iCs/>
        </w:rPr>
      </w:pPr>
      <w:r w:rsidRPr="00136C23">
        <w:t xml:space="preserve">Hewitt, J. (2007). Ethical components of researcher-researched relationships in qualitative interviewing. </w:t>
      </w:r>
      <w:r w:rsidRPr="00136C23">
        <w:rPr>
          <w:i/>
          <w:iCs/>
        </w:rPr>
        <w:t xml:space="preserve">Qualitative Health Research, 17(8), 1149–1159. </w:t>
      </w:r>
    </w:p>
    <w:p w14:paraId="2A615A63" w14:textId="77777777" w:rsidR="004A600F" w:rsidRDefault="004A600F" w:rsidP="008A72DA">
      <w:pPr>
        <w:spacing w:line="360" w:lineRule="auto"/>
        <w:ind w:left="720" w:hanging="720"/>
        <w:jc w:val="both"/>
        <w:rPr>
          <w:color w:val="222222"/>
          <w:shd w:val="clear" w:color="auto" w:fill="FFFFFF"/>
        </w:rPr>
      </w:pPr>
      <w:r>
        <w:rPr>
          <w:color w:val="222222"/>
          <w:shd w:val="clear" w:color="auto" w:fill="FFFFFF"/>
        </w:rPr>
        <w:t xml:space="preserve">High, D. M., Whitehouse, P. J., Post, S. G., et al. (1994). Guidelines for addressing ethical and legal issues in Alzheimer’s disease research: a position paper. </w:t>
      </w:r>
      <w:r>
        <w:rPr>
          <w:i/>
          <w:iCs/>
          <w:color w:val="222222"/>
          <w:shd w:val="clear" w:color="auto" w:fill="FFFFFF"/>
        </w:rPr>
        <w:t xml:space="preserve">Alzheimer Dis Assoc </w:t>
      </w:r>
      <w:proofErr w:type="spellStart"/>
      <w:r>
        <w:rPr>
          <w:i/>
          <w:iCs/>
          <w:color w:val="222222"/>
          <w:shd w:val="clear" w:color="auto" w:fill="FFFFFF"/>
        </w:rPr>
        <w:t>Disord</w:t>
      </w:r>
      <w:proofErr w:type="spellEnd"/>
      <w:r>
        <w:rPr>
          <w:i/>
          <w:iCs/>
          <w:color w:val="222222"/>
          <w:shd w:val="clear" w:color="auto" w:fill="FFFFFF"/>
        </w:rPr>
        <w:t xml:space="preserve">, 8, </w:t>
      </w:r>
      <w:r>
        <w:rPr>
          <w:color w:val="222222"/>
          <w:shd w:val="clear" w:color="auto" w:fill="FFFFFF"/>
        </w:rPr>
        <w:t xml:space="preserve">66 – 74. </w:t>
      </w:r>
    </w:p>
    <w:p w14:paraId="73D54FBE" w14:textId="77777777" w:rsidR="004A600F" w:rsidRDefault="004A600F" w:rsidP="00350FDE">
      <w:pPr>
        <w:spacing w:line="360" w:lineRule="auto"/>
        <w:ind w:left="720" w:hanging="720"/>
        <w:jc w:val="both"/>
      </w:pPr>
      <w:r w:rsidRPr="00350FDE">
        <w:t xml:space="preserve">Hubbard, G., Downs, M., &amp; Tester, S. (2003). Including older people with dementia in research: Challenges and strategies. </w:t>
      </w:r>
      <w:r w:rsidRPr="008A72DA">
        <w:rPr>
          <w:i/>
          <w:iCs/>
        </w:rPr>
        <w:t>Aging &amp; Mental Health, 7(5),</w:t>
      </w:r>
      <w:r w:rsidRPr="00350FDE">
        <w:t xml:space="preserve"> 351–351. </w:t>
      </w:r>
    </w:p>
    <w:p w14:paraId="59612CAD" w14:textId="77777777" w:rsidR="004A600F" w:rsidRPr="006A5B7C" w:rsidRDefault="004A600F" w:rsidP="00AE1B5B">
      <w:pPr>
        <w:spacing w:line="360" w:lineRule="auto"/>
        <w:ind w:left="720" w:hanging="720"/>
        <w:jc w:val="both"/>
      </w:pPr>
      <w:r w:rsidRPr="006A5B7C">
        <w:rPr>
          <w:color w:val="3A3A3A"/>
          <w:shd w:val="clear" w:color="auto" w:fill="FFFFFF"/>
        </w:rPr>
        <w:t>Hurst, S</w:t>
      </w:r>
      <w:r>
        <w:rPr>
          <w:color w:val="3A3A3A"/>
          <w:shd w:val="clear" w:color="auto" w:fill="FFFFFF"/>
        </w:rPr>
        <w:t>.</w:t>
      </w:r>
      <w:r w:rsidRPr="006A5B7C">
        <w:rPr>
          <w:color w:val="3A3A3A"/>
          <w:shd w:val="clear" w:color="auto" w:fill="FFFFFF"/>
        </w:rPr>
        <w:t xml:space="preserve"> A. (2008). </w:t>
      </w:r>
      <w:r>
        <w:rPr>
          <w:color w:val="3A3A3A"/>
          <w:shd w:val="clear" w:color="auto" w:fill="FFFFFF"/>
        </w:rPr>
        <w:t>Vulnerability in research and Healthcare; Describing the elephant in the room?</w:t>
      </w:r>
      <w:r w:rsidRPr="006A5B7C">
        <w:rPr>
          <w:color w:val="3A3A3A"/>
          <w:shd w:val="clear" w:color="auto" w:fill="FFFFFF"/>
        </w:rPr>
        <w:t> </w:t>
      </w:r>
      <w:r w:rsidRPr="006A5B7C">
        <w:rPr>
          <w:i/>
          <w:iCs/>
          <w:color w:val="3A3A3A"/>
        </w:rPr>
        <w:t>Bioethics</w:t>
      </w:r>
      <w:r w:rsidRPr="006A5B7C">
        <w:rPr>
          <w:color w:val="3A3A3A"/>
          <w:shd w:val="clear" w:color="auto" w:fill="FFFFFF"/>
        </w:rPr>
        <w:t>, </w:t>
      </w:r>
      <w:r w:rsidRPr="006A5B7C">
        <w:rPr>
          <w:i/>
          <w:iCs/>
          <w:color w:val="3A3A3A"/>
        </w:rPr>
        <w:t>22</w:t>
      </w:r>
      <w:r w:rsidRPr="006A5B7C">
        <w:rPr>
          <w:color w:val="3A3A3A"/>
          <w:shd w:val="clear" w:color="auto" w:fill="FFFFFF"/>
        </w:rPr>
        <w:t>(4), 191–202. https://doi.org/10.1111/j.1467-8519.2008.00631.x</w:t>
      </w:r>
    </w:p>
    <w:p w14:paraId="7FFBBE0A" w14:textId="77777777" w:rsidR="004A600F" w:rsidRDefault="004A600F" w:rsidP="00AB746E">
      <w:pPr>
        <w:spacing w:line="360" w:lineRule="auto"/>
        <w:ind w:left="720" w:hanging="720"/>
        <w:jc w:val="both"/>
      </w:pPr>
      <w:r>
        <w:t xml:space="preserve">International Conference on Harmonization of Technical Requirements for Registration of Pharmaceuticals for Human Use (ICH). (1996). Guideline for Good Clinical Practice E6(R1). </w:t>
      </w:r>
    </w:p>
    <w:p w14:paraId="77B673A0" w14:textId="77777777" w:rsidR="004A600F" w:rsidRDefault="004A600F" w:rsidP="00AB746E">
      <w:pPr>
        <w:spacing w:line="360" w:lineRule="auto"/>
        <w:ind w:left="720" w:hanging="720"/>
        <w:jc w:val="both"/>
      </w:pPr>
      <w:r>
        <w:t>International Conference on Harmonization of Technical Requirements for Registration of Pharmaceuticals for Human Use (ICH).</w:t>
      </w:r>
      <w:r>
        <w:t xml:space="preserve"> (2017). Guideline on Genomic Sampling and Management of Genomic Data E18. </w:t>
      </w:r>
    </w:p>
    <w:p w14:paraId="2D7EB3D7" w14:textId="77777777" w:rsidR="004A600F" w:rsidRDefault="004A600F" w:rsidP="00AB746E">
      <w:pPr>
        <w:spacing w:line="360" w:lineRule="auto"/>
        <w:ind w:left="720" w:hanging="720"/>
        <w:jc w:val="both"/>
      </w:pPr>
      <w:r>
        <w:t xml:space="preserve">Jongsma, K., Bos, W. &amp; Van de </w:t>
      </w:r>
      <w:proofErr w:type="spellStart"/>
      <w:r>
        <w:t>Vathorst</w:t>
      </w:r>
      <w:proofErr w:type="spellEnd"/>
      <w:r>
        <w:t xml:space="preserve">, S. (2015). Morally relevant similarities and differences between children and dementia patients as research subjects: representation in legal documents and ethical guidelines. </w:t>
      </w:r>
      <w:r>
        <w:rPr>
          <w:i/>
          <w:iCs/>
        </w:rPr>
        <w:t xml:space="preserve">Bioethics, 29, 667 – 670. </w:t>
      </w:r>
    </w:p>
    <w:p w14:paraId="70C61C8A" w14:textId="77777777" w:rsidR="004A600F" w:rsidRPr="00AB746E" w:rsidRDefault="004A600F" w:rsidP="00A35576">
      <w:pPr>
        <w:spacing w:line="360" w:lineRule="auto"/>
        <w:ind w:left="720" w:hanging="720"/>
        <w:jc w:val="both"/>
      </w:pPr>
      <w:r w:rsidRPr="00A35576">
        <w:t>Kant, I &amp; Paton, H. J. (1967). The moral law: Kant’s Groundwork</w:t>
      </w:r>
      <w:r w:rsidRPr="00AB746E">
        <w:t xml:space="preserve"> of the metaphysics of morals. New York: Barns and Noble.</w:t>
      </w:r>
    </w:p>
    <w:p w14:paraId="7B41C760" w14:textId="77777777" w:rsidR="004A600F" w:rsidRPr="00AB746E" w:rsidRDefault="004A600F" w:rsidP="00AB746E">
      <w:pPr>
        <w:spacing w:line="360" w:lineRule="auto"/>
        <w:ind w:left="720" w:hanging="720"/>
        <w:jc w:val="both"/>
      </w:pPr>
      <w:r w:rsidRPr="00AB746E">
        <w:t xml:space="preserve">Korn, J. K. (1997). Illusions of reality: a history of deception in social psychology. Albany, N. Y: State of New York Press. </w:t>
      </w:r>
    </w:p>
    <w:p w14:paraId="258AA7C9" w14:textId="77777777" w:rsidR="004A600F" w:rsidRDefault="004A600F" w:rsidP="00AB746E">
      <w:pPr>
        <w:spacing w:line="360" w:lineRule="auto"/>
        <w:ind w:left="720" w:hanging="720"/>
        <w:jc w:val="both"/>
        <w:rPr>
          <w:i/>
          <w:iCs/>
        </w:rPr>
      </w:pPr>
      <w:r w:rsidRPr="00AB746E">
        <w:t xml:space="preserve">Krohne, </w:t>
      </w:r>
      <w:r>
        <w:t xml:space="preserve">K., </w:t>
      </w:r>
      <w:proofErr w:type="spellStart"/>
      <w:r>
        <w:t>Slettebo</w:t>
      </w:r>
      <w:proofErr w:type="spellEnd"/>
      <w:r>
        <w:t xml:space="preserve">, A. &amp; </w:t>
      </w:r>
      <w:proofErr w:type="spellStart"/>
      <w:r>
        <w:t>Berglans</w:t>
      </w:r>
      <w:proofErr w:type="spellEnd"/>
      <w:r>
        <w:t xml:space="preserve">, A. Cognitive screening tests as experienced be older hospitalised patients: a qualitative study. </w:t>
      </w:r>
      <w:proofErr w:type="spellStart"/>
      <w:r>
        <w:rPr>
          <w:i/>
          <w:iCs/>
        </w:rPr>
        <w:t>Scand</w:t>
      </w:r>
      <w:proofErr w:type="spellEnd"/>
      <w:r>
        <w:rPr>
          <w:i/>
          <w:iCs/>
        </w:rPr>
        <w:t xml:space="preserve"> J caring Sci, 25(4), 679 – 987.</w:t>
      </w:r>
    </w:p>
    <w:p w14:paraId="535391E0" w14:textId="77777777" w:rsidR="004A600F" w:rsidRDefault="004A600F" w:rsidP="008A72DA">
      <w:pPr>
        <w:spacing w:line="360" w:lineRule="auto"/>
        <w:ind w:left="720" w:hanging="720"/>
        <w:jc w:val="both"/>
        <w:rPr>
          <w:i/>
          <w:iCs/>
          <w:color w:val="222222"/>
          <w:shd w:val="clear" w:color="auto" w:fill="FFFFFF"/>
        </w:rPr>
      </w:pPr>
      <w:r>
        <w:rPr>
          <w:color w:val="222222"/>
          <w:shd w:val="clear" w:color="auto" w:fill="FFFFFF"/>
        </w:rPr>
        <w:t xml:space="preserve">Lutzen, K., </w:t>
      </w:r>
      <w:proofErr w:type="spellStart"/>
      <w:r>
        <w:rPr>
          <w:color w:val="222222"/>
          <w:shd w:val="clear" w:color="auto" w:fill="FFFFFF"/>
        </w:rPr>
        <w:t>Dahlqvist</w:t>
      </w:r>
      <w:proofErr w:type="spellEnd"/>
      <w:r>
        <w:rPr>
          <w:color w:val="222222"/>
          <w:shd w:val="clear" w:color="auto" w:fill="FFFFFF"/>
        </w:rPr>
        <w:t xml:space="preserve">, V., Eriksson, S., et al. (2006). Developing the concept of moral sensitivity in health care practice. </w:t>
      </w:r>
      <w:r>
        <w:rPr>
          <w:i/>
          <w:iCs/>
          <w:color w:val="222222"/>
          <w:shd w:val="clear" w:color="auto" w:fill="FFFFFF"/>
        </w:rPr>
        <w:t xml:space="preserve">Nursing Ethics, 13(2), 187 – 196. </w:t>
      </w:r>
    </w:p>
    <w:p w14:paraId="48101FA2" w14:textId="77777777" w:rsidR="004A600F" w:rsidRDefault="004A600F" w:rsidP="00350FDE">
      <w:pPr>
        <w:spacing w:line="360" w:lineRule="auto"/>
        <w:ind w:left="720" w:hanging="720"/>
        <w:jc w:val="both"/>
      </w:pPr>
      <w:r w:rsidRPr="00350FDE">
        <w:lastRenderedPageBreak/>
        <w:t xml:space="preserve">McKeown, J., Clarke, A., Ingleton, C., &amp; </w:t>
      </w:r>
      <w:proofErr w:type="spellStart"/>
      <w:r w:rsidRPr="00350FDE">
        <w:t>Repper</w:t>
      </w:r>
      <w:proofErr w:type="spellEnd"/>
      <w:r w:rsidRPr="00350FDE">
        <w:t xml:space="preserve">, J. (2010). Actively involving people with dementia in qualitative research. </w:t>
      </w:r>
      <w:r w:rsidRPr="008A72DA">
        <w:rPr>
          <w:i/>
          <w:iCs/>
        </w:rPr>
        <w:t>Journal of Clinical Nursing, 19(13–14),</w:t>
      </w:r>
      <w:r w:rsidRPr="00350FDE">
        <w:t xml:space="preserve"> 1935–1943. </w:t>
      </w:r>
    </w:p>
    <w:p w14:paraId="2D9A5ADA" w14:textId="77777777" w:rsidR="004A600F" w:rsidRDefault="004A600F" w:rsidP="00136C23">
      <w:pPr>
        <w:spacing w:line="360" w:lineRule="auto"/>
        <w:ind w:left="720" w:hanging="720"/>
        <w:jc w:val="both"/>
        <w:rPr>
          <w:i/>
          <w:iCs/>
        </w:rPr>
      </w:pPr>
      <w:r w:rsidRPr="00136C23">
        <w:t xml:space="preserve">McKillop, J., &amp; Wilkinson, H. (2004). Make it easy on yourself! Advice to researchers from someone with dementia on being interviewed. </w:t>
      </w:r>
      <w:r w:rsidRPr="00136C23">
        <w:rPr>
          <w:i/>
          <w:iCs/>
        </w:rPr>
        <w:t xml:space="preserve">Dementia, 3(2), 117–125. </w:t>
      </w:r>
    </w:p>
    <w:p w14:paraId="159C1E3C" w14:textId="77777777" w:rsidR="004A600F" w:rsidRPr="000D5B1E" w:rsidRDefault="004A600F" w:rsidP="000D5B1E">
      <w:pPr>
        <w:spacing w:line="360" w:lineRule="auto"/>
        <w:ind w:left="720" w:hanging="720"/>
        <w:jc w:val="both"/>
        <w:rPr>
          <w:i/>
          <w:iCs/>
        </w:rPr>
      </w:pPr>
      <w:r w:rsidRPr="007F3559">
        <w:t>Milne</w:t>
      </w:r>
      <w:r>
        <w:t>,</w:t>
      </w:r>
      <w:r w:rsidRPr="007F3559">
        <w:t xml:space="preserve"> A. </w:t>
      </w:r>
      <w:r>
        <w:t xml:space="preserve">(2010). </w:t>
      </w:r>
      <w:r w:rsidRPr="007F3559">
        <w:t xml:space="preserve">The ‘‘D’’ word: reflections on the relationship between stigma, discrimination and dementia. </w:t>
      </w:r>
      <w:r w:rsidRPr="007F3559">
        <w:rPr>
          <w:i/>
          <w:iCs/>
        </w:rPr>
        <w:t xml:space="preserve">J </w:t>
      </w:r>
      <w:proofErr w:type="spellStart"/>
      <w:r w:rsidRPr="007F3559">
        <w:rPr>
          <w:i/>
          <w:iCs/>
        </w:rPr>
        <w:t>Ment</w:t>
      </w:r>
      <w:proofErr w:type="spellEnd"/>
      <w:r w:rsidRPr="000D5B1E">
        <w:rPr>
          <w:i/>
          <w:iCs/>
        </w:rPr>
        <w:t xml:space="preserve"> </w:t>
      </w:r>
      <w:r w:rsidRPr="007F3559">
        <w:rPr>
          <w:i/>
          <w:iCs/>
        </w:rPr>
        <w:t>Health</w:t>
      </w:r>
      <w:r w:rsidRPr="000D5B1E">
        <w:rPr>
          <w:i/>
          <w:iCs/>
        </w:rPr>
        <w:t>,</w:t>
      </w:r>
      <w:r w:rsidRPr="007F3559">
        <w:rPr>
          <w:i/>
          <w:iCs/>
        </w:rPr>
        <w:t xml:space="preserve"> 19(3): 227–233.</w:t>
      </w:r>
    </w:p>
    <w:p w14:paraId="2140B0C0" w14:textId="77777777" w:rsidR="004A600F" w:rsidRDefault="004A600F" w:rsidP="00136C23">
      <w:pPr>
        <w:spacing w:line="360" w:lineRule="auto"/>
        <w:ind w:left="720" w:hanging="720"/>
        <w:jc w:val="both"/>
      </w:pPr>
      <w:r>
        <w:t xml:space="preserve">Mohler R., </w:t>
      </w:r>
      <w:proofErr w:type="spellStart"/>
      <w:r>
        <w:t>Renom</w:t>
      </w:r>
      <w:proofErr w:type="spellEnd"/>
      <w:r>
        <w:t xml:space="preserve">, A., </w:t>
      </w:r>
      <w:proofErr w:type="spellStart"/>
      <w:r>
        <w:t>Renom</w:t>
      </w:r>
      <w:proofErr w:type="spellEnd"/>
      <w:r>
        <w:t xml:space="preserve">, H., et al. (2018). Personally tailored activities for improving psychosocial outcomes for people with dementia in long-term care. </w:t>
      </w:r>
      <w:proofErr w:type="spellStart"/>
      <w:r>
        <w:rPr>
          <w:i/>
          <w:iCs/>
        </w:rPr>
        <w:t>Cochr</w:t>
      </w:r>
      <w:proofErr w:type="spellEnd"/>
      <w:r>
        <w:rPr>
          <w:i/>
          <w:iCs/>
        </w:rPr>
        <w:t xml:space="preserve"> </w:t>
      </w:r>
      <w:proofErr w:type="spellStart"/>
      <w:r>
        <w:rPr>
          <w:i/>
          <w:iCs/>
        </w:rPr>
        <w:t>Datab</w:t>
      </w:r>
      <w:proofErr w:type="spellEnd"/>
      <w:r>
        <w:rPr>
          <w:i/>
          <w:iCs/>
        </w:rPr>
        <w:t xml:space="preserve"> </w:t>
      </w:r>
      <w:proofErr w:type="spellStart"/>
      <w:r>
        <w:rPr>
          <w:i/>
          <w:iCs/>
        </w:rPr>
        <w:t>Syst</w:t>
      </w:r>
      <w:proofErr w:type="spellEnd"/>
      <w:r>
        <w:rPr>
          <w:i/>
          <w:iCs/>
        </w:rPr>
        <w:t xml:space="preserve"> Rev, 2, </w:t>
      </w:r>
      <w:r>
        <w:t xml:space="preserve">CD009812. </w:t>
      </w:r>
    </w:p>
    <w:p w14:paraId="49C97E21" w14:textId="77777777" w:rsidR="004A600F" w:rsidRDefault="004A600F" w:rsidP="008A72DA">
      <w:pPr>
        <w:spacing w:line="360" w:lineRule="auto"/>
        <w:ind w:left="720" w:hanging="720"/>
        <w:jc w:val="both"/>
        <w:rPr>
          <w:color w:val="222222"/>
          <w:shd w:val="clear" w:color="auto" w:fill="FFFFFF"/>
        </w:rPr>
      </w:pPr>
      <w:r>
        <w:rPr>
          <w:color w:val="222222"/>
          <w:shd w:val="clear" w:color="auto" w:fill="FFFFFF"/>
        </w:rPr>
        <w:t xml:space="preserve">Moore, T. F., &amp; Hollett, J. (2003). Giving voice to persons living with dementia: the researcher’s opportunities and challenges. </w:t>
      </w:r>
      <w:r>
        <w:rPr>
          <w:i/>
          <w:iCs/>
          <w:color w:val="222222"/>
          <w:shd w:val="clear" w:color="auto" w:fill="FFFFFF"/>
        </w:rPr>
        <w:t xml:space="preserve">Nursing Science Q, 16(2), </w:t>
      </w:r>
      <w:r>
        <w:rPr>
          <w:color w:val="222222"/>
          <w:shd w:val="clear" w:color="auto" w:fill="FFFFFF"/>
        </w:rPr>
        <w:t>163 – 167.</w:t>
      </w:r>
    </w:p>
    <w:p w14:paraId="51F8A3A9" w14:textId="77777777" w:rsidR="004A600F" w:rsidRDefault="004A600F" w:rsidP="008A72DA">
      <w:pPr>
        <w:spacing w:line="360" w:lineRule="auto"/>
        <w:ind w:left="720" w:hanging="720"/>
        <w:jc w:val="both"/>
      </w:pPr>
      <w:r w:rsidRPr="00350FDE">
        <w:t xml:space="preserve">Murphy, K., Jordan, F., Hunter, A., Cooney, A., &amp; Casey, D. (2015). Articulating the strategies for maximising the inclusion of people with dementia in qualitative research studies. </w:t>
      </w:r>
      <w:r w:rsidRPr="008A72DA">
        <w:rPr>
          <w:i/>
          <w:iCs/>
        </w:rPr>
        <w:t>Dementia, 14(6),</w:t>
      </w:r>
      <w:r w:rsidRPr="00350FDE">
        <w:t xml:space="preserve"> 800–824. </w:t>
      </w:r>
    </w:p>
    <w:p w14:paraId="4AAB64E8" w14:textId="77777777" w:rsidR="004A600F" w:rsidRPr="00AE1B5B" w:rsidRDefault="004A600F" w:rsidP="00AE1B5B">
      <w:pPr>
        <w:spacing w:line="360" w:lineRule="auto"/>
        <w:ind w:left="720" w:hanging="720"/>
        <w:jc w:val="both"/>
      </w:pPr>
      <w:r w:rsidRPr="006A5B7C">
        <w:rPr>
          <w:color w:val="3A3A3A"/>
          <w:shd w:val="clear" w:color="auto" w:fill="FFFFFF"/>
        </w:rPr>
        <w:t>Nickel, P</w:t>
      </w:r>
      <w:r>
        <w:rPr>
          <w:color w:val="3A3A3A"/>
          <w:shd w:val="clear" w:color="auto" w:fill="FFFFFF"/>
        </w:rPr>
        <w:t>.</w:t>
      </w:r>
      <w:r w:rsidRPr="006A5B7C">
        <w:rPr>
          <w:color w:val="3A3A3A"/>
          <w:shd w:val="clear" w:color="auto" w:fill="FFFFFF"/>
        </w:rPr>
        <w:t xml:space="preserve"> J. (2006). Vulnerable Populations in Research: The Case of the Seriously Ill. </w:t>
      </w:r>
      <w:r w:rsidRPr="006A5B7C">
        <w:rPr>
          <w:i/>
          <w:iCs/>
          <w:color w:val="3A3A3A"/>
        </w:rPr>
        <w:t>Theoretical Medicine and Bioethics</w:t>
      </w:r>
      <w:r w:rsidRPr="006A5B7C">
        <w:rPr>
          <w:color w:val="3A3A3A"/>
          <w:shd w:val="clear" w:color="auto" w:fill="FFFFFF"/>
        </w:rPr>
        <w:t>, </w:t>
      </w:r>
      <w:r w:rsidRPr="006A5B7C">
        <w:rPr>
          <w:i/>
          <w:iCs/>
          <w:color w:val="3A3A3A"/>
        </w:rPr>
        <w:t>27</w:t>
      </w:r>
      <w:r w:rsidRPr="006A5B7C">
        <w:rPr>
          <w:color w:val="3A3A3A"/>
          <w:shd w:val="clear" w:color="auto" w:fill="FFFFFF"/>
        </w:rPr>
        <w:t>(3), 245–264. https://doi.org/10.1007/s11017-006-9000-2</w:t>
      </w:r>
    </w:p>
    <w:p w14:paraId="2C4B024E" w14:textId="77777777" w:rsidR="004A600F" w:rsidRDefault="004A600F" w:rsidP="00AB746E">
      <w:pPr>
        <w:spacing w:line="360" w:lineRule="auto"/>
        <w:ind w:left="720" w:hanging="720"/>
        <w:jc w:val="both"/>
        <w:rPr>
          <w:i/>
          <w:iCs/>
        </w:rPr>
      </w:pPr>
      <w:r>
        <w:t xml:space="preserve">Normann, H., K., Norberg, A. &amp; </w:t>
      </w:r>
      <w:proofErr w:type="spellStart"/>
      <w:r>
        <w:t>Asplund</w:t>
      </w:r>
      <w:proofErr w:type="spellEnd"/>
      <w:r>
        <w:t xml:space="preserve">, K., (2002). Confirmation and lucidity during conversations with a woman with severe diagnosis. </w:t>
      </w:r>
      <w:r>
        <w:rPr>
          <w:i/>
          <w:iCs/>
        </w:rPr>
        <w:t xml:space="preserve">J Adv </w:t>
      </w:r>
      <w:proofErr w:type="spellStart"/>
      <w:r>
        <w:rPr>
          <w:i/>
          <w:iCs/>
        </w:rPr>
        <w:t>Nurs</w:t>
      </w:r>
      <w:proofErr w:type="spellEnd"/>
      <w:r>
        <w:rPr>
          <w:i/>
          <w:iCs/>
        </w:rPr>
        <w:t xml:space="preserve"> Sci, 39(4), 370 – 376.</w:t>
      </w:r>
    </w:p>
    <w:p w14:paraId="54A44500" w14:textId="77777777" w:rsidR="004A600F" w:rsidRDefault="004A600F" w:rsidP="008A72DA">
      <w:pPr>
        <w:spacing w:line="360" w:lineRule="auto"/>
        <w:ind w:left="720" w:hanging="720"/>
        <w:jc w:val="both"/>
        <w:rPr>
          <w:color w:val="222222"/>
          <w:shd w:val="clear" w:color="auto" w:fill="FFFFFF"/>
        </w:rPr>
      </w:pPr>
      <w:r w:rsidRPr="008A72DA">
        <w:rPr>
          <w:color w:val="222222"/>
          <w:shd w:val="clear" w:color="auto" w:fill="FFFFFF"/>
        </w:rPr>
        <w:t>Novek, S., &amp; Wilkinson, H. (2019). Safe and inclusive research practices for qualitative research involving people with dementia: a review of key issues and strategies. </w:t>
      </w:r>
      <w:r w:rsidRPr="008A72DA">
        <w:rPr>
          <w:i/>
          <w:iCs/>
          <w:color w:val="222222"/>
        </w:rPr>
        <w:t>Dementia</w:t>
      </w:r>
      <w:r w:rsidRPr="008A72DA">
        <w:rPr>
          <w:color w:val="222222"/>
          <w:shd w:val="clear" w:color="auto" w:fill="FFFFFF"/>
        </w:rPr>
        <w:t>, </w:t>
      </w:r>
      <w:r w:rsidRPr="008A72DA">
        <w:rPr>
          <w:i/>
          <w:iCs/>
          <w:color w:val="222222"/>
        </w:rPr>
        <w:t>18</w:t>
      </w:r>
      <w:r w:rsidRPr="008A72DA">
        <w:rPr>
          <w:color w:val="222222"/>
          <w:shd w:val="clear" w:color="auto" w:fill="FFFFFF"/>
        </w:rPr>
        <w:t>(3), 1042-1059.</w:t>
      </w:r>
    </w:p>
    <w:p w14:paraId="3CF7E299" w14:textId="77777777" w:rsidR="004A600F" w:rsidRDefault="004A600F" w:rsidP="00136C23">
      <w:pPr>
        <w:spacing w:line="360" w:lineRule="auto"/>
        <w:ind w:left="720" w:hanging="720"/>
        <w:jc w:val="both"/>
        <w:rPr>
          <w:i/>
          <w:iCs/>
        </w:rPr>
      </w:pPr>
      <w:r w:rsidRPr="00136C23">
        <w:t xml:space="preserve">Nygard, L. (2006). How can we get access to the experiences of people with dementia? </w:t>
      </w:r>
      <w:r w:rsidRPr="00136C23">
        <w:rPr>
          <w:i/>
          <w:iCs/>
        </w:rPr>
        <w:t xml:space="preserve">Scandinavian Journal of Occupational Therapy, 13(2), 101–112. </w:t>
      </w:r>
    </w:p>
    <w:p w14:paraId="0CBCDA02" w14:textId="77777777" w:rsidR="004A600F" w:rsidRDefault="004A600F" w:rsidP="008A72DA">
      <w:pPr>
        <w:spacing w:line="360" w:lineRule="auto"/>
        <w:ind w:left="720" w:hanging="720"/>
        <w:jc w:val="both"/>
        <w:rPr>
          <w:color w:val="222222"/>
          <w:shd w:val="clear" w:color="auto" w:fill="FFFFFF"/>
        </w:rPr>
      </w:pPr>
      <w:r>
        <w:rPr>
          <w:color w:val="222222"/>
          <w:shd w:val="clear" w:color="auto" w:fill="FFFFFF"/>
        </w:rPr>
        <w:t xml:space="preserve">Parse, R. R. (1994). Quality of life: sciencing and living the art of human becoming. </w:t>
      </w:r>
      <w:r>
        <w:rPr>
          <w:i/>
          <w:iCs/>
          <w:color w:val="222222"/>
          <w:shd w:val="clear" w:color="auto" w:fill="FFFFFF"/>
        </w:rPr>
        <w:t xml:space="preserve">Nursing Science Q, 7(1), </w:t>
      </w:r>
      <w:r>
        <w:rPr>
          <w:color w:val="222222"/>
          <w:shd w:val="clear" w:color="auto" w:fill="FFFFFF"/>
        </w:rPr>
        <w:t>16 – 21.</w:t>
      </w:r>
    </w:p>
    <w:p w14:paraId="44042AB6" w14:textId="77777777" w:rsidR="004A600F" w:rsidRDefault="004A600F" w:rsidP="008A72DA">
      <w:pPr>
        <w:spacing w:line="360" w:lineRule="auto"/>
        <w:ind w:left="720" w:hanging="720"/>
        <w:jc w:val="both"/>
        <w:rPr>
          <w:color w:val="222222"/>
          <w:shd w:val="clear" w:color="auto" w:fill="FFFFFF"/>
        </w:rPr>
      </w:pPr>
      <w:r>
        <w:rPr>
          <w:color w:val="222222"/>
          <w:shd w:val="clear" w:color="auto" w:fill="FFFFFF"/>
        </w:rPr>
        <w:t xml:space="preserve">Parse, R. R. (1996). Quality of like for persons living with Alzheimer’s disease: the human becoming perspective. </w:t>
      </w:r>
      <w:r>
        <w:rPr>
          <w:i/>
          <w:iCs/>
          <w:color w:val="222222"/>
          <w:shd w:val="clear" w:color="auto" w:fill="FFFFFF"/>
        </w:rPr>
        <w:t xml:space="preserve">Nursing Science Q, 9(3), </w:t>
      </w:r>
      <w:r>
        <w:rPr>
          <w:color w:val="222222"/>
          <w:shd w:val="clear" w:color="auto" w:fill="FFFFFF"/>
        </w:rPr>
        <w:t>126 – 133.</w:t>
      </w:r>
    </w:p>
    <w:p w14:paraId="6EE7537E" w14:textId="77777777" w:rsidR="004A600F" w:rsidRDefault="004A600F" w:rsidP="00476649">
      <w:pPr>
        <w:spacing w:line="360" w:lineRule="auto"/>
        <w:ind w:left="720" w:hanging="720"/>
        <w:jc w:val="both"/>
        <w:rPr>
          <w:color w:val="3A3A3A"/>
          <w:shd w:val="clear" w:color="auto" w:fill="FFFFFF"/>
        </w:rPr>
      </w:pPr>
      <w:r w:rsidRPr="00476649">
        <w:rPr>
          <w:color w:val="3A3A3A"/>
          <w:shd w:val="clear" w:color="auto" w:fill="FFFFFF"/>
        </w:rPr>
        <w:t>Peeters, J.</w:t>
      </w:r>
      <w:r>
        <w:rPr>
          <w:color w:val="3A3A3A"/>
          <w:shd w:val="clear" w:color="auto" w:fill="FFFFFF"/>
        </w:rPr>
        <w:t xml:space="preserve"> </w:t>
      </w:r>
      <w:r w:rsidRPr="00476649">
        <w:rPr>
          <w:color w:val="3A3A3A"/>
          <w:shd w:val="clear" w:color="auto" w:fill="FFFFFF"/>
        </w:rPr>
        <w:t>M</w:t>
      </w:r>
      <w:r>
        <w:rPr>
          <w:color w:val="3A3A3A"/>
          <w:shd w:val="clear" w:color="auto" w:fill="FFFFFF"/>
        </w:rPr>
        <w:t>.</w:t>
      </w:r>
      <w:r w:rsidRPr="00476649">
        <w:rPr>
          <w:color w:val="3A3A3A"/>
          <w:shd w:val="clear" w:color="auto" w:fill="FFFFFF"/>
        </w:rPr>
        <w:t>, van Beek, A.</w:t>
      </w:r>
      <w:r>
        <w:rPr>
          <w:color w:val="3A3A3A"/>
          <w:shd w:val="clear" w:color="auto" w:fill="FFFFFF"/>
        </w:rPr>
        <w:t xml:space="preserve"> </w:t>
      </w:r>
      <w:r w:rsidRPr="00476649">
        <w:rPr>
          <w:color w:val="3A3A3A"/>
          <w:shd w:val="clear" w:color="auto" w:fill="FFFFFF"/>
        </w:rPr>
        <w:t>P</w:t>
      </w:r>
      <w:r>
        <w:rPr>
          <w:color w:val="3A3A3A"/>
          <w:shd w:val="clear" w:color="auto" w:fill="FFFFFF"/>
        </w:rPr>
        <w:t>.</w:t>
      </w:r>
      <w:r w:rsidRPr="00476649">
        <w:rPr>
          <w:color w:val="3A3A3A"/>
          <w:shd w:val="clear" w:color="auto" w:fill="FFFFFF"/>
        </w:rPr>
        <w:t xml:space="preserve">, </w:t>
      </w:r>
      <w:proofErr w:type="spellStart"/>
      <w:r w:rsidRPr="00476649">
        <w:rPr>
          <w:color w:val="3A3A3A"/>
          <w:shd w:val="clear" w:color="auto" w:fill="FFFFFF"/>
        </w:rPr>
        <w:t>Meerveld</w:t>
      </w:r>
      <w:proofErr w:type="spellEnd"/>
      <w:r w:rsidRPr="00476649">
        <w:rPr>
          <w:color w:val="3A3A3A"/>
          <w:shd w:val="clear" w:color="auto" w:fill="FFFFFF"/>
        </w:rPr>
        <w:t>, J.</w:t>
      </w:r>
      <w:r>
        <w:rPr>
          <w:color w:val="3A3A3A"/>
          <w:shd w:val="clear" w:color="auto" w:fill="FFFFFF"/>
        </w:rPr>
        <w:t xml:space="preserve"> </w:t>
      </w:r>
      <w:r w:rsidRPr="00476649">
        <w:rPr>
          <w:color w:val="3A3A3A"/>
          <w:shd w:val="clear" w:color="auto" w:fill="FFFFFF"/>
        </w:rPr>
        <w:t>H</w:t>
      </w:r>
      <w:r>
        <w:rPr>
          <w:color w:val="3A3A3A"/>
          <w:shd w:val="clear" w:color="auto" w:fill="FFFFFF"/>
        </w:rPr>
        <w:t>.</w:t>
      </w:r>
      <w:r w:rsidRPr="00476649">
        <w:rPr>
          <w:color w:val="3A3A3A"/>
          <w:shd w:val="clear" w:color="auto" w:fill="FFFFFF"/>
        </w:rPr>
        <w:t xml:space="preserve">, </w:t>
      </w:r>
      <w:proofErr w:type="spellStart"/>
      <w:r w:rsidRPr="00476649">
        <w:rPr>
          <w:color w:val="3A3A3A"/>
          <w:shd w:val="clear" w:color="auto" w:fill="FFFFFF"/>
        </w:rPr>
        <w:t>Spreeuwenberg</w:t>
      </w:r>
      <w:proofErr w:type="spellEnd"/>
      <w:r w:rsidRPr="00476649">
        <w:rPr>
          <w:color w:val="3A3A3A"/>
          <w:shd w:val="clear" w:color="auto" w:fill="FFFFFF"/>
        </w:rPr>
        <w:t>, P</w:t>
      </w:r>
      <w:r>
        <w:rPr>
          <w:color w:val="3A3A3A"/>
          <w:shd w:val="clear" w:color="auto" w:fill="FFFFFF"/>
        </w:rPr>
        <w:t>.</w:t>
      </w:r>
      <w:r w:rsidRPr="00476649">
        <w:rPr>
          <w:color w:val="3A3A3A"/>
          <w:shd w:val="clear" w:color="auto" w:fill="FFFFFF"/>
        </w:rPr>
        <w:t xml:space="preserve">, &amp; </w:t>
      </w:r>
      <w:proofErr w:type="spellStart"/>
      <w:r w:rsidRPr="00476649">
        <w:rPr>
          <w:color w:val="3A3A3A"/>
          <w:shd w:val="clear" w:color="auto" w:fill="FFFFFF"/>
        </w:rPr>
        <w:t>Francke</w:t>
      </w:r>
      <w:proofErr w:type="spellEnd"/>
      <w:r w:rsidRPr="00476649">
        <w:rPr>
          <w:color w:val="3A3A3A"/>
          <w:shd w:val="clear" w:color="auto" w:fill="FFFFFF"/>
        </w:rPr>
        <w:t>, A.</w:t>
      </w:r>
      <w:r>
        <w:rPr>
          <w:color w:val="3A3A3A"/>
          <w:shd w:val="clear" w:color="auto" w:fill="FFFFFF"/>
        </w:rPr>
        <w:t xml:space="preserve"> </w:t>
      </w:r>
      <w:r w:rsidRPr="00476649">
        <w:rPr>
          <w:color w:val="3A3A3A"/>
          <w:shd w:val="clear" w:color="auto" w:fill="FFFFFF"/>
        </w:rPr>
        <w:t>L. (2010). Informal caregivers of persons with dementia, their use of and needs for specific professional support: a survey of the national dementia programme. </w:t>
      </w:r>
      <w:r w:rsidRPr="00476649">
        <w:rPr>
          <w:i/>
          <w:iCs/>
          <w:color w:val="3A3A3A"/>
        </w:rPr>
        <w:t>BMC Nursing</w:t>
      </w:r>
      <w:r w:rsidRPr="00476649">
        <w:rPr>
          <w:color w:val="3A3A3A"/>
          <w:shd w:val="clear" w:color="auto" w:fill="FFFFFF"/>
        </w:rPr>
        <w:t>, </w:t>
      </w:r>
      <w:r w:rsidRPr="00476649">
        <w:rPr>
          <w:i/>
          <w:iCs/>
          <w:color w:val="3A3A3A"/>
        </w:rPr>
        <w:t>9</w:t>
      </w:r>
      <w:r w:rsidRPr="00476649">
        <w:rPr>
          <w:color w:val="3A3A3A"/>
          <w:shd w:val="clear" w:color="auto" w:fill="FFFFFF"/>
        </w:rPr>
        <w:t xml:space="preserve">(1), 9–9. </w:t>
      </w:r>
      <w:hyperlink r:id="rId10" w:history="1">
        <w:r w:rsidRPr="00476649">
          <w:rPr>
            <w:rStyle w:val="Hyperlink"/>
            <w:shd w:val="clear" w:color="auto" w:fill="FFFFFF"/>
          </w:rPr>
          <w:t>https://doi.org/10.1186/1472-6955-9-9</w:t>
        </w:r>
      </w:hyperlink>
    </w:p>
    <w:p w14:paraId="3B7AFEA3" w14:textId="77777777" w:rsidR="004A600F" w:rsidRDefault="004A600F" w:rsidP="008A72DA">
      <w:pPr>
        <w:spacing w:line="360" w:lineRule="auto"/>
        <w:ind w:left="720" w:hanging="720"/>
        <w:jc w:val="both"/>
      </w:pPr>
      <w:r w:rsidRPr="008A72DA">
        <w:lastRenderedPageBreak/>
        <w:t xml:space="preserve">Pesonen, H.-M., </w:t>
      </w:r>
      <w:proofErr w:type="spellStart"/>
      <w:r w:rsidRPr="008A72DA">
        <w:t>Remes</w:t>
      </w:r>
      <w:proofErr w:type="spellEnd"/>
      <w:r w:rsidRPr="008A72DA">
        <w:t xml:space="preserve">, A. M., &amp; Isola, A. (2011). Ethical aspects of researching subjective experiences in early-stage dementia. </w:t>
      </w:r>
      <w:r w:rsidRPr="008A72DA">
        <w:rPr>
          <w:i/>
          <w:iCs/>
        </w:rPr>
        <w:t>Nursing Ethics, 18(5),</w:t>
      </w:r>
      <w:r w:rsidRPr="008A72DA">
        <w:t xml:space="preserve"> 651–661. </w:t>
      </w:r>
    </w:p>
    <w:p w14:paraId="78878269" w14:textId="77777777" w:rsidR="004A600F" w:rsidRPr="008B50E8" w:rsidRDefault="004A600F" w:rsidP="002635FF">
      <w:pPr>
        <w:spacing w:line="360" w:lineRule="auto"/>
        <w:ind w:left="720" w:hanging="720"/>
        <w:jc w:val="both"/>
        <w:rPr>
          <w:color w:val="222222"/>
          <w:shd w:val="clear" w:color="auto" w:fill="FFFFFF"/>
        </w:rPr>
      </w:pPr>
      <w:r>
        <w:rPr>
          <w:color w:val="222222"/>
          <w:shd w:val="clear" w:color="auto" w:fill="FFFFFF"/>
        </w:rPr>
        <w:t xml:space="preserve">Polit, D. F. &amp; Beck, C. T. (2014). Essentials of nursing research appraising evidence for nursing practice. Lippincott Williams &amp; Wilkins: Philadelphia. </w:t>
      </w:r>
    </w:p>
    <w:p w14:paraId="01A2F620" w14:textId="77777777" w:rsidR="004A600F" w:rsidRDefault="004A600F" w:rsidP="002635FF">
      <w:pPr>
        <w:spacing w:line="360" w:lineRule="auto"/>
        <w:ind w:left="720" w:hanging="720"/>
        <w:jc w:val="both"/>
        <w:rPr>
          <w:color w:val="222222"/>
          <w:shd w:val="clear" w:color="auto" w:fill="FFFFFF"/>
        </w:rPr>
      </w:pPr>
      <w:r>
        <w:t xml:space="preserve">Pratt, R. (2002). Nobody’s ever asked how I felt. In H Wilkinson (Ed.) </w:t>
      </w:r>
      <w:r>
        <w:rPr>
          <w:color w:val="222222"/>
          <w:shd w:val="clear" w:color="auto" w:fill="FFFFFF"/>
        </w:rPr>
        <w:t xml:space="preserve">The perspectives of people with dementia: Research methods and motivations (pp. 47 – 61). London: Jessica Kingsley. </w:t>
      </w:r>
    </w:p>
    <w:p w14:paraId="63C8E664" w14:textId="77777777" w:rsidR="004A600F" w:rsidRDefault="004A600F" w:rsidP="00350FDE">
      <w:pPr>
        <w:spacing w:line="360" w:lineRule="auto"/>
        <w:ind w:left="720" w:hanging="720"/>
        <w:jc w:val="both"/>
      </w:pPr>
      <w:r w:rsidRPr="00350FDE">
        <w:t>Pratt, R., &amp; Wilkinson, H.</w:t>
      </w:r>
      <w:r>
        <w:t xml:space="preserve"> </w:t>
      </w:r>
      <w:r w:rsidRPr="00350FDE">
        <w:t xml:space="preserve">(2001). ‘Tell me the truth’. The effect of being told the diagnosis of dementia from the perspective of the person with dementia. London: Mental Health Foundation. </w:t>
      </w:r>
    </w:p>
    <w:p w14:paraId="2D3B7015" w14:textId="77777777" w:rsidR="004A600F" w:rsidRPr="00136C23" w:rsidRDefault="004A600F" w:rsidP="00136C23">
      <w:pPr>
        <w:spacing w:line="360" w:lineRule="auto"/>
        <w:ind w:left="720" w:hanging="720"/>
        <w:jc w:val="both"/>
        <w:rPr>
          <w:i/>
          <w:iCs/>
        </w:rPr>
      </w:pPr>
      <w:r w:rsidRPr="00136C23">
        <w:t xml:space="preserve">Richards, H. M., &amp; Schwartz, L. J. (2002). Ethics of qualitative research: Are there special issues for health services research? </w:t>
      </w:r>
      <w:r w:rsidRPr="00136C23">
        <w:rPr>
          <w:i/>
          <w:iCs/>
        </w:rPr>
        <w:t xml:space="preserve">Family Practice, 19(2), 135–139. </w:t>
      </w:r>
    </w:p>
    <w:p w14:paraId="5C47AE31" w14:textId="77777777" w:rsidR="004A600F" w:rsidRDefault="004A600F" w:rsidP="00AB746E">
      <w:pPr>
        <w:spacing w:line="360" w:lineRule="auto"/>
        <w:ind w:left="720" w:hanging="720"/>
        <w:jc w:val="both"/>
      </w:pPr>
      <w:r>
        <w:t xml:space="preserve">Rothstein, M. A., </w:t>
      </w:r>
      <w:proofErr w:type="spellStart"/>
      <w:r>
        <w:t>Knoppers</w:t>
      </w:r>
      <w:proofErr w:type="spellEnd"/>
      <w:r>
        <w:t xml:space="preserve">, B. M. &amp; Harrell, H. L. (2016). Comparative approaches to biobanks and privacy. </w:t>
      </w:r>
      <w:r>
        <w:rPr>
          <w:i/>
          <w:iCs/>
        </w:rPr>
        <w:t xml:space="preserve">J Law Med Ethics. 44, 161 – 172. </w:t>
      </w:r>
    </w:p>
    <w:p w14:paraId="44F28277" w14:textId="77777777" w:rsidR="004A600F" w:rsidRDefault="004A600F" w:rsidP="00136C23">
      <w:pPr>
        <w:spacing w:line="360" w:lineRule="auto"/>
        <w:ind w:left="720" w:hanging="720"/>
        <w:jc w:val="both"/>
      </w:pPr>
      <w:r>
        <w:t xml:space="preserve">Ruyter, K. W., Forde, R. &amp; </w:t>
      </w:r>
      <w:proofErr w:type="spellStart"/>
      <w:r>
        <w:t>Solbakk</w:t>
      </w:r>
      <w:proofErr w:type="spellEnd"/>
      <w:r>
        <w:t xml:space="preserve">, J. H. (2014). </w:t>
      </w:r>
      <w:proofErr w:type="spellStart"/>
      <w:r>
        <w:rPr>
          <w:i/>
          <w:iCs/>
        </w:rPr>
        <w:t>Medisinsk</w:t>
      </w:r>
      <w:proofErr w:type="spellEnd"/>
      <w:r>
        <w:rPr>
          <w:i/>
          <w:iCs/>
        </w:rPr>
        <w:t xml:space="preserve"> of </w:t>
      </w:r>
      <w:proofErr w:type="spellStart"/>
      <w:r>
        <w:rPr>
          <w:i/>
          <w:iCs/>
        </w:rPr>
        <w:t>helsefaglig</w:t>
      </w:r>
      <w:proofErr w:type="spellEnd"/>
      <w:r>
        <w:rPr>
          <w:i/>
          <w:iCs/>
        </w:rPr>
        <w:t xml:space="preserve"> </w:t>
      </w:r>
      <w:proofErr w:type="spellStart"/>
      <w:r>
        <w:rPr>
          <w:i/>
          <w:iCs/>
        </w:rPr>
        <w:t>etikk</w:t>
      </w:r>
      <w:proofErr w:type="spellEnd"/>
      <w:r>
        <w:rPr>
          <w:i/>
          <w:iCs/>
        </w:rPr>
        <w:t xml:space="preserve"> </w:t>
      </w:r>
      <w:r>
        <w:t>[Medical and health related ethics] (3</w:t>
      </w:r>
      <w:r w:rsidRPr="000576A8">
        <w:rPr>
          <w:vertAlign w:val="superscript"/>
        </w:rPr>
        <w:t>rd</w:t>
      </w:r>
      <w:r>
        <w:t xml:space="preserve"> eds.). Oslo: Gyldendal </w:t>
      </w:r>
      <w:proofErr w:type="spellStart"/>
      <w:r>
        <w:t>Akademisk</w:t>
      </w:r>
      <w:proofErr w:type="spellEnd"/>
      <w:r>
        <w:t xml:space="preserve">. </w:t>
      </w:r>
    </w:p>
    <w:p w14:paraId="2683E1F4" w14:textId="77777777" w:rsidR="004A600F" w:rsidRDefault="004A600F" w:rsidP="00136C23">
      <w:pPr>
        <w:spacing w:line="360" w:lineRule="auto"/>
        <w:ind w:left="720" w:hanging="720"/>
        <w:jc w:val="both"/>
        <w:rPr>
          <w:i/>
          <w:iCs/>
        </w:rPr>
      </w:pPr>
      <w:r w:rsidRPr="00136C23">
        <w:t xml:space="preserve">Sachdev, P., Blacker, D., Blazer, D., Ganguli, M., </w:t>
      </w:r>
      <w:proofErr w:type="spellStart"/>
      <w:r w:rsidRPr="00136C23">
        <w:t>Jeste</w:t>
      </w:r>
      <w:proofErr w:type="spellEnd"/>
      <w:r w:rsidRPr="00136C23">
        <w:t xml:space="preserve">, D., Paulsen, J., &amp; Petersen, R. (2014). Classifying neurocognitive disorders: The DSM-5 approach. </w:t>
      </w:r>
      <w:r w:rsidRPr="00136C23">
        <w:rPr>
          <w:i/>
          <w:iCs/>
        </w:rPr>
        <w:t xml:space="preserve">Nature Reviews Neurology, 10(11), 634–642. </w:t>
      </w:r>
    </w:p>
    <w:p w14:paraId="2C801580" w14:textId="77777777" w:rsidR="004A600F" w:rsidRDefault="004A600F" w:rsidP="000576A8">
      <w:pPr>
        <w:spacing w:line="360" w:lineRule="auto"/>
        <w:ind w:left="720" w:hanging="720"/>
        <w:jc w:val="both"/>
      </w:pPr>
      <w:r>
        <w:t xml:space="preserve">Sarantakos, S. (2013). </w:t>
      </w:r>
      <w:r>
        <w:rPr>
          <w:i/>
          <w:iCs/>
        </w:rPr>
        <w:t xml:space="preserve">Social Research. </w:t>
      </w:r>
      <w:r>
        <w:t>(4</w:t>
      </w:r>
      <w:r w:rsidRPr="000576A8">
        <w:rPr>
          <w:vertAlign w:val="superscript"/>
        </w:rPr>
        <w:t>th</w:t>
      </w:r>
      <w:r>
        <w:t xml:space="preserve"> eds.). Palgrave Macmillan Publications, London. </w:t>
      </w:r>
    </w:p>
    <w:p w14:paraId="48C58A65" w14:textId="77777777" w:rsidR="004A600F" w:rsidRPr="006A5B7C" w:rsidRDefault="004A600F" w:rsidP="00AE1B5B">
      <w:pPr>
        <w:spacing w:line="360" w:lineRule="auto"/>
        <w:ind w:left="720" w:hanging="720"/>
        <w:jc w:val="both"/>
      </w:pPr>
      <w:r w:rsidRPr="006A5B7C">
        <w:rPr>
          <w:color w:val="3A3A3A"/>
          <w:shd w:val="clear" w:color="auto" w:fill="FFFFFF"/>
        </w:rPr>
        <w:t>Schroeder, D</w:t>
      </w:r>
      <w:r>
        <w:rPr>
          <w:color w:val="3A3A3A"/>
          <w:shd w:val="clear" w:color="auto" w:fill="FFFFFF"/>
        </w:rPr>
        <w:t>.</w:t>
      </w:r>
      <w:r w:rsidRPr="006A5B7C">
        <w:rPr>
          <w:color w:val="3A3A3A"/>
          <w:shd w:val="clear" w:color="auto" w:fill="FFFFFF"/>
        </w:rPr>
        <w:t>, &amp; Gefenas, E</w:t>
      </w:r>
      <w:r>
        <w:rPr>
          <w:color w:val="3A3A3A"/>
          <w:shd w:val="clear" w:color="auto" w:fill="FFFFFF"/>
        </w:rPr>
        <w:t>.</w:t>
      </w:r>
      <w:r w:rsidRPr="006A5B7C">
        <w:rPr>
          <w:color w:val="3A3A3A"/>
          <w:shd w:val="clear" w:color="auto" w:fill="FFFFFF"/>
        </w:rPr>
        <w:t xml:space="preserve"> (2009). Vulnerability: Too Vague and Too Broad? </w:t>
      </w:r>
      <w:r w:rsidRPr="006A5B7C">
        <w:rPr>
          <w:i/>
          <w:iCs/>
          <w:color w:val="3A3A3A"/>
        </w:rPr>
        <w:t>Cambridge Quarterly of Healthcare Ethics</w:t>
      </w:r>
      <w:r w:rsidRPr="006A5B7C">
        <w:rPr>
          <w:color w:val="3A3A3A"/>
          <w:shd w:val="clear" w:color="auto" w:fill="FFFFFF"/>
        </w:rPr>
        <w:t>, </w:t>
      </w:r>
      <w:r w:rsidRPr="006A5B7C">
        <w:rPr>
          <w:i/>
          <w:iCs/>
          <w:color w:val="3A3A3A"/>
        </w:rPr>
        <w:t>18</w:t>
      </w:r>
      <w:r w:rsidRPr="006A5B7C">
        <w:rPr>
          <w:color w:val="3A3A3A"/>
          <w:shd w:val="clear" w:color="auto" w:fill="FFFFFF"/>
        </w:rPr>
        <w:t>(2), 113–121. https://doi.org/10.1017/S0963180109090203</w:t>
      </w:r>
    </w:p>
    <w:p w14:paraId="5D5B15B0" w14:textId="77777777" w:rsidR="004A600F" w:rsidRDefault="004A600F" w:rsidP="000576A8">
      <w:pPr>
        <w:spacing w:line="360" w:lineRule="auto"/>
        <w:ind w:left="720" w:hanging="720"/>
        <w:jc w:val="both"/>
        <w:rPr>
          <w:rFonts w:ascii="TimesNewRomanPSMT" w:hAnsi="TimesNewRomanPSMT"/>
        </w:rPr>
      </w:pPr>
      <w:r w:rsidRPr="000576A8">
        <w:rPr>
          <w:rFonts w:ascii="TimesNewRomanPSMT" w:hAnsi="TimesNewRomanPSMT"/>
        </w:rPr>
        <w:t xml:space="preserve">Scott, P. A. (2013). Ethical Principles in Health Care Research. In Curtis E. A. &amp; Drennan J. (Eds.), </w:t>
      </w:r>
      <w:r w:rsidRPr="000576A8">
        <w:rPr>
          <w:rFonts w:ascii="TimesNewRomanPS" w:hAnsi="TimesNewRomanPS"/>
          <w:i/>
          <w:iCs/>
        </w:rPr>
        <w:t xml:space="preserve">Quantitative Health Research: Issues and Methods </w:t>
      </w:r>
      <w:r w:rsidRPr="000576A8">
        <w:rPr>
          <w:rFonts w:ascii="TimesNewRomanPSMT" w:hAnsi="TimesNewRomanPSMT"/>
        </w:rPr>
        <w:t>(1</w:t>
      </w:r>
      <w:proofErr w:type="spellStart"/>
      <w:r w:rsidRPr="000576A8">
        <w:rPr>
          <w:rFonts w:ascii="TimesNewRomanPSMT" w:hAnsi="TimesNewRomanPSMT"/>
          <w:position w:val="12"/>
          <w:sz w:val="16"/>
          <w:szCs w:val="16"/>
        </w:rPr>
        <w:t>st</w:t>
      </w:r>
      <w:proofErr w:type="spellEnd"/>
      <w:r w:rsidRPr="000576A8">
        <w:rPr>
          <w:rFonts w:ascii="TimesNewRomanPSMT" w:hAnsi="TimesNewRomanPSMT"/>
          <w:position w:val="12"/>
          <w:sz w:val="16"/>
          <w:szCs w:val="16"/>
        </w:rPr>
        <w:t xml:space="preserve"> </w:t>
      </w:r>
      <w:r w:rsidRPr="000576A8">
        <w:rPr>
          <w:rFonts w:ascii="TimesNewRomanPSMT" w:hAnsi="TimesNewRomanPSMT"/>
        </w:rPr>
        <w:t xml:space="preserve">ed.). (p.77-90). Berkshire, England: Open University Press, McGraw- Hill Education. </w:t>
      </w:r>
    </w:p>
    <w:p w14:paraId="0A5BE858" w14:textId="77777777" w:rsidR="004A600F" w:rsidRPr="00136C23" w:rsidRDefault="004A600F" w:rsidP="00136C23">
      <w:pPr>
        <w:spacing w:line="360" w:lineRule="auto"/>
        <w:ind w:left="720" w:hanging="720"/>
        <w:jc w:val="both"/>
        <w:rPr>
          <w:i/>
          <w:iCs/>
        </w:rPr>
      </w:pPr>
      <w:r w:rsidRPr="00136C23">
        <w:t xml:space="preserve">Scottish Dementia Working Group Research Sub-Group. (2014). Core principles for involving people with dementia in research: Innovative practice. </w:t>
      </w:r>
      <w:r w:rsidRPr="00136C23">
        <w:rPr>
          <w:i/>
          <w:iCs/>
        </w:rPr>
        <w:t xml:space="preserve">Dementia, 13(5), 680–685. </w:t>
      </w:r>
    </w:p>
    <w:p w14:paraId="02ED1E90" w14:textId="77777777" w:rsidR="004A600F" w:rsidRDefault="004A600F" w:rsidP="00136C23">
      <w:pPr>
        <w:spacing w:line="360" w:lineRule="auto"/>
        <w:ind w:left="720" w:hanging="720"/>
        <w:jc w:val="both"/>
      </w:pPr>
      <w:proofErr w:type="spellStart"/>
      <w:r>
        <w:t>Skovdahl</w:t>
      </w:r>
      <w:proofErr w:type="spellEnd"/>
      <w:r>
        <w:t xml:space="preserve">, K. (2003). </w:t>
      </w:r>
      <w:proofErr w:type="spellStart"/>
      <w:r>
        <w:t>Taktil</w:t>
      </w:r>
      <w:proofErr w:type="spellEnd"/>
      <w:r>
        <w:t xml:space="preserve"> </w:t>
      </w:r>
      <w:proofErr w:type="spellStart"/>
      <w:r>
        <w:t>massasje</w:t>
      </w:r>
      <w:proofErr w:type="spellEnd"/>
      <w:r>
        <w:t xml:space="preserve"> </w:t>
      </w:r>
      <w:proofErr w:type="spellStart"/>
      <w:r>
        <w:t>som</w:t>
      </w:r>
      <w:proofErr w:type="spellEnd"/>
      <w:r>
        <w:t xml:space="preserve"> compliment </w:t>
      </w:r>
      <w:proofErr w:type="spellStart"/>
      <w:r>
        <w:t>i</w:t>
      </w:r>
      <w:proofErr w:type="spellEnd"/>
      <w:r>
        <w:t xml:space="preserve"> den </w:t>
      </w:r>
      <w:proofErr w:type="spellStart"/>
      <w:r>
        <w:t>daglige</w:t>
      </w:r>
      <w:proofErr w:type="spellEnd"/>
      <w:r>
        <w:t xml:space="preserve"> </w:t>
      </w:r>
      <w:proofErr w:type="spellStart"/>
      <w:r>
        <w:t>demensomsorgen</w:t>
      </w:r>
      <w:proofErr w:type="spellEnd"/>
      <w:r>
        <w:t xml:space="preserve"> [Tactile massage as a compliment in daily dementia care]. </w:t>
      </w:r>
      <w:proofErr w:type="spellStart"/>
      <w:r>
        <w:rPr>
          <w:i/>
          <w:iCs/>
        </w:rPr>
        <w:t>Demens</w:t>
      </w:r>
      <w:proofErr w:type="spellEnd"/>
      <w:r>
        <w:rPr>
          <w:i/>
          <w:iCs/>
        </w:rPr>
        <w:t xml:space="preserve">, 7, </w:t>
      </w:r>
      <w:r>
        <w:t>5 -7.</w:t>
      </w:r>
    </w:p>
    <w:p w14:paraId="5DBA1C54" w14:textId="77777777" w:rsidR="004A600F" w:rsidRPr="00AE1B5B" w:rsidRDefault="004A600F" w:rsidP="00AE1B5B">
      <w:pPr>
        <w:spacing w:line="360" w:lineRule="auto"/>
        <w:ind w:left="720" w:hanging="720"/>
      </w:pPr>
      <w:r w:rsidRPr="00AE1B5B">
        <w:rPr>
          <w:color w:val="3A3A3A"/>
          <w:shd w:val="clear" w:color="auto" w:fill="FFFFFF"/>
        </w:rPr>
        <w:t>Stannard, D</w:t>
      </w:r>
      <w:r>
        <w:rPr>
          <w:color w:val="3A3A3A"/>
          <w:shd w:val="clear" w:color="auto" w:fill="FFFFFF"/>
        </w:rPr>
        <w:t>.</w:t>
      </w:r>
      <w:r w:rsidRPr="00AE1B5B">
        <w:rPr>
          <w:color w:val="3A3A3A"/>
          <w:shd w:val="clear" w:color="auto" w:fill="FFFFFF"/>
        </w:rPr>
        <w:t>, PhD, RN, CCRN, CCNS, FCCM. (2012). Essentials of Nursing Research: Appraising Evidence for Nursing Practice. </w:t>
      </w:r>
      <w:r w:rsidRPr="00AE1B5B">
        <w:rPr>
          <w:i/>
          <w:iCs/>
          <w:color w:val="3A3A3A"/>
        </w:rPr>
        <w:t>AORN Journal</w:t>
      </w:r>
      <w:r w:rsidRPr="00AE1B5B">
        <w:rPr>
          <w:color w:val="3A3A3A"/>
          <w:shd w:val="clear" w:color="auto" w:fill="FFFFFF"/>
        </w:rPr>
        <w:t>, </w:t>
      </w:r>
      <w:r w:rsidRPr="00AE1B5B">
        <w:rPr>
          <w:i/>
          <w:iCs/>
          <w:color w:val="3A3A3A"/>
        </w:rPr>
        <w:t>95</w:t>
      </w:r>
      <w:r w:rsidRPr="00AE1B5B">
        <w:rPr>
          <w:color w:val="3A3A3A"/>
          <w:shd w:val="clear" w:color="auto" w:fill="FFFFFF"/>
        </w:rPr>
        <w:t>(2), 307–308. https://doi.org/10.1016/j.aorn.2011.10.009</w:t>
      </w:r>
    </w:p>
    <w:p w14:paraId="47DDAE31" w14:textId="77777777" w:rsidR="004A600F" w:rsidRPr="004A600F" w:rsidRDefault="004A600F" w:rsidP="004A600F">
      <w:pPr>
        <w:spacing w:line="360" w:lineRule="auto"/>
        <w:ind w:left="720" w:hanging="720"/>
        <w:jc w:val="both"/>
      </w:pPr>
      <w:proofErr w:type="spellStart"/>
      <w:r w:rsidRPr="004A600F">
        <w:rPr>
          <w:color w:val="222222"/>
          <w:shd w:val="clear" w:color="auto" w:fill="FFFFFF"/>
        </w:rPr>
        <w:lastRenderedPageBreak/>
        <w:t>Strøm</w:t>
      </w:r>
      <w:proofErr w:type="spellEnd"/>
      <w:r w:rsidRPr="004A600F">
        <w:rPr>
          <w:color w:val="222222"/>
          <w:shd w:val="clear" w:color="auto" w:fill="FFFFFF"/>
        </w:rPr>
        <w:t>, B. S., &amp; Engedal, K. (2020). Ethical aspects in dementia care-The use of psychosocial interventions. </w:t>
      </w:r>
      <w:r w:rsidRPr="004A600F">
        <w:rPr>
          <w:i/>
          <w:iCs/>
          <w:color w:val="222222"/>
        </w:rPr>
        <w:t>Nursing Ethics</w:t>
      </w:r>
      <w:r w:rsidRPr="004A600F">
        <w:rPr>
          <w:color w:val="222222"/>
          <w:shd w:val="clear" w:color="auto" w:fill="FFFFFF"/>
        </w:rPr>
        <w:t>, 0969733020952121.</w:t>
      </w:r>
    </w:p>
    <w:p w14:paraId="1E7058F5" w14:textId="77777777" w:rsidR="004A600F" w:rsidRDefault="004A600F" w:rsidP="00350FDE">
      <w:pPr>
        <w:spacing w:line="360" w:lineRule="auto"/>
        <w:ind w:left="720" w:hanging="720"/>
        <w:jc w:val="both"/>
      </w:pPr>
      <w:r w:rsidRPr="00350FDE">
        <w:t xml:space="preserve">Tanner, D. (2012). Co-research with older people with dementia: Experience and reflections. </w:t>
      </w:r>
      <w:r w:rsidRPr="008A72DA">
        <w:rPr>
          <w:i/>
          <w:iCs/>
        </w:rPr>
        <w:t>Journal of Mental Health, 21(3),</w:t>
      </w:r>
      <w:r w:rsidRPr="00350FDE">
        <w:t xml:space="preserve"> 296–306. </w:t>
      </w:r>
    </w:p>
    <w:p w14:paraId="57116999" w14:textId="77777777" w:rsidR="004A600F" w:rsidRPr="00665B3A" w:rsidRDefault="004A600F" w:rsidP="00AE1B5B">
      <w:pPr>
        <w:spacing w:line="360" w:lineRule="auto"/>
        <w:ind w:left="720" w:hanging="720"/>
        <w:jc w:val="both"/>
      </w:pPr>
      <w:r w:rsidRPr="00665B3A">
        <w:rPr>
          <w:color w:val="3A3A3A"/>
          <w:shd w:val="clear" w:color="auto" w:fill="FFFFFF"/>
        </w:rPr>
        <w:t xml:space="preserve">ten Have, </w:t>
      </w:r>
      <w:r>
        <w:rPr>
          <w:color w:val="3A3A3A"/>
          <w:shd w:val="clear" w:color="auto" w:fill="FFFFFF"/>
        </w:rPr>
        <w:t>H.</w:t>
      </w:r>
      <w:r w:rsidRPr="00665B3A">
        <w:rPr>
          <w:color w:val="3A3A3A"/>
          <w:shd w:val="clear" w:color="auto" w:fill="FFFFFF"/>
        </w:rPr>
        <w:t xml:space="preserve"> (2015). Respect for Human Vulnerability: The Emergence of a New Principle in Bioethics. </w:t>
      </w:r>
      <w:r w:rsidRPr="00665B3A">
        <w:rPr>
          <w:i/>
          <w:iCs/>
          <w:color w:val="3A3A3A"/>
        </w:rPr>
        <w:t>Journal of Bioethical Inquiry</w:t>
      </w:r>
      <w:r w:rsidRPr="00665B3A">
        <w:rPr>
          <w:color w:val="3A3A3A"/>
          <w:shd w:val="clear" w:color="auto" w:fill="FFFFFF"/>
        </w:rPr>
        <w:t>, </w:t>
      </w:r>
      <w:r w:rsidRPr="00665B3A">
        <w:rPr>
          <w:i/>
          <w:iCs/>
          <w:color w:val="3A3A3A"/>
        </w:rPr>
        <w:t>12</w:t>
      </w:r>
      <w:r w:rsidRPr="00665B3A">
        <w:rPr>
          <w:color w:val="3A3A3A"/>
          <w:shd w:val="clear" w:color="auto" w:fill="FFFFFF"/>
        </w:rPr>
        <w:t>(3), 395–408. https://doi.org/10.1007/s11673-015-9641-9</w:t>
      </w:r>
    </w:p>
    <w:p w14:paraId="520CEE12" w14:textId="77777777" w:rsidR="004A600F" w:rsidRDefault="004A600F" w:rsidP="000576A8">
      <w:pPr>
        <w:spacing w:line="360" w:lineRule="auto"/>
        <w:ind w:left="720" w:hanging="720"/>
        <w:jc w:val="both"/>
      </w:pPr>
      <w:r>
        <w:t xml:space="preserve">The Norwegian Directorate of Health (2016). </w:t>
      </w:r>
      <w:proofErr w:type="spellStart"/>
      <w:r>
        <w:t>Nasjonal</w:t>
      </w:r>
      <w:proofErr w:type="spellEnd"/>
      <w:r>
        <w:t xml:space="preserve"> </w:t>
      </w:r>
      <w:proofErr w:type="spellStart"/>
      <w:r>
        <w:t>faglig</w:t>
      </w:r>
      <w:proofErr w:type="spellEnd"/>
      <w:r>
        <w:t xml:space="preserve"> </w:t>
      </w:r>
      <w:proofErr w:type="spellStart"/>
      <w:r>
        <w:t>retningslinje</w:t>
      </w:r>
      <w:proofErr w:type="spellEnd"/>
      <w:r>
        <w:t xml:space="preserve"> om </w:t>
      </w:r>
      <w:proofErr w:type="spellStart"/>
      <w:r>
        <w:t>dems</w:t>
      </w:r>
      <w:proofErr w:type="spellEnd"/>
      <w:r>
        <w:t xml:space="preserve"> [The national dementia guidelines]. https://helsdirektoratet.no/demens.</w:t>
      </w:r>
    </w:p>
    <w:p w14:paraId="5515FA0F" w14:textId="77777777" w:rsidR="004A600F" w:rsidRDefault="004A600F" w:rsidP="00136C23">
      <w:pPr>
        <w:spacing w:line="360" w:lineRule="auto"/>
        <w:ind w:left="720" w:hanging="720"/>
        <w:jc w:val="both"/>
        <w:rPr>
          <w:rFonts w:ascii="Arial" w:hAnsi="Arial" w:cs="Arial"/>
          <w:color w:val="222222"/>
          <w:sz w:val="20"/>
          <w:szCs w:val="20"/>
          <w:shd w:val="clear" w:color="auto" w:fill="FFFFFF"/>
        </w:rPr>
      </w:pPr>
      <w:r w:rsidRPr="005906D7">
        <w:rPr>
          <w:color w:val="222222"/>
          <w:shd w:val="clear" w:color="auto" w:fill="FFFFFF"/>
        </w:rPr>
        <w:t xml:space="preserve">Thorogood, A., </w:t>
      </w:r>
      <w:proofErr w:type="spellStart"/>
      <w:r w:rsidRPr="005906D7">
        <w:rPr>
          <w:color w:val="222222"/>
          <w:shd w:val="clear" w:color="auto" w:fill="FFFFFF"/>
        </w:rPr>
        <w:t>Mäki</w:t>
      </w:r>
      <w:proofErr w:type="spellEnd"/>
      <w:r w:rsidRPr="005906D7">
        <w:rPr>
          <w:color w:val="222222"/>
          <w:shd w:val="clear" w:color="auto" w:fill="FFFFFF"/>
        </w:rPr>
        <w:t>-</w:t>
      </w:r>
      <w:proofErr w:type="spellStart"/>
      <w:r w:rsidRPr="005906D7">
        <w:rPr>
          <w:color w:val="222222"/>
          <w:shd w:val="clear" w:color="auto" w:fill="FFFFFF"/>
        </w:rPr>
        <w:t>Petäjä</w:t>
      </w:r>
      <w:proofErr w:type="spellEnd"/>
      <w:r w:rsidRPr="005906D7">
        <w:rPr>
          <w:color w:val="222222"/>
          <w:shd w:val="clear" w:color="auto" w:fill="FFFFFF"/>
        </w:rPr>
        <w:t xml:space="preserve">-Leinonen, A., </w:t>
      </w:r>
      <w:proofErr w:type="spellStart"/>
      <w:r w:rsidRPr="005906D7">
        <w:rPr>
          <w:color w:val="222222"/>
          <w:shd w:val="clear" w:color="auto" w:fill="FFFFFF"/>
        </w:rPr>
        <w:t>Brodaty</w:t>
      </w:r>
      <w:proofErr w:type="spellEnd"/>
      <w:r w:rsidRPr="005906D7">
        <w:rPr>
          <w:color w:val="222222"/>
          <w:shd w:val="clear" w:color="auto" w:fill="FFFFFF"/>
        </w:rPr>
        <w:t xml:space="preserve">, H., </w:t>
      </w:r>
      <w:proofErr w:type="spellStart"/>
      <w:r w:rsidRPr="005906D7">
        <w:rPr>
          <w:color w:val="222222"/>
          <w:shd w:val="clear" w:color="auto" w:fill="FFFFFF"/>
        </w:rPr>
        <w:t>Dalpé</w:t>
      </w:r>
      <w:proofErr w:type="spellEnd"/>
      <w:r w:rsidRPr="005906D7">
        <w:rPr>
          <w:color w:val="222222"/>
          <w:shd w:val="clear" w:color="auto" w:fill="FFFFFF"/>
        </w:rPr>
        <w:t xml:space="preserve">, G., </w:t>
      </w:r>
      <w:proofErr w:type="spellStart"/>
      <w:r w:rsidRPr="005906D7">
        <w:rPr>
          <w:color w:val="222222"/>
          <w:shd w:val="clear" w:color="auto" w:fill="FFFFFF"/>
        </w:rPr>
        <w:t>Gastmans</w:t>
      </w:r>
      <w:proofErr w:type="spellEnd"/>
      <w:r w:rsidRPr="005906D7">
        <w:rPr>
          <w:color w:val="222222"/>
          <w:shd w:val="clear" w:color="auto" w:fill="FFFFFF"/>
        </w:rPr>
        <w:t>, C., Gauthier, S., ... &amp; Team, D. T. (2018). Consent recommendations for research and international data sharing involving persons with dementia.</w:t>
      </w:r>
      <w:r w:rsidRPr="005906D7">
        <w:rPr>
          <w:rStyle w:val="apple-converted-space"/>
          <w:color w:val="222222"/>
          <w:shd w:val="clear" w:color="auto" w:fill="FFFFFF"/>
        </w:rPr>
        <w:t> </w:t>
      </w:r>
      <w:r w:rsidRPr="005906D7">
        <w:rPr>
          <w:i/>
          <w:iCs/>
          <w:color w:val="222222"/>
        </w:rPr>
        <w:t>Alzheimer's &amp; Dementia</w:t>
      </w:r>
      <w:r w:rsidRPr="005906D7">
        <w:rPr>
          <w:color w:val="222222"/>
          <w:shd w:val="clear" w:color="auto" w:fill="FFFFFF"/>
        </w:rPr>
        <w:t>,</w:t>
      </w:r>
      <w:r w:rsidRPr="005906D7">
        <w:rPr>
          <w:rStyle w:val="apple-converted-space"/>
          <w:color w:val="222222"/>
          <w:shd w:val="clear" w:color="auto" w:fill="FFFFFF"/>
        </w:rPr>
        <w:t> </w:t>
      </w:r>
      <w:r w:rsidRPr="005906D7">
        <w:rPr>
          <w:i/>
          <w:iCs/>
          <w:color w:val="222222"/>
        </w:rPr>
        <w:t>14</w:t>
      </w:r>
      <w:r w:rsidRPr="005906D7">
        <w:rPr>
          <w:color w:val="222222"/>
          <w:shd w:val="clear" w:color="auto" w:fill="FFFFFF"/>
        </w:rPr>
        <w:t>(10), 1334-1343</w:t>
      </w:r>
      <w:r>
        <w:rPr>
          <w:rFonts w:ascii="Arial" w:hAnsi="Arial" w:cs="Arial"/>
          <w:color w:val="222222"/>
          <w:sz w:val="20"/>
          <w:szCs w:val="20"/>
          <w:shd w:val="clear" w:color="auto" w:fill="FFFFFF"/>
        </w:rPr>
        <w:t>.</w:t>
      </w:r>
    </w:p>
    <w:p w14:paraId="47270344" w14:textId="77777777" w:rsidR="004A600F" w:rsidRDefault="004A600F" w:rsidP="00AB746E">
      <w:pPr>
        <w:spacing w:line="360" w:lineRule="auto"/>
        <w:ind w:left="720" w:hanging="720"/>
        <w:jc w:val="both"/>
        <w:rPr>
          <w:i/>
          <w:iCs/>
        </w:rPr>
      </w:pPr>
      <w:r>
        <w:t xml:space="preserve">Togni, E., Dierickx, K. &amp; </w:t>
      </w:r>
      <w:proofErr w:type="spellStart"/>
      <w:r>
        <w:t>Porteri</w:t>
      </w:r>
      <w:proofErr w:type="spellEnd"/>
      <w:r>
        <w:t xml:space="preserve">, C. (2014). Participation in biobanks for research by incapacitated adults: review and discussion of current guidelines. </w:t>
      </w:r>
      <w:r>
        <w:rPr>
          <w:i/>
          <w:iCs/>
        </w:rPr>
        <w:t xml:space="preserve">Int J </w:t>
      </w:r>
      <w:proofErr w:type="spellStart"/>
      <w:r>
        <w:rPr>
          <w:i/>
          <w:iCs/>
        </w:rPr>
        <w:t>Geriatr</w:t>
      </w:r>
      <w:proofErr w:type="spellEnd"/>
      <w:r>
        <w:rPr>
          <w:i/>
          <w:iCs/>
        </w:rPr>
        <w:t xml:space="preserve"> Psychiatry. 29, 670 – 681. </w:t>
      </w:r>
    </w:p>
    <w:p w14:paraId="3EB51E2C" w14:textId="77777777" w:rsidR="004A600F" w:rsidRDefault="004A600F" w:rsidP="00AB746E">
      <w:pPr>
        <w:spacing w:line="360" w:lineRule="auto"/>
        <w:ind w:left="720" w:hanging="720"/>
        <w:jc w:val="both"/>
      </w:pPr>
      <w:r>
        <w:t xml:space="preserve">United Nations Educational Scientific, and Cultural Organisation (UNSECO). (2005). Universal Declaration on Bioethics and Human Rights. Paris. </w:t>
      </w:r>
    </w:p>
    <w:p w14:paraId="455348FD" w14:textId="77777777" w:rsidR="004A600F" w:rsidRDefault="004A600F" w:rsidP="00350FDE">
      <w:pPr>
        <w:spacing w:line="360" w:lineRule="auto"/>
        <w:ind w:left="720" w:hanging="720"/>
        <w:jc w:val="both"/>
        <w:rPr>
          <w:color w:val="222222"/>
          <w:shd w:val="clear" w:color="auto" w:fill="FFFFFF"/>
        </w:rPr>
      </w:pPr>
      <w:r w:rsidRPr="00476649">
        <w:rPr>
          <w:color w:val="222222"/>
          <w:shd w:val="clear" w:color="auto" w:fill="FFFFFF"/>
        </w:rPr>
        <w:t>Whitlatch, C. J., &amp; Orsulic-Jeras, S. (2018). Meeting the informational, educational, and psychosocial support needs of persons living with dementia and their family caregivers. </w:t>
      </w:r>
      <w:r w:rsidRPr="00476649">
        <w:rPr>
          <w:i/>
          <w:iCs/>
          <w:color w:val="222222"/>
        </w:rPr>
        <w:t>The Gerontologist</w:t>
      </w:r>
      <w:r w:rsidRPr="00476649">
        <w:rPr>
          <w:color w:val="222222"/>
          <w:shd w:val="clear" w:color="auto" w:fill="FFFFFF"/>
        </w:rPr>
        <w:t>, </w:t>
      </w:r>
      <w:r w:rsidRPr="00476649">
        <w:rPr>
          <w:i/>
          <w:iCs/>
          <w:color w:val="222222"/>
        </w:rPr>
        <w:t>58</w:t>
      </w:r>
      <w:r w:rsidRPr="00476649">
        <w:rPr>
          <w:color w:val="222222"/>
          <w:shd w:val="clear" w:color="auto" w:fill="FFFFFF"/>
        </w:rPr>
        <w:t>(suppl_1), S58-S73.</w:t>
      </w:r>
    </w:p>
    <w:p w14:paraId="2723E4EF" w14:textId="77777777" w:rsidR="004A600F" w:rsidRDefault="004A600F" w:rsidP="00350FDE">
      <w:pPr>
        <w:spacing w:line="360" w:lineRule="auto"/>
        <w:ind w:left="720" w:hanging="720"/>
        <w:jc w:val="both"/>
      </w:pPr>
      <w:r w:rsidRPr="00350FDE">
        <w:t xml:space="preserve">Wiersma, E. C. (2011). Using photovoice with people with early-stage Alzheimer’s disease: A discussion of methodology. </w:t>
      </w:r>
      <w:r w:rsidRPr="008A72DA">
        <w:rPr>
          <w:i/>
          <w:iCs/>
        </w:rPr>
        <w:t>Dementia, 10(2)</w:t>
      </w:r>
      <w:r w:rsidRPr="00350FDE">
        <w:t xml:space="preserve">, 203–216. </w:t>
      </w:r>
    </w:p>
    <w:p w14:paraId="27126231" w14:textId="77777777" w:rsidR="004A600F" w:rsidRDefault="004A600F" w:rsidP="00350FDE">
      <w:pPr>
        <w:spacing w:line="360" w:lineRule="auto"/>
        <w:ind w:left="720" w:hanging="720"/>
        <w:jc w:val="both"/>
      </w:pPr>
      <w:r w:rsidRPr="00350FDE">
        <w:t xml:space="preserve">Wilkinson, H. (2002). Including people with dementia in research: Methods and motivations. In H. Wilkinson (Ed.), The perspectives of people with dementia: Research methods and motivations (pp. 9–24). London: Jessica Kingsley Publishers. </w:t>
      </w:r>
    </w:p>
    <w:p w14:paraId="074DC294" w14:textId="77777777" w:rsidR="004A600F" w:rsidRDefault="004A600F" w:rsidP="00350FDE">
      <w:pPr>
        <w:spacing w:line="360" w:lineRule="auto"/>
        <w:ind w:left="720" w:hanging="720"/>
        <w:jc w:val="both"/>
      </w:pPr>
      <w:r w:rsidRPr="00350FDE">
        <w:t xml:space="preserve">Wilkinson, H., &amp; Milne, A. J. (2003). Sharing a diagnosis of dementia – Learning from the patient perspective. </w:t>
      </w:r>
      <w:r w:rsidRPr="008A72DA">
        <w:rPr>
          <w:i/>
          <w:iCs/>
        </w:rPr>
        <w:t>Aging &amp; Mental Health, 7(4),</w:t>
      </w:r>
      <w:r w:rsidRPr="00350FDE">
        <w:t xml:space="preserve"> 300–307. </w:t>
      </w:r>
    </w:p>
    <w:p w14:paraId="4D2E53E6" w14:textId="77777777" w:rsidR="004A600F" w:rsidRDefault="004A600F" w:rsidP="00136C23">
      <w:pPr>
        <w:spacing w:line="360" w:lineRule="auto"/>
        <w:ind w:left="720" w:hanging="720"/>
        <w:jc w:val="both"/>
      </w:pPr>
      <w:r>
        <w:t xml:space="preserve">World Medical Association (WMA). (2013). Declaration of Helsinki: Ethical Principles for Medical Research Involving Humans. Helsinki: Subjects. </w:t>
      </w:r>
    </w:p>
    <w:p w14:paraId="100FDF79" w14:textId="77777777" w:rsidR="004A600F" w:rsidRPr="004A600F" w:rsidRDefault="004A600F" w:rsidP="004A600F">
      <w:pPr>
        <w:spacing w:line="360" w:lineRule="auto"/>
        <w:ind w:left="720" w:hanging="720"/>
        <w:jc w:val="both"/>
      </w:pPr>
    </w:p>
    <w:p w14:paraId="7D1B9077" w14:textId="77777777" w:rsidR="000576A8" w:rsidRPr="000576A8" w:rsidRDefault="000576A8" w:rsidP="00136C23">
      <w:pPr>
        <w:spacing w:line="360" w:lineRule="auto"/>
        <w:ind w:left="720" w:hanging="720"/>
        <w:jc w:val="both"/>
      </w:pPr>
    </w:p>
    <w:p w14:paraId="3B00E09D" w14:textId="77777777" w:rsidR="00136C23" w:rsidRPr="00136C23" w:rsidRDefault="00136C23" w:rsidP="00136C23">
      <w:pPr>
        <w:spacing w:line="360" w:lineRule="auto"/>
        <w:ind w:left="720" w:hanging="720"/>
        <w:jc w:val="both"/>
        <w:rPr>
          <w:i/>
          <w:iCs/>
        </w:rPr>
      </w:pPr>
    </w:p>
    <w:p w14:paraId="0E746AA6" w14:textId="16DC905C" w:rsidR="00136C23" w:rsidRPr="00136C23" w:rsidRDefault="00136C23" w:rsidP="00136C23">
      <w:pPr>
        <w:spacing w:line="360" w:lineRule="auto"/>
        <w:ind w:left="720" w:hanging="720"/>
        <w:jc w:val="both"/>
      </w:pPr>
    </w:p>
    <w:p w14:paraId="52562123" w14:textId="77777777" w:rsidR="00136C23" w:rsidRDefault="00136C23" w:rsidP="00AB746E">
      <w:pPr>
        <w:spacing w:line="360" w:lineRule="auto"/>
        <w:ind w:left="720" w:hanging="720"/>
        <w:jc w:val="both"/>
      </w:pPr>
    </w:p>
    <w:p w14:paraId="4AC1F6C9" w14:textId="77777777" w:rsidR="00136C23" w:rsidRPr="00136C23" w:rsidRDefault="00136C23" w:rsidP="00136C23">
      <w:pPr>
        <w:spacing w:line="360" w:lineRule="auto"/>
        <w:ind w:left="720" w:hanging="720"/>
        <w:jc w:val="both"/>
        <w:rPr>
          <w:i/>
          <w:iCs/>
        </w:rPr>
      </w:pPr>
    </w:p>
    <w:p w14:paraId="04B9FA7C" w14:textId="77777777" w:rsidR="00136C23" w:rsidRPr="00136C23" w:rsidRDefault="00136C23" w:rsidP="00136C23">
      <w:pPr>
        <w:spacing w:line="360" w:lineRule="auto"/>
        <w:ind w:left="720" w:hanging="720"/>
        <w:jc w:val="both"/>
        <w:rPr>
          <w:i/>
          <w:iCs/>
        </w:rPr>
      </w:pPr>
    </w:p>
    <w:p w14:paraId="66DAE60B" w14:textId="77777777" w:rsidR="00136C23" w:rsidRPr="00136C23" w:rsidRDefault="00136C23" w:rsidP="00136C23">
      <w:pPr>
        <w:spacing w:line="360" w:lineRule="auto"/>
        <w:ind w:left="720" w:hanging="720"/>
        <w:jc w:val="both"/>
      </w:pPr>
    </w:p>
    <w:p w14:paraId="1493DBC9" w14:textId="77777777" w:rsidR="00136C23" w:rsidRPr="00136C23" w:rsidRDefault="00136C23" w:rsidP="00136C23">
      <w:pPr>
        <w:spacing w:line="360" w:lineRule="auto"/>
        <w:ind w:left="720" w:hanging="720"/>
        <w:jc w:val="both"/>
        <w:rPr>
          <w:rFonts w:ascii="Arial" w:hAnsi="Arial" w:cs="Arial"/>
          <w:color w:val="222222"/>
          <w:sz w:val="20"/>
          <w:szCs w:val="20"/>
          <w:shd w:val="clear" w:color="auto" w:fill="FFFFFF"/>
        </w:rPr>
      </w:pPr>
    </w:p>
    <w:p w14:paraId="3730ED2E" w14:textId="77777777" w:rsidR="00136C23" w:rsidRDefault="00136C23" w:rsidP="005906D7">
      <w:pPr>
        <w:spacing w:line="360" w:lineRule="auto"/>
        <w:ind w:left="720" w:hanging="720"/>
        <w:jc w:val="both"/>
      </w:pPr>
    </w:p>
    <w:p w14:paraId="52A6778E" w14:textId="77777777" w:rsidR="005906D7" w:rsidRPr="0082250E" w:rsidRDefault="005906D7" w:rsidP="00AB746E">
      <w:pPr>
        <w:spacing w:line="360" w:lineRule="auto"/>
        <w:ind w:left="720" w:hanging="720"/>
        <w:jc w:val="both"/>
      </w:pPr>
    </w:p>
    <w:p w14:paraId="6CC2BB34" w14:textId="77777777" w:rsidR="0082250E" w:rsidRPr="0082250E" w:rsidRDefault="0082250E" w:rsidP="00AB746E">
      <w:pPr>
        <w:spacing w:line="360" w:lineRule="auto"/>
        <w:ind w:left="720" w:hanging="720"/>
        <w:jc w:val="both"/>
      </w:pPr>
    </w:p>
    <w:p w14:paraId="665440B6" w14:textId="77777777" w:rsidR="00A35576" w:rsidRPr="00A35576" w:rsidRDefault="00A35576" w:rsidP="00AB746E">
      <w:pPr>
        <w:spacing w:line="360" w:lineRule="auto"/>
        <w:ind w:left="720" w:hanging="720"/>
        <w:jc w:val="both"/>
        <w:rPr>
          <w:i/>
          <w:iCs/>
          <w:color w:val="3A3A3A"/>
          <w:shd w:val="clear" w:color="auto" w:fill="FFFFFF"/>
        </w:rPr>
      </w:pPr>
    </w:p>
    <w:p w14:paraId="07E034CD" w14:textId="77777777" w:rsidR="007F3559" w:rsidRPr="007F3559" w:rsidRDefault="007F3559" w:rsidP="007F3559">
      <w:pPr>
        <w:pStyle w:val="NormalWeb"/>
        <w:spacing w:line="360" w:lineRule="auto"/>
        <w:ind w:left="720" w:hanging="720"/>
        <w:jc w:val="both"/>
        <w:rPr>
          <w:i/>
          <w:iCs/>
        </w:rPr>
      </w:pPr>
    </w:p>
    <w:p w14:paraId="1E978293" w14:textId="77777777" w:rsidR="00A0051D" w:rsidRPr="008A72DA" w:rsidRDefault="00A0051D" w:rsidP="004B75BF">
      <w:pPr>
        <w:spacing w:line="360" w:lineRule="auto"/>
        <w:jc w:val="both"/>
      </w:pPr>
    </w:p>
    <w:p w14:paraId="555FAF67" w14:textId="77777777" w:rsidR="008A72DA" w:rsidRPr="008A72DA" w:rsidRDefault="008A72DA" w:rsidP="008A72DA">
      <w:pPr>
        <w:spacing w:line="360" w:lineRule="auto"/>
        <w:ind w:left="720" w:hanging="720"/>
        <w:jc w:val="both"/>
      </w:pPr>
    </w:p>
    <w:p w14:paraId="52FF39A1" w14:textId="77777777" w:rsidR="008A72DA" w:rsidRPr="008A72DA" w:rsidRDefault="008A72DA" w:rsidP="008A72DA">
      <w:pPr>
        <w:spacing w:line="360" w:lineRule="auto"/>
        <w:ind w:left="720" w:hanging="720"/>
        <w:jc w:val="both"/>
      </w:pPr>
    </w:p>
    <w:p w14:paraId="64046C94" w14:textId="77777777" w:rsidR="008A72DA" w:rsidRPr="00350FDE" w:rsidRDefault="008A72DA" w:rsidP="00350FDE">
      <w:pPr>
        <w:spacing w:line="360" w:lineRule="auto"/>
        <w:ind w:left="720" w:hanging="720"/>
        <w:jc w:val="both"/>
      </w:pPr>
    </w:p>
    <w:p w14:paraId="508D54EA" w14:textId="77777777" w:rsidR="00350FDE" w:rsidRPr="00350FDE" w:rsidRDefault="00350FDE" w:rsidP="00350FDE">
      <w:pPr>
        <w:spacing w:line="360" w:lineRule="auto"/>
        <w:ind w:left="720" w:hanging="720"/>
        <w:jc w:val="both"/>
      </w:pPr>
    </w:p>
    <w:p w14:paraId="1FB71A0B" w14:textId="77777777" w:rsidR="00350FDE" w:rsidRPr="00350FDE" w:rsidRDefault="00350FDE" w:rsidP="00350FDE">
      <w:pPr>
        <w:spacing w:line="360" w:lineRule="auto"/>
        <w:ind w:left="720" w:hanging="720"/>
        <w:jc w:val="both"/>
      </w:pPr>
    </w:p>
    <w:p w14:paraId="59EBF2C4" w14:textId="77777777" w:rsidR="00350FDE" w:rsidRPr="00350FDE" w:rsidRDefault="00350FDE" w:rsidP="00350FDE">
      <w:pPr>
        <w:spacing w:line="360" w:lineRule="auto"/>
        <w:ind w:left="720" w:hanging="720"/>
        <w:jc w:val="both"/>
      </w:pPr>
    </w:p>
    <w:p w14:paraId="7E27293E" w14:textId="77777777" w:rsidR="00350FDE" w:rsidRPr="00350FDE" w:rsidRDefault="00350FDE" w:rsidP="00350FDE">
      <w:pPr>
        <w:spacing w:line="360" w:lineRule="auto"/>
        <w:ind w:left="720" w:hanging="720"/>
        <w:jc w:val="both"/>
      </w:pPr>
    </w:p>
    <w:p w14:paraId="0CDF3745" w14:textId="77777777" w:rsidR="00350FDE" w:rsidRDefault="00350FDE" w:rsidP="00350FDE">
      <w:pPr>
        <w:spacing w:line="360" w:lineRule="auto"/>
        <w:ind w:left="720" w:hanging="720"/>
        <w:jc w:val="both"/>
      </w:pPr>
    </w:p>
    <w:p w14:paraId="2F9ADCEF" w14:textId="77777777" w:rsidR="00350FDE" w:rsidRPr="00350FDE" w:rsidRDefault="00350FDE" w:rsidP="00350FDE">
      <w:pPr>
        <w:spacing w:line="360" w:lineRule="auto"/>
        <w:ind w:left="720" w:hanging="720"/>
        <w:jc w:val="both"/>
      </w:pPr>
    </w:p>
    <w:p w14:paraId="05DCEF33" w14:textId="77777777" w:rsidR="00350FDE" w:rsidRPr="00350FDE" w:rsidRDefault="00350FDE" w:rsidP="00350FDE">
      <w:pPr>
        <w:spacing w:line="360" w:lineRule="auto"/>
        <w:ind w:left="720" w:hanging="720"/>
        <w:jc w:val="both"/>
      </w:pPr>
    </w:p>
    <w:p w14:paraId="2620AB05" w14:textId="77777777" w:rsidR="00350FDE" w:rsidRPr="00350FDE" w:rsidRDefault="00350FDE" w:rsidP="00350FDE">
      <w:pPr>
        <w:spacing w:line="360" w:lineRule="auto"/>
        <w:ind w:left="720" w:hanging="720"/>
        <w:jc w:val="both"/>
      </w:pPr>
    </w:p>
    <w:p w14:paraId="2838DA09" w14:textId="77777777" w:rsidR="00350FDE" w:rsidRPr="00350FDE" w:rsidRDefault="00350FDE" w:rsidP="00350FDE">
      <w:pPr>
        <w:spacing w:line="360" w:lineRule="auto"/>
        <w:ind w:left="720" w:hanging="720"/>
        <w:jc w:val="both"/>
      </w:pPr>
    </w:p>
    <w:p w14:paraId="04AD6D8E" w14:textId="77777777" w:rsidR="00350FDE" w:rsidRDefault="00350FDE" w:rsidP="00350FDE">
      <w:pPr>
        <w:spacing w:line="360" w:lineRule="auto"/>
        <w:ind w:left="720" w:hanging="720"/>
        <w:jc w:val="both"/>
      </w:pPr>
    </w:p>
    <w:p w14:paraId="75094F57" w14:textId="77777777" w:rsidR="00350FDE" w:rsidRPr="00350FDE" w:rsidRDefault="00350FDE" w:rsidP="00350FDE">
      <w:pPr>
        <w:spacing w:line="360" w:lineRule="auto"/>
        <w:ind w:left="720" w:hanging="720"/>
        <w:jc w:val="both"/>
      </w:pPr>
    </w:p>
    <w:p w14:paraId="1C9E2C0C" w14:textId="77777777" w:rsidR="00350FDE" w:rsidRPr="00350FDE" w:rsidRDefault="00350FDE" w:rsidP="00350FDE">
      <w:pPr>
        <w:spacing w:line="360" w:lineRule="auto"/>
        <w:ind w:left="720" w:hanging="720"/>
        <w:jc w:val="both"/>
        <w:rPr>
          <w:color w:val="222222"/>
          <w:shd w:val="clear" w:color="auto" w:fill="FFFFFF"/>
        </w:rPr>
      </w:pPr>
    </w:p>
    <w:p w14:paraId="626AEC8C" w14:textId="77777777" w:rsidR="00350FDE" w:rsidRPr="00476649" w:rsidRDefault="00350FDE" w:rsidP="00350FDE">
      <w:pPr>
        <w:spacing w:line="360" w:lineRule="auto"/>
        <w:ind w:left="720" w:hanging="720"/>
        <w:jc w:val="both"/>
      </w:pPr>
    </w:p>
    <w:p w14:paraId="6AA5DBDA" w14:textId="77777777" w:rsidR="00476649" w:rsidRPr="00476649" w:rsidRDefault="00476649" w:rsidP="00476649">
      <w:pPr>
        <w:spacing w:line="360" w:lineRule="auto"/>
        <w:ind w:left="720" w:hanging="720"/>
        <w:jc w:val="both"/>
      </w:pPr>
    </w:p>
    <w:p w14:paraId="0768EF2F" w14:textId="77777777" w:rsidR="00476649" w:rsidRPr="00C41E69" w:rsidRDefault="00476649" w:rsidP="00C41E69">
      <w:pPr>
        <w:spacing w:line="360" w:lineRule="auto"/>
        <w:ind w:left="720" w:hanging="720"/>
        <w:jc w:val="both"/>
      </w:pPr>
    </w:p>
    <w:p w14:paraId="32AF19B5" w14:textId="77777777" w:rsidR="00C41E69" w:rsidRPr="00C41E69" w:rsidRDefault="00C41E69" w:rsidP="00C41E69">
      <w:pPr>
        <w:spacing w:line="360" w:lineRule="auto"/>
        <w:ind w:left="720" w:hanging="720"/>
        <w:jc w:val="both"/>
      </w:pPr>
    </w:p>
    <w:p w14:paraId="7EF65C49" w14:textId="31388B78" w:rsidR="00665B3A" w:rsidRPr="00665B3A" w:rsidRDefault="00665B3A" w:rsidP="00C41E69">
      <w:pPr>
        <w:spacing w:line="360" w:lineRule="auto"/>
        <w:ind w:left="720" w:hanging="720"/>
        <w:jc w:val="both"/>
        <w:rPr>
          <w:i/>
          <w:iCs/>
        </w:rPr>
      </w:pPr>
    </w:p>
    <w:p w14:paraId="4F9DDAAE" w14:textId="77777777" w:rsidR="00665B3A" w:rsidRPr="00665B3A" w:rsidRDefault="00665B3A" w:rsidP="00AE1B5B">
      <w:pPr>
        <w:spacing w:line="360" w:lineRule="auto"/>
        <w:ind w:left="720" w:hanging="720"/>
        <w:jc w:val="both"/>
        <w:rPr>
          <w:color w:val="000000" w:themeColor="text1"/>
        </w:rPr>
      </w:pPr>
    </w:p>
    <w:sectPr w:rsidR="00665B3A" w:rsidRPr="00665B3A" w:rsidSect="00C33C81">
      <w:head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18149E" w14:textId="77777777" w:rsidR="00B43A0F" w:rsidRDefault="00B43A0F" w:rsidP="00D43B50">
      <w:r>
        <w:separator/>
      </w:r>
    </w:p>
  </w:endnote>
  <w:endnote w:type="continuationSeparator" w:id="0">
    <w:p w14:paraId="31850BBD" w14:textId="77777777" w:rsidR="00B43A0F" w:rsidRDefault="00B43A0F" w:rsidP="00D43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20B0604020202020204"/>
    <w:charset w:val="00"/>
    <w:family w:val="roman"/>
    <w:notTrueType/>
    <w:pitch w:val="default"/>
  </w:font>
  <w:font w:name="TimesNewRomanPS">
    <w:altName w:val="Times New Roman"/>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FF07CB" w14:textId="77777777" w:rsidR="00B43A0F" w:rsidRDefault="00B43A0F" w:rsidP="00D43B50">
      <w:r>
        <w:separator/>
      </w:r>
    </w:p>
  </w:footnote>
  <w:footnote w:type="continuationSeparator" w:id="0">
    <w:p w14:paraId="054DA107" w14:textId="77777777" w:rsidR="00B43A0F" w:rsidRDefault="00B43A0F" w:rsidP="00D43B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C25DBF" w14:textId="567C4E40" w:rsidR="00217A65" w:rsidRDefault="00217A65" w:rsidP="00D43B50">
    <w:pPr>
      <w:pStyle w:val="Header"/>
      <w:spacing w:line="360" w:lineRule="auto"/>
    </w:pPr>
    <w:r>
      <w:t>1300113</w:t>
    </w:r>
  </w:p>
  <w:p w14:paraId="79D2DA6B" w14:textId="24B51A82" w:rsidR="00217A65" w:rsidRPr="00D43B50" w:rsidRDefault="00217A65" w:rsidP="00D43B50">
    <w:pPr>
      <w:pStyle w:val="Header"/>
      <w:spacing w:line="360" w:lineRule="auto"/>
    </w:pPr>
    <w:r>
      <w:t>ECAS7004</w:t>
    </w:r>
  </w:p>
  <w:p w14:paraId="1EF9F040" w14:textId="77777777" w:rsidR="00217A65" w:rsidRDefault="00217A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A1B40"/>
    <w:multiLevelType w:val="multilevel"/>
    <w:tmpl w:val="4B78B05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FD39A3"/>
    <w:multiLevelType w:val="multilevel"/>
    <w:tmpl w:val="A5BA7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5B6F5B"/>
    <w:multiLevelType w:val="multilevel"/>
    <w:tmpl w:val="810E8A9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170494"/>
    <w:multiLevelType w:val="multilevel"/>
    <w:tmpl w:val="8894342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7301DE"/>
    <w:multiLevelType w:val="multilevel"/>
    <w:tmpl w:val="93C80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561E01"/>
    <w:multiLevelType w:val="multilevel"/>
    <w:tmpl w:val="6EE4A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B50"/>
    <w:rsid w:val="000576A8"/>
    <w:rsid w:val="00064B43"/>
    <w:rsid w:val="000716CB"/>
    <w:rsid w:val="0008229E"/>
    <w:rsid w:val="000D0E1B"/>
    <w:rsid w:val="000D5B1E"/>
    <w:rsid w:val="0012019C"/>
    <w:rsid w:val="00135EF9"/>
    <w:rsid w:val="00136C23"/>
    <w:rsid w:val="00141F3F"/>
    <w:rsid w:val="00194004"/>
    <w:rsid w:val="001C5C1A"/>
    <w:rsid w:val="001E6713"/>
    <w:rsid w:val="0021454F"/>
    <w:rsid w:val="00217A65"/>
    <w:rsid w:val="002313DE"/>
    <w:rsid w:val="002635FF"/>
    <w:rsid w:val="002B0E09"/>
    <w:rsid w:val="00322244"/>
    <w:rsid w:val="00347FAC"/>
    <w:rsid w:val="00350FDE"/>
    <w:rsid w:val="00363495"/>
    <w:rsid w:val="00370A56"/>
    <w:rsid w:val="00377419"/>
    <w:rsid w:val="003B0116"/>
    <w:rsid w:val="003D2E6C"/>
    <w:rsid w:val="003D4E70"/>
    <w:rsid w:val="00401BC5"/>
    <w:rsid w:val="004135DE"/>
    <w:rsid w:val="00422180"/>
    <w:rsid w:val="00424C56"/>
    <w:rsid w:val="004467CB"/>
    <w:rsid w:val="004501EB"/>
    <w:rsid w:val="00470676"/>
    <w:rsid w:val="00476649"/>
    <w:rsid w:val="004A600F"/>
    <w:rsid w:val="004B1336"/>
    <w:rsid w:val="004B4FC3"/>
    <w:rsid w:val="004B75BF"/>
    <w:rsid w:val="004D5ADA"/>
    <w:rsid w:val="004F5190"/>
    <w:rsid w:val="00502C0B"/>
    <w:rsid w:val="00517004"/>
    <w:rsid w:val="005906D7"/>
    <w:rsid w:val="00596E01"/>
    <w:rsid w:val="005B726C"/>
    <w:rsid w:val="005B7F80"/>
    <w:rsid w:val="005C4B81"/>
    <w:rsid w:val="005D129E"/>
    <w:rsid w:val="006140E3"/>
    <w:rsid w:val="00632C7C"/>
    <w:rsid w:val="00634CE6"/>
    <w:rsid w:val="00665B3A"/>
    <w:rsid w:val="00693F50"/>
    <w:rsid w:val="006A5B7C"/>
    <w:rsid w:val="006D40CA"/>
    <w:rsid w:val="006E3FD7"/>
    <w:rsid w:val="006E73DF"/>
    <w:rsid w:val="00710CC0"/>
    <w:rsid w:val="0073092D"/>
    <w:rsid w:val="00735446"/>
    <w:rsid w:val="00736C0B"/>
    <w:rsid w:val="007760AA"/>
    <w:rsid w:val="007A1AB3"/>
    <w:rsid w:val="007C4065"/>
    <w:rsid w:val="007F3559"/>
    <w:rsid w:val="00820E46"/>
    <w:rsid w:val="0082250E"/>
    <w:rsid w:val="00845F2C"/>
    <w:rsid w:val="00857731"/>
    <w:rsid w:val="00886854"/>
    <w:rsid w:val="008A72DA"/>
    <w:rsid w:val="008B50E8"/>
    <w:rsid w:val="0097285F"/>
    <w:rsid w:val="0099215D"/>
    <w:rsid w:val="00994923"/>
    <w:rsid w:val="0099729D"/>
    <w:rsid w:val="009B3BB8"/>
    <w:rsid w:val="00A0051D"/>
    <w:rsid w:val="00A35576"/>
    <w:rsid w:val="00A42ABB"/>
    <w:rsid w:val="00A43201"/>
    <w:rsid w:val="00A97768"/>
    <w:rsid w:val="00A97889"/>
    <w:rsid w:val="00AB746E"/>
    <w:rsid w:val="00AB7C21"/>
    <w:rsid w:val="00AE1B5B"/>
    <w:rsid w:val="00AE26B7"/>
    <w:rsid w:val="00AF2810"/>
    <w:rsid w:val="00B16E19"/>
    <w:rsid w:val="00B43A0F"/>
    <w:rsid w:val="00B45452"/>
    <w:rsid w:val="00B71684"/>
    <w:rsid w:val="00B960D7"/>
    <w:rsid w:val="00BB3DF3"/>
    <w:rsid w:val="00BB4AB9"/>
    <w:rsid w:val="00BD55A7"/>
    <w:rsid w:val="00BE0A58"/>
    <w:rsid w:val="00BF4DF0"/>
    <w:rsid w:val="00C14595"/>
    <w:rsid w:val="00C30F88"/>
    <w:rsid w:val="00C33C81"/>
    <w:rsid w:val="00C363F7"/>
    <w:rsid w:val="00C41E69"/>
    <w:rsid w:val="00C47DE6"/>
    <w:rsid w:val="00C578F2"/>
    <w:rsid w:val="00C65556"/>
    <w:rsid w:val="00C73221"/>
    <w:rsid w:val="00C73410"/>
    <w:rsid w:val="00C76C69"/>
    <w:rsid w:val="00C80473"/>
    <w:rsid w:val="00CA15AF"/>
    <w:rsid w:val="00CA4407"/>
    <w:rsid w:val="00CB516F"/>
    <w:rsid w:val="00CF7F97"/>
    <w:rsid w:val="00D12CDA"/>
    <w:rsid w:val="00D27B6C"/>
    <w:rsid w:val="00D352AA"/>
    <w:rsid w:val="00D43B50"/>
    <w:rsid w:val="00D93F3C"/>
    <w:rsid w:val="00DA096E"/>
    <w:rsid w:val="00DA54E7"/>
    <w:rsid w:val="00E109EA"/>
    <w:rsid w:val="00E5120C"/>
    <w:rsid w:val="00E52614"/>
    <w:rsid w:val="00E759CE"/>
    <w:rsid w:val="00EA32BB"/>
    <w:rsid w:val="00ED78A7"/>
    <w:rsid w:val="00EE68EE"/>
    <w:rsid w:val="00F05328"/>
    <w:rsid w:val="00F413FB"/>
    <w:rsid w:val="00F468AF"/>
    <w:rsid w:val="00F47EB6"/>
    <w:rsid w:val="00F90160"/>
    <w:rsid w:val="00F924E2"/>
    <w:rsid w:val="00FA3276"/>
    <w:rsid w:val="00FA4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68D212"/>
  <w14:defaultImageDpi w14:val="32767"/>
  <w15:chartTrackingRefBased/>
  <w15:docId w15:val="{AFC97A3E-5C9B-2D45-9E58-75F729691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906D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3B50"/>
    <w:pPr>
      <w:tabs>
        <w:tab w:val="center" w:pos="4680"/>
        <w:tab w:val="right" w:pos="9360"/>
      </w:tabs>
    </w:pPr>
  </w:style>
  <w:style w:type="character" w:customStyle="1" w:styleId="HeaderChar">
    <w:name w:val="Header Char"/>
    <w:basedOn w:val="DefaultParagraphFont"/>
    <w:link w:val="Header"/>
    <w:uiPriority w:val="99"/>
    <w:rsid w:val="00D43B50"/>
  </w:style>
  <w:style w:type="paragraph" w:styleId="Footer">
    <w:name w:val="footer"/>
    <w:basedOn w:val="Normal"/>
    <w:link w:val="FooterChar"/>
    <w:uiPriority w:val="99"/>
    <w:unhideWhenUsed/>
    <w:rsid w:val="00D43B50"/>
    <w:pPr>
      <w:tabs>
        <w:tab w:val="center" w:pos="4680"/>
        <w:tab w:val="right" w:pos="9360"/>
      </w:tabs>
    </w:pPr>
  </w:style>
  <w:style w:type="character" w:customStyle="1" w:styleId="FooterChar">
    <w:name w:val="Footer Char"/>
    <w:basedOn w:val="DefaultParagraphFont"/>
    <w:link w:val="Footer"/>
    <w:uiPriority w:val="99"/>
    <w:rsid w:val="00D43B50"/>
  </w:style>
  <w:style w:type="character" w:customStyle="1" w:styleId="apple-converted-space">
    <w:name w:val="apple-converted-space"/>
    <w:basedOn w:val="DefaultParagraphFont"/>
    <w:rsid w:val="00665B3A"/>
  </w:style>
  <w:style w:type="character" w:styleId="Hyperlink">
    <w:name w:val="Hyperlink"/>
    <w:basedOn w:val="DefaultParagraphFont"/>
    <w:uiPriority w:val="99"/>
    <w:unhideWhenUsed/>
    <w:rsid w:val="00C41E69"/>
    <w:rPr>
      <w:color w:val="0563C1" w:themeColor="hyperlink"/>
      <w:u w:val="single"/>
    </w:rPr>
  </w:style>
  <w:style w:type="character" w:styleId="UnresolvedMention">
    <w:name w:val="Unresolved Mention"/>
    <w:basedOn w:val="DefaultParagraphFont"/>
    <w:uiPriority w:val="99"/>
    <w:rsid w:val="00C41E69"/>
    <w:rPr>
      <w:color w:val="605E5C"/>
      <w:shd w:val="clear" w:color="auto" w:fill="E1DFDD"/>
    </w:rPr>
  </w:style>
  <w:style w:type="paragraph" w:styleId="NormalWeb">
    <w:name w:val="Normal (Web)"/>
    <w:basedOn w:val="Normal"/>
    <w:uiPriority w:val="99"/>
    <w:semiHidden/>
    <w:unhideWhenUsed/>
    <w:rsid w:val="00350FD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059317">
      <w:bodyDiv w:val="1"/>
      <w:marLeft w:val="0"/>
      <w:marRight w:val="0"/>
      <w:marTop w:val="0"/>
      <w:marBottom w:val="0"/>
      <w:divBdr>
        <w:top w:val="none" w:sz="0" w:space="0" w:color="auto"/>
        <w:left w:val="none" w:sz="0" w:space="0" w:color="auto"/>
        <w:bottom w:val="none" w:sz="0" w:space="0" w:color="auto"/>
        <w:right w:val="none" w:sz="0" w:space="0" w:color="auto"/>
      </w:divBdr>
    </w:div>
    <w:div w:id="62215731">
      <w:bodyDiv w:val="1"/>
      <w:marLeft w:val="0"/>
      <w:marRight w:val="0"/>
      <w:marTop w:val="0"/>
      <w:marBottom w:val="0"/>
      <w:divBdr>
        <w:top w:val="none" w:sz="0" w:space="0" w:color="auto"/>
        <w:left w:val="none" w:sz="0" w:space="0" w:color="auto"/>
        <w:bottom w:val="none" w:sz="0" w:space="0" w:color="auto"/>
        <w:right w:val="none" w:sz="0" w:space="0" w:color="auto"/>
      </w:divBdr>
    </w:div>
    <w:div w:id="110053276">
      <w:bodyDiv w:val="1"/>
      <w:marLeft w:val="0"/>
      <w:marRight w:val="0"/>
      <w:marTop w:val="0"/>
      <w:marBottom w:val="0"/>
      <w:divBdr>
        <w:top w:val="none" w:sz="0" w:space="0" w:color="auto"/>
        <w:left w:val="none" w:sz="0" w:space="0" w:color="auto"/>
        <w:bottom w:val="none" w:sz="0" w:space="0" w:color="auto"/>
        <w:right w:val="none" w:sz="0" w:space="0" w:color="auto"/>
      </w:divBdr>
      <w:divsChild>
        <w:div w:id="895703810">
          <w:marLeft w:val="0"/>
          <w:marRight w:val="0"/>
          <w:marTop w:val="0"/>
          <w:marBottom w:val="0"/>
          <w:divBdr>
            <w:top w:val="none" w:sz="0" w:space="0" w:color="auto"/>
            <w:left w:val="none" w:sz="0" w:space="0" w:color="auto"/>
            <w:bottom w:val="none" w:sz="0" w:space="0" w:color="auto"/>
            <w:right w:val="none" w:sz="0" w:space="0" w:color="auto"/>
          </w:divBdr>
          <w:divsChild>
            <w:div w:id="749934101">
              <w:marLeft w:val="0"/>
              <w:marRight w:val="0"/>
              <w:marTop w:val="0"/>
              <w:marBottom w:val="0"/>
              <w:divBdr>
                <w:top w:val="none" w:sz="0" w:space="0" w:color="auto"/>
                <w:left w:val="none" w:sz="0" w:space="0" w:color="auto"/>
                <w:bottom w:val="none" w:sz="0" w:space="0" w:color="auto"/>
                <w:right w:val="none" w:sz="0" w:space="0" w:color="auto"/>
              </w:divBdr>
              <w:divsChild>
                <w:div w:id="9614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35038">
      <w:bodyDiv w:val="1"/>
      <w:marLeft w:val="0"/>
      <w:marRight w:val="0"/>
      <w:marTop w:val="0"/>
      <w:marBottom w:val="0"/>
      <w:divBdr>
        <w:top w:val="none" w:sz="0" w:space="0" w:color="auto"/>
        <w:left w:val="none" w:sz="0" w:space="0" w:color="auto"/>
        <w:bottom w:val="none" w:sz="0" w:space="0" w:color="auto"/>
        <w:right w:val="none" w:sz="0" w:space="0" w:color="auto"/>
      </w:divBdr>
      <w:divsChild>
        <w:div w:id="453643478">
          <w:marLeft w:val="0"/>
          <w:marRight w:val="0"/>
          <w:marTop w:val="0"/>
          <w:marBottom w:val="0"/>
          <w:divBdr>
            <w:top w:val="none" w:sz="0" w:space="0" w:color="auto"/>
            <w:left w:val="none" w:sz="0" w:space="0" w:color="auto"/>
            <w:bottom w:val="none" w:sz="0" w:space="0" w:color="auto"/>
            <w:right w:val="none" w:sz="0" w:space="0" w:color="auto"/>
          </w:divBdr>
          <w:divsChild>
            <w:div w:id="2043550259">
              <w:marLeft w:val="0"/>
              <w:marRight w:val="0"/>
              <w:marTop w:val="0"/>
              <w:marBottom w:val="0"/>
              <w:divBdr>
                <w:top w:val="none" w:sz="0" w:space="0" w:color="auto"/>
                <w:left w:val="none" w:sz="0" w:space="0" w:color="auto"/>
                <w:bottom w:val="none" w:sz="0" w:space="0" w:color="auto"/>
                <w:right w:val="none" w:sz="0" w:space="0" w:color="auto"/>
              </w:divBdr>
              <w:divsChild>
                <w:div w:id="139796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67998">
      <w:bodyDiv w:val="1"/>
      <w:marLeft w:val="0"/>
      <w:marRight w:val="0"/>
      <w:marTop w:val="0"/>
      <w:marBottom w:val="0"/>
      <w:divBdr>
        <w:top w:val="none" w:sz="0" w:space="0" w:color="auto"/>
        <w:left w:val="none" w:sz="0" w:space="0" w:color="auto"/>
        <w:bottom w:val="none" w:sz="0" w:space="0" w:color="auto"/>
        <w:right w:val="none" w:sz="0" w:space="0" w:color="auto"/>
      </w:divBdr>
      <w:divsChild>
        <w:div w:id="1314021249">
          <w:marLeft w:val="0"/>
          <w:marRight w:val="0"/>
          <w:marTop w:val="0"/>
          <w:marBottom w:val="0"/>
          <w:divBdr>
            <w:top w:val="none" w:sz="0" w:space="0" w:color="auto"/>
            <w:left w:val="none" w:sz="0" w:space="0" w:color="auto"/>
            <w:bottom w:val="none" w:sz="0" w:space="0" w:color="auto"/>
            <w:right w:val="none" w:sz="0" w:space="0" w:color="auto"/>
          </w:divBdr>
          <w:divsChild>
            <w:div w:id="2019237695">
              <w:marLeft w:val="0"/>
              <w:marRight w:val="0"/>
              <w:marTop w:val="0"/>
              <w:marBottom w:val="0"/>
              <w:divBdr>
                <w:top w:val="none" w:sz="0" w:space="0" w:color="auto"/>
                <w:left w:val="none" w:sz="0" w:space="0" w:color="auto"/>
                <w:bottom w:val="none" w:sz="0" w:space="0" w:color="auto"/>
                <w:right w:val="none" w:sz="0" w:space="0" w:color="auto"/>
              </w:divBdr>
              <w:divsChild>
                <w:div w:id="81213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277363">
      <w:bodyDiv w:val="1"/>
      <w:marLeft w:val="0"/>
      <w:marRight w:val="0"/>
      <w:marTop w:val="0"/>
      <w:marBottom w:val="0"/>
      <w:divBdr>
        <w:top w:val="none" w:sz="0" w:space="0" w:color="auto"/>
        <w:left w:val="none" w:sz="0" w:space="0" w:color="auto"/>
        <w:bottom w:val="none" w:sz="0" w:space="0" w:color="auto"/>
        <w:right w:val="none" w:sz="0" w:space="0" w:color="auto"/>
      </w:divBdr>
      <w:divsChild>
        <w:div w:id="2002149570">
          <w:marLeft w:val="0"/>
          <w:marRight w:val="0"/>
          <w:marTop w:val="0"/>
          <w:marBottom w:val="0"/>
          <w:divBdr>
            <w:top w:val="none" w:sz="0" w:space="0" w:color="auto"/>
            <w:left w:val="none" w:sz="0" w:space="0" w:color="auto"/>
            <w:bottom w:val="none" w:sz="0" w:space="0" w:color="auto"/>
            <w:right w:val="none" w:sz="0" w:space="0" w:color="auto"/>
          </w:divBdr>
          <w:divsChild>
            <w:div w:id="2017267339">
              <w:marLeft w:val="0"/>
              <w:marRight w:val="0"/>
              <w:marTop w:val="0"/>
              <w:marBottom w:val="0"/>
              <w:divBdr>
                <w:top w:val="none" w:sz="0" w:space="0" w:color="auto"/>
                <w:left w:val="none" w:sz="0" w:space="0" w:color="auto"/>
                <w:bottom w:val="none" w:sz="0" w:space="0" w:color="auto"/>
                <w:right w:val="none" w:sz="0" w:space="0" w:color="auto"/>
              </w:divBdr>
              <w:divsChild>
                <w:div w:id="50660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383826">
      <w:bodyDiv w:val="1"/>
      <w:marLeft w:val="0"/>
      <w:marRight w:val="0"/>
      <w:marTop w:val="0"/>
      <w:marBottom w:val="0"/>
      <w:divBdr>
        <w:top w:val="none" w:sz="0" w:space="0" w:color="auto"/>
        <w:left w:val="none" w:sz="0" w:space="0" w:color="auto"/>
        <w:bottom w:val="none" w:sz="0" w:space="0" w:color="auto"/>
        <w:right w:val="none" w:sz="0" w:space="0" w:color="auto"/>
      </w:divBdr>
    </w:div>
    <w:div w:id="494297286">
      <w:bodyDiv w:val="1"/>
      <w:marLeft w:val="0"/>
      <w:marRight w:val="0"/>
      <w:marTop w:val="0"/>
      <w:marBottom w:val="0"/>
      <w:divBdr>
        <w:top w:val="none" w:sz="0" w:space="0" w:color="auto"/>
        <w:left w:val="none" w:sz="0" w:space="0" w:color="auto"/>
        <w:bottom w:val="none" w:sz="0" w:space="0" w:color="auto"/>
        <w:right w:val="none" w:sz="0" w:space="0" w:color="auto"/>
      </w:divBdr>
      <w:divsChild>
        <w:div w:id="760639536">
          <w:marLeft w:val="0"/>
          <w:marRight w:val="0"/>
          <w:marTop w:val="0"/>
          <w:marBottom w:val="0"/>
          <w:divBdr>
            <w:top w:val="none" w:sz="0" w:space="0" w:color="auto"/>
            <w:left w:val="none" w:sz="0" w:space="0" w:color="auto"/>
            <w:bottom w:val="none" w:sz="0" w:space="0" w:color="auto"/>
            <w:right w:val="none" w:sz="0" w:space="0" w:color="auto"/>
          </w:divBdr>
          <w:divsChild>
            <w:div w:id="396247689">
              <w:marLeft w:val="0"/>
              <w:marRight w:val="0"/>
              <w:marTop w:val="0"/>
              <w:marBottom w:val="0"/>
              <w:divBdr>
                <w:top w:val="none" w:sz="0" w:space="0" w:color="auto"/>
                <w:left w:val="none" w:sz="0" w:space="0" w:color="auto"/>
                <w:bottom w:val="none" w:sz="0" w:space="0" w:color="auto"/>
                <w:right w:val="none" w:sz="0" w:space="0" w:color="auto"/>
              </w:divBdr>
              <w:divsChild>
                <w:div w:id="35241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974748">
      <w:bodyDiv w:val="1"/>
      <w:marLeft w:val="0"/>
      <w:marRight w:val="0"/>
      <w:marTop w:val="0"/>
      <w:marBottom w:val="0"/>
      <w:divBdr>
        <w:top w:val="none" w:sz="0" w:space="0" w:color="auto"/>
        <w:left w:val="none" w:sz="0" w:space="0" w:color="auto"/>
        <w:bottom w:val="none" w:sz="0" w:space="0" w:color="auto"/>
        <w:right w:val="none" w:sz="0" w:space="0" w:color="auto"/>
      </w:divBdr>
    </w:div>
    <w:div w:id="509570232">
      <w:bodyDiv w:val="1"/>
      <w:marLeft w:val="0"/>
      <w:marRight w:val="0"/>
      <w:marTop w:val="0"/>
      <w:marBottom w:val="0"/>
      <w:divBdr>
        <w:top w:val="none" w:sz="0" w:space="0" w:color="auto"/>
        <w:left w:val="none" w:sz="0" w:space="0" w:color="auto"/>
        <w:bottom w:val="none" w:sz="0" w:space="0" w:color="auto"/>
        <w:right w:val="none" w:sz="0" w:space="0" w:color="auto"/>
      </w:divBdr>
      <w:divsChild>
        <w:div w:id="865680542">
          <w:marLeft w:val="0"/>
          <w:marRight w:val="0"/>
          <w:marTop w:val="0"/>
          <w:marBottom w:val="0"/>
          <w:divBdr>
            <w:top w:val="none" w:sz="0" w:space="0" w:color="auto"/>
            <w:left w:val="none" w:sz="0" w:space="0" w:color="auto"/>
            <w:bottom w:val="none" w:sz="0" w:space="0" w:color="auto"/>
            <w:right w:val="none" w:sz="0" w:space="0" w:color="auto"/>
          </w:divBdr>
          <w:divsChild>
            <w:div w:id="498617691">
              <w:marLeft w:val="0"/>
              <w:marRight w:val="0"/>
              <w:marTop w:val="0"/>
              <w:marBottom w:val="0"/>
              <w:divBdr>
                <w:top w:val="none" w:sz="0" w:space="0" w:color="auto"/>
                <w:left w:val="none" w:sz="0" w:space="0" w:color="auto"/>
                <w:bottom w:val="none" w:sz="0" w:space="0" w:color="auto"/>
                <w:right w:val="none" w:sz="0" w:space="0" w:color="auto"/>
              </w:divBdr>
              <w:divsChild>
                <w:div w:id="149044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082242">
      <w:bodyDiv w:val="1"/>
      <w:marLeft w:val="0"/>
      <w:marRight w:val="0"/>
      <w:marTop w:val="0"/>
      <w:marBottom w:val="0"/>
      <w:divBdr>
        <w:top w:val="none" w:sz="0" w:space="0" w:color="auto"/>
        <w:left w:val="none" w:sz="0" w:space="0" w:color="auto"/>
        <w:bottom w:val="none" w:sz="0" w:space="0" w:color="auto"/>
        <w:right w:val="none" w:sz="0" w:space="0" w:color="auto"/>
      </w:divBdr>
      <w:divsChild>
        <w:div w:id="989022734">
          <w:marLeft w:val="0"/>
          <w:marRight w:val="0"/>
          <w:marTop w:val="0"/>
          <w:marBottom w:val="0"/>
          <w:divBdr>
            <w:top w:val="none" w:sz="0" w:space="0" w:color="auto"/>
            <w:left w:val="none" w:sz="0" w:space="0" w:color="auto"/>
            <w:bottom w:val="none" w:sz="0" w:space="0" w:color="auto"/>
            <w:right w:val="none" w:sz="0" w:space="0" w:color="auto"/>
          </w:divBdr>
          <w:divsChild>
            <w:div w:id="241254713">
              <w:marLeft w:val="0"/>
              <w:marRight w:val="0"/>
              <w:marTop w:val="0"/>
              <w:marBottom w:val="0"/>
              <w:divBdr>
                <w:top w:val="none" w:sz="0" w:space="0" w:color="auto"/>
                <w:left w:val="none" w:sz="0" w:space="0" w:color="auto"/>
                <w:bottom w:val="none" w:sz="0" w:space="0" w:color="auto"/>
                <w:right w:val="none" w:sz="0" w:space="0" w:color="auto"/>
              </w:divBdr>
              <w:divsChild>
                <w:div w:id="105343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929798">
      <w:bodyDiv w:val="1"/>
      <w:marLeft w:val="0"/>
      <w:marRight w:val="0"/>
      <w:marTop w:val="0"/>
      <w:marBottom w:val="0"/>
      <w:divBdr>
        <w:top w:val="none" w:sz="0" w:space="0" w:color="auto"/>
        <w:left w:val="none" w:sz="0" w:space="0" w:color="auto"/>
        <w:bottom w:val="none" w:sz="0" w:space="0" w:color="auto"/>
        <w:right w:val="none" w:sz="0" w:space="0" w:color="auto"/>
      </w:divBdr>
      <w:divsChild>
        <w:div w:id="1546720288">
          <w:marLeft w:val="0"/>
          <w:marRight w:val="0"/>
          <w:marTop w:val="0"/>
          <w:marBottom w:val="0"/>
          <w:divBdr>
            <w:top w:val="none" w:sz="0" w:space="0" w:color="auto"/>
            <w:left w:val="none" w:sz="0" w:space="0" w:color="auto"/>
            <w:bottom w:val="none" w:sz="0" w:space="0" w:color="auto"/>
            <w:right w:val="none" w:sz="0" w:space="0" w:color="auto"/>
          </w:divBdr>
          <w:divsChild>
            <w:div w:id="297760732">
              <w:marLeft w:val="0"/>
              <w:marRight w:val="0"/>
              <w:marTop w:val="0"/>
              <w:marBottom w:val="0"/>
              <w:divBdr>
                <w:top w:val="none" w:sz="0" w:space="0" w:color="auto"/>
                <w:left w:val="none" w:sz="0" w:space="0" w:color="auto"/>
                <w:bottom w:val="none" w:sz="0" w:space="0" w:color="auto"/>
                <w:right w:val="none" w:sz="0" w:space="0" w:color="auto"/>
              </w:divBdr>
              <w:divsChild>
                <w:div w:id="146743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317092">
      <w:bodyDiv w:val="1"/>
      <w:marLeft w:val="0"/>
      <w:marRight w:val="0"/>
      <w:marTop w:val="0"/>
      <w:marBottom w:val="0"/>
      <w:divBdr>
        <w:top w:val="none" w:sz="0" w:space="0" w:color="auto"/>
        <w:left w:val="none" w:sz="0" w:space="0" w:color="auto"/>
        <w:bottom w:val="none" w:sz="0" w:space="0" w:color="auto"/>
        <w:right w:val="none" w:sz="0" w:space="0" w:color="auto"/>
      </w:divBdr>
    </w:div>
    <w:div w:id="702830900">
      <w:bodyDiv w:val="1"/>
      <w:marLeft w:val="0"/>
      <w:marRight w:val="0"/>
      <w:marTop w:val="0"/>
      <w:marBottom w:val="0"/>
      <w:divBdr>
        <w:top w:val="none" w:sz="0" w:space="0" w:color="auto"/>
        <w:left w:val="none" w:sz="0" w:space="0" w:color="auto"/>
        <w:bottom w:val="none" w:sz="0" w:space="0" w:color="auto"/>
        <w:right w:val="none" w:sz="0" w:space="0" w:color="auto"/>
      </w:divBdr>
      <w:divsChild>
        <w:div w:id="68967525">
          <w:marLeft w:val="0"/>
          <w:marRight w:val="0"/>
          <w:marTop w:val="0"/>
          <w:marBottom w:val="0"/>
          <w:divBdr>
            <w:top w:val="none" w:sz="0" w:space="0" w:color="auto"/>
            <w:left w:val="none" w:sz="0" w:space="0" w:color="auto"/>
            <w:bottom w:val="none" w:sz="0" w:space="0" w:color="auto"/>
            <w:right w:val="none" w:sz="0" w:space="0" w:color="auto"/>
          </w:divBdr>
          <w:divsChild>
            <w:div w:id="2124418229">
              <w:marLeft w:val="0"/>
              <w:marRight w:val="0"/>
              <w:marTop w:val="0"/>
              <w:marBottom w:val="0"/>
              <w:divBdr>
                <w:top w:val="none" w:sz="0" w:space="0" w:color="auto"/>
                <w:left w:val="none" w:sz="0" w:space="0" w:color="auto"/>
                <w:bottom w:val="none" w:sz="0" w:space="0" w:color="auto"/>
                <w:right w:val="none" w:sz="0" w:space="0" w:color="auto"/>
              </w:divBdr>
              <w:divsChild>
                <w:div w:id="160727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171469">
      <w:bodyDiv w:val="1"/>
      <w:marLeft w:val="0"/>
      <w:marRight w:val="0"/>
      <w:marTop w:val="0"/>
      <w:marBottom w:val="0"/>
      <w:divBdr>
        <w:top w:val="none" w:sz="0" w:space="0" w:color="auto"/>
        <w:left w:val="none" w:sz="0" w:space="0" w:color="auto"/>
        <w:bottom w:val="none" w:sz="0" w:space="0" w:color="auto"/>
        <w:right w:val="none" w:sz="0" w:space="0" w:color="auto"/>
      </w:divBdr>
      <w:divsChild>
        <w:div w:id="254172564">
          <w:marLeft w:val="0"/>
          <w:marRight w:val="0"/>
          <w:marTop w:val="0"/>
          <w:marBottom w:val="0"/>
          <w:divBdr>
            <w:top w:val="none" w:sz="0" w:space="0" w:color="auto"/>
            <w:left w:val="none" w:sz="0" w:space="0" w:color="auto"/>
            <w:bottom w:val="none" w:sz="0" w:space="0" w:color="auto"/>
            <w:right w:val="none" w:sz="0" w:space="0" w:color="auto"/>
          </w:divBdr>
          <w:divsChild>
            <w:div w:id="36399639">
              <w:marLeft w:val="0"/>
              <w:marRight w:val="0"/>
              <w:marTop w:val="0"/>
              <w:marBottom w:val="0"/>
              <w:divBdr>
                <w:top w:val="none" w:sz="0" w:space="0" w:color="auto"/>
                <w:left w:val="none" w:sz="0" w:space="0" w:color="auto"/>
                <w:bottom w:val="none" w:sz="0" w:space="0" w:color="auto"/>
                <w:right w:val="none" w:sz="0" w:space="0" w:color="auto"/>
              </w:divBdr>
              <w:divsChild>
                <w:div w:id="35200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489632">
      <w:bodyDiv w:val="1"/>
      <w:marLeft w:val="0"/>
      <w:marRight w:val="0"/>
      <w:marTop w:val="0"/>
      <w:marBottom w:val="0"/>
      <w:divBdr>
        <w:top w:val="none" w:sz="0" w:space="0" w:color="auto"/>
        <w:left w:val="none" w:sz="0" w:space="0" w:color="auto"/>
        <w:bottom w:val="none" w:sz="0" w:space="0" w:color="auto"/>
        <w:right w:val="none" w:sz="0" w:space="0" w:color="auto"/>
      </w:divBdr>
      <w:divsChild>
        <w:div w:id="849175396">
          <w:marLeft w:val="0"/>
          <w:marRight w:val="0"/>
          <w:marTop w:val="0"/>
          <w:marBottom w:val="0"/>
          <w:divBdr>
            <w:top w:val="none" w:sz="0" w:space="0" w:color="auto"/>
            <w:left w:val="none" w:sz="0" w:space="0" w:color="auto"/>
            <w:bottom w:val="none" w:sz="0" w:space="0" w:color="auto"/>
            <w:right w:val="none" w:sz="0" w:space="0" w:color="auto"/>
          </w:divBdr>
          <w:divsChild>
            <w:div w:id="70930606">
              <w:marLeft w:val="0"/>
              <w:marRight w:val="0"/>
              <w:marTop w:val="0"/>
              <w:marBottom w:val="0"/>
              <w:divBdr>
                <w:top w:val="none" w:sz="0" w:space="0" w:color="auto"/>
                <w:left w:val="none" w:sz="0" w:space="0" w:color="auto"/>
                <w:bottom w:val="none" w:sz="0" w:space="0" w:color="auto"/>
                <w:right w:val="none" w:sz="0" w:space="0" w:color="auto"/>
              </w:divBdr>
              <w:divsChild>
                <w:div w:id="90538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508054">
      <w:bodyDiv w:val="1"/>
      <w:marLeft w:val="0"/>
      <w:marRight w:val="0"/>
      <w:marTop w:val="0"/>
      <w:marBottom w:val="0"/>
      <w:divBdr>
        <w:top w:val="none" w:sz="0" w:space="0" w:color="auto"/>
        <w:left w:val="none" w:sz="0" w:space="0" w:color="auto"/>
        <w:bottom w:val="none" w:sz="0" w:space="0" w:color="auto"/>
        <w:right w:val="none" w:sz="0" w:space="0" w:color="auto"/>
      </w:divBdr>
      <w:divsChild>
        <w:div w:id="1608465216">
          <w:marLeft w:val="0"/>
          <w:marRight w:val="0"/>
          <w:marTop w:val="0"/>
          <w:marBottom w:val="0"/>
          <w:divBdr>
            <w:top w:val="none" w:sz="0" w:space="0" w:color="auto"/>
            <w:left w:val="none" w:sz="0" w:space="0" w:color="auto"/>
            <w:bottom w:val="none" w:sz="0" w:space="0" w:color="auto"/>
            <w:right w:val="none" w:sz="0" w:space="0" w:color="auto"/>
          </w:divBdr>
          <w:divsChild>
            <w:div w:id="1406418644">
              <w:marLeft w:val="0"/>
              <w:marRight w:val="0"/>
              <w:marTop w:val="0"/>
              <w:marBottom w:val="0"/>
              <w:divBdr>
                <w:top w:val="none" w:sz="0" w:space="0" w:color="auto"/>
                <w:left w:val="none" w:sz="0" w:space="0" w:color="auto"/>
                <w:bottom w:val="none" w:sz="0" w:space="0" w:color="auto"/>
                <w:right w:val="none" w:sz="0" w:space="0" w:color="auto"/>
              </w:divBdr>
              <w:divsChild>
                <w:div w:id="94661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65341">
      <w:bodyDiv w:val="1"/>
      <w:marLeft w:val="0"/>
      <w:marRight w:val="0"/>
      <w:marTop w:val="0"/>
      <w:marBottom w:val="0"/>
      <w:divBdr>
        <w:top w:val="none" w:sz="0" w:space="0" w:color="auto"/>
        <w:left w:val="none" w:sz="0" w:space="0" w:color="auto"/>
        <w:bottom w:val="none" w:sz="0" w:space="0" w:color="auto"/>
        <w:right w:val="none" w:sz="0" w:space="0" w:color="auto"/>
      </w:divBdr>
      <w:divsChild>
        <w:div w:id="2139758205">
          <w:marLeft w:val="0"/>
          <w:marRight w:val="0"/>
          <w:marTop w:val="0"/>
          <w:marBottom w:val="0"/>
          <w:divBdr>
            <w:top w:val="none" w:sz="0" w:space="0" w:color="auto"/>
            <w:left w:val="none" w:sz="0" w:space="0" w:color="auto"/>
            <w:bottom w:val="none" w:sz="0" w:space="0" w:color="auto"/>
            <w:right w:val="none" w:sz="0" w:space="0" w:color="auto"/>
          </w:divBdr>
          <w:divsChild>
            <w:div w:id="1631859725">
              <w:marLeft w:val="0"/>
              <w:marRight w:val="0"/>
              <w:marTop w:val="0"/>
              <w:marBottom w:val="0"/>
              <w:divBdr>
                <w:top w:val="none" w:sz="0" w:space="0" w:color="auto"/>
                <w:left w:val="none" w:sz="0" w:space="0" w:color="auto"/>
                <w:bottom w:val="none" w:sz="0" w:space="0" w:color="auto"/>
                <w:right w:val="none" w:sz="0" w:space="0" w:color="auto"/>
              </w:divBdr>
              <w:divsChild>
                <w:div w:id="28423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282544">
      <w:bodyDiv w:val="1"/>
      <w:marLeft w:val="0"/>
      <w:marRight w:val="0"/>
      <w:marTop w:val="0"/>
      <w:marBottom w:val="0"/>
      <w:divBdr>
        <w:top w:val="none" w:sz="0" w:space="0" w:color="auto"/>
        <w:left w:val="none" w:sz="0" w:space="0" w:color="auto"/>
        <w:bottom w:val="none" w:sz="0" w:space="0" w:color="auto"/>
        <w:right w:val="none" w:sz="0" w:space="0" w:color="auto"/>
      </w:divBdr>
      <w:divsChild>
        <w:div w:id="1601991449">
          <w:marLeft w:val="0"/>
          <w:marRight w:val="0"/>
          <w:marTop w:val="0"/>
          <w:marBottom w:val="0"/>
          <w:divBdr>
            <w:top w:val="none" w:sz="0" w:space="0" w:color="auto"/>
            <w:left w:val="none" w:sz="0" w:space="0" w:color="auto"/>
            <w:bottom w:val="none" w:sz="0" w:space="0" w:color="auto"/>
            <w:right w:val="none" w:sz="0" w:space="0" w:color="auto"/>
          </w:divBdr>
          <w:divsChild>
            <w:div w:id="1858039952">
              <w:marLeft w:val="0"/>
              <w:marRight w:val="0"/>
              <w:marTop w:val="0"/>
              <w:marBottom w:val="0"/>
              <w:divBdr>
                <w:top w:val="none" w:sz="0" w:space="0" w:color="auto"/>
                <w:left w:val="none" w:sz="0" w:space="0" w:color="auto"/>
                <w:bottom w:val="none" w:sz="0" w:space="0" w:color="auto"/>
                <w:right w:val="none" w:sz="0" w:space="0" w:color="auto"/>
              </w:divBdr>
              <w:divsChild>
                <w:div w:id="51095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429664">
      <w:bodyDiv w:val="1"/>
      <w:marLeft w:val="0"/>
      <w:marRight w:val="0"/>
      <w:marTop w:val="0"/>
      <w:marBottom w:val="0"/>
      <w:divBdr>
        <w:top w:val="none" w:sz="0" w:space="0" w:color="auto"/>
        <w:left w:val="none" w:sz="0" w:space="0" w:color="auto"/>
        <w:bottom w:val="none" w:sz="0" w:space="0" w:color="auto"/>
        <w:right w:val="none" w:sz="0" w:space="0" w:color="auto"/>
      </w:divBdr>
    </w:div>
    <w:div w:id="1143160363">
      <w:bodyDiv w:val="1"/>
      <w:marLeft w:val="0"/>
      <w:marRight w:val="0"/>
      <w:marTop w:val="0"/>
      <w:marBottom w:val="0"/>
      <w:divBdr>
        <w:top w:val="none" w:sz="0" w:space="0" w:color="auto"/>
        <w:left w:val="none" w:sz="0" w:space="0" w:color="auto"/>
        <w:bottom w:val="none" w:sz="0" w:space="0" w:color="auto"/>
        <w:right w:val="none" w:sz="0" w:space="0" w:color="auto"/>
      </w:divBdr>
      <w:divsChild>
        <w:div w:id="962003563">
          <w:marLeft w:val="0"/>
          <w:marRight w:val="0"/>
          <w:marTop w:val="0"/>
          <w:marBottom w:val="0"/>
          <w:divBdr>
            <w:top w:val="none" w:sz="0" w:space="0" w:color="auto"/>
            <w:left w:val="none" w:sz="0" w:space="0" w:color="auto"/>
            <w:bottom w:val="none" w:sz="0" w:space="0" w:color="auto"/>
            <w:right w:val="none" w:sz="0" w:space="0" w:color="auto"/>
          </w:divBdr>
          <w:divsChild>
            <w:div w:id="233398240">
              <w:marLeft w:val="0"/>
              <w:marRight w:val="0"/>
              <w:marTop w:val="0"/>
              <w:marBottom w:val="0"/>
              <w:divBdr>
                <w:top w:val="none" w:sz="0" w:space="0" w:color="auto"/>
                <w:left w:val="none" w:sz="0" w:space="0" w:color="auto"/>
                <w:bottom w:val="none" w:sz="0" w:space="0" w:color="auto"/>
                <w:right w:val="none" w:sz="0" w:space="0" w:color="auto"/>
              </w:divBdr>
              <w:divsChild>
                <w:div w:id="101299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824452">
      <w:bodyDiv w:val="1"/>
      <w:marLeft w:val="0"/>
      <w:marRight w:val="0"/>
      <w:marTop w:val="0"/>
      <w:marBottom w:val="0"/>
      <w:divBdr>
        <w:top w:val="none" w:sz="0" w:space="0" w:color="auto"/>
        <w:left w:val="none" w:sz="0" w:space="0" w:color="auto"/>
        <w:bottom w:val="none" w:sz="0" w:space="0" w:color="auto"/>
        <w:right w:val="none" w:sz="0" w:space="0" w:color="auto"/>
      </w:divBdr>
    </w:div>
    <w:div w:id="1161431580">
      <w:bodyDiv w:val="1"/>
      <w:marLeft w:val="0"/>
      <w:marRight w:val="0"/>
      <w:marTop w:val="0"/>
      <w:marBottom w:val="0"/>
      <w:divBdr>
        <w:top w:val="none" w:sz="0" w:space="0" w:color="auto"/>
        <w:left w:val="none" w:sz="0" w:space="0" w:color="auto"/>
        <w:bottom w:val="none" w:sz="0" w:space="0" w:color="auto"/>
        <w:right w:val="none" w:sz="0" w:space="0" w:color="auto"/>
      </w:divBdr>
    </w:div>
    <w:div w:id="1162163896">
      <w:bodyDiv w:val="1"/>
      <w:marLeft w:val="0"/>
      <w:marRight w:val="0"/>
      <w:marTop w:val="0"/>
      <w:marBottom w:val="0"/>
      <w:divBdr>
        <w:top w:val="none" w:sz="0" w:space="0" w:color="auto"/>
        <w:left w:val="none" w:sz="0" w:space="0" w:color="auto"/>
        <w:bottom w:val="none" w:sz="0" w:space="0" w:color="auto"/>
        <w:right w:val="none" w:sz="0" w:space="0" w:color="auto"/>
      </w:divBdr>
      <w:divsChild>
        <w:div w:id="1610310384">
          <w:marLeft w:val="0"/>
          <w:marRight w:val="0"/>
          <w:marTop w:val="0"/>
          <w:marBottom w:val="0"/>
          <w:divBdr>
            <w:top w:val="none" w:sz="0" w:space="0" w:color="auto"/>
            <w:left w:val="none" w:sz="0" w:space="0" w:color="auto"/>
            <w:bottom w:val="none" w:sz="0" w:space="0" w:color="auto"/>
            <w:right w:val="none" w:sz="0" w:space="0" w:color="auto"/>
          </w:divBdr>
          <w:divsChild>
            <w:div w:id="744837348">
              <w:marLeft w:val="0"/>
              <w:marRight w:val="0"/>
              <w:marTop w:val="0"/>
              <w:marBottom w:val="0"/>
              <w:divBdr>
                <w:top w:val="none" w:sz="0" w:space="0" w:color="auto"/>
                <w:left w:val="none" w:sz="0" w:space="0" w:color="auto"/>
                <w:bottom w:val="none" w:sz="0" w:space="0" w:color="auto"/>
                <w:right w:val="none" w:sz="0" w:space="0" w:color="auto"/>
              </w:divBdr>
              <w:divsChild>
                <w:div w:id="203384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155214">
      <w:bodyDiv w:val="1"/>
      <w:marLeft w:val="0"/>
      <w:marRight w:val="0"/>
      <w:marTop w:val="0"/>
      <w:marBottom w:val="0"/>
      <w:divBdr>
        <w:top w:val="none" w:sz="0" w:space="0" w:color="auto"/>
        <w:left w:val="none" w:sz="0" w:space="0" w:color="auto"/>
        <w:bottom w:val="none" w:sz="0" w:space="0" w:color="auto"/>
        <w:right w:val="none" w:sz="0" w:space="0" w:color="auto"/>
      </w:divBdr>
    </w:div>
    <w:div w:id="1239290654">
      <w:bodyDiv w:val="1"/>
      <w:marLeft w:val="0"/>
      <w:marRight w:val="0"/>
      <w:marTop w:val="0"/>
      <w:marBottom w:val="0"/>
      <w:divBdr>
        <w:top w:val="none" w:sz="0" w:space="0" w:color="auto"/>
        <w:left w:val="none" w:sz="0" w:space="0" w:color="auto"/>
        <w:bottom w:val="none" w:sz="0" w:space="0" w:color="auto"/>
        <w:right w:val="none" w:sz="0" w:space="0" w:color="auto"/>
      </w:divBdr>
      <w:divsChild>
        <w:div w:id="1172990535">
          <w:marLeft w:val="0"/>
          <w:marRight w:val="0"/>
          <w:marTop w:val="0"/>
          <w:marBottom w:val="0"/>
          <w:divBdr>
            <w:top w:val="none" w:sz="0" w:space="0" w:color="auto"/>
            <w:left w:val="none" w:sz="0" w:space="0" w:color="auto"/>
            <w:bottom w:val="none" w:sz="0" w:space="0" w:color="auto"/>
            <w:right w:val="none" w:sz="0" w:space="0" w:color="auto"/>
          </w:divBdr>
          <w:divsChild>
            <w:div w:id="422461900">
              <w:marLeft w:val="0"/>
              <w:marRight w:val="0"/>
              <w:marTop w:val="0"/>
              <w:marBottom w:val="0"/>
              <w:divBdr>
                <w:top w:val="none" w:sz="0" w:space="0" w:color="auto"/>
                <w:left w:val="none" w:sz="0" w:space="0" w:color="auto"/>
                <w:bottom w:val="none" w:sz="0" w:space="0" w:color="auto"/>
                <w:right w:val="none" w:sz="0" w:space="0" w:color="auto"/>
              </w:divBdr>
              <w:divsChild>
                <w:div w:id="98574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579231">
      <w:bodyDiv w:val="1"/>
      <w:marLeft w:val="0"/>
      <w:marRight w:val="0"/>
      <w:marTop w:val="0"/>
      <w:marBottom w:val="0"/>
      <w:divBdr>
        <w:top w:val="none" w:sz="0" w:space="0" w:color="auto"/>
        <w:left w:val="none" w:sz="0" w:space="0" w:color="auto"/>
        <w:bottom w:val="none" w:sz="0" w:space="0" w:color="auto"/>
        <w:right w:val="none" w:sz="0" w:space="0" w:color="auto"/>
      </w:divBdr>
      <w:divsChild>
        <w:div w:id="194003558">
          <w:marLeft w:val="0"/>
          <w:marRight w:val="0"/>
          <w:marTop w:val="0"/>
          <w:marBottom w:val="0"/>
          <w:divBdr>
            <w:top w:val="none" w:sz="0" w:space="0" w:color="auto"/>
            <w:left w:val="none" w:sz="0" w:space="0" w:color="auto"/>
            <w:bottom w:val="none" w:sz="0" w:space="0" w:color="auto"/>
            <w:right w:val="none" w:sz="0" w:space="0" w:color="auto"/>
          </w:divBdr>
          <w:divsChild>
            <w:div w:id="1681538860">
              <w:marLeft w:val="0"/>
              <w:marRight w:val="0"/>
              <w:marTop w:val="0"/>
              <w:marBottom w:val="0"/>
              <w:divBdr>
                <w:top w:val="none" w:sz="0" w:space="0" w:color="auto"/>
                <w:left w:val="none" w:sz="0" w:space="0" w:color="auto"/>
                <w:bottom w:val="none" w:sz="0" w:space="0" w:color="auto"/>
                <w:right w:val="none" w:sz="0" w:space="0" w:color="auto"/>
              </w:divBdr>
              <w:divsChild>
                <w:div w:id="105154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270667">
      <w:bodyDiv w:val="1"/>
      <w:marLeft w:val="0"/>
      <w:marRight w:val="0"/>
      <w:marTop w:val="0"/>
      <w:marBottom w:val="0"/>
      <w:divBdr>
        <w:top w:val="none" w:sz="0" w:space="0" w:color="auto"/>
        <w:left w:val="none" w:sz="0" w:space="0" w:color="auto"/>
        <w:bottom w:val="none" w:sz="0" w:space="0" w:color="auto"/>
        <w:right w:val="none" w:sz="0" w:space="0" w:color="auto"/>
      </w:divBdr>
    </w:div>
    <w:div w:id="1425031211">
      <w:bodyDiv w:val="1"/>
      <w:marLeft w:val="0"/>
      <w:marRight w:val="0"/>
      <w:marTop w:val="0"/>
      <w:marBottom w:val="0"/>
      <w:divBdr>
        <w:top w:val="none" w:sz="0" w:space="0" w:color="auto"/>
        <w:left w:val="none" w:sz="0" w:space="0" w:color="auto"/>
        <w:bottom w:val="none" w:sz="0" w:space="0" w:color="auto"/>
        <w:right w:val="none" w:sz="0" w:space="0" w:color="auto"/>
      </w:divBdr>
      <w:divsChild>
        <w:div w:id="2141072873">
          <w:marLeft w:val="0"/>
          <w:marRight w:val="0"/>
          <w:marTop w:val="0"/>
          <w:marBottom w:val="0"/>
          <w:divBdr>
            <w:top w:val="none" w:sz="0" w:space="0" w:color="auto"/>
            <w:left w:val="none" w:sz="0" w:space="0" w:color="auto"/>
            <w:bottom w:val="none" w:sz="0" w:space="0" w:color="auto"/>
            <w:right w:val="none" w:sz="0" w:space="0" w:color="auto"/>
          </w:divBdr>
          <w:divsChild>
            <w:div w:id="867645544">
              <w:marLeft w:val="0"/>
              <w:marRight w:val="0"/>
              <w:marTop w:val="0"/>
              <w:marBottom w:val="0"/>
              <w:divBdr>
                <w:top w:val="none" w:sz="0" w:space="0" w:color="auto"/>
                <w:left w:val="none" w:sz="0" w:space="0" w:color="auto"/>
                <w:bottom w:val="none" w:sz="0" w:space="0" w:color="auto"/>
                <w:right w:val="none" w:sz="0" w:space="0" w:color="auto"/>
              </w:divBdr>
              <w:divsChild>
                <w:div w:id="18528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711340">
      <w:bodyDiv w:val="1"/>
      <w:marLeft w:val="0"/>
      <w:marRight w:val="0"/>
      <w:marTop w:val="0"/>
      <w:marBottom w:val="0"/>
      <w:divBdr>
        <w:top w:val="none" w:sz="0" w:space="0" w:color="auto"/>
        <w:left w:val="none" w:sz="0" w:space="0" w:color="auto"/>
        <w:bottom w:val="none" w:sz="0" w:space="0" w:color="auto"/>
        <w:right w:val="none" w:sz="0" w:space="0" w:color="auto"/>
      </w:divBdr>
    </w:div>
    <w:div w:id="1496074075">
      <w:bodyDiv w:val="1"/>
      <w:marLeft w:val="0"/>
      <w:marRight w:val="0"/>
      <w:marTop w:val="0"/>
      <w:marBottom w:val="0"/>
      <w:divBdr>
        <w:top w:val="none" w:sz="0" w:space="0" w:color="auto"/>
        <w:left w:val="none" w:sz="0" w:space="0" w:color="auto"/>
        <w:bottom w:val="none" w:sz="0" w:space="0" w:color="auto"/>
        <w:right w:val="none" w:sz="0" w:space="0" w:color="auto"/>
      </w:divBdr>
    </w:div>
    <w:div w:id="1518696182">
      <w:bodyDiv w:val="1"/>
      <w:marLeft w:val="0"/>
      <w:marRight w:val="0"/>
      <w:marTop w:val="0"/>
      <w:marBottom w:val="0"/>
      <w:divBdr>
        <w:top w:val="none" w:sz="0" w:space="0" w:color="auto"/>
        <w:left w:val="none" w:sz="0" w:space="0" w:color="auto"/>
        <w:bottom w:val="none" w:sz="0" w:space="0" w:color="auto"/>
        <w:right w:val="none" w:sz="0" w:space="0" w:color="auto"/>
      </w:divBdr>
      <w:divsChild>
        <w:div w:id="2077898044">
          <w:marLeft w:val="0"/>
          <w:marRight w:val="0"/>
          <w:marTop w:val="0"/>
          <w:marBottom w:val="0"/>
          <w:divBdr>
            <w:top w:val="none" w:sz="0" w:space="0" w:color="auto"/>
            <w:left w:val="none" w:sz="0" w:space="0" w:color="auto"/>
            <w:bottom w:val="none" w:sz="0" w:space="0" w:color="auto"/>
            <w:right w:val="none" w:sz="0" w:space="0" w:color="auto"/>
          </w:divBdr>
          <w:divsChild>
            <w:div w:id="424883954">
              <w:marLeft w:val="0"/>
              <w:marRight w:val="0"/>
              <w:marTop w:val="0"/>
              <w:marBottom w:val="0"/>
              <w:divBdr>
                <w:top w:val="none" w:sz="0" w:space="0" w:color="auto"/>
                <w:left w:val="none" w:sz="0" w:space="0" w:color="auto"/>
                <w:bottom w:val="none" w:sz="0" w:space="0" w:color="auto"/>
                <w:right w:val="none" w:sz="0" w:space="0" w:color="auto"/>
              </w:divBdr>
              <w:divsChild>
                <w:div w:id="111046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282582">
      <w:bodyDiv w:val="1"/>
      <w:marLeft w:val="0"/>
      <w:marRight w:val="0"/>
      <w:marTop w:val="0"/>
      <w:marBottom w:val="0"/>
      <w:divBdr>
        <w:top w:val="none" w:sz="0" w:space="0" w:color="auto"/>
        <w:left w:val="none" w:sz="0" w:space="0" w:color="auto"/>
        <w:bottom w:val="none" w:sz="0" w:space="0" w:color="auto"/>
        <w:right w:val="none" w:sz="0" w:space="0" w:color="auto"/>
      </w:divBdr>
      <w:divsChild>
        <w:div w:id="1815944293">
          <w:marLeft w:val="0"/>
          <w:marRight w:val="0"/>
          <w:marTop w:val="0"/>
          <w:marBottom w:val="0"/>
          <w:divBdr>
            <w:top w:val="none" w:sz="0" w:space="0" w:color="auto"/>
            <w:left w:val="none" w:sz="0" w:space="0" w:color="auto"/>
            <w:bottom w:val="none" w:sz="0" w:space="0" w:color="auto"/>
            <w:right w:val="none" w:sz="0" w:space="0" w:color="auto"/>
          </w:divBdr>
          <w:divsChild>
            <w:div w:id="1383365266">
              <w:marLeft w:val="0"/>
              <w:marRight w:val="0"/>
              <w:marTop w:val="0"/>
              <w:marBottom w:val="0"/>
              <w:divBdr>
                <w:top w:val="none" w:sz="0" w:space="0" w:color="auto"/>
                <w:left w:val="none" w:sz="0" w:space="0" w:color="auto"/>
                <w:bottom w:val="none" w:sz="0" w:space="0" w:color="auto"/>
                <w:right w:val="none" w:sz="0" w:space="0" w:color="auto"/>
              </w:divBdr>
              <w:divsChild>
                <w:div w:id="196923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567859">
      <w:bodyDiv w:val="1"/>
      <w:marLeft w:val="0"/>
      <w:marRight w:val="0"/>
      <w:marTop w:val="0"/>
      <w:marBottom w:val="0"/>
      <w:divBdr>
        <w:top w:val="none" w:sz="0" w:space="0" w:color="auto"/>
        <w:left w:val="none" w:sz="0" w:space="0" w:color="auto"/>
        <w:bottom w:val="none" w:sz="0" w:space="0" w:color="auto"/>
        <w:right w:val="none" w:sz="0" w:space="0" w:color="auto"/>
      </w:divBdr>
      <w:divsChild>
        <w:div w:id="2032995852">
          <w:marLeft w:val="0"/>
          <w:marRight w:val="0"/>
          <w:marTop w:val="0"/>
          <w:marBottom w:val="0"/>
          <w:divBdr>
            <w:top w:val="none" w:sz="0" w:space="0" w:color="auto"/>
            <w:left w:val="none" w:sz="0" w:space="0" w:color="auto"/>
            <w:bottom w:val="none" w:sz="0" w:space="0" w:color="auto"/>
            <w:right w:val="none" w:sz="0" w:space="0" w:color="auto"/>
          </w:divBdr>
          <w:divsChild>
            <w:div w:id="1081827087">
              <w:marLeft w:val="0"/>
              <w:marRight w:val="0"/>
              <w:marTop w:val="0"/>
              <w:marBottom w:val="0"/>
              <w:divBdr>
                <w:top w:val="none" w:sz="0" w:space="0" w:color="auto"/>
                <w:left w:val="none" w:sz="0" w:space="0" w:color="auto"/>
                <w:bottom w:val="none" w:sz="0" w:space="0" w:color="auto"/>
                <w:right w:val="none" w:sz="0" w:space="0" w:color="auto"/>
              </w:divBdr>
              <w:divsChild>
                <w:div w:id="27980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808450">
      <w:bodyDiv w:val="1"/>
      <w:marLeft w:val="0"/>
      <w:marRight w:val="0"/>
      <w:marTop w:val="0"/>
      <w:marBottom w:val="0"/>
      <w:divBdr>
        <w:top w:val="none" w:sz="0" w:space="0" w:color="auto"/>
        <w:left w:val="none" w:sz="0" w:space="0" w:color="auto"/>
        <w:bottom w:val="none" w:sz="0" w:space="0" w:color="auto"/>
        <w:right w:val="none" w:sz="0" w:space="0" w:color="auto"/>
      </w:divBdr>
      <w:divsChild>
        <w:div w:id="475803514">
          <w:marLeft w:val="0"/>
          <w:marRight w:val="0"/>
          <w:marTop w:val="0"/>
          <w:marBottom w:val="0"/>
          <w:divBdr>
            <w:top w:val="none" w:sz="0" w:space="0" w:color="auto"/>
            <w:left w:val="none" w:sz="0" w:space="0" w:color="auto"/>
            <w:bottom w:val="none" w:sz="0" w:space="0" w:color="auto"/>
            <w:right w:val="none" w:sz="0" w:space="0" w:color="auto"/>
          </w:divBdr>
          <w:divsChild>
            <w:div w:id="58945224">
              <w:marLeft w:val="0"/>
              <w:marRight w:val="0"/>
              <w:marTop w:val="0"/>
              <w:marBottom w:val="0"/>
              <w:divBdr>
                <w:top w:val="none" w:sz="0" w:space="0" w:color="auto"/>
                <w:left w:val="none" w:sz="0" w:space="0" w:color="auto"/>
                <w:bottom w:val="none" w:sz="0" w:space="0" w:color="auto"/>
                <w:right w:val="none" w:sz="0" w:space="0" w:color="auto"/>
              </w:divBdr>
              <w:divsChild>
                <w:div w:id="77170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836859">
      <w:bodyDiv w:val="1"/>
      <w:marLeft w:val="0"/>
      <w:marRight w:val="0"/>
      <w:marTop w:val="0"/>
      <w:marBottom w:val="0"/>
      <w:divBdr>
        <w:top w:val="none" w:sz="0" w:space="0" w:color="auto"/>
        <w:left w:val="none" w:sz="0" w:space="0" w:color="auto"/>
        <w:bottom w:val="none" w:sz="0" w:space="0" w:color="auto"/>
        <w:right w:val="none" w:sz="0" w:space="0" w:color="auto"/>
      </w:divBdr>
      <w:divsChild>
        <w:div w:id="1188176210">
          <w:marLeft w:val="0"/>
          <w:marRight w:val="0"/>
          <w:marTop w:val="0"/>
          <w:marBottom w:val="0"/>
          <w:divBdr>
            <w:top w:val="none" w:sz="0" w:space="0" w:color="auto"/>
            <w:left w:val="none" w:sz="0" w:space="0" w:color="auto"/>
            <w:bottom w:val="none" w:sz="0" w:space="0" w:color="auto"/>
            <w:right w:val="none" w:sz="0" w:space="0" w:color="auto"/>
          </w:divBdr>
          <w:divsChild>
            <w:div w:id="953829403">
              <w:marLeft w:val="0"/>
              <w:marRight w:val="0"/>
              <w:marTop w:val="0"/>
              <w:marBottom w:val="0"/>
              <w:divBdr>
                <w:top w:val="none" w:sz="0" w:space="0" w:color="auto"/>
                <w:left w:val="none" w:sz="0" w:space="0" w:color="auto"/>
                <w:bottom w:val="none" w:sz="0" w:space="0" w:color="auto"/>
                <w:right w:val="none" w:sz="0" w:space="0" w:color="auto"/>
              </w:divBdr>
              <w:divsChild>
                <w:div w:id="197232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030997">
      <w:bodyDiv w:val="1"/>
      <w:marLeft w:val="0"/>
      <w:marRight w:val="0"/>
      <w:marTop w:val="0"/>
      <w:marBottom w:val="0"/>
      <w:divBdr>
        <w:top w:val="none" w:sz="0" w:space="0" w:color="auto"/>
        <w:left w:val="none" w:sz="0" w:space="0" w:color="auto"/>
        <w:bottom w:val="none" w:sz="0" w:space="0" w:color="auto"/>
        <w:right w:val="none" w:sz="0" w:space="0" w:color="auto"/>
      </w:divBdr>
      <w:divsChild>
        <w:div w:id="774516735">
          <w:marLeft w:val="0"/>
          <w:marRight w:val="0"/>
          <w:marTop w:val="0"/>
          <w:marBottom w:val="0"/>
          <w:divBdr>
            <w:top w:val="none" w:sz="0" w:space="0" w:color="auto"/>
            <w:left w:val="none" w:sz="0" w:space="0" w:color="auto"/>
            <w:bottom w:val="none" w:sz="0" w:space="0" w:color="auto"/>
            <w:right w:val="none" w:sz="0" w:space="0" w:color="auto"/>
          </w:divBdr>
          <w:divsChild>
            <w:div w:id="252132331">
              <w:marLeft w:val="0"/>
              <w:marRight w:val="0"/>
              <w:marTop w:val="0"/>
              <w:marBottom w:val="0"/>
              <w:divBdr>
                <w:top w:val="none" w:sz="0" w:space="0" w:color="auto"/>
                <w:left w:val="none" w:sz="0" w:space="0" w:color="auto"/>
                <w:bottom w:val="none" w:sz="0" w:space="0" w:color="auto"/>
                <w:right w:val="none" w:sz="0" w:space="0" w:color="auto"/>
              </w:divBdr>
              <w:divsChild>
                <w:div w:id="26866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327410">
      <w:bodyDiv w:val="1"/>
      <w:marLeft w:val="0"/>
      <w:marRight w:val="0"/>
      <w:marTop w:val="0"/>
      <w:marBottom w:val="0"/>
      <w:divBdr>
        <w:top w:val="none" w:sz="0" w:space="0" w:color="auto"/>
        <w:left w:val="none" w:sz="0" w:space="0" w:color="auto"/>
        <w:bottom w:val="none" w:sz="0" w:space="0" w:color="auto"/>
        <w:right w:val="none" w:sz="0" w:space="0" w:color="auto"/>
      </w:divBdr>
    </w:div>
    <w:div w:id="1756707927">
      <w:bodyDiv w:val="1"/>
      <w:marLeft w:val="0"/>
      <w:marRight w:val="0"/>
      <w:marTop w:val="0"/>
      <w:marBottom w:val="0"/>
      <w:divBdr>
        <w:top w:val="none" w:sz="0" w:space="0" w:color="auto"/>
        <w:left w:val="none" w:sz="0" w:space="0" w:color="auto"/>
        <w:bottom w:val="none" w:sz="0" w:space="0" w:color="auto"/>
        <w:right w:val="none" w:sz="0" w:space="0" w:color="auto"/>
      </w:divBdr>
      <w:divsChild>
        <w:div w:id="1683166179">
          <w:marLeft w:val="0"/>
          <w:marRight w:val="0"/>
          <w:marTop w:val="0"/>
          <w:marBottom w:val="0"/>
          <w:divBdr>
            <w:top w:val="none" w:sz="0" w:space="0" w:color="auto"/>
            <w:left w:val="none" w:sz="0" w:space="0" w:color="auto"/>
            <w:bottom w:val="none" w:sz="0" w:space="0" w:color="auto"/>
            <w:right w:val="none" w:sz="0" w:space="0" w:color="auto"/>
          </w:divBdr>
          <w:divsChild>
            <w:div w:id="800391417">
              <w:marLeft w:val="0"/>
              <w:marRight w:val="0"/>
              <w:marTop w:val="0"/>
              <w:marBottom w:val="0"/>
              <w:divBdr>
                <w:top w:val="none" w:sz="0" w:space="0" w:color="auto"/>
                <w:left w:val="none" w:sz="0" w:space="0" w:color="auto"/>
                <w:bottom w:val="none" w:sz="0" w:space="0" w:color="auto"/>
                <w:right w:val="none" w:sz="0" w:space="0" w:color="auto"/>
              </w:divBdr>
              <w:divsChild>
                <w:div w:id="28424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276508">
      <w:bodyDiv w:val="1"/>
      <w:marLeft w:val="0"/>
      <w:marRight w:val="0"/>
      <w:marTop w:val="0"/>
      <w:marBottom w:val="0"/>
      <w:divBdr>
        <w:top w:val="none" w:sz="0" w:space="0" w:color="auto"/>
        <w:left w:val="none" w:sz="0" w:space="0" w:color="auto"/>
        <w:bottom w:val="none" w:sz="0" w:space="0" w:color="auto"/>
        <w:right w:val="none" w:sz="0" w:space="0" w:color="auto"/>
      </w:divBdr>
      <w:divsChild>
        <w:div w:id="670525880">
          <w:marLeft w:val="0"/>
          <w:marRight w:val="0"/>
          <w:marTop w:val="0"/>
          <w:marBottom w:val="0"/>
          <w:divBdr>
            <w:top w:val="none" w:sz="0" w:space="0" w:color="auto"/>
            <w:left w:val="none" w:sz="0" w:space="0" w:color="auto"/>
            <w:bottom w:val="none" w:sz="0" w:space="0" w:color="auto"/>
            <w:right w:val="none" w:sz="0" w:space="0" w:color="auto"/>
          </w:divBdr>
          <w:divsChild>
            <w:div w:id="325860667">
              <w:marLeft w:val="0"/>
              <w:marRight w:val="0"/>
              <w:marTop w:val="0"/>
              <w:marBottom w:val="0"/>
              <w:divBdr>
                <w:top w:val="none" w:sz="0" w:space="0" w:color="auto"/>
                <w:left w:val="none" w:sz="0" w:space="0" w:color="auto"/>
                <w:bottom w:val="none" w:sz="0" w:space="0" w:color="auto"/>
                <w:right w:val="none" w:sz="0" w:space="0" w:color="auto"/>
              </w:divBdr>
              <w:divsChild>
                <w:div w:id="206918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182374">
      <w:bodyDiv w:val="1"/>
      <w:marLeft w:val="0"/>
      <w:marRight w:val="0"/>
      <w:marTop w:val="0"/>
      <w:marBottom w:val="0"/>
      <w:divBdr>
        <w:top w:val="none" w:sz="0" w:space="0" w:color="auto"/>
        <w:left w:val="none" w:sz="0" w:space="0" w:color="auto"/>
        <w:bottom w:val="none" w:sz="0" w:space="0" w:color="auto"/>
        <w:right w:val="none" w:sz="0" w:space="0" w:color="auto"/>
      </w:divBdr>
    </w:div>
    <w:div w:id="1939290175">
      <w:bodyDiv w:val="1"/>
      <w:marLeft w:val="0"/>
      <w:marRight w:val="0"/>
      <w:marTop w:val="0"/>
      <w:marBottom w:val="0"/>
      <w:divBdr>
        <w:top w:val="none" w:sz="0" w:space="0" w:color="auto"/>
        <w:left w:val="none" w:sz="0" w:space="0" w:color="auto"/>
        <w:bottom w:val="none" w:sz="0" w:space="0" w:color="auto"/>
        <w:right w:val="none" w:sz="0" w:space="0" w:color="auto"/>
      </w:divBdr>
      <w:divsChild>
        <w:div w:id="811673215">
          <w:marLeft w:val="0"/>
          <w:marRight w:val="0"/>
          <w:marTop w:val="0"/>
          <w:marBottom w:val="0"/>
          <w:divBdr>
            <w:top w:val="none" w:sz="0" w:space="0" w:color="auto"/>
            <w:left w:val="none" w:sz="0" w:space="0" w:color="auto"/>
            <w:bottom w:val="none" w:sz="0" w:space="0" w:color="auto"/>
            <w:right w:val="none" w:sz="0" w:space="0" w:color="auto"/>
          </w:divBdr>
          <w:divsChild>
            <w:div w:id="880633387">
              <w:marLeft w:val="0"/>
              <w:marRight w:val="0"/>
              <w:marTop w:val="0"/>
              <w:marBottom w:val="0"/>
              <w:divBdr>
                <w:top w:val="none" w:sz="0" w:space="0" w:color="auto"/>
                <w:left w:val="none" w:sz="0" w:space="0" w:color="auto"/>
                <w:bottom w:val="none" w:sz="0" w:space="0" w:color="auto"/>
                <w:right w:val="none" w:sz="0" w:space="0" w:color="auto"/>
              </w:divBdr>
              <w:divsChild>
                <w:div w:id="134947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285085">
      <w:bodyDiv w:val="1"/>
      <w:marLeft w:val="0"/>
      <w:marRight w:val="0"/>
      <w:marTop w:val="0"/>
      <w:marBottom w:val="0"/>
      <w:divBdr>
        <w:top w:val="none" w:sz="0" w:space="0" w:color="auto"/>
        <w:left w:val="none" w:sz="0" w:space="0" w:color="auto"/>
        <w:bottom w:val="none" w:sz="0" w:space="0" w:color="auto"/>
        <w:right w:val="none" w:sz="0" w:space="0" w:color="auto"/>
      </w:divBdr>
    </w:div>
    <w:div w:id="2003435961">
      <w:bodyDiv w:val="1"/>
      <w:marLeft w:val="0"/>
      <w:marRight w:val="0"/>
      <w:marTop w:val="0"/>
      <w:marBottom w:val="0"/>
      <w:divBdr>
        <w:top w:val="none" w:sz="0" w:space="0" w:color="auto"/>
        <w:left w:val="none" w:sz="0" w:space="0" w:color="auto"/>
        <w:bottom w:val="none" w:sz="0" w:space="0" w:color="auto"/>
        <w:right w:val="none" w:sz="0" w:space="0" w:color="auto"/>
      </w:divBdr>
      <w:divsChild>
        <w:div w:id="2146849204">
          <w:marLeft w:val="0"/>
          <w:marRight w:val="0"/>
          <w:marTop w:val="0"/>
          <w:marBottom w:val="0"/>
          <w:divBdr>
            <w:top w:val="none" w:sz="0" w:space="0" w:color="auto"/>
            <w:left w:val="none" w:sz="0" w:space="0" w:color="auto"/>
            <w:bottom w:val="none" w:sz="0" w:space="0" w:color="auto"/>
            <w:right w:val="none" w:sz="0" w:space="0" w:color="auto"/>
          </w:divBdr>
          <w:divsChild>
            <w:div w:id="1452744022">
              <w:marLeft w:val="0"/>
              <w:marRight w:val="0"/>
              <w:marTop w:val="0"/>
              <w:marBottom w:val="0"/>
              <w:divBdr>
                <w:top w:val="none" w:sz="0" w:space="0" w:color="auto"/>
                <w:left w:val="none" w:sz="0" w:space="0" w:color="auto"/>
                <w:bottom w:val="none" w:sz="0" w:space="0" w:color="auto"/>
                <w:right w:val="none" w:sz="0" w:space="0" w:color="auto"/>
              </w:divBdr>
              <w:divsChild>
                <w:div w:id="15145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656977">
      <w:bodyDiv w:val="1"/>
      <w:marLeft w:val="0"/>
      <w:marRight w:val="0"/>
      <w:marTop w:val="0"/>
      <w:marBottom w:val="0"/>
      <w:divBdr>
        <w:top w:val="none" w:sz="0" w:space="0" w:color="auto"/>
        <w:left w:val="none" w:sz="0" w:space="0" w:color="auto"/>
        <w:bottom w:val="none" w:sz="0" w:space="0" w:color="auto"/>
        <w:right w:val="none" w:sz="0" w:space="0" w:color="auto"/>
      </w:divBdr>
      <w:divsChild>
        <w:div w:id="1619143880">
          <w:marLeft w:val="0"/>
          <w:marRight w:val="0"/>
          <w:marTop w:val="0"/>
          <w:marBottom w:val="0"/>
          <w:divBdr>
            <w:top w:val="none" w:sz="0" w:space="0" w:color="auto"/>
            <w:left w:val="none" w:sz="0" w:space="0" w:color="auto"/>
            <w:bottom w:val="none" w:sz="0" w:space="0" w:color="auto"/>
            <w:right w:val="none" w:sz="0" w:space="0" w:color="auto"/>
          </w:divBdr>
          <w:divsChild>
            <w:div w:id="771784452">
              <w:marLeft w:val="0"/>
              <w:marRight w:val="0"/>
              <w:marTop w:val="0"/>
              <w:marBottom w:val="0"/>
              <w:divBdr>
                <w:top w:val="none" w:sz="0" w:space="0" w:color="auto"/>
                <w:left w:val="none" w:sz="0" w:space="0" w:color="auto"/>
                <w:bottom w:val="none" w:sz="0" w:space="0" w:color="auto"/>
                <w:right w:val="none" w:sz="0" w:space="0" w:color="auto"/>
              </w:divBdr>
              <w:divsChild>
                <w:div w:id="88653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958626">
      <w:bodyDiv w:val="1"/>
      <w:marLeft w:val="0"/>
      <w:marRight w:val="0"/>
      <w:marTop w:val="0"/>
      <w:marBottom w:val="0"/>
      <w:divBdr>
        <w:top w:val="none" w:sz="0" w:space="0" w:color="auto"/>
        <w:left w:val="none" w:sz="0" w:space="0" w:color="auto"/>
        <w:bottom w:val="none" w:sz="0" w:space="0" w:color="auto"/>
        <w:right w:val="none" w:sz="0" w:space="0" w:color="auto"/>
      </w:divBdr>
      <w:divsChild>
        <w:div w:id="1205559513">
          <w:marLeft w:val="0"/>
          <w:marRight w:val="0"/>
          <w:marTop w:val="0"/>
          <w:marBottom w:val="0"/>
          <w:divBdr>
            <w:top w:val="none" w:sz="0" w:space="0" w:color="auto"/>
            <w:left w:val="none" w:sz="0" w:space="0" w:color="auto"/>
            <w:bottom w:val="none" w:sz="0" w:space="0" w:color="auto"/>
            <w:right w:val="none" w:sz="0" w:space="0" w:color="auto"/>
          </w:divBdr>
          <w:divsChild>
            <w:div w:id="1774667606">
              <w:marLeft w:val="0"/>
              <w:marRight w:val="0"/>
              <w:marTop w:val="0"/>
              <w:marBottom w:val="0"/>
              <w:divBdr>
                <w:top w:val="none" w:sz="0" w:space="0" w:color="auto"/>
                <w:left w:val="none" w:sz="0" w:space="0" w:color="auto"/>
                <w:bottom w:val="none" w:sz="0" w:space="0" w:color="auto"/>
                <w:right w:val="none" w:sz="0" w:space="0" w:color="auto"/>
              </w:divBdr>
              <w:divsChild>
                <w:div w:id="6884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54281">
      <w:bodyDiv w:val="1"/>
      <w:marLeft w:val="0"/>
      <w:marRight w:val="0"/>
      <w:marTop w:val="0"/>
      <w:marBottom w:val="0"/>
      <w:divBdr>
        <w:top w:val="none" w:sz="0" w:space="0" w:color="auto"/>
        <w:left w:val="none" w:sz="0" w:space="0" w:color="auto"/>
        <w:bottom w:val="none" w:sz="0" w:space="0" w:color="auto"/>
        <w:right w:val="none" w:sz="0" w:space="0" w:color="auto"/>
      </w:divBdr>
      <w:divsChild>
        <w:div w:id="2039815500">
          <w:marLeft w:val="0"/>
          <w:marRight w:val="0"/>
          <w:marTop w:val="0"/>
          <w:marBottom w:val="0"/>
          <w:divBdr>
            <w:top w:val="none" w:sz="0" w:space="0" w:color="auto"/>
            <w:left w:val="none" w:sz="0" w:space="0" w:color="auto"/>
            <w:bottom w:val="none" w:sz="0" w:space="0" w:color="auto"/>
            <w:right w:val="none" w:sz="0" w:space="0" w:color="auto"/>
          </w:divBdr>
          <w:divsChild>
            <w:div w:id="494151963">
              <w:marLeft w:val="0"/>
              <w:marRight w:val="0"/>
              <w:marTop w:val="0"/>
              <w:marBottom w:val="0"/>
              <w:divBdr>
                <w:top w:val="none" w:sz="0" w:space="0" w:color="auto"/>
                <w:left w:val="none" w:sz="0" w:space="0" w:color="auto"/>
                <w:bottom w:val="none" w:sz="0" w:space="0" w:color="auto"/>
                <w:right w:val="none" w:sz="0" w:space="0" w:color="auto"/>
              </w:divBdr>
              <w:divsChild>
                <w:div w:id="86228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159674">
      <w:bodyDiv w:val="1"/>
      <w:marLeft w:val="0"/>
      <w:marRight w:val="0"/>
      <w:marTop w:val="0"/>
      <w:marBottom w:val="0"/>
      <w:divBdr>
        <w:top w:val="none" w:sz="0" w:space="0" w:color="auto"/>
        <w:left w:val="none" w:sz="0" w:space="0" w:color="auto"/>
        <w:bottom w:val="none" w:sz="0" w:space="0" w:color="auto"/>
        <w:right w:val="none" w:sz="0" w:space="0" w:color="auto"/>
      </w:divBdr>
      <w:divsChild>
        <w:div w:id="714502478">
          <w:marLeft w:val="0"/>
          <w:marRight w:val="0"/>
          <w:marTop w:val="0"/>
          <w:marBottom w:val="0"/>
          <w:divBdr>
            <w:top w:val="none" w:sz="0" w:space="0" w:color="auto"/>
            <w:left w:val="none" w:sz="0" w:space="0" w:color="auto"/>
            <w:bottom w:val="none" w:sz="0" w:space="0" w:color="auto"/>
            <w:right w:val="none" w:sz="0" w:space="0" w:color="auto"/>
          </w:divBdr>
          <w:divsChild>
            <w:div w:id="252788261">
              <w:marLeft w:val="0"/>
              <w:marRight w:val="0"/>
              <w:marTop w:val="0"/>
              <w:marBottom w:val="0"/>
              <w:divBdr>
                <w:top w:val="none" w:sz="0" w:space="0" w:color="auto"/>
                <w:left w:val="none" w:sz="0" w:space="0" w:color="auto"/>
                <w:bottom w:val="none" w:sz="0" w:space="0" w:color="auto"/>
                <w:right w:val="none" w:sz="0" w:space="0" w:color="auto"/>
              </w:divBdr>
              <w:divsChild>
                <w:div w:id="22672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912718">
      <w:bodyDiv w:val="1"/>
      <w:marLeft w:val="0"/>
      <w:marRight w:val="0"/>
      <w:marTop w:val="0"/>
      <w:marBottom w:val="0"/>
      <w:divBdr>
        <w:top w:val="none" w:sz="0" w:space="0" w:color="auto"/>
        <w:left w:val="none" w:sz="0" w:space="0" w:color="auto"/>
        <w:bottom w:val="none" w:sz="0" w:space="0" w:color="auto"/>
        <w:right w:val="none" w:sz="0" w:space="0" w:color="auto"/>
      </w:divBdr>
      <w:divsChild>
        <w:div w:id="1529686072">
          <w:marLeft w:val="0"/>
          <w:marRight w:val="0"/>
          <w:marTop w:val="0"/>
          <w:marBottom w:val="0"/>
          <w:divBdr>
            <w:top w:val="none" w:sz="0" w:space="0" w:color="auto"/>
            <w:left w:val="none" w:sz="0" w:space="0" w:color="auto"/>
            <w:bottom w:val="none" w:sz="0" w:space="0" w:color="auto"/>
            <w:right w:val="none" w:sz="0" w:space="0" w:color="auto"/>
          </w:divBdr>
          <w:divsChild>
            <w:div w:id="156505702">
              <w:marLeft w:val="0"/>
              <w:marRight w:val="0"/>
              <w:marTop w:val="0"/>
              <w:marBottom w:val="0"/>
              <w:divBdr>
                <w:top w:val="none" w:sz="0" w:space="0" w:color="auto"/>
                <w:left w:val="none" w:sz="0" w:space="0" w:color="auto"/>
                <w:bottom w:val="none" w:sz="0" w:space="0" w:color="auto"/>
                <w:right w:val="none" w:sz="0" w:space="0" w:color="auto"/>
              </w:divBdr>
              <w:divsChild>
                <w:div w:id="200173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754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961-016-0164-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11/jgs.1254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oi.org/10.1186/1472-6955-9-9" TargetMode="External"/><Relationship Id="rId4" Type="http://schemas.openxmlformats.org/officeDocument/2006/relationships/webSettings" Target="webSettings.xml"/><Relationship Id="rId9" Type="http://schemas.openxmlformats.org/officeDocument/2006/relationships/hyperlink" Target="https://doi.org/10.1177/09697330124555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2135</TotalTime>
  <Pages>18</Pages>
  <Words>6185</Words>
  <Characters>35261</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Axon (1300113)</dc:creator>
  <cp:keywords/>
  <dc:description/>
  <cp:lastModifiedBy>Chelsea Axon (1300113)</cp:lastModifiedBy>
  <cp:revision>69</cp:revision>
  <dcterms:created xsi:type="dcterms:W3CDTF">2021-04-05T20:12:00Z</dcterms:created>
  <dcterms:modified xsi:type="dcterms:W3CDTF">2021-04-19T19:37:00Z</dcterms:modified>
</cp:coreProperties>
</file>