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5D804" w14:textId="50F0B618" w:rsidR="005546DB" w:rsidRDefault="00BC3D07" w:rsidP="009117BB">
      <w:pPr>
        <w:spacing w:before="240" w:after="240"/>
        <w:rPr>
          <w:b/>
          <w:bCs/>
        </w:rPr>
      </w:pPr>
      <w:r>
        <w:rPr>
          <w:b/>
          <w:bCs/>
        </w:rPr>
        <w:t>Samantha MacLaren 2011977</w:t>
      </w:r>
    </w:p>
    <w:p w14:paraId="3D86A0E5" w14:textId="2A2A2150" w:rsidR="00BC3D07" w:rsidRDefault="00BC3D07" w:rsidP="009117BB">
      <w:pPr>
        <w:spacing w:before="240" w:after="240"/>
        <w:rPr>
          <w:b/>
          <w:bCs/>
        </w:rPr>
      </w:pPr>
      <w:r>
        <w:rPr>
          <w:b/>
          <w:bCs/>
        </w:rPr>
        <w:t>Word Count: 26</w:t>
      </w:r>
      <w:r w:rsidR="00941593">
        <w:rPr>
          <w:b/>
          <w:bCs/>
        </w:rPr>
        <w:t>6</w:t>
      </w:r>
      <w:r w:rsidR="00BE1372">
        <w:rPr>
          <w:b/>
          <w:bCs/>
        </w:rPr>
        <w:t>3</w:t>
      </w:r>
    </w:p>
    <w:p w14:paraId="26AF4FA8" w14:textId="0C6D268B" w:rsidR="00BC3D07" w:rsidRPr="00BC3D07" w:rsidRDefault="00BC3D07" w:rsidP="009117BB">
      <w:pPr>
        <w:spacing w:before="240" w:after="240"/>
        <w:rPr>
          <w:b/>
          <w:bCs/>
        </w:rPr>
      </w:pPr>
      <w:r>
        <w:rPr>
          <w:b/>
          <w:bCs/>
        </w:rPr>
        <w:t>Choose an object from the La T</w:t>
      </w:r>
      <w:r>
        <w:rPr>
          <w:rFonts w:cstheme="minorHAnsi"/>
          <w:b/>
          <w:bCs/>
        </w:rPr>
        <w:t>è</w:t>
      </w:r>
      <w:r>
        <w:rPr>
          <w:b/>
          <w:bCs/>
        </w:rPr>
        <w:t xml:space="preserve">ne culture that demonstrates Greek influence. Discuss how </w:t>
      </w:r>
      <w:proofErr w:type="spellStart"/>
      <w:r>
        <w:rPr>
          <w:b/>
          <w:bCs/>
        </w:rPr>
        <w:t>Weissner’s</w:t>
      </w:r>
      <w:proofErr w:type="spellEnd"/>
      <w:r>
        <w:rPr>
          <w:b/>
          <w:bCs/>
        </w:rPr>
        <w:t xml:space="preserve"> concept of style might be applied to this object to explore its use in the creation of identity.</w:t>
      </w:r>
    </w:p>
    <w:p w14:paraId="4A389FE6" w14:textId="7E722AD8" w:rsidR="009117BB" w:rsidRDefault="0048177A" w:rsidP="00F46AB0">
      <w:pPr>
        <w:spacing w:before="240" w:after="240"/>
        <w:ind w:firstLine="720"/>
      </w:pPr>
      <w:r>
        <w:t xml:space="preserve">In 1953, </w:t>
      </w:r>
      <w:r w:rsidR="00DC026F">
        <w:t>The</w:t>
      </w:r>
      <w:r w:rsidR="001D2592">
        <w:t xml:space="preserve"> burial chamber</w:t>
      </w:r>
      <w:r w:rsidR="00DC026F">
        <w:t xml:space="preserve"> of a</w:t>
      </w:r>
      <w:r w:rsidR="007C196D">
        <w:t xml:space="preserve">n </w:t>
      </w:r>
      <w:r w:rsidR="007C196D">
        <w:rPr>
          <w:rFonts w:cstheme="minorHAnsi"/>
        </w:rPr>
        <w:t>é</w:t>
      </w:r>
      <w:r w:rsidR="007C196D">
        <w:t>lite</w:t>
      </w:r>
      <w:r w:rsidR="00DC026F">
        <w:t xml:space="preserve"> Celt</w:t>
      </w:r>
      <w:r w:rsidR="001D2592">
        <w:t xml:space="preserve"> was discovered</w:t>
      </w:r>
      <w:r w:rsidR="00DC026F" w:rsidRPr="00DC026F">
        <w:t xml:space="preserve"> </w:t>
      </w:r>
      <w:r w:rsidR="00DC026F">
        <w:t>and excavated</w:t>
      </w:r>
      <w:r w:rsidR="001D2592">
        <w:t xml:space="preserve"> at </w:t>
      </w:r>
      <w:proofErr w:type="spellStart"/>
      <w:r w:rsidR="001D2592">
        <w:t>Vix</w:t>
      </w:r>
      <w:proofErr w:type="spellEnd"/>
      <w:r w:rsidR="001D2592">
        <w:t xml:space="preserve"> near</w:t>
      </w:r>
      <w:r w:rsidR="00993966">
        <w:t xml:space="preserve"> the ancient hillfort of Mont </w:t>
      </w:r>
      <w:proofErr w:type="spellStart"/>
      <w:r w:rsidR="00993966">
        <w:t>Lassois</w:t>
      </w:r>
      <w:proofErr w:type="spellEnd"/>
      <w:r w:rsidR="001D2592">
        <w:t xml:space="preserve"> in the </w:t>
      </w:r>
      <w:r>
        <w:t xml:space="preserve">region of the </w:t>
      </w:r>
      <w:r w:rsidR="001D2592">
        <w:t>C</w:t>
      </w:r>
      <w:r w:rsidR="00C94A87">
        <w:rPr>
          <w:rFonts w:cstheme="minorHAnsi"/>
        </w:rPr>
        <w:t>ô</w:t>
      </w:r>
      <w:r w:rsidR="001D2592">
        <w:t xml:space="preserve">te-d’Or. The grave was dated to the end of the sixth century BC, and according to Peter </w:t>
      </w:r>
      <w:proofErr w:type="spellStart"/>
      <w:r w:rsidR="001D2592">
        <w:t>Berresford</w:t>
      </w:r>
      <w:proofErr w:type="spellEnd"/>
      <w:r w:rsidR="001D2592">
        <w:t xml:space="preserve"> Ellis</w:t>
      </w:r>
      <w:r w:rsidR="00E42B63">
        <w:t>, w</w:t>
      </w:r>
      <w:r w:rsidR="001D2592">
        <w:t xml:space="preserve">hat </w:t>
      </w:r>
      <w:r w:rsidR="00E42B63">
        <w:t>‘</w:t>
      </w:r>
      <w:r w:rsidR="001D2592">
        <w:t>distinguished it from the majority of kingly graves was that it contained the skeleton of a thirty-six-year-old woman.’</w:t>
      </w:r>
      <w:r w:rsidR="001D2592">
        <w:rPr>
          <w:rStyle w:val="FootnoteReference"/>
        </w:rPr>
        <w:footnoteReference w:id="1"/>
      </w:r>
      <w:r w:rsidR="00DC026F">
        <w:t xml:space="preserve"> Her </w:t>
      </w:r>
      <w:r w:rsidR="004D29D0">
        <w:rPr>
          <w:rFonts w:cstheme="minorHAnsi"/>
        </w:rPr>
        <w:t>é</w:t>
      </w:r>
      <w:r w:rsidR="00DC026F">
        <w:t xml:space="preserve">lite status was clearly evident from the </w:t>
      </w:r>
      <w:r w:rsidR="00AC552E">
        <w:t xml:space="preserve">many </w:t>
      </w:r>
      <w:r w:rsidR="00DC026F">
        <w:t>grave goods in the chamber which included a torc necklace composed of 480 grams of gold</w:t>
      </w:r>
      <w:r w:rsidR="00084F66">
        <w:t>,</w:t>
      </w:r>
      <w:r w:rsidR="00EF0934">
        <w:t xml:space="preserve"> which although indigenous to </w:t>
      </w:r>
      <w:proofErr w:type="spellStart"/>
      <w:r w:rsidR="00EF0934">
        <w:t>Vix</w:t>
      </w:r>
      <w:proofErr w:type="spellEnd"/>
      <w:r w:rsidR="00EF0934">
        <w:t>, displayed a mixture of cultural images and technology transfer, indicative of the scope of object exchanges during th</w:t>
      </w:r>
      <w:r w:rsidR="006447C0">
        <w:t>e</w:t>
      </w:r>
      <w:r w:rsidR="00EF0934">
        <w:t xml:space="preserve"> period. Also found were</w:t>
      </w:r>
      <w:r w:rsidR="005A2DFE">
        <w:t xml:space="preserve"> a funerary chariot,</w:t>
      </w:r>
      <w:r w:rsidR="00DC026F">
        <w:t xml:space="preserve"> </w:t>
      </w:r>
      <w:r w:rsidR="00E9140E">
        <w:t xml:space="preserve">an Etruscan </w:t>
      </w:r>
      <w:proofErr w:type="spellStart"/>
      <w:r w:rsidR="00E9140E">
        <w:t>o</w:t>
      </w:r>
      <w:r w:rsidR="002049C8">
        <w:t>e</w:t>
      </w:r>
      <w:r w:rsidR="00EF0934">
        <w:t>nocho</w:t>
      </w:r>
      <w:r w:rsidR="00EF0934">
        <w:rPr>
          <w:rFonts w:cstheme="minorHAnsi"/>
        </w:rPr>
        <w:t>é</w:t>
      </w:r>
      <w:proofErr w:type="spellEnd"/>
      <w:r w:rsidR="00EF0934">
        <w:t>,</w:t>
      </w:r>
      <w:r w:rsidR="00E9140E">
        <w:t xml:space="preserve"> amber beads and bracelets from the Baltic region, </w:t>
      </w:r>
      <w:r w:rsidR="00DC026F">
        <w:t xml:space="preserve">and </w:t>
      </w:r>
      <w:r w:rsidR="00EC5ED1">
        <w:t xml:space="preserve">a </w:t>
      </w:r>
      <w:r w:rsidR="00DC026F">
        <w:t>large bronze krater (a vessel used for mixing wine and water).</w:t>
      </w:r>
      <w:r w:rsidR="009117BB">
        <w:t xml:space="preserve"> This essay will examine this outstanding example of Greek design and construction and determine how </w:t>
      </w:r>
      <w:proofErr w:type="spellStart"/>
      <w:r w:rsidR="009117BB">
        <w:t>Weissner’s</w:t>
      </w:r>
      <w:proofErr w:type="spellEnd"/>
      <w:r w:rsidR="009117BB">
        <w:t xml:space="preserve"> concept of style can be applied to its connection to the Celtic female, and how it may have contributed to the creation of her identity.</w:t>
      </w:r>
    </w:p>
    <w:p w14:paraId="4F8516B6" w14:textId="1F7126A2" w:rsidR="003C5BDE" w:rsidRDefault="00DC026F" w:rsidP="00F46AB0">
      <w:pPr>
        <w:spacing w:before="240" w:after="240"/>
        <w:ind w:firstLine="720"/>
      </w:pPr>
      <w:r>
        <w:t xml:space="preserve">The </w:t>
      </w:r>
      <w:proofErr w:type="spellStart"/>
      <w:r w:rsidR="00E9140E">
        <w:t>Vix</w:t>
      </w:r>
      <w:proofErr w:type="spellEnd"/>
      <w:r w:rsidR="00E9140E">
        <w:t xml:space="preserve"> Mus</w:t>
      </w:r>
      <w:r w:rsidR="0090276C">
        <w:rPr>
          <w:rFonts w:cstheme="minorHAnsi"/>
        </w:rPr>
        <w:t>é</w:t>
      </w:r>
      <w:r w:rsidR="00E9140E">
        <w:t xml:space="preserve">e Du Pays </w:t>
      </w:r>
      <w:proofErr w:type="spellStart"/>
      <w:r w:rsidR="00E9140E">
        <w:t>Ch</w:t>
      </w:r>
      <w:r w:rsidR="0090276C">
        <w:rPr>
          <w:rFonts w:cstheme="minorHAnsi"/>
        </w:rPr>
        <w:t>â</w:t>
      </w:r>
      <w:r w:rsidR="00E9140E">
        <w:t>tillionais</w:t>
      </w:r>
      <w:proofErr w:type="spellEnd"/>
      <w:r w:rsidR="00E9140E">
        <w:t xml:space="preserve">, where the </w:t>
      </w:r>
      <w:r>
        <w:t>krater</w:t>
      </w:r>
      <w:r w:rsidR="00E9140E">
        <w:t xml:space="preserve"> is currently </w:t>
      </w:r>
      <w:r w:rsidR="00FA7F2E">
        <w:t>housed</w:t>
      </w:r>
      <w:r w:rsidR="00461F40">
        <w:t xml:space="preserve">, </w:t>
      </w:r>
      <w:r w:rsidR="00AE0D99">
        <w:t>describes</w:t>
      </w:r>
      <w:r w:rsidR="00E9140E">
        <w:t xml:space="preserve"> the krater </w:t>
      </w:r>
      <w:r w:rsidR="00AE0D99">
        <w:t>a</w:t>
      </w:r>
      <w:r w:rsidR="00E9140E">
        <w:t>s</w:t>
      </w:r>
      <w:r>
        <w:t xml:space="preserve"> the largest surviving vessel of its kind, </w:t>
      </w:r>
      <w:r w:rsidR="00E9140E">
        <w:t xml:space="preserve">standing 164 cm high, </w:t>
      </w:r>
      <w:r>
        <w:t>weighing 2</w:t>
      </w:r>
      <w:r w:rsidR="00E9140E">
        <w:t>08.6</w:t>
      </w:r>
      <w:r>
        <w:t xml:space="preserve"> kg, with the capacity to hold 1100 litres of liquid.</w:t>
      </w:r>
      <w:r w:rsidR="00461F40">
        <w:rPr>
          <w:rStyle w:val="FootnoteReference"/>
        </w:rPr>
        <w:footnoteReference w:id="2"/>
      </w:r>
      <w:r w:rsidR="00106C25">
        <w:t xml:space="preserve"> </w:t>
      </w:r>
      <w:r>
        <w:t>Barry Cunliffe states th</w:t>
      </w:r>
      <w:r w:rsidR="00E9140E">
        <w:t>at the krater</w:t>
      </w:r>
      <w:r>
        <w:t xml:space="preserve"> was ‘so large it had to be transported from the Mediterranean in sections and assembled on site.’</w:t>
      </w:r>
      <w:r>
        <w:rPr>
          <w:rStyle w:val="FootnoteReference"/>
        </w:rPr>
        <w:footnoteReference w:id="3"/>
      </w:r>
      <w:r w:rsidR="0093668C">
        <w:t xml:space="preserve"> </w:t>
      </w:r>
      <w:r w:rsidR="0013166C">
        <w:t>A single sheet of bronze formed the belly, shoulders and neck of the vessel, which the mus</w:t>
      </w:r>
      <w:r w:rsidR="004A4A2F">
        <w:rPr>
          <w:rFonts w:cstheme="minorHAnsi"/>
        </w:rPr>
        <w:t>é</w:t>
      </w:r>
      <w:r w:rsidR="0013166C">
        <w:t>e states was ‘shaped by hammering, the thickness of which does not exceed one millimetre’.</w:t>
      </w:r>
      <w:r w:rsidR="0013166C">
        <w:rPr>
          <w:rStyle w:val="FootnoteReference"/>
        </w:rPr>
        <w:footnoteReference w:id="4"/>
      </w:r>
      <w:r w:rsidR="0013166C">
        <w:t xml:space="preserve"> </w:t>
      </w:r>
      <w:r w:rsidR="004A4A2F">
        <w:t xml:space="preserve">The website also </w:t>
      </w:r>
      <w:r w:rsidR="00FD1889">
        <w:t>offers</w:t>
      </w:r>
      <w:r w:rsidR="004A4A2F">
        <w:t xml:space="preserve"> a</w:t>
      </w:r>
      <w:r w:rsidR="00FC7365">
        <w:t xml:space="preserve"> fairly precise</w:t>
      </w:r>
      <w:r w:rsidR="004A4A2F">
        <w:t xml:space="preserve"> location for its original manufacture, namely a ‘Greek workshop installed in the region of Sybaris in the south of Italy’</w:t>
      </w:r>
      <w:r w:rsidR="00FC7365">
        <w:t xml:space="preserve"> and </w:t>
      </w:r>
      <w:r w:rsidR="006F0B57">
        <w:t>gives</w:t>
      </w:r>
      <w:r w:rsidR="00FC7365">
        <w:t xml:space="preserve"> the date of manufacture as c. 530 BC.</w:t>
      </w:r>
      <w:r w:rsidR="004A4A2F">
        <w:rPr>
          <w:rStyle w:val="FootnoteReference"/>
        </w:rPr>
        <w:footnoteReference w:id="5"/>
      </w:r>
      <w:r w:rsidR="00FC7365">
        <w:t xml:space="preserve"> </w:t>
      </w:r>
      <w:r w:rsidR="0093668C">
        <w:t>Cunliffe makes an interesting assertion that the style of the krater was such that it was likely to be a diplomatic gift</w:t>
      </w:r>
      <w:r w:rsidR="0048177A">
        <w:t xml:space="preserve"> modified</w:t>
      </w:r>
      <w:r w:rsidR="0093668C">
        <w:t xml:space="preserve"> ‘to satisfy barbarian taste.’</w:t>
      </w:r>
      <w:r w:rsidR="0093668C">
        <w:rPr>
          <w:rStyle w:val="FootnoteReference"/>
        </w:rPr>
        <w:footnoteReference w:id="6"/>
      </w:r>
      <w:r w:rsidR="000D0B59">
        <w:t xml:space="preserve"> </w:t>
      </w:r>
      <w:r w:rsidR="00B31601">
        <w:t xml:space="preserve">He does not elaborate on this theory, so one can only conjecture that he </w:t>
      </w:r>
      <w:r w:rsidR="00A7212E">
        <w:t>may be</w:t>
      </w:r>
      <w:r w:rsidR="00B31601">
        <w:t xml:space="preserve"> making a statement on the lack of ostentatious design</w:t>
      </w:r>
      <w:r w:rsidR="007C16AF">
        <w:t xml:space="preserve"> compared to other Greek </w:t>
      </w:r>
      <w:r w:rsidR="003A7D94">
        <w:t>wine vessels</w:t>
      </w:r>
      <w:r w:rsidR="007C16AF">
        <w:t xml:space="preserve"> such as the </w:t>
      </w:r>
      <w:r w:rsidR="001C03DE">
        <w:t xml:space="preserve">highly ornate Derveni krater dating to </w:t>
      </w:r>
      <w:r w:rsidR="00493C58">
        <w:t xml:space="preserve">approximately </w:t>
      </w:r>
      <w:r w:rsidR="001C03DE">
        <w:t xml:space="preserve">the </w:t>
      </w:r>
      <w:r w:rsidR="00493C58">
        <w:t>fourth</w:t>
      </w:r>
      <w:r w:rsidR="001C03DE">
        <w:t xml:space="preserve"> century</w:t>
      </w:r>
      <w:r w:rsidR="007C16AF">
        <w:t xml:space="preserve"> BC</w:t>
      </w:r>
      <w:r w:rsidR="00B31601">
        <w:t>.</w:t>
      </w:r>
      <w:r w:rsidR="001C03DE">
        <w:t xml:space="preserve"> </w:t>
      </w:r>
      <w:r w:rsidR="00B31601">
        <w:t>The</w:t>
      </w:r>
      <w:r w:rsidR="003A7D94">
        <w:t xml:space="preserve"> </w:t>
      </w:r>
      <w:proofErr w:type="spellStart"/>
      <w:r w:rsidR="003A7D94">
        <w:t>Vix</w:t>
      </w:r>
      <w:proofErr w:type="spellEnd"/>
      <w:r w:rsidR="00B31601">
        <w:t xml:space="preserve"> krater </w:t>
      </w:r>
      <w:r w:rsidR="00E0171C">
        <w:t>could be said to have</w:t>
      </w:r>
      <w:r w:rsidR="00B31601">
        <w:t xml:space="preserve"> a restrained appearance </w:t>
      </w:r>
      <w:r w:rsidR="00E0171C">
        <w:t>only in as much as</w:t>
      </w:r>
      <w:r w:rsidR="00B31601">
        <w:t xml:space="preserve"> most of the design</w:t>
      </w:r>
      <w:r w:rsidR="00E0171C">
        <w:t xml:space="preserve"> elements</w:t>
      </w:r>
      <w:r w:rsidR="00B31601">
        <w:t xml:space="preserve"> </w:t>
      </w:r>
      <w:r w:rsidR="00E0171C">
        <w:t>are</w:t>
      </w:r>
      <w:r w:rsidR="00B31601">
        <w:t xml:space="preserve"> </w:t>
      </w:r>
      <w:r w:rsidR="00D815F7">
        <w:t>restricted to</w:t>
      </w:r>
      <w:r w:rsidR="00B31601">
        <w:t xml:space="preserve"> the neck</w:t>
      </w:r>
      <w:r w:rsidR="00D815F7">
        <w:t xml:space="preserve"> and lid</w:t>
      </w:r>
      <w:r w:rsidR="00B31601">
        <w:t xml:space="preserve"> of the vessel</w:t>
      </w:r>
      <w:r w:rsidR="00E0171C">
        <w:t>.</w:t>
      </w:r>
      <w:r w:rsidR="00B31601">
        <w:t xml:space="preserve"> </w:t>
      </w:r>
      <w:r w:rsidR="00CC5A95">
        <w:t xml:space="preserve">The frieze which surrounds the neck </w:t>
      </w:r>
      <w:r w:rsidR="00B31601">
        <w:t>show</w:t>
      </w:r>
      <w:r w:rsidR="00CC5A95">
        <w:t>s</w:t>
      </w:r>
      <w:r w:rsidR="00B31601">
        <w:t xml:space="preserve"> a relief of hoplite warriors and charioteers</w:t>
      </w:r>
      <w:r w:rsidR="00CC5A95">
        <w:t>. Each applique is individually placed, but the overall effect is one of unity and continuity, and the positions of the horses’ heads give the illusion of movement from standstill to gallop.</w:t>
      </w:r>
      <w:r w:rsidR="002D0E3E">
        <w:t xml:space="preserve"> </w:t>
      </w:r>
      <w:r w:rsidR="00CC5A95">
        <w:t>T</w:t>
      </w:r>
      <w:r w:rsidR="00B31601">
        <w:t xml:space="preserve">he two </w:t>
      </w:r>
      <w:r w:rsidR="007F368D">
        <w:lastRenderedPageBreak/>
        <w:t>removeable</w:t>
      </w:r>
      <w:r w:rsidR="00FC7365">
        <w:t xml:space="preserve"> </w:t>
      </w:r>
      <w:r w:rsidR="00B31601">
        <w:t>scrolled handles</w:t>
      </w:r>
      <w:r w:rsidR="00172873">
        <w:t xml:space="preserve"> rest on the neck and</w:t>
      </w:r>
      <w:r w:rsidR="00B31601">
        <w:t xml:space="preserve"> </w:t>
      </w:r>
      <w:r w:rsidR="00172873">
        <w:t>depict the grimacing face of Medusa, the Gorgon of Greek mythology.</w:t>
      </w:r>
      <w:r w:rsidR="00B31601">
        <w:t xml:space="preserve"> </w:t>
      </w:r>
      <w:r w:rsidR="00FA7F2E">
        <w:t xml:space="preserve">Behind the Medusas, in the hollows of the handles are small sconces depicting lions. </w:t>
      </w:r>
      <w:r w:rsidR="00172873">
        <w:t>The mus</w:t>
      </w:r>
      <w:r w:rsidR="00172873">
        <w:rPr>
          <w:rFonts w:cstheme="minorHAnsi"/>
        </w:rPr>
        <w:t>é</w:t>
      </w:r>
      <w:r w:rsidR="00172873">
        <w:t>e website suggests the frieze and handles were created by lost-wax casting.</w:t>
      </w:r>
      <w:r w:rsidR="00B31601">
        <w:t xml:space="preserve"> The belly of the vessel is free from design</w:t>
      </w:r>
      <w:r w:rsidR="00F37F93">
        <w:t xml:space="preserve"> but stands on an ornate circular foot cast in bronze.</w:t>
      </w:r>
      <w:r w:rsidR="00B31601">
        <w:t xml:space="preserve"> </w:t>
      </w:r>
      <w:r w:rsidR="000D0B59">
        <w:t xml:space="preserve">Jasper Gaunt </w:t>
      </w:r>
      <w:r w:rsidR="00F37F93">
        <w:t>notes</w:t>
      </w:r>
      <w:r w:rsidR="00B74348">
        <w:t xml:space="preserve"> that </w:t>
      </w:r>
      <w:r w:rsidR="00B31601">
        <w:t>more simplified designs were common in the archaic periods on larger vessels, and that this may have reflected ‘the considered choice of Greek metalsmiths and their customers’, so perhaps these are the modification elements Cunliffe was refer</w:t>
      </w:r>
      <w:r w:rsidR="00106C25">
        <w:t>ring to</w:t>
      </w:r>
      <w:r w:rsidR="00B31601">
        <w:t>.</w:t>
      </w:r>
      <w:r w:rsidR="00B31601">
        <w:rPr>
          <w:rStyle w:val="FootnoteReference"/>
        </w:rPr>
        <w:footnoteReference w:id="7"/>
      </w:r>
      <w:r w:rsidR="00A5469A">
        <w:t xml:space="preserve"> </w:t>
      </w:r>
      <w:r w:rsidR="003C5BDE">
        <w:t>Gaunt makes a further and perhaps more relevant point that:</w:t>
      </w:r>
    </w:p>
    <w:p w14:paraId="3FC52646" w14:textId="77777777" w:rsidR="003C5BDE" w:rsidRDefault="003C5BDE" w:rsidP="003C5BDE">
      <w:pPr>
        <w:spacing w:before="240" w:after="240"/>
      </w:pPr>
      <w:r>
        <w:tab/>
        <w:t xml:space="preserve">Archaic and classical bronze vessels circulated in an intellectual climate in which the </w:t>
      </w:r>
      <w:r>
        <w:tab/>
        <w:t xml:space="preserve">act of conferring a highly polished surface to the metal was probably more prized </w:t>
      </w:r>
      <w:r>
        <w:tab/>
        <w:t>than its elaboration: the very gleam of polished metal rendered it intrinsically god-</w:t>
      </w:r>
      <w:r>
        <w:tab/>
        <w:t>like.</w:t>
      </w:r>
      <w:r>
        <w:rPr>
          <w:rStyle w:val="FootnoteReference"/>
        </w:rPr>
        <w:footnoteReference w:id="8"/>
      </w:r>
    </w:p>
    <w:p w14:paraId="11163A2A" w14:textId="3E6C3BA2" w:rsidR="00AC2646" w:rsidRDefault="00D543D6" w:rsidP="00AC2646">
      <w:pPr>
        <w:spacing w:before="240" w:after="240"/>
      </w:pPr>
      <w:r>
        <w:t>The ‘god-like’ appearance to the krater would certainly have made a bold statement about the power and status of its owner.</w:t>
      </w:r>
      <w:r w:rsidR="00E72A6B">
        <w:t xml:space="preserve"> </w:t>
      </w:r>
      <w:r w:rsidR="006F5B71">
        <w:t>Other</w:t>
      </w:r>
      <w:r w:rsidR="005B09C7">
        <w:t xml:space="preserve"> peoples’</w:t>
      </w:r>
      <w:r w:rsidR="00E97E0B">
        <w:t xml:space="preserve"> </w:t>
      </w:r>
      <w:r w:rsidR="00E72A6B">
        <w:t xml:space="preserve">aesthetic experience of the shining vessel would </w:t>
      </w:r>
      <w:r w:rsidR="002D3378">
        <w:t xml:space="preserve">likely </w:t>
      </w:r>
      <w:r w:rsidR="00E72A6B">
        <w:t xml:space="preserve">have reinforced her </w:t>
      </w:r>
      <w:r w:rsidR="00DA2C64">
        <w:t>status</w:t>
      </w:r>
      <w:r w:rsidR="006F5B71">
        <w:t xml:space="preserve"> to them and creat</w:t>
      </w:r>
      <w:r w:rsidR="00A460DB">
        <w:t>ed</w:t>
      </w:r>
      <w:r w:rsidR="00D71F92">
        <w:t xml:space="preserve"> a shared experience of it </w:t>
      </w:r>
      <w:r w:rsidR="006F5B71">
        <w:t xml:space="preserve">between those who reacted positively to </w:t>
      </w:r>
      <w:r w:rsidR="00D71F92">
        <w:t xml:space="preserve">seeing </w:t>
      </w:r>
      <w:r w:rsidR="006F5B71">
        <w:t>it</w:t>
      </w:r>
      <w:r w:rsidR="000B5811">
        <w:t>, which would then be transmitted to others.</w:t>
      </w:r>
      <w:r w:rsidR="00E72A6B">
        <w:t xml:space="preserve"> </w:t>
      </w:r>
      <w:r w:rsidR="00941593">
        <w:t xml:space="preserve">Thus, the experience of social comparison between ordinary people and </w:t>
      </w:r>
      <w:r w:rsidR="00473C9B">
        <w:rPr>
          <w:rFonts w:cstheme="minorHAnsi"/>
        </w:rPr>
        <w:t>é</w:t>
      </w:r>
      <w:r w:rsidR="00941593">
        <w:t>lites becomes relevant, as we shall see</w:t>
      </w:r>
      <w:r w:rsidR="00A57515">
        <w:t xml:space="preserve"> shortly</w:t>
      </w:r>
      <w:r w:rsidR="00941593">
        <w:t xml:space="preserve">. </w:t>
      </w:r>
      <w:r w:rsidR="006F5B71">
        <w:t>On a more mundane level</w:t>
      </w:r>
      <w:r w:rsidR="0010255C">
        <w:t>,</w:t>
      </w:r>
      <w:r w:rsidR="00390B83">
        <w:t xml:space="preserve"> t</w:t>
      </w:r>
      <w:r w:rsidR="00AC2646">
        <w:t xml:space="preserve">he </w:t>
      </w:r>
      <w:r>
        <w:t>artefact</w:t>
      </w:r>
      <w:r w:rsidR="00AC2646">
        <w:t xml:space="preserve"> </w:t>
      </w:r>
      <w:r w:rsidR="00DC2CBD">
        <w:t>obviously</w:t>
      </w:r>
      <w:r w:rsidR="00AC2646">
        <w:t xml:space="preserve"> bears testimony to the wine trade and close diplomatic links which connected local </w:t>
      </w:r>
      <w:r w:rsidR="00AC2646">
        <w:rPr>
          <w:rFonts w:cstheme="minorHAnsi"/>
        </w:rPr>
        <w:t>é</w:t>
      </w:r>
      <w:r w:rsidR="00AC2646">
        <w:t>lites to the Greek cities in southern Italy:</w:t>
      </w:r>
    </w:p>
    <w:p w14:paraId="42572958" w14:textId="77777777" w:rsidR="00390B83" w:rsidRDefault="00390B83" w:rsidP="00390B83">
      <w:pPr>
        <w:spacing w:before="240" w:after="240"/>
      </w:pPr>
      <w:r>
        <w:tab/>
        <w:t xml:space="preserve">Wine drinking equipment and gold ornaments show the wealth and ostentatious </w:t>
      </w:r>
      <w:r>
        <w:tab/>
        <w:t xml:space="preserve">way of life of an aristocracy which had taken advantage of its privileged relationship </w:t>
      </w:r>
      <w:r>
        <w:tab/>
        <w:t xml:space="preserve">with Mediterranean societies </w:t>
      </w:r>
      <w:proofErr w:type="gramStart"/>
      <w:r>
        <w:t>in order to</w:t>
      </w:r>
      <w:proofErr w:type="gramEnd"/>
      <w:r>
        <w:t xml:space="preserve"> consolidate its power over the local </w:t>
      </w:r>
      <w:r>
        <w:tab/>
        <w:t>population.</w:t>
      </w:r>
      <w:r>
        <w:rPr>
          <w:rStyle w:val="FootnoteReference"/>
        </w:rPr>
        <w:footnoteReference w:id="9"/>
      </w:r>
    </w:p>
    <w:p w14:paraId="0674A4BA" w14:textId="77777777" w:rsidR="0020722B" w:rsidRDefault="00F84755">
      <w:pPr>
        <w:spacing w:before="240" w:after="240"/>
      </w:pPr>
      <w:r>
        <w:t xml:space="preserve">Due to its size, the krater was no doubt </w:t>
      </w:r>
      <w:r w:rsidR="006D1AD3">
        <w:t>especially</w:t>
      </w:r>
      <w:r>
        <w:t xml:space="preserve"> valuable, and as noted above, likely represented a gift exchange between powerful aristocrats. </w:t>
      </w:r>
      <w:r w:rsidR="004E15FD">
        <w:t>According to Peter S. Wells, i</w:t>
      </w:r>
      <w:r>
        <w:t>t can be understood that objects like the krater were political gifts ‘presented to potentates in Celtic Europe for the purpose of establishing congenial relations for political or economic reasons.’</w:t>
      </w:r>
      <w:r>
        <w:rPr>
          <w:rStyle w:val="FootnoteReference"/>
        </w:rPr>
        <w:footnoteReference w:id="10"/>
      </w:r>
      <w:r w:rsidR="004E15FD">
        <w:t xml:space="preserve"> Wells also suggests that the luxury Mediterranean imports and their circulation were only associated with </w:t>
      </w:r>
      <w:r w:rsidR="00C52343">
        <w:rPr>
          <w:rFonts w:cstheme="minorHAnsi"/>
        </w:rPr>
        <w:t xml:space="preserve">the aristocratic </w:t>
      </w:r>
      <w:r w:rsidR="00022247">
        <w:rPr>
          <w:rFonts w:cstheme="minorHAnsi"/>
        </w:rPr>
        <w:t>levels of society</w:t>
      </w:r>
      <w:r w:rsidR="004E15FD">
        <w:t>.</w:t>
      </w:r>
      <w:r w:rsidR="0020722B">
        <w:t xml:space="preserve"> </w:t>
      </w:r>
    </w:p>
    <w:p w14:paraId="5F06E5AA" w14:textId="29C02B13" w:rsidR="00D205AF" w:rsidRDefault="002234C1" w:rsidP="00140180">
      <w:pPr>
        <w:spacing w:before="240" w:after="240"/>
        <w:ind w:firstLine="720"/>
      </w:pPr>
      <w:r>
        <w:t>The krater’s</w:t>
      </w:r>
      <w:r w:rsidR="0055032F">
        <w:t xml:space="preserve"> appearance in the burial chamber</w:t>
      </w:r>
      <w:r w:rsidR="001A4C70">
        <w:t xml:space="preserve"> </w:t>
      </w:r>
      <w:r w:rsidR="00140180">
        <w:t xml:space="preserve">may </w:t>
      </w:r>
      <w:r w:rsidR="009B442C">
        <w:t>highlight</w:t>
      </w:r>
      <w:r w:rsidR="0055032F">
        <w:t xml:space="preserve"> </w:t>
      </w:r>
      <w:r w:rsidR="00AE6229">
        <w:t xml:space="preserve">Celtic sensitivity to </w:t>
      </w:r>
      <w:r w:rsidR="0055032F">
        <w:t xml:space="preserve">the importance of social </w:t>
      </w:r>
      <w:r w:rsidR="00C52343">
        <w:t>hierarchy</w:t>
      </w:r>
      <w:r w:rsidR="0055032F">
        <w:t xml:space="preserve"> </w:t>
      </w:r>
      <w:r w:rsidR="00103BC4">
        <w:t xml:space="preserve">and that wealth, as demonstrated in the funerary </w:t>
      </w:r>
      <w:r w:rsidR="00767DD2">
        <w:t xml:space="preserve">assemblage at </w:t>
      </w:r>
      <w:proofErr w:type="spellStart"/>
      <w:r w:rsidR="00767DD2">
        <w:t>Vix</w:t>
      </w:r>
      <w:proofErr w:type="spellEnd"/>
      <w:r w:rsidR="00103BC4">
        <w:t xml:space="preserve">, was ‘eloquent of power and authority, emphasizing the separateness of the </w:t>
      </w:r>
      <w:r w:rsidR="00AE6229">
        <w:rPr>
          <w:rFonts w:cstheme="minorHAnsi"/>
        </w:rPr>
        <w:t>é</w:t>
      </w:r>
      <w:r w:rsidR="00103BC4">
        <w:t>lite.’</w:t>
      </w:r>
      <w:r w:rsidR="00103BC4">
        <w:rPr>
          <w:rStyle w:val="FootnoteReference"/>
        </w:rPr>
        <w:footnoteReference w:id="11"/>
      </w:r>
      <w:r w:rsidR="00E857CB">
        <w:t xml:space="preserve"> </w:t>
      </w:r>
      <w:r w:rsidR="001E6675">
        <w:lastRenderedPageBreak/>
        <w:t xml:space="preserve">The fact that the krater, despite its great value, was included in the grave </w:t>
      </w:r>
      <w:r w:rsidR="00767DD2">
        <w:t>goods</w:t>
      </w:r>
      <w:r w:rsidR="001E6675">
        <w:t xml:space="preserve">, </w:t>
      </w:r>
      <w:r w:rsidR="00100F55">
        <w:t>suggest</w:t>
      </w:r>
      <w:r w:rsidR="001E6675">
        <w:t>s that the person who owned it was so wealthy tha</w:t>
      </w:r>
      <w:r w:rsidR="000E0AF2">
        <w:t>t their family</w:t>
      </w:r>
      <w:r w:rsidR="001E6675">
        <w:t xml:space="preserve"> could afford to </w:t>
      </w:r>
      <w:r w:rsidR="000E0AF2">
        <w:t>permanently remove it from use</w:t>
      </w:r>
      <w:r w:rsidR="001E6675">
        <w:t xml:space="preserve">. </w:t>
      </w:r>
      <w:r w:rsidR="00680183">
        <w:t>It also speaks to the inalienability of the object; that it was so deeply connected to her identity that she could not be separated from it.</w:t>
      </w:r>
      <w:r w:rsidR="008B2229">
        <w:t xml:space="preserve"> The concept of inalienable possessions, a theory proposed by Annette Weiner in 1992, suggests that some objects are intrinsically imbued with the identity and memories of their owner and are therefore not easy to bequeath or give away</w:t>
      </w:r>
      <w:r w:rsidR="00DE6950">
        <w:t>, and t</w:t>
      </w:r>
      <w:r w:rsidR="008B2229">
        <w:t>his is the reason why such objects end up in burials.</w:t>
      </w:r>
      <w:r w:rsidR="00DE6950">
        <w:rPr>
          <w:rStyle w:val="FootnoteReference"/>
        </w:rPr>
        <w:footnoteReference w:id="12"/>
      </w:r>
      <w:r w:rsidR="0020722B">
        <w:t xml:space="preserve"> </w:t>
      </w:r>
      <w:r w:rsidR="00386648">
        <w:t xml:space="preserve">Inalienability is perhaps the most appropriate theory to attach to the krater for the purposes of this essay. </w:t>
      </w:r>
      <w:r w:rsidR="0020722B">
        <w:t>The choice of grave goods included in her burial clearly marked out the areas of her life that were most important to her. What her tribe chose to bury her with must have had some reflection on both how they perceived her and how she self-identified</w:t>
      </w:r>
      <w:r w:rsidR="00DC7C80">
        <w:t>, and how she might wish to be perceived in the afterlife.</w:t>
      </w:r>
      <w:r w:rsidR="0020722B">
        <w:t xml:space="preserve"> The grave goods indicate she was fond of drinking and feasting and </w:t>
      </w:r>
      <w:r w:rsidR="00E9171E">
        <w:t xml:space="preserve">perhaps, as the jewellery suggests, </w:t>
      </w:r>
      <w:r w:rsidR="0020722B">
        <w:t xml:space="preserve">very concerned with her </w:t>
      </w:r>
      <w:r w:rsidR="00E9171E">
        <w:t>appearance,</w:t>
      </w:r>
      <w:r w:rsidR="0020722B">
        <w:t xml:space="preserve"> </w:t>
      </w:r>
      <w:r w:rsidR="00E9171E">
        <w:t xml:space="preserve">all of which can be considered as entirely </w:t>
      </w:r>
      <w:r w:rsidR="0020722B">
        <w:t xml:space="preserve">appropriate behaviours for a powerful woman in the prime of life. </w:t>
      </w:r>
      <w:r w:rsidR="00F24977">
        <w:t xml:space="preserve">Given </w:t>
      </w:r>
      <w:r w:rsidR="00E9171E">
        <w:t>all</w:t>
      </w:r>
      <w:r w:rsidR="002130FD">
        <w:t xml:space="preserve"> </w:t>
      </w:r>
      <w:r w:rsidR="00F24977">
        <w:t>this information</w:t>
      </w:r>
      <w:r w:rsidR="00E857CB">
        <w:t>, th</w:t>
      </w:r>
      <w:r w:rsidR="00D205AF">
        <w:t xml:space="preserve">e </w:t>
      </w:r>
      <w:proofErr w:type="spellStart"/>
      <w:r w:rsidR="00D205AF">
        <w:t>Vix</w:t>
      </w:r>
      <w:proofErr w:type="spellEnd"/>
      <w:r w:rsidR="00D205AF">
        <w:t xml:space="preserve"> krater is</w:t>
      </w:r>
      <w:r w:rsidR="00FC4C12">
        <w:t xml:space="preserve"> </w:t>
      </w:r>
      <w:r w:rsidR="00D205AF">
        <w:t xml:space="preserve">already </w:t>
      </w:r>
      <w:r w:rsidR="00767DD2">
        <w:t>indicating</w:t>
      </w:r>
      <w:r w:rsidR="00D205AF">
        <w:t xml:space="preserve"> its function in the creation of </w:t>
      </w:r>
      <w:r w:rsidR="00A437C9">
        <w:t xml:space="preserve">the </w:t>
      </w:r>
      <w:r w:rsidR="00D205AF">
        <w:t>identity</w:t>
      </w:r>
      <w:r w:rsidR="00A437C9">
        <w:t xml:space="preserve"> of its owner</w:t>
      </w:r>
      <w:r w:rsidR="00D205AF">
        <w:t>.</w:t>
      </w:r>
    </w:p>
    <w:p w14:paraId="37C2854F" w14:textId="44353D41" w:rsidR="00D702BE" w:rsidRDefault="00234531">
      <w:pPr>
        <w:spacing w:before="240" w:after="240"/>
      </w:pPr>
      <w:r>
        <w:tab/>
      </w:r>
      <w:r w:rsidR="00593CF4">
        <w:t xml:space="preserve">It will be useful at this point to </w:t>
      </w:r>
      <w:r w:rsidR="009F0B11">
        <w:t xml:space="preserve">briefly </w:t>
      </w:r>
      <w:r w:rsidR="006A3F08">
        <w:t xml:space="preserve">summarise the arguments </w:t>
      </w:r>
      <w:r w:rsidR="00583E59">
        <w:t>most useful for this essay</w:t>
      </w:r>
      <w:r w:rsidR="00165651">
        <w:t xml:space="preserve"> in </w:t>
      </w:r>
      <w:r w:rsidR="00583E59">
        <w:t xml:space="preserve">Polly </w:t>
      </w:r>
      <w:proofErr w:type="spellStart"/>
      <w:r w:rsidR="00583E59">
        <w:t>Weissner’s</w:t>
      </w:r>
      <w:proofErr w:type="spellEnd"/>
      <w:r w:rsidR="00165651">
        <w:t xml:space="preserve"> </w:t>
      </w:r>
      <w:r w:rsidR="00EF3104">
        <w:t>articles</w:t>
      </w:r>
      <w:r w:rsidR="00165651">
        <w:t xml:space="preserve"> </w:t>
      </w:r>
      <w:r w:rsidR="00EF3104">
        <w:t>investigating</w:t>
      </w:r>
      <w:r w:rsidR="00583E59">
        <w:t xml:space="preserve"> style and identity among</w:t>
      </w:r>
      <w:r w:rsidR="00165651">
        <w:t xml:space="preserve"> the Kalahari San.</w:t>
      </w:r>
      <w:r w:rsidR="00165651">
        <w:rPr>
          <w:rStyle w:val="FootnoteReference"/>
        </w:rPr>
        <w:footnoteReference w:id="13"/>
      </w:r>
      <w:r w:rsidR="00583E59">
        <w:t xml:space="preserve"> </w:t>
      </w:r>
      <w:proofErr w:type="spellStart"/>
      <w:r w:rsidR="00583E59">
        <w:t>Weissner</w:t>
      </w:r>
      <w:proofErr w:type="spellEnd"/>
      <w:r w:rsidR="00583E59">
        <w:t xml:space="preserve"> </w:t>
      </w:r>
      <w:r w:rsidR="00574E80">
        <w:t xml:space="preserve">identifies three forms of style: </w:t>
      </w:r>
      <w:proofErr w:type="spellStart"/>
      <w:r w:rsidR="00574E80">
        <w:t>emblemic</w:t>
      </w:r>
      <w:proofErr w:type="spellEnd"/>
      <w:r w:rsidR="00574E80">
        <w:t xml:space="preserve">, assertive and </w:t>
      </w:r>
      <w:proofErr w:type="spellStart"/>
      <w:r w:rsidR="00574E80">
        <w:t>isochrestic</w:t>
      </w:r>
      <w:proofErr w:type="spellEnd"/>
      <w:r w:rsidR="00574E80">
        <w:t xml:space="preserve">. Only the first two are relevant here, so </w:t>
      </w:r>
      <w:proofErr w:type="spellStart"/>
      <w:r w:rsidR="00574E80">
        <w:t>isochrestic</w:t>
      </w:r>
      <w:proofErr w:type="spellEnd"/>
      <w:r w:rsidR="00574E80">
        <w:t xml:space="preserve"> (random) style will not be included. </w:t>
      </w:r>
      <w:proofErr w:type="spellStart"/>
      <w:r w:rsidR="00574E80">
        <w:t>Weissner</w:t>
      </w:r>
      <w:proofErr w:type="spellEnd"/>
      <w:r w:rsidR="00574E80">
        <w:t xml:space="preserve"> defines style as ‘</w:t>
      </w:r>
      <w:r w:rsidR="00574E80">
        <w:rPr>
          <w:i/>
          <w:iCs/>
        </w:rPr>
        <w:t>formal variation in material culture that transmits information about personal and social identity</w:t>
      </w:r>
      <w:r w:rsidR="00574E80">
        <w:t>’, and for the purposes of this essay, the concept of style will be limited to information that suggests the nature of the identity of the krater’s owner.</w:t>
      </w:r>
      <w:r w:rsidR="00574E80">
        <w:rPr>
          <w:rStyle w:val="FootnoteReference"/>
        </w:rPr>
        <w:footnoteReference w:id="14"/>
      </w:r>
      <w:r w:rsidR="00541978">
        <w:t xml:space="preserve">Additionally, </w:t>
      </w:r>
      <w:r w:rsidR="00574E80">
        <w:t xml:space="preserve"> </w:t>
      </w:r>
      <w:proofErr w:type="spellStart"/>
      <w:r w:rsidR="00F91EF5">
        <w:t>Weissner</w:t>
      </w:r>
      <w:proofErr w:type="spellEnd"/>
      <w:r w:rsidR="00F91EF5">
        <w:t xml:space="preserve"> suggests that people strive to create positive self-image as a way of boosting self-esteem and gaining social acceptance. This ties in with concepts of social comparison</w:t>
      </w:r>
      <w:r w:rsidR="001C00A8">
        <w:t xml:space="preserve"> as noted above</w:t>
      </w:r>
      <w:r w:rsidR="00F91EF5">
        <w:t>, and that in</w:t>
      </w:r>
      <w:r w:rsidR="00541978">
        <w:t xml:space="preserve"> her opinion,</w:t>
      </w:r>
      <w:r w:rsidR="00F91EF5">
        <w:t xml:space="preserve"> </w:t>
      </w:r>
      <w:r w:rsidR="003F15BF">
        <w:t xml:space="preserve">in </w:t>
      </w:r>
      <w:r w:rsidR="00F91EF5">
        <w:rPr>
          <w:rFonts w:cstheme="minorHAnsi"/>
        </w:rPr>
        <w:t>é</w:t>
      </w:r>
      <w:r w:rsidR="00F91EF5">
        <w:t>lite societies</w:t>
      </w:r>
      <w:r w:rsidR="003F15BF">
        <w:t>,</w:t>
      </w:r>
      <w:r w:rsidR="00F91EF5">
        <w:t xml:space="preserve"> comparison was the main element in identity formation.</w:t>
      </w:r>
      <w:r w:rsidR="00541978">
        <w:rPr>
          <w:rStyle w:val="FootnoteReference"/>
        </w:rPr>
        <w:footnoteReference w:id="15"/>
      </w:r>
      <w:r w:rsidR="00D702BE">
        <w:t xml:space="preserve"> As noted earlier, onlookers’ reaction to the aesthetic of the krater would </w:t>
      </w:r>
      <w:r w:rsidR="00522CDA">
        <w:t xml:space="preserve">likely </w:t>
      </w:r>
      <w:r w:rsidR="00D702BE">
        <w:t xml:space="preserve">have created a positive response in them, which </w:t>
      </w:r>
      <w:r w:rsidR="00307C03">
        <w:t>could</w:t>
      </w:r>
      <w:r w:rsidR="00D702BE">
        <w:t xml:space="preserve"> have reinforced her sense of self-esteem</w:t>
      </w:r>
      <w:r w:rsidR="004C4890">
        <w:t xml:space="preserve"> and self-satisfaction</w:t>
      </w:r>
      <w:r w:rsidR="00307C03">
        <w:t xml:space="preserve"> when she witnessed it</w:t>
      </w:r>
      <w:r w:rsidR="00D702BE">
        <w:t xml:space="preserve">. </w:t>
      </w:r>
      <w:r w:rsidR="00176C79">
        <w:t>The rarity of the object in Celtic society (given that it was the largest of its kind ever found) indicates that the style might not have appeared frequently enough</w:t>
      </w:r>
      <w:r w:rsidR="00B152A7">
        <w:t xml:space="preserve"> within the population for it to develop common associations for all members of the tribe. Thus</w:t>
      </w:r>
      <w:r w:rsidR="003F15BF">
        <w:t>,</w:t>
      </w:r>
      <w:r w:rsidR="00B152A7">
        <w:t xml:space="preserve"> the lack of a comparative object elsewhere may have increased the prestige of the item and</w:t>
      </w:r>
      <w:r w:rsidR="00790A12">
        <w:t>,</w:t>
      </w:r>
      <w:r w:rsidR="00B152A7">
        <w:t xml:space="preserve"> by association, elevated the status of the one who owned it. </w:t>
      </w:r>
      <w:r w:rsidR="00F91EF5">
        <w:t>The krater is th</w:t>
      </w:r>
      <w:r w:rsidR="00945E47">
        <w:t>erefore</w:t>
      </w:r>
      <w:r w:rsidR="00F91EF5">
        <w:t xml:space="preserve"> </w:t>
      </w:r>
      <w:r w:rsidR="00D702BE">
        <w:t xml:space="preserve">not only </w:t>
      </w:r>
      <w:r w:rsidR="00F91EF5">
        <w:t>suggestive of social comparison between the</w:t>
      </w:r>
      <w:r w:rsidR="00385A52" w:rsidRPr="00385A52">
        <w:t xml:space="preserve"> </w:t>
      </w:r>
      <w:r w:rsidR="00385A52">
        <w:t xml:space="preserve">Greek gift-givers, with the shared practice of wine consumption, and ideas of equality with highly cultured Mediterranean </w:t>
      </w:r>
      <w:r w:rsidR="00385A52">
        <w:rPr>
          <w:rFonts w:cstheme="minorHAnsi"/>
        </w:rPr>
        <w:t>é</w:t>
      </w:r>
      <w:r w:rsidR="00385A52">
        <w:t xml:space="preserve">lites, but also, </w:t>
      </w:r>
      <w:r w:rsidR="00920781">
        <w:t xml:space="preserve">and </w:t>
      </w:r>
      <w:r w:rsidR="00385A52">
        <w:t>perhaps more importantly, between the Celtic female and her tribal group.</w:t>
      </w:r>
    </w:p>
    <w:p w14:paraId="6D55B6FE" w14:textId="4680B7FF" w:rsidR="00234531" w:rsidRDefault="00574E80" w:rsidP="00D702BE">
      <w:pPr>
        <w:spacing w:before="240" w:after="240"/>
        <w:ind w:firstLine="720"/>
      </w:pPr>
      <w:proofErr w:type="spellStart"/>
      <w:r>
        <w:t>Emblemic</w:t>
      </w:r>
      <w:proofErr w:type="spellEnd"/>
      <w:r>
        <w:t xml:space="preserve"> style</w:t>
      </w:r>
      <w:r w:rsidR="00A6091F">
        <w:t xml:space="preserve"> can be defined as that which transmits a clear message to a specific group</w:t>
      </w:r>
      <w:r w:rsidR="00583E59">
        <w:t xml:space="preserve"> </w:t>
      </w:r>
      <w:r w:rsidR="00A6091F">
        <w:t xml:space="preserve">and indicates affiliation or identification with that group, such as the flag of a country. </w:t>
      </w:r>
      <w:r w:rsidR="00A6091F">
        <w:lastRenderedPageBreak/>
        <w:t xml:space="preserve">It carries information about groups and boundaries rather than the amount of interaction either across or within those boundaries. Assertive style can be described as that which carries information pertaining to individual identity and is personal, and unlike </w:t>
      </w:r>
      <w:proofErr w:type="spellStart"/>
      <w:r w:rsidR="00A6091F">
        <w:t>emblemic</w:t>
      </w:r>
      <w:proofErr w:type="spellEnd"/>
      <w:r w:rsidR="000A56B4">
        <w:t>,</w:t>
      </w:r>
      <w:r w:rsidR="00A6091F">
        <w:t xml:space="preserve"> ‘supports but does not directly symbolize individual identity’ and indicates a ‘measure of contact within and over boundaries.’</w:t>
      </w:r>
      <w:r w:rsidR="00A6091F">
        <w:rPr>
          <w:rStyle w:val="FootnoteReference"/>
        </w:rPr>
        <w:footnoteReference w:id="16"/>
      </w:r>
      <w:r w:rsidR="00A074DA">
        <w:t xml:space="preserve"> Given these criteria, the </w:t>
      </w:r>
      <w:proofErr w:type="spellStart"/>
      <w:r w:rsidR="00A074DA">
        <w:t>Vix</w:t>
      </w:r>
      <w:proofErr w:type="spellEnd"/>
      <w:r w:rsidR="00A074DA">
        <w:t xml:space="preserve"> krater could be said to carry both forms, as it is </w:t>
      </w:r>
      <w:proofErr w:type="spellStart"/>
      <w:r w:rsidR="00A074DA">
        <w:t>emblemic</w:t>
      </w:r>
      <w:proofErr w:type="spellEnd"/>
      <w:r w:rsidR="00A074DA">
        <w:t xml:space="preserve"> to Gree</w:t>
      </w:r>
      <w:r w:rsidR="00915C3F">
        <w:t>ce</w:t>
      </w:r>
      <w:r w:rsidR="00A074DA">
        <w:t xml:space="preserve"> as purely Greek </w:t>
      </w:r>
      <w:r w:rsidR="00C12D8F">
        <w:t>in design</w:t>
      </w:r>
      <w:r w:rsidR="00A074DA">
        <w:t xml:space="preserve"> and manufacture, </w:t>
      </w:r>
      <w:r w:rsidR="00C12D8F">
        <w:t>but</w:t>
      </w:r>
      <w:r w:rsidR="00A074DA">
        <w:t xml:space="preserve"> also assertive to the Celtic female who owned it as it</w:t>
      </w:r>
      <w:r w:rsidR="00C12D8F">
        <w:t xml:space="preserve"> </w:t>
      </w:r>
      <w:r w:rsidR="0078785E">
        <w:t>proves</w:t>
      </w:r>
      <w:r w:rsidR="002049C8">
        <w:t xml:space="preserve"> contact with cultures outside her own, and is </w:t>
      </w:r>
      <w:r w:rsidR="00C12D8F">
        <w:t>a high-value object making a statement about her status</w:t>
      </w:r>
      <w:r w:rsidR="00A074DA">
        <w:t>.</w:t>
      </w:r>
      <w:r w:rsidR="002049C8">
        <w:t xml:space="preserve"> It</w:t>
      </w:r>
      <w:r w:rsidR="005A76B8">
        <w:t xml:space="preserve">, along with </w:t>
      </w:r>
      <w:r w:rsidR="00DB5A2D">
        <w:t>her</w:t>
      </w:r>
      <w:r w:rsidR="005A76B8">
        <w:t xml:space="preserve"> other grave goods,</w:t>
      </w:r>
      <w:r w:rsidR="002049C8">
        <w:t xml:space="preserve"> suggests that the woman had international awareness and </w:t>
      </w:r>
      <w:r w:rsidR="005A76B8">
        <w:t xml:space="preserve">that she </w:t>
      </w:r>
      <w:r w:rsidR="002049C8">
        <w:t xml:space="preserve">was familiar with </w:t>
      </w:r>
      <w:r w:rsidR="00B80721">
        <w:t xml:space="preserve">certain </w:t>
      </w:r>
      <w:r w:rsidR="002049C8">
        <w:t>Greek customs. That the krater was traditionally used for symposiums in Greece</w:t>
      </w:r>
      <w:r w:rsidR="005A76B8">
        <w:t xml:space="preserve">, for example, </w:t>
      </w:r>
      <w:r w:rsidR="002049C8">
        <w:t>may hint that such practices were adopted</w:t>
      </w:r>
      <w:r w:rsidR="002E4DB9">
        <w:t xml:space="preserve"> and re-purposed</w:t>
      </w:r>
      <w:r w:rsidR="002049C8">
        <w:t xml:space="preserve"> by Celtic </w:t>
      </w:r>
      <w:r w:rsidR="002049C8">
        <w:rPr>
          <w:rFonts w:cstheme="minorHAnsi"/>
        </w:rPr>
        <w:t>é</w:t>
      </w:r>
      <w:r w:rsidR="002049C8">
        <w:t xml:space="preserve">lites, especially given that the grave contained the </w:t>
      </w:r>
      <w:proofErr w:type="spellStart"/>
      <w:r w:rsidR="002049C8">
        <w:t>oenocho</w:t>
      </w:r>
      <w:r w:rsidR="002049C8">
        <w:rPr>
          <w:rFonts w:cstheme="minorHAnsi"/>
        </w:rPr>
        <w:t>é</w:t>
      </w:r>
      <w:proofErr w:type="spellEnd"/>
      <w:r w:rsidR="002049C8">
        <w:t>, a jug specifically intended for use with kraters to decant the liquid.</w:t>
      </w:r>
      <w:r w:rsidR="002049C8">
        <w:rPr>
          <w:rStyle w:val="FootnoteReference"/>
        </w:rPr>
        <w:footnoteReference w:id="17"/>
      </w:r>
      <w:r w:rsidR="00D66282">
        <w:t xml:space="preserve"> Its sheer size may also have been a reflection of her generosity and hospitality, as the krater would service a large number of people at any given time.</w:t>
      </w:r>
    </w:p>
    <w:p w14:paraId="7D66B795" w14:textId="35F00D8C" w:rsidR="0048080D" w:rsidRDefault="0048080D">
      <w:pPr>
        <w:spacing w:before="240" w:after="240"/>
      </w:pPr>
      <w:r>
        <w:tab/>
      </w:r>
      <w:r w:rsidR="00B80721">
        <w:t xml:space="preserve">It </w:t>
      </w:r>
      <w:r w:rsidR="006E295A">
        <w:t>is apparent</w:t>
      </w:r>
      <w:r w:rsidR="00B80721">
        <w:t xml:space="preserve"> that the krater was primarily</w:t>
      </w:r>
      <w:r>
        <w:t xml:space="preserve"> appropriated as a symbol of wealth. As previously noted, it was so large it had to be transported in sections, indicative of complex mathematical knowledge, and its reconstruction in Gaul would no doubt have been quite a spectacle – </w:t>
      </w:r>
      <w:r w:rsidR="00B80721">
        <w:t>onlookers</w:t>
      </w:r>
      <w:r>
        <w:t xml:space="preserve"> would have been left in no doubt that it was a special and very expensive object.</w:t>
      </w:r>
      <w:r w:rsidR="00B80721">
        <w:t xml:space="preserve"> However, symbolizing wealth is unlikely to have been its only purpose. The way the krater was decorated may also tell us something about the identity of its owner, with the inclusion of symbols of </w:t>
      </w:r>
      <w:r w:rsidR="005A2DFE">
        <w:t xml:space="preserve">femininity and </w:t>
      </w:r>
      <w:r w:rsidR="00B80721">
        <w:t>power, both militaristic and mythological.</w:t>
      </w:r>
      <w:r w:rsidR="00E97E0B">
        <w:t xml:space="preserve"> </w:t>
      </w:r>
      <w:r w:rsidR="00202B50">
        <w:t>Hoplite warriors and charioteers</w:t>
      </w:r>
      <w:r w:rsidR="00DF466A">
        <w:t>,</w:t>
      </w:r>
      <w:r w:rsidR="00202B50">
        <w:t xml:space="preserve"> at first glance</w:t>
      </w:r>
      <w:r w:rsidR="00DF466A">
        <w:t>,</w:t>
      </w:r>
      <w:r w:rsidR="00202B50">
        <w:t xml:space="preserve"> are suggestive of militaristic interests, </w:t>
      </w:r>
      <w:r w:rsidR="00344B96">
        <w:t>and the lions in the handles - symbols of ferocity -</w:t>
      </w:r>
      <w:r w:rsidR="00202B50">
        <w:t xml:space="preserve"> </w:t>
      </w:r>
      <w:r w:rsidR="00DF466A">
        <w:t xml:space="preserve">might </w:t>
      </w:r>
      <w:r w:rsidR="00344B96">
        <w:t>lead one to</w:t>
      </w:r>
      <w:r w:rsidR="00202B50">
        <w:t xml:space="preserve"> conclude that the woman </w:t>
      </w:r>
      <w:r w:rsidR="00924F8C">
        <w:t>had</w:t>
      </w:r>
      <w:r w:rsidR="00202B50">
        <w:t xml:space="preserve"> been a warrior, however, the lack of weaponry included in the grave assemblage suggests otherwise</w:t>
      </w:r>
      <w:r w:rsidR="004A06B3">
        <w:t>.</w:t>
      </w:r>
      <w:r w:rsidR="00DF466A">
        <w:t xml:space="preserve"> I</w:t>
      </w:r>
      <w:r w:rsidR="00B01FBF">
        <w:t>nstead, it</w:t>
      </w:r>
      <w:r w:rsidR="00DF466A">
        <w:t xml:space="preserve"> is </w:t>
      </w:r>
      <w:r w:rsidR="006E295A">
        <w:t>p</w:t>
      </w:r>
      <w:r w:rsidR="00B01FBF">
        <w:t>ossible</w:t>
      </w:r>
      <w:r w:rsidR="00DF466A">
        <w:t xml:space="preserve"> that the warriors symbolised her power – that she could command armies to do her bidding. This concept may be supported by the imagery and evidence on the lid of the krater.</w:t>
      </w:r>
      <w:r w:rsidR="004A4FBA">
        <w:t xml:space="preserve"> In the centre of the lid is the figure of a young woman and the position of her hands indicates that she had been depicted holding something which no longer survives. The mus</w:t>
      </w:r>
      <w:r w:rsidR="004A4FBA">
        <w:rPr>
          <w:rFonts w:cstheme="minorHAnsi"/>
        </w:rPr>
        <w:t>é</w:t>
      </w:r>
      <w:r w:rsidR="004A4FBA">
        <w:t>e website also notes that a procession of statuettes had originally surrounded her that were likely to be similar in design to the frieze, but that these had been removed before it was placed in the tomb to make space for the jug and other items.</w:t>
      </w:r>
      <w:r w:rsidR="004A4FBA">
        <w:rPr>
          <w:rStyle w:val="FootnoteReference"/>
        </w:rPr>
        <w:footnoteReference w:id="18"/>
      </w:r>
      <w:r w:rsidR="00344B96">
        <w:t xml:space="preserve"> So, if the figure of the woman was surrounded by warriors one might conjecture that she was commanding them, or at least being protected by them.</w:t>
      </w:r>
      <w:r w:rsidR="00567290">
        <w:t xml:space="preserve"> It may also have been suggestive of political and military alliances, a reminder that she could rely on Greek military support if necessary.</w:t>
      </w:r>
      <w:r w:rsidR="00344B96">
        <w:t xml:space="preserve"> Either way, it i</w:t>
      </w:r>
      <w:r w:rsidR="008D1FE2">
        <w:t>s symbolic of</w:t>
      </w:r>
      <w:r w:rsidR="00344B96">
        <w:t xml:space="preserve"> a woman of prestige and extreme importance. The presence of the Gorgons denotes knowledge of Greek mythology as previously stated, but it may also be a representation of her feminine power.</w:t>
      </w:r>
      <w:r w:rsidR="003D69FC">
        <w:t xml:space="preserve"> </w:t>
      </w:r>
      <w:r w:rsidR="00344B96">
        <w:t>The Gorgon could, after all, turn a man to stone simply by looking at him.</w:t>
      </w:r>
    </w:p>
    <w:p w14:paraId="2B4AC2BD" w14:textId="4E6AB4E5" w:rsidR="00767AA7" w:rsidRDefault="005C392C" w:rsidP="00767AA7">
      <w:pPr>
        <w:spacing w:before="240" w:after="240"/>
      </w:pPr>
      <w:r>
        <w:tab/>
        <w:t xml:space="preserve">In conclusion, </w:t>
      </w:r>
      <w:r w:rsidR="00176C79">
        <w:t xml:space="preserve">it becomes clear that the </w:t>
      </w:r>
      <w:proofErr w:type="spellStart"/>
      <w:r w:rsidR="00176C79">
        <w:t>Vix</w:t>
      </w:r>
      <w:proofErr w:type="spellEnd"/>
      <w:r w:rsidR="00176C79">
        <w:t xml:space="preserve"> krater</w:t>
      </w:r>
      <w:r w:rsidR="006E295A">
        <w:t xml:space="preserve"> occupied a place</w:t>
      </w:r>
      <w:r w:rsidR="00D16684">
        <w:t xml:space="preserve"> of primary importance</w:t>
      </w:r>
      <w:r w:rsidR="00176C79">
        <w:t xml:space="preserve"> in creating its </w:t>
      </w:r>
      <w:r w:rsidR="00EE019B">
        <w:t>owner’s</w:t>
      </w:r>
      <w:r w:rsidR="00176C79">
        <w:t xml:space="preserve"> identity</w:t>
      </w:r>
      <w:r w:rsidR="00D16684">
        <w:t>,</w:t>
      </w:r>
      <w:r w:rsidR="00176C79">
        <w:t xml:space="preserve"> achie</w:t>
      </w:r>
      <w:r w:rsidR="00D16684">
        <w:t>ving</w:t>
      </w:r>
      <w:r w:rsidR="00176C79">
        <w:t xml:space="preserve"> this in numerous ways</w:t>
      </w:r>
      <w:r w:rsidR="00D16684">
        <w:t xml:space="preserve">, with the most obvious elements being the rarity of the object and its sheer size. The lack of any </w:t>
      </w:r>
      <w:r w:rsidR="00D16684">
        <w:lastRenderedPageBreak/>
        <w:t xml:space="preserve">comparable </w:t>
      </w:r>
      <w:r w:rsidR="00125BBA">
        <w:t>artefact</w:t>
      </w:r>
      <w:r w:rsidR="00D16684">
        <w:t xml:space="preserve"> appearing in similar grave</w:t>
      </w:r>
      <w:r w:rsidR="003D69FC">
        <w:t xml:space="preserve"> </w:t>
      </w:r>
      <w:r w:rsidR="00D16684">
        <w:t>sites in the region testifies to the wealth and prestige of its owner.</w:t>
      </w:r>
      <w:r w:rsidR="008D1FE2">
        <w:t xml:space="preserve"> </w:t>
      </w:r>
      <w:r w:rsidR="00767AA7">
        <w:t xml:space="preserve">Despite Cunliffe’s opinions to the contrary, the krater’s ornate appearance, with its symbols of militaristic and mythological power, also suggest a woman in a powerful position, or at the very least one with powerful connections. The presence of hoplite warriors could be further suggestive of political </w:t>
      </w:r>
      <w:r w:rsidR="0071246B">
        <w:t xml:space="preserve">and military </w:t>
      </w:r>
      <w:r w:rsidR="00767AA7">
        <w:t xml:space="preserve">connections, perhaps indicating that she could rely on allied support if </w:t>
      </w:r>
      <w:r w:rsidR="0071246B">
        <w:t>required</w:t>
      </w:r>
      <w:r w:rsidR="00767AA7">
        <w:t>.</w:t>
      </w:r>
    </w:p>
    <w:p w14:paraId="434AFCBA" w14:textId="346A3519" w:rsidR="005C392C" w:rsidRDefault="00767AA7">
      <w:pPr>
        <w:spacing w:before="240" w:after="240"/>
      </w:pPr>
      <w:r>
        <w:t xml:space="preserve">In terms of </w:t>
      </w:r>
      <w:proofErr w:type="spellStart"/>
      <w:r>
        <w:t>Weissner’s</w:t>
      </w:r>
      <w:proofErr w:type="spellEnd"/>
      <w:r>
        <w:t xml:space="preserve"> concept of style, t</w:t>
      </w:r>
      <w:r w:rsidR="008D1FE2">
        <w:t>he provenance of the krater</w:t>
      </w:r>
      <w:r w:rsidR="00F0192C">
        <w:t xml:space="preserve"> suggests an assertive style attachment,</w:t>
      </w:r>
      <w:r w:rsidR="008D1FE2">
        <w:t xml:space="preserve"> indicat</w:t>
      </w:r>
      <w:r w:rsidR="00F0192C">
        <w:t>ing</w:t>
      </w:r>
      <w:r w:rsidR="008D1FE2">
        <w:t xml:space="preserve"> that its owner had </w:t>
      </w:r>
      <w:r w:rsidR="00F0192C">
        <w:t xml:space="preserve">awareness of other </w:t>
      </w:r>
      <w:r w:rsidR="00F0192C">
        <w:rPr>
          <w:rFonts w:cstheme="minorHAnsi"/>
        </w:rPr>
        <w:t>é</w:t>
      </w:r>
      <w:r w:rsidR="00F0192C">
        <w:t>lite cultures</w:t>
      </w:r>
      <w:r w:rsidR="00EB50A3">
        <w:t>, mythology</w:t>
      </w:r>
      <w:r w:rsidR="006C005C">
        <w:t>,</w:t>
      </w:r>
      <w:r w:rsidR="00F0192C">
        <w:t xml:space="preserve"> and customs</w:t>
      </w:r>
      <w:r w:rsidR="00EB50A3">
        <w:t>,</w:t>
      </w:r>
      <w:r w:rsidR="00F0192C">
        <w:t xml:space="preserve"> and that she may well have had strong social, political, or economic relationships with the Greek colony that constructed it. </w:t>
      </w:r>
      <w:r w:rsidR="005E63CF">
        <w:t xml:space="preserve">The dating of the krater also suggests it may have been created for her or her family. </w:t>
      </w:r>
      <w:r w:rsidR="00F24D1C">
        <w:t>The wealth and status of the woman is further attested to by the fact that the krater was included in the grave assemblage at all. That something so rare and expensive could be removed from circulation and use, indicates that her family could afford to lose the object, and therefore afford to replace it. Perhaps more interestingly, its inclusion in the grave goods may prove the inalienability of the object, that she was so connected to it</w:t>
      </w:r>
      <w:r w:rsidR="00125BBA">
        <w:t>, and people related it to her so much</w:t>
      </w:r>
      <w:r w:rsidR="00F24D1C">
        <w:t xml:space="preserve"> that it was inappropriate to separate her from it. </w:t>
      </w:r>
      <w:r>
        <w:t xml:space="preserve">The material culture found in </w:t>
      </w:r>
      <w:r w:rsidR="004623DD">
        <w:t xml:space="preserve">Celtic </w:t>
      </w:r>
      <w:r>
        <w:t>graves generally include objects that were important to the owner and defined them and their role in society. The krater is certainly suggesting that the woman was at the upper levels of social hierarchy and wished to be regarded as such</w:t>
      </w:r>
      <w:r w:rsidR="00B10513">
        <w:t>, and its inclusion in her tomb may indicate that she, or her family, hoped she would carry her identity and status into the afterlife.</w:t>
      </w:r>
    </w:p>
    <w:p w14:paraId="0F54E58E" w14:textId="46F72385" w:rsidR="005F1702" w:rsidRDefault="005F1702">
      <w:r>
        <w:br w:type="page"/>
      </w:r>
    </w:p>
    <w:p w14:paraId="1939CFB3" w14:textId="77777777" w:rsidR="005F1702" w:rsidRDefault="005F1702" w:rsidP="005F1702">
      <w:pPr>
        <w:spacing w:before="240" w:after="240"/>
        <w:rPr>
          <w:b/>
          <w:bCs/>
        </w:rPr>
      </w:pPr>
      <w:r w:rsidRPr="00DC6FF0">
        <w:rPr>
          <w:b/>
          <w:bCs/>
        </w:rPr>
        <w:lastRenderedPageBreak/>
        <w:t>Bibliography</w:t>
      </w:r>
      <w:r>
        <w:rPr>
          <w:b/>
          <w:bCs/>
        </w:rPr>
        <w:t>:</w:t>
      </w:r>
    </w:p>
    <w:p w14:paraId="59E1B48E" w14:textId="77777777" w:rsidR="005F1702" w:rsidRDefault="005F1702" w:rsidP="005F1702">
      <w:pPr>
        <w:spacing w:before="240" w:after="240"/>
      </w:pPr>
      <w:proofErr w:type="spellStart"/>
      <w:r>
        <w:t>Berresford</w:t>
      </w:r>
      <w:proofErr w:type="spellEnd"/>
      <w:r>
        <w:t xml:space="preserve"> Ellis, Peter, </w:t>
      </w:r>
      <w:r>
        <w:rPr>
          <w:i/>
          <w:iCs/>
        </w:rPr>
        <w:t>The Ancient World Of The Celts</w:t>
      </w:r>
      <w:r>
        <w:t xml:space="preserve">, (London: Constable And Company </w:t>
      </w:r>
      <w:r>
        <w:tab/>
        <w:t>Ltd., 1998)</w:t>
      </w:r>
    </w:p>
    <w:p w14:paraId="42D8A412" w14:textId="77777777" w:rsidR="005F1702" w:rsidRPr="00242530" w:rsidRDefault="005F1702" w:rsidP="005F1702">
      <w:pPr>
        <w:spacing w:before="240" w:after="240"/>
      </w:pPr>
      <w:proofErr w:type="spellStart"/>
      <w:r>
        <w:t>B</w:t>
      </w:r>
      <w:r>
        <w:rPr>
          <w:rFonts w:cstheme="minorHAnsi"/>
        </w:rPr>
        <w:t>ü</w:t>
      </w:r>
      <w:r>
        <w:t>chsensch</w:t>
      </w:r>
      <w:r>
        <w:rPr>
          <w:rFonts w:cstheme="minorHAnsi"/>
        </w:rPr>
        <w:t>ü</w:t>
      </w:r>
      <w:r>
        <w:t>tz</w:t>
      </w:r>
      <w:proofErr w:type="spellEnd"/>
      <w:r>
        <w:t xml:space="preserve">, Olivier, ‘The Celts In France’, in </w:t>
      </w:r>
      <w:r>
        <w:rPr>
          <w:i/>
          <w:iCs/>
        </w:rPr>
        <w:t>The Celtic World</w:t>
      </w:r>
      <w:r>
        <w:t xml:space="preserve">, ed. by Miranda J. Green, </w:t>
      </w:r>
      <w:r>
        <w:tab/>
        <w:t>(London: Routledge, 1996), pp. 552–580</w:t>
      </w:r>
    </w:p>
    <w:p w14:paraId="0C1B2361" w14:textId="77777777" w:rsidR="005F1702" w:rsidRPr="00C35F31" w:rsidRDefault="005F1702" w:rsidP="005F1702">
      <w:pPr>
        <w:spacing w:before="240" w:after="240"/>
      </w:pPr>
      <w:r>
        <w:t xml:space="preserve">Cunliffe, Barry, </w:t>
      </w:r>
      <w:r>
        <w:rPr>
          <w:i/>
          <w:iCs/>
        </w:rPr>
        <w:t>The Celtic World</w:t>
      </w:r>
      <w:r>
        <w:t>, (London: The Bodley Head, 1979)</w:t>
      </w:r>
    </w:p>
    <w:p w14:paraId="0828F5BE" w14:textId="77777777" w:rsidR="005F1702" w:rsidRDefault="005F1702" w:rsidP="005F1702">
      <w:pPr>
        <w:spacing w:before="240" w:after="240"/>
      </w:pPr>
      <w:r>
        <w:t xml:space="preserve">Gaunt, Jasper, ‘Toward The Derveni Krater: On The Rarity Of Large Bronze Vessels Of The </w:t>
      </w:r>
      <w:r>
        <w:tab/>
        <w:t xml:space="preserve">Archaic And Classical Periods Bearing Large Figural Registers’ in </w:t>
      </w:r>
      <w:r>
        <w:rPr>
          <w:i/>
          <w:iCs/>
        </w:rPr>
        <w:t xml:space="preserve">Artistry In Bronze: </w:t>
      </w:r>
      <w:r>
        <w:rPr>
          <w:i/>
          <w:iCs/>
        </w:rPr>
        <w:tab/>
        <w:t xml:space="preserve">The Greeks And Their Legacy </w:t>
      </w:r>
      <w:r>
        <w:rPr>
          <w:i/>
          <w:iCs/>
        </w:rPr>
        <w:tab/>
      </w:r>
      <w:proofErr w:type="spellStart"/>
      <w:r>
        <w:rPr>
          <w:i/>
          <w:iCs/>
        </w:rPr>
        <w:t>XIXth</w:t>
      </w:r>
      <w:proofErr w:type="spellEnd"/>
      <w:r>
        <w:rPr>
          <w:i/>
          <w:iCs/>
        </w:rPr>
        <w:t xml:space="preserve"> International Congress On Ancient Bronzes</w:t>
      </w:r>
      <w:r>
        <w:t xml:space="preserve">, ed. </w:t>
      </w:r>
      <w:r>
        <w:tab/>
      </w:r>
      <w:proofErr w:type="spellStart"/>
      <w:r>
        <w:t>Daehner</w:t>
      </w:r>
      <w:proofErr w:type="spellEnd"/>
      <w:r>
        <w:t xml:space="preserve">, Kenneth </w:t>
      </w:r>
      <w:proofErr w:type="spellStart"/>
      <w:r>
        <w:t>Lapatin</w:t>
      </w:r>
      <w:proofErr w:type="spellEnd"/>
      <w:r>
        <w:t xml:space="preserve">, And </w:t>
      </w:r>
      <w:proofErr w:type="spellStart"/>
      <w:r>
        <w:t>Ambra</w:t>
      </w:r>
      <w:proofErr w:type="spellEnd"/>
      <w:r>
        <w:t xml:space="preserve"> Spinelli, (Los Angeles: J. Paul Getty Museum </w:t>
      </w:r>
      <w:r>
        <w:tab/>
        <w:t>And The Getty Conservation Institute, 2017), pp. 214-223</w:t>
      </w:r>
    </w:p>
    <w:p w14:paraId="266821AA" w14:textId="77777777" w:rsidR="005F1702" w:rsidRDefault="005F1702" w:rsidP="005F1702">
      <w:pPr>
        <w:spacing w:before="240" w:after="240"/>
      </w:pPr>
      <w:proofErr w:type="spellStart"/>
      <w:r>
        <w:t>Jope</w:t>
      </w:r>
      <w:proofErr w:type="spellEnd"/>
      <w:r>
        <w:t xml:space="preserve">, Martyn, ‘The Social Implications Of Celtic Art: 600 BC To AD 600’ in </w:t>
      </w:r>
      <w:r>
        <w:rPr>
          <w:i/>
          <w:iCs/>
        </w:rPr>
        <w:t>The Celtic World</w:t>
      </w:r>
      <w:r>
        <w:t xml:space="preserve">, </w:t>
      </w:r>
      <w:r>
        <w:tab/>
        <w:t>ed. by Miranda J. Green, (London: Routledge, 1996), pp. 376–410</w:t>
      </w:r>
    </w:p>
    <w:p w14:paraId="03E02D9C" w14:textId="77777777" w:rsidR="005F1702" w:rsidRDefault="005F1702" w:rsidP="005F1702">
      <w:pPr>
        <w:spacing w:before="240" w:after="240"/>
      </w:pPr>
      <w:proofErr w:type="spellStart"/>
      <w:r>
        <w:t>L</w:t>
      </w:r>
      <w:r>
        <w:rPr>
          <w:rFonts w:cstheme="minorHAnsi"/>
        </w:rPr>
        <w:t>é</w:t>
      </w:r>
      <w:r>
        <w:t>very</w:t>
      </w:r>
      <w:proofErr w:type="spellEnd"/>
      <w:r>
        <w:t>, M., ‘</w:t>
      </w:r>
      <w:proofErr w:type="spellStart"/>
      <w:r>
        <w:t>Vix</w:t>
      </w:r>
      <w:proofErr w:type="spellEnd"/>
      <w:r>
        <w:t xml:space="preserve">’ in </w:t>
      </w:r>
      <w:r>
        <w:rPr>
          <w:i/>
          <w:iCs/>
        </w:rPr>
        <w:t>Celtic Culture: An Historical Encyclopedia</w:t>
      </w:r>
      <w:r>
        <w:t xml:space="preserve">, Vol. 5, ed. by John T. Koch, </w:t>
      </w:r>
      <w:r>
        <w:tab/>
        <w:t>(Santa Barbara: ABC-CLIO, 2005), pp. 1725–1746</w:t>
      </w:r>
    </w:p>
    <w:p w14:paraId="4A426BA6" w14:textId="77777777" w:rsidR="005F1702" w:rsidRDefault="005F1702" w:rsidP="005F1702">
      <w:pPr>
        <w:spacing w:before="240" w:after="240"/>
      </w:pPr>
      <w:proofErr w:type="spellStart"/>
      <w:r>
        <w:t>Lissarrague</w:t>
      </w:r>
      <w:proofErr w:type="spellEnd"/>
      <w:r>
        <w:t>, Fran</w:t>
      </w:r>
      <w:r>
        <w:rPr>
          <w:rFonts w:cstheme="minorHAnsi"/>
        </w:rPr>
        <w:t>ç</w:t>
      </w:r>
      <w:r>
        <w:t xml:space="preserve">ois, ‘The Athenian Image Of The Foreigner’ in </w:t>
      </w:r>
      <w:r>
        <w:rPr>
          <w:i/>
          <w:iCs/>
        </w:rPr>
        <w:t>Greeks And Barbarians</w:t>
      </w:r>
      <w:r>
        <w:t xml:space="preserve">, ed. </w:t>
      </w:r>
      <w:r>
        <w:tab/>
        <w:t>by Thomas Harrison (Edinburgh: Edinburgh University Press, 2002), pp. 101–124</w:t>
      </w:r>
    </w:p>
    <w:p w14:paraId="71289F0F" w14:textId="77777777" w:rsidR="005F1702" w:rsidRPr="002A4FFF" w:rsidRDefault="005F1702" w:rsidP="005F1702">
      <w:pPr>
        <w:spacing w:before="240" w:after="240"/>
      </w:pPr>
      <w:proofErr w:type="spellStart"/>
      <w:r>
        <w:t>Tr</w:t>
      </w:r>
      <w:r>
        <w:rPr>
          <w:rFonts w:cstheme="minorHAnsi"/>
        </w:rPr>
        <w:t>é</w:t>
      </w:r>
      <w:r>
        <w:t>sor</w:t>
      </w:r>
      <w:proofErr w:type="spellEnd"/>
      <w:r>
        <w:t xml:space="preserve"> De </w:t>
      </w:r>
      <w:proofErr w:type="spellStart"/>
      <w:r>
        <w:t>Vix</w:t>
      </w:r>
      <w:proofErr w:type="spellEnd"/>
      <w:r>
        <w:t xml:space="preserve"> Mus</w:t>
      </w:r>
      <w:r>
        <w:rPr>
          <w:rFonts w:cstheme="minorHAnsi"/>
        </w:rPr>
        <w:t>é</w:t>
      </w:r>
      <w:r>
        <w:t xml:space="preserve">e Du Pays </w:t>
      </w:r>
      <w:proofErr w:type="spellStart"/>
      <w:r>
        <w:t>Ch</w:t>
      </w:r>
      <w:r>
        <w:rPr>
          <w:rFonts w:cstheme="minorHAnsi"/>
        </w:rPr>
        <w:t>â</w:t>
      </w:r>
      <w:r>
        <w:t>tillionaise</w:t>
      </w:r>
      <w:proofErr w:type="spellEnd"/>
      <w:r>
        <w:t xml:space="preserve">, </w:t>
      </w:r>
      <w:r>
        <w:rPr>
          <w:i/>
          <w:iCs/>
        </w:rPr>
        <w:t xml:space="preserve">Collection </w:t>
      </w:r>
      <w:proofErr w:type="spellStart"/>
      <w:r>
        <w:rPr>
          <w:i/>
          <w:iCs/>
        </w:rPr>
        <w:t>Tr</w:t>
      </w:r>
      <w:r>
        <w:rPr>
          <w:rFonts w:cstheme="minorHAnsi"/>
          <w:i/>
          <w:iCs/>
        </w:rPr>
        <w:t>é</w:t>
      </w:r>
      <w:r>
        <w:rPr>
          <w:i/>
          <w:iCs/>
        </w:rPr>
        <w:t>sor</w:t>
      </w:r>
      <w:proofErr w:type="spellEnd"/>
      <w:r>
        <w:rPr>
          <w:i/>
          <w:iCs/>
        </w:rPr>
        <w:t xml:space="preserve"> De </w:t>
      </w:r>
      <w:proofErr w:type="spellStart"/>
      <w:r>
        <w:rPr>
          <w:i/>
          <w:iCs/>
        </w:rPr>
        <w:t>Vix</w:t>
      </w:r>
      <w:proofErr w:type="spellEnd"/>
      <w:r>
        <w:rPr>
          <w:i/>
          <w:iCs/>
        </w:rPr>
        <w:t xml:space="preserve"> </w:t>
      </w:r>
      <w:r>
        <w:t xml:space="preserve">(No date) </w:t>
      </w:r>
      <w:r>
        <w:tab/>
      </w:r>
      <w:hyperlink r:id="rId7" w:history="1">
        <w:r w:rsidRPr="00B84668">
          <w:rPr>
            <w:rStyle w:val="Hyperlink"/>
          </w:rPr>
          <w:t>www.musee-vix.fr</w:t>
        </w:r>
      </w:hyperlink>
      <w:r>
        <w:t xml:space="preserve"> [accessed 09 March 2023]</w:t>
      </w:r>
    </w:p>
    <w:p w14:paraId="3E6B07E6" w14:textId="77777777" w:rsidR="005F1702" w:rsidRDefault="005F1702" w:rsidP="005F1702">
      <w:pPr>
        <w:spacing w:before="240" w:after="240"/>
      </w:pPr>
      <w:r>
        <w:t xml:space="preserve">Wait, Gerald A., ‘Burial And The Otherworld’ in </w:t>
      </w:r>
      <w:r>
        <w:rPr>
          <w:i/>
          <w:iCs/>
        </w:rPr>
        <w:t>The Celtic World</w:t>
      </w:r>
      <w:r>
        <w:t xml:space="preserve">, ed. by Miranda J. Green, </w:t>
      </w:r>
      <w:r>
        <w:tab/>
        <w:t>(London: Routledge, 1996), pp. 489–</w:t>
      </w:r>
      <w:proofErr w:type="gramStart"/>
      <w:r>
        <w:t>511</w:t>
      </w:r>
      <w:proofErr w:type="gramEnd"/>
    </w:p>
    <w:p w14:paraId="2B1AC95D" w14:textId="77777777" w:rsidR="005F1702" w:rsidRPr="00FF7EA8" w:rsidRDefault="005F1702" w:rsidP="005F1702">
      <w:pPr>
        <w:spacing w:before="240" w:after="240"/>
      </w:pPr>
      <w:r>
        <w:t xml:space="preserve">Weiner, Annette B., </w:t>
      </w:r>
      <w:r>
        <w:rPr>
          <w:i/>
          <w:iCs/>
        </w:rPr>
        <w:t>Inalienable Possessions: The Paradox Of Keeping While Giving</w:t>
      </w:r>
      <w:r>
        <w:t xml:space="preserve">, </w:t>
      </w:r>
      <w:r>
        <w:tab/>
        <w:t>(Berkeley: California University Press, 1992)</w:t>
      </w:r>
    </w:p>
    <w:p w14:paraId="3DABC136" w14:textId="77777777" w:rsidR="005F1702" w:rsidRDefault="005F1702" w:rsidP="005F1702">
      <w:pPr>
        <w:spacing w:before="240" w:after="240"/>
      </w:pPr>
      <w:proofErr w:type="spellStart"/>
      <w:r>
        <w:t>Weissner</w:t>
      </w:r>
      <w:proofErr w:type="spellEnd"/>
      <w:r>
        <w:t xml:space="preserve">, Polly, ‘Reconsidering The Behavioural Basis For Style: A Case-Study Among The </w:t>
      </w:r>
      <w:r>
        <w:tab/>
        <w:t xml:space="preserve">Kalahari San’, </w:t>
      </w:r>
      <w:r>
        <w:rPr>
          <w:i/>
          <w:iCs/>
        </w:rPr>
        <w:t>Journal Of Anthropological Archaeology</w:t>
      </w:r>
      <w:r>
        <w:t>, 3 (1984), 190–</w:t>
      </w:r>
      <w:proofErr w:type="gramStart"/>
      <w:r>
        <w:t>234</w:t>
      </w:r>
      <w:proofErr w:type="gramEnd"/>
    </w:p>
    <w:p w14:paraId="012018F3" w14:textId="77777777" w:rsidR="005F1702" w:rsidRPr="009B7548" w:rsidRDefault="005F1702" w:rsidP="005F1702">
      <w:pPr>
        <w:spacing w:before="240" w:after="240"/>
      </w:pPr>
      <w:proofErr w:type="spellStart"/>
      <w:r>
        <w:t>Weissner</w:t>
      </w:r>
      <w:proofErr w:type="spellEnd"/>
      <w:r>
        <w:t xml:space="preserve">, Polly, ‘Style And Social Information In Kalahari San Projectile Points’, </w:t>
      </w:r>
      <w:r>
        <w:rPr>
          <w:i/>
          <w:iCs/>
        </w:rPr>
        <w:t xml:space="preserve">American </w:t>
      </w:r>
      <w:r>
        <w:rPr>
          <w:i/>
          <w:iCs/>
        </w:rPr>
        <w:tab/>
        <w:t>Antiquity</w:t>
      </w:r>
      <w:r>
        <w:t>, 48.2 (1983), 253-276</w:t>
      </w:r>
    </w:p>
    <w:p w14:paraId="4769DE12" w14:textId="77777777" w:rsidR="005F1702" w:rsidRPr="00E17022" w:rsidRDefault="005F1702" w:rsidP="005F1702">
      <w:pPr>
        <w:spacing w:before="240" w:after="240"/>
      </w:pPr>
      <w:proofErr w:type="spellStart"/>
      <w:r>
        <w:t>Weissner</w:t>
      </w:r>
      <w:proofErr w:type="spellEnd"/>
      <w:r>
        <w:t xml:space="preserve">, Polly, ‘Style Or </w:t>
      </w:r>
      <w:proofErr w:type="spellStart"/>
      <w:r>
        <w:t>Isochrestic</w:t>
      </w:r>
      <w:proofErr w:type="spellEnd"/>
      <w:r>
        <w:t xml:space="preserve"> Variation? A Reply To Sackett’, </w:t>
      </w:r>
      <w:r>
        <w:rPr>
          <w:i/>
          <w:iCs/>
        </w:rPr>
        <w:t xml:space="preserve">Society For American </w:t>
      </w:r>
      <w:r>
        <w:rPr>
          <w:i/>
          <w:iCs/>
        </w:rPr>
        <w:tab/>
        <w:t>Archaeology</w:t>
      </w:r>
      <w:r>
        <w:t>, 50.1 (1985), 160-166</w:t>
      </w:r>
    </w:p>
    <w:p w14:paraId="4379306E" w14:textId="77777777" w:rsidR="005F1702" w:rsidRPr="005D6CFF" w:rsidRDefault="005F1702" w:rsidP="005F1702">
      <w:pPr>
        <w:spacing w:before="240" w:after="240"/>
      </w:pPr>
      <w:r>
        <w:t xml:space="preserve">Wells, Peter S., ‘Trade And Exchange’ in </w:t>
      </w:r>
      <w:r>
        <w:rPr>
          <w:i/>
          <w:iCs/>
        </w:rPr>
        <w:t>The Celtic World</w:t>
      </w:r>
      <w:r>
        <w:t xml:space="preserve">, ed. by Miranda J. Green, (London: </w:t>
      </w:r>
      <w:r>
        <w:tab/>
        <w:t>Routledge, 1996), pp. 230-243</w:t>
      </w:r>
    </w:p>
    <w:p w14:paraId="121A823B" w14:textId="77777777" w:rsidR="005F1702" w:rsidRDefault="005F1702">
      <w:pPr>
        <w:spacing w:before="240" w:after="240"/>
      </w:pPr>
    </w:p>
    <w:p w14:paraId="5BC4957F" w14:textId="23DF6607" w:rsidR="003B7EAA" w:rsidRDefault="00AD74DB">
      <w:pPr>
        <w:spacing w:before="240" w:after="240"/>
      </w:pPr>
      <w:r>
        <w:tab/>
        <w:t xml:space="preserve"> </w:t>
      </w:r>
    </w:p>
    <w:sectPr w:rsidR="003B7EA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22161" w14:textId="77777777" w:rsidR="00A14F1A" w:rsidRDefault="00A14F1A" w:rsidP="002726B8">
      <w:r>
        <w:separator/>
      </w:r>
    </w:p>
  </w:endnote>
  <w:endnote w:type="continuationSeparator" w:id="0">
    <w:p w14:paraId="768CADC6" w14:textId="77777777" w:rsidR="00A14F1A" w:rsidRDefault="00A14F1A" w:rsidP="00272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269535"/>
      <w:docPartObj>
        <w:docPartGallery w:val="Page Numbers (Bottom of Page)"/>
        <w:docPartUnique/>
      </w:docPartObj>
    </w:sdtPr>
    <w:sdtEndPr>
      <w:rPr>
        <w:noProof/>
      </w:rPr>
    </w:sdtEndPr>
    <w:sdtContent>
      <w:p w14:paraId="7DA1189A" w14:textId="4B3A2C7C" w:rsidR="008A3BBC" w:rsidRDefault="008A3B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588289" w14:textId="77777777" w:rsidR="008A3BBC" w:rsidRDefault="008A3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B3158" w14:textId="77777777" w:rsidR="00A14F1A" w:rsidRDefault="00A14F1A" w:rsidP="002726B8">
      <w:r>
        <w:separator/>
      </w:r>
    </w:p>
  </w:footnote>
  <w:footnote w:type="continuationSeparator" w:id="0">
    <w:p w14:paraId="266A8991" w14:textId="77777777" w:rsidR="00A14F1A" w:rsidRDefault="00A14F1A" w:rsidP="002726B8">
      <w:r>
        <w:continuationSeparator/>
      </w:r>
    </w:p>
  </w:footnote>
  <w:footnote w:id="1">
    <w:p w14:paraId="2D3133A6" w14:textId="18D7380F" w:rsidR="001D2592" w:rsidRPr="001D2592" w:rsidRDefault="001D2592">
      <w:pPr>
        <w:pStyle w:val="FootnoteText"/>
      </w:pPr>
      <w:r>
        <w:rPr>
          <w:rStyle w:val="FootnoteReference"/>
        </w:rPr>
        <w:footnoteRef/>
      </w:r>
      <w:r>
        <w:t xml:space="preserve"> Peter </w:t>
      </w:r>
      <w:proofErr w:type="spellStart"/>
      <w:r>
        <w:t>Berresford</w:t>
      </w:r>
      <w:proofErr w:type="spellEnd"/>
      <w:r>
        <w:t xml:space="preserve"> Ellis, </w:t>
      </w:r>
      <w:r>
        <w:rPr>
          <w:i/>
          <w:iCs/>
        </w:rPr>
        <w:t>The Ancient World Of The Celts</w:t>
      </w:r>
      <w:r>
        <w:t>, (London: Constable And Company Ltd., 1998), p. 44.</w:t>
      </w:r>
    </w:p>
  </w:footnote>
  <w:footnote w:id="2">
    <w:p w14:paraId="4AF1C9DD" w14:textId="375F8662" w:rsidR="00461F40" w:rsidRPr="0090276C" w:rsidRDefault="00461F40">
      <w:pPr>
        <w:pStyle w:val="FootnoteText"/>
      </w:pPr>
      <w:r>
        <w:rPr>
          <w:rStyle w:val="FootnoteReference"/>
        </w:rPr>
        <w:footnoteRef/>
      </w:r>
      <w:r>
        <w:t xml:space="preserve"> </w:t>
      </w:r>
      <w:proofErr w:type="spellStart"/>
      <w:r w:rsidR="00E9140E">
        <w:t>Tr</w:t>
      </w:r>
      <w:r w:rsidR="0090276C">
        <w:rPr>
          <w:rFonts w:cstheme="minorHAnsi"/>
        </w:rPr>
        <w:t>é</w:t>
      </w:r>
      <w:r w:rsidR="00E9140E">
        <w:t>sor</w:t>
      </w:r>
      <w:proofErr w:type="spellEnd"/>
      <w:r w:rsidR="00E9140E">
        <w:t xml:space="preserve"> De </w:t>
      </w:r>
      <w:proofErr w:type="spellStart"/>
      <w:r w:rsidR="00E9140E">
        <w:t>Vix</w:t>
      </w:r>
      <w:proofErr w:type="spellEnd"/>
      <w:r w:rsidR="00E9140E">
        <w:t xml:space="preserve"> Mus</w:t>
      </w:r>
      <w:r w:rsidR="0090276C">
        <w:rPr>
          <w:rFonts w:cstheme="minorHAnsi"/>
        </w:rPr>
        <w:t>é</w:t>
      </w:r>
      <w:r w:rsidR="00E9140E">
        <w:t xml:space="preserve">e Du Pays </w:t>
      </w:r>
      <w:proofErr w:type="spellStart"/>
      <w:r w:rsidR="00E9140E">
        <w:t>Ch</w:t>
      </w:r>
      <w:r w:rsidR="0090276C">
        <w:rPr>
          <w:rFonts w:cstheme="minorHAnsi"/>
        </w:rPr>
        <w:t>â</w:t>
      </w:r>
      <w:r w:rsidR="00E9140E">
        <w:t>tillionais</w:t>
      </w:r>
      <w:proofErr w:type="spellEnd"/>
      <w:r w:rsidR="00E9140E">
        <w:t xml:space="preserve">, </w:t>
      </w:r>
      <w:r w:rsidR="00E9140E">
        <w:rPr>
          <w:i/>
          <w:iCs/>
        </w:rPr>
        <w:t xml:space="preserve">Collection </w:t>
      </w:r>
      <w:proofErr w:type="spellStart"/>
      <w:r w:rsidR="00E9140E">
        <w:rPr>
          <w:i/>
          <w:iCs/>
        </w:rPr>
        <w:t>Tr</w:t>
      </w:r>
      <w:r w:rsidR="0090276C">
        <w:rPr>
          <w:rFonts w:cstheme="minorHAnsi"/>
          <w:i/>
          <w:iCs/>
        </w:rPr>
        <w:t>é</w:t>
      </w:r>
      <w:r w:rsidR="00E9140E">
        <w:rPr>
          <w:i/>
          <w:iCs/>
        </w:rPr>
        <w:t>sor</w:t>
      </w:r>
      <w:proofErr w:type="spellEnd"/>
      <w:r w:rsidR="00E9140E">
        <w:rPr>
          <w:i/>
          <w:iCs/>
        </w:rPr>
        <w:t xml:space="preserve"> De </w:t>
      </w:r>
      <w:proofErr w:type="spellStart"/>
      <w:r w:rsidR="00E9140E">
        <w:rPr>
          <w:i/>
          <w:iCs/>
        </w:rPr>
        <w:t>Vix</w:t>
      </w:r>
      <w:proofErr w:type="spellEnd"/>
      <w:r w:rsidR="0090276C">
        <w:t xml:space="preserve"> (No Date) </w:t>
      </w:r>
      <w:hyperlink r:id="rId1" w:history="1">
        <w:r w:rsidR="0090276C" w:rsidRPr="00C2693B">
          <w:rPr>
            <w:rStyle w:val="Hyperlink"/>
          </w:rPr>
          <w:t>https://www.musee-vix.fr/visite-collection/7</w:t>
        </w:r>
      </w:hyperlink>
      <w:r w:rsidR="0090276C">
        <w:t xml:space="preserve"> [accessed 09 March 2023]</w:t>
      </w:r>
    </w:p>
  </w:footnote>
  <w:footnote w:id="3">
    <w:p w14:paraId="5BA4BD44" w14:textId="586BCC09" w:rsidR="00DC026F" w:rsidRPr="00DC026F" w:rsidRDefault="00DC026F">
      <w:pPr>
        <w:pStyle w:val="FootnoteText"/>
      </w:pPr>
      <w:r>
        <w:rPr>
          <w:rStyle w:val="FootnoteReference"/>
        </w:rPr>
        <w:footnoteRef/>
      </w:r>
      <w:r>
        <w:t xml:space="preserve"> Barry Cunliffe, </w:t>
      </w:r>
      <w:r>
        <w:rPr>
          <w:i/>
          <w:iCs/>
        </w:rPr>
        <w:t>The Celtic World</w:t>
      </w:r>
      <w:r>
        <w:t xml:space="preserve">, </w:t>
      </w:r>
      <w:r w:rsidR="00D65F19">
        <w:t>(London: The Bodley head, 1979), p. 36.</w:t>
      </w:r>
    </w:p>
  </w:footnote>
  <w:footnote w:id="4">
    <w:p w14:paraId="3998ADE1" w14:textId="67C375F0" w:rsidR="0013166C" w:rsidRPr="00B707A0" w:rsidRDefault="0013166C">
      <w:pPr>
        <w:pStyle w:val="FootnoteText"/>
      </w:pPr>
      <w:r>
        <w:rPr>
          <w:rStyle w:val="FootnoteReference"/>
        </w:rPr>
        <w:footnoteRef/>
      </w:r>
      <w:r>
        <w:t xml:space="preserve"> </w:t>
      </w:r>
      <w:proofErr w:type="spellStart"/>
      <w:r w:rsidR="00B707A0">
        <w:t>Vix</w:t>
      </w:r>
      <w:proofErr w:type="spellEnd"/>
      <w:r w:rsidR="00B707A0">
        <w:t xml:space="preserve"> Mus</w:t>
      </w:r>
      <w:r w:rsidR="00B707A0">
        <w:rPr>
          <w:rFonts w:cstheme="minorHAnsi"/>
        </w:rPr>
        <w:t>é</w:t>
      </w:r>
      <w:r w:rsidR="00B707A0">
        <w:t xml:space="preserve">e Website, </w:t>
      </w:r>
      <w:r w:rsidR="00B707A0">
        <w:rPr>
          <w:i/>
          <w:iCs/>
        </w:rPr>
        <w:t xml:space="preserve">The </w:t>
      </w:r>
      <w:proofErr w:type="spellStart"/>
      <w:r w:rsidR="00B707A0">
        <w:rPr>
          <w:i/>
          <w:iCs/>
        </w:rPr>
        <w:t>Vix</w:t>
      </w:r>
      <w:proofErr w:type="spellEnd"/>
      <w:r w:rsidR="00B707A0">
        <w:rPr>
          <w:i/>
          <w:iCs/>
        </w:rPr>
        <w:t xml:space="preserve"> Crater</w:t>
      </w:r>
      <w:r w:rsidR="00B707A0">
        <w:t>.</w:t>
      </w:r>
    </w:p>
  </w:footnote>
  <w:footnote w:id="5">
    <w:p w14:paraId="0A575E93" w14:textId="37A29E83" w:rsidR="004A4A2F" w:rsidRDefault="004A4A2F">
      <w:pPr>
        <w:pStyle w:val="FootnoteText"/>
      </w:pPr>
      <w:r>
        <w:rPr>
          <w:rStyle w:val="FootnoteReference"/>
        </w:rPr>
        <w:footnoteRef/>
      </w:r>
      <w:r>
        <w:t xml:space="preserve"> Ibid.</w:t>
      </w:r>
    </w:p>
  </w:footnote>
  <w:footnote w:id="6">
    <w:p w14:paraId="16CCBF4E" w14:textId="47522681" w:rsidR="0093668C" w:rsidRDefault="0093668C">
      <w:pPr>
        <w:pStyle w:val="FootnoteText"/>
      </w:pPr>
      <w:r>
        <w:rPr>
          <w:rStyle w:val="FootnoteReference"/>
        </w:rPr>
        <w:footnoteRef/>
      </w:r>
      <w:r>
        <w:t xml:space="preserve"> </w:t>
      </w:r>
      <w:r w:rsidR="004A4A2F">
        <w:t xml:space="preserve">Barry Cunliffe, </w:t>
      </w:r>
      <w:r w:rsidR="00FD4E37">
        <w:rPr>
          <w:i/>
          <w:iCs/>
        </w:rPr>
        <w:t xml:space="preserve">The Celtic </w:t>
      </w:r>
      <w:r w:rsidR="00FD4E37" w:rsidRPr="00FD4E37">
        <w:rPr>
          <w:i/>
          <w:iCs/>
        </w:rPr>
        <w:t>World</w:t>
      </w:r>
      <w:r w:rsidR="00FD4E37">
        <w:t xml:space="preserve">, </w:t>
      </w:r>
      <w:r w:rsidR="00306F1A" w:rsidRPr="00FD4E37">
        <w:t>p</w:t>
      </w:r>
      <w:r w:rsidR="00306F1A">
        <w:t>.36</w:t>
      </w:r>
      <w:r>
        <w:t>.</w:t>
      </w:r>
    </w:p>
  </w:footnote>
  <w:footnote w:id="7">
    <w:p w14:paraId="70E60684" w14:textId="42290A6B" w:rsidR="00B31601" w:rsidRPr="00B31601" w:rsidRDefault="00B31601">
      <w:pPr>
        <w:pStyle w:val="FootnoteText"/>
      </w:pPr>
      <w:r>
        <w:rPr>
          <w:rStyle w:val="FootnoteReference"/>
        </w:rPr>
        <w:footnoteRef/>
      </w:r>
      <w:r>
        <w:t xml:space="preserve"> Jasper Gaunt, ‘Toward The Derveni Krater: On The Rarity Of Large Bronze Vessels Of The Archaic And Classical Periods Bearing Large Figural Registers’, in </w:t>
      </w:r>
      <w:r>
        <w:rPr>
          <w:i/>
          <w:iCs/>
        </w:rPr>
        <w:t xml:space="preserve">Artistry In Bronze: The Greeks And Their Legacy, </w:t>
      </w:r>
      <w:proofErr w:type="spellStart"/>
      <w:r>
        <w:rPr>
          <w:i/>
          <w:iCs/>
        </w:rPr>
        <w:t>XIXth</w:t>
      </w:r>
      <w:proofErr w:type="spellEnd"/>
      <w:r>
        <w:rPr>
          <w:i/>
          <w:iCs/>
        </w:rPr>
        <w:t xml:space="preserve"> International Congress On Ancient Bronzes</w:t>
      </w:r>
      <w:r>
        <w:t xml:space="preserve">, ed. by Jens M. </w:t>
      </w:r>
      <w:proofErr w:type="spellStart"/>
      <w:r>
        <w:t>Daehner</w:t>
      </w:r>
      <w:proofErr w:type="spellEnd"/>
      <w:r>
        <w:t xml:space="preserve">, Kenneth </w:t>
      </w:r>
      <w:proofErr w:type="spellStart"/>
      <w:r w:rsidR="00141861">
        <w:t>L</w:t>
      </w:r>
      <w:r>
        <w:t>apatin</w:t>
      </w:r>
      <w:proofErr w:type="spellEnd"/>
      <w:r>
        <w:t xml:space="preserve"> And </w:t>
      </w:r>
      <w:proofErr w:type="spellStart"/>
      <w:r>
        <w:t>Ambra</w:t>
      </w:r>
      <w:proofErr w:type="spellEnd"/>
      <w:r>
        <w:t xml:space="preserve"> Spinelli, (Los Angeles: J. Paul Getty Museum And The Getty Conservation Institute, 2017), pp. 214</w:t>
      </w:r>
      <w:r w:rsidR="00504A66">
        <w:t>–223, p. 215.</w:t>
      </w:r>
    </w:p>
  </w:footnote>
  <w:footnote w:id="8">
    <w:p w14:paraId="6209DD19" w14:textId="77777777" w:rsidR="003C5BDE" w:rsidRDefault="003C5BDE" w:rsidP="003C5BDE">
      <w:pPr>
        <w:pStyle w:val="FootnoteText"/>
      </w:pPr>
      <w:r>
        <w:rPr>
          <w:rStyle w:val="FootnoteReference"/>
        </w:rPr>
        <w:footnoteRef/>
      </w:r>
      <w:r>
        <w:t xml:space="preserve"> Ibid, p. 219.</w:t>
      </w:r>
    </w:p>
  </w:footnote>
  <w:footnote w:id="9">
    <w:p w14:paraId="59E47343" w14:textId="71C497AF" w:rsidR="00390B83" w:rsidRPr="00F612C9" w:rsidRDefault="00390B83" w:rsidP="00390B83">
      <w:pPr>
        <w:pStyle w:val="FootnoteText"/>
      </w:pPr>
      <w:r>
        <w:rPr>
          <w:rStyle w:val="FootnoteReference"/>
        </w:rPr>
        <w:footnoteRef/>
      </w:r>
      <w:r>
        <w:t xml:space="preserve"> Olivier </w:t>
      </w:r>
      <w:proofErr w:type="spellStart"/>
      <w:r>
        <w:t>B</w:t>
      </w:r>
      <w:r>
        <w:rPr>
          <w:rFonts w:cstheme="minorHAnsi"/>
        </w:rPr>
        <w:t>ü</w:t>
      </w:r>
      <w:r>
        <w:t>chsensch</w:t>
      </w:r>
      <w:r>
        <w:rPr>
          <w:rFonts w:cstheme="minorHAnsi"/>
        </w:rPr>
        <w:t>ü</w:t>
      </w:r>
      <w:r>
        <w:t>tz</w:t>
      </w:r>
      <w:proofErr w:type="spellEnd"/>
      <w:r>
        <w:t xml:space="preserve">, ‘The Celts In France’, in </w:t>
      </w:r>
      <w:r>
        <w:rPr>
          <w:i/>
          <w:iCs/>
        </w:rPr>
        <w:t>The Celtic World</w:t>
      </w:r>
      <w:r>
        <w:t>,</w:t>
      </w:r>
      <w:r>
        <w:rPr>
          <w:i/>
          <w:iCs/>
        </w:rPr>
        <w:t xml:space="preserve"> </w:t>
      </w:r>
      <w:r w:rsidRPr="00F612C9">
        <w:t>ed. by Miranda J. Green</w:t>
      </w:r>
      <w:r>
        <w:t>, (London: Routledge, 1996), pp. 552–580 (p. 568).</w:t>
      </w:r>
    </w:p>
  </w:footnote>
  <w:footnote w:id="10">
    <w:p w14:paraId="42A13E8B" w14:textId="69F83093" w:rsidR="00F84755" w:rsidRPr="00F84755" w:rsidRDefault="00F84755">
      <w:pPr>
        <w:pStyle w:val="FootnoteText"/>
      </w:pPr>
      <w:r>
        <w:rPr>
          <w:rStyle w:val="FootnoteReference"/>
        </w:rPr>
        <w:footnoteRef/>
      </w:r>
      <w:r>
        <w:t xml:space="preserve"> Peter S. Wells, ‘ Trade And Exchange’ in </w:t>
      </w:r>
      <w:r>
        <w:rPr>
          <w:i/>
          <w:iCs/>
        </w:rPr>
        <w:t>The Celtic World</w:t>
      </w:r>
      <w:r>
        <w:t>, ed. by Miranda J. Green, (London: Routledge, 1996), pp. 230–243</w:t>
      </w:r>
      <w:r w:rsidR="00F76B09">
        <w:t>, (p. 239).</w:t>
      </w:r>
    </w:p>
  </w:footnote>
  <w:footnote w:id="11">
    <w:p w14:paraId="174AD009" w14:textId="64F3D7FE" w:rsidR="00103BC4" w:rsidRPr="00103BC4" w:rsidRDefault="00103BC4">
      <w:pPr>
        <w:pStyle w:val="FootnoteText"/>
      </w:pPr>
      <w:r>
        <w:rPr>
          <w:rStyle w:val="FootnoteReference"/>
        </w:rPr>
        <w:footnoteRef/>
      </w:r>
      <w:r>
        <w:t xml:space="preserve"> Martyn </w:t>
      </w:r>
      <w:proofErr w:type="spellStart"/>
      <w:r>
        <w:t>Jope</w:t>
      </w:r>
      <w:proofErr w:type="spellEnd"/>
      <w:r>
        <w:t xml:space="preserve">, ‘The Social Implications Of Celtic Art: 600 BC To AD 600’, in </w:t>
      </w:r>
      <w:r>
        <w:rPr>
          <w:i/>
          <w:iCs/>
        </w:rPr>
        <w:t>The Celtic World</w:t>
      </w:r>
      <w:r>
        <w:t>, ed. by Miranda J. Green, (London: Routledge, 1996), pp. 376–410, (p. 379).</w:t>
      </w:r>
    </w:p>
  </w:footnote>
  <w:footnote w:id="12">
    <w:p w14:paraId="0F2061BA" w14:textId="12391417" w:rsidR="00DE6950" w:rsidRPr="00DE6950" w:rsidRDefault="00DE6950">
      <w:pPr>
        <w:pStyle w:val="FootnoteText"/>
      </w:pPr>
      <w:r>
        <w:rPr>
          <w:rStyle w:val="FootnoteReference"/>
        </w:rPr>
        <w:footnoteRef/>
      </w:r>
      <w:r>
        <w:t xml:space="preserve"> Annette Weiner, </w:t>
      </w:r>
      <w:r>
        <w:rPr>
          <w:i/>
          <w:iCs/>
        </w:rPr>
        <w:t>Inalienable Possessions: The Paradox Of Keeping While Giving</w:t>
      </w:r>
      <w:r>
        <w:t>, (Berkeley: California University Press, 1992).</w:t>
      </w:r>
    </w:p>
  </w:footnote>
  <w:footnote w:id="13">
    <w:p w14:paraId="05243183" w14:textId="65494ACB" w:rsidR="00165651" w:rsidRPr="00165651" w:rsidRDefault="00165651">
      <w:pPr>
        <w:pStyle w:val="FootnoteText"/>
      </w:pPr>
      <w:r>
        <w:rPr>
          <w:rStyle w:val="FootnoteReference"/>
        </w:rPr>
        <w:footnoteRef/>
      </w:r>
      <w:r>
        <w:t xml:space="preserve"> Polly </w:t>
      </w:r>
      <w:proofErr w:type="spellStart"/>
      <w:r>
        <w:t>Weissner</w:t>
      </w:r>
      <w:proofErr w:type="spellEnd"/>
      <w:r>
        <w:t>, ‘Reconsidering The Behavioural Basis For Style: A Case-Study Among The Kalahari San’,</w:t>
      </w:r>
      <w:r>
        <w:rPr>
          <w:i/>
          <w:iCs/>
        </w:rPr>
        <w:t xml:space="preserve"> Journal Of Anthropological Archaeology</w:t>
      </w:r>
      <w:r>
        <w:t>, 3 (1984), 190–234.</w:t>
      </w:r>
    </w:p>
  </w:footnote>
  <w:footnote w:id="14">
    <w:p w14:paraId="66505E54" w14:textId="0A769C94" w:rsidR="00574E80" w:rsidRDefault="00574E80">
      <w:pPr>
        <w:pStyle w:val="FootnoteText"/>
      </w:pPr>
      <w:r>
        <w:rPr>
          <w:rStyle w:val="FootnoteReference"/>
        </w:rPr>
        <w:footnoteRef/>
      </w:r>
      <w:r>
        <w:t xml:space="preserve"> Polly </w:t>
      </w:r>
      <w:proofErr w:type="spellStart"/>
      <w:r>
        <w:t>Weissner</w:t>
      </w:r>
      <w:proofErr w:type="spellEnd"/>
      <w:r>
        <w:t xml:space="preserve">, ‘Style And Social Information In Kalahari San Projectile Points’, </w:t>
      </w:r>
      <w:r>
        <w:rPr>
          <w:i/>
          <w:iCs/>
        </w:rPr>
        <w:t>American Antiquity</w:t>
      </w:r>
      <w:r>
        <w:t>, 48.2 (1983), 253–276, (p. 256).</w:t>
      </w:r>
    </w:p>
  </w:footnote>
  <w:footnote w:id="15">
    <w:p w14:paraId="226DDEB5" w14:textId="1E63AA1C" w:rsidR="00541978" w:rsidRDefault="00541978">
      <w:pPr>
        <w:pStyle w:val="FootnoteText"/>
      </w:pPr>
      <w:r>
        <w:rPr>
          <w:rStyle w:val="FootnoteReference"/>
        </w:rPr>
        <w:footnoteRef/>
      </w:r>
      <w:r>
        <w:t xml:space="preserve"> </w:t>
      </w:r>
      <w:proofErr w:type="spellStart"/>
      <w:r>
        <w:t>Weissner</w:t>
      </w:r>
      <w:proofErr w:type="spellEnd"/>
      <w:r>
        <w:t>, (1984), p. 192.</w:t>
      </w:r>
    </w:p>
  </w:footnote>
  <w:footnote w:id="16">
    <w:p w14:paraId="743049DA" w14:textId="177A4C6F" w:rsidR="00A6091F" w:rsidRDefault="00A6091F">
      <w:pPr>
        <w:pStyle w:val="FootnoteText"/>
      </w:pPr>
      <w:r>
        <w:rPr>
          <w:rStyle w:val="FootnoteReference"/>
        </w:rPr>
        <w:footnoteRef/>
      </w:r>
      <w:r>
        <w:t xml:space="preserve"> Ibid, p. 258.</w:t>
      </w:r>
    </w:p>
  </w:footnote>
  <w:footnote w:id="17">
    <w:p w14:paraId="57BD641C" w14:textId="5E324263" w:rsidR="002049C8" w:rsidRPr="002049C8" w:rsidRDefault="002049C8">
      <w:pPr>
        <w:pStyle w:val="FootnoteText"/>
      </w:pPr>
      <w:r>
        <w:rPr>
          <w:rStyle w:val="FootnoteReference"/>
        </w:rPr>
        <w:footnoteRef/>
      </w:r>
      <w:r>
        <w:t xml:space="preserve"> </w:t>
      </w:r>
      <w:proofErr w:type="spellStart"/>
      <w:r>
        <w:t>Vix</w:t>
      </w:r>
      <w:proofErr w:type="spellEnd"/>
      <w:r>
        <w:t xml:space="preserve"> Mus</w:t>
      </w:r>
      <w:r>
        <w:rPr>
          <w:rFonts w:cstheme="minorHAnsi"/>
        </w:rPr>
        <w:t>é</w:t>
      </w:r>
      <w:r>
        <w:t xml:space="preserve">e Website, </w:t>
      </w:r>
      <w:r>
        <w:rPr>
          <w:i/>
          <w:iCs/>
        </w:rPr>
        <w:t>The Bronze Oinochoe</w:t>
      </w:r>
      <w:r>
        <w:t>.</w:t>
      </w:r>
    </w:p>
  </w:footnote>
  <w:footnote w:id="18">
    <w:p w14:paraId="6AD70B6C" w14:textId="2D0B3357" w:rsidR="004A4FBA" w:rsidRPr="004A4FBA" w:rsidRDefault="004A4FBA">
      <w:pPr>
        <w:pStyle w:val="FootnoteText"/>
      </w:pPr>
      <w:r>
        <w:rPr>
          <w:rStyle w:val="FootnoteReference"/>
        </w:rPr>
        <w:footnoteRef/>
      </w:r>
      <w:r>
        <w:t xml:space="preserve"> </w:t>
      </w:r>
      <w:proofErr w:type="spellStart"/>
      <w:r>
        <w:t>Vix</w:t>
      </w:r>
      <w:proofErr w:type="spellEnd"/>
      <w:r>
        <w:t xml:space="preserve"> Website, </w:t>
      </w:r>
      <w:r>
        <w:rPr>
          <w:i/>
          <w:iCs/>
        </w:rPr>
        <w:t>Crater Accessories</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AA5"/>
    <w:rsid w:val="0001580B"/>
    <w:rsid w:val="00022247"/>
    <w:rsid w:val="000832F6"/>
    <w:rsid w:val="00084F66"/>
    <w:rsid w:val="000A56B4"/>
    <w:rsid w:val="000B5811"/>
    <w:rsid w:val="000D0B59"/>
    <w:rsid w:val="000E0AF2"/>
    <w:rsid w:val="000E4CC4"/>
    <w:rsid w:val="00100F55"/>
    <w:rsid w:val="0010255C"/>
    <w:rsid w:val="00103BC4"/>
    <w:rsid w:val="00106C25"/>
    <w:rsid w:val="00125BBA"/>
    <w:rsid w:val="0013166C"/>
    <w:rsid w:val="00140180"/>
    <w:rsid w:val="00141861"/>
    <w:rsid w:val="00151F28"/>
    <w:rsid w:val="0015480F"/>
    <w:rsid w:val="00165651"/>
    <w:rsid w:val="00172873"/>
    <w:rsid w:val="00176C79"/>
    <w:rsid w:val="001A4C70"/>
    <w:rsid w:val="001C00A8"/>
    <w:rsid w:val="001C03DE"/>
    <w:rsid w:val="001D00E4"/>
    <w:rsid w:val="001D2592"/>
    <w:rsid w:val="001E6675"/>
    <w:rsid w:val="0020139B"/>
    <w:rsid w:val="00202B50"/>
    <w:rsid w:val="002049C8"/>
    <w:rsid w:val="0020722B"/>
    <w:rsid w:val="002130FD"/>
    <w:rsid w:val="002211CB"/>
    <w:rsid w:val="002234C1"/>
    <w:rsid w:val="00234531"/>
    <w:rsid w:val="00242D84"/>
    <w:rsid w:val="00243E9B"/>
    <w:rsid w:val="002726B8"/>
    <w:rsid w:val="00285522"/>
    <w:rsid w:val="002D0E3E"/>
    <w:rsid w:val="002D3378"/>
    <w:rsid w:val="002E4DB9"/>
    <w:rsid w:val="00306F1A"/>
    <w:rsid w:val="00307C03"/>
    <w:rsid w:val="00341286"/>
    <w:rsid w:val="00344B96"/>
    <w:rsid w:val="00385A52"/>
    <w:rsid w:val="00386648"/>
    <w:rsid w:val="00390B83"/>
    <w:rsid w:val="003A7D94"/>
    <w:rsid w:val="003B7EAA"/>
    <w:rsid w:val="003C5BDE"/>
    <w:rsid w:val="003D69FC"/>
    <w:rsid w:val="003F15BF"/>
    <w:rsid w:val="00452256"/>
    <w:rsid w:val="00461F40"/>
    <w:rsid w:val="004623DD"/>
    <w:rsid w:val="00473C9B"/>
    <w:rsid w:val="0048080D"/>
    <w:rsid w:val="0048177A"/>
    <w:rsid w:val="004826F2"/>
    <w:rsid w:val="00493C58"/>
    <w:rsid w:val="004A06B3"/>
    <w:rsid w:val="004A4A2F"/>
    <w:rsid w:val="004A4FBA"/>
    <w:rsid w:val="004C4890"/>
    <w:rsid w:val="004D29D0"/>
    <w:rsid w:val="004E15FD"/>
    <w:rsid w:val="0050084A"/>
    <w:rsid w:val="00504A66"/>
    <w:rsid w:val="00522CDA"/>
    <w:rsid w:val="00541978"/>
    <w:rsid w:val="0055032F"/>
    <w:rsid w:val="005546DB"/>
    <w:rsid w:val="00567290"/>
    <w:rsid w:val="00574E80"/>
    <w:rsid w:val="005755DC"/>
    <w:rsid w:val="00583E59"/>
    <w:rsid w:val="00593CF4"/>
    <w:rsid w:val="005A212A"/>
    <w:rsid w:val="005A2DFE"/>
    <w:rsid w:val="005A76B8"/>
    <w:rsid w:val="005B09C7"/>
    <w:rsid w:val="005C392C"/>
    <w:rsid w:val="005E63CF"/>
    <w:rsid w:val="005F1702"/>
    <w:rsid w:val="00614E5B"/>
    <w:rsid w:val="00622A41"/>
    <w:rsid w:val="00635AAB"/>
    <w:rsid w:val="006447C0"/>
    <w:rsid w:val="00680183"/>
    <w:rsid w:val="006A3F08"/>
    <w:rsid w:val="006C005C"/>
    <w:rsid w:val="006C64DE"/>
    <w:rsid w:val="006D1AD3"/>
    <w:rsid w:val="006E295A"/>
    <w:rsid w:val="006F0B57"/>
    <w:rsid w:val="006F4B22"/>
    <w:rsid w:val="006F5B71"/>
    <w:rsid w:val="0071246B"/>
    <w:rsid w:val="00757167"/>
    <w:rsid w:val="007571F5"/>
    <w:rsid w:val="00767AA7"/>
    <w:rsid w:val="00767DD2"/>
    <w:rsid w:val="00785868"/>
    <w:rsid w:val="0078785E"/>
    <w:rsid w:val="00790A12"/>
    <w:rsid w:val="007C16AF"/>
    <w:rsid w:val="007C196D"/>
    <w:rsid w:val="007D369B"/>
    <w:rsid w:val="007F11AA"/>
    <w:rsid w:val="007F368D"/>
    <w:rsid w:val="008A3BBC"/>
    <w:rsid w:val="008B2229"/>
    <w:rsid w:val="008D1FE2"/>
    <w:rsid w:val="008D2899"/>
    <w:rsid w:val="0090276C"/>
    <w:rsid w:val="009117BB"/>
    <w:rsid w:val="00915C3F"/>
    <w:rsid w:val="00920781"/>
    <w:rsid w:val="00924F8C"/>
    <w:rsid w:val="0093668C"/>
    <w:rsid w:val="00941593"/>
    <w:rsid w:val="00945E47"/>
    <w:rsid w:val="00957834"/>
    <w:rsid w:val="00993966"/>
    <w:rsid w:val="009B442C"/>
    <w:rsid w:val="009F0B11"/>
    <w:rsid w:val="009F5178"/>
    <w:rsid w:val="00A074DA"/>
    <w:rsid w:val="00A14F1A"/>
    <w:rsid w:val="00A27A0E"/>
    <w:rsid w:val="00A41427"/>
    <w:rsid w:val="00A437C9"/>
    <w:rsid w:val="00A460DB"/>
    <w:rsid w:val="00A5469A"/>
    <w:rsid w:val="00A57515"/>
    <w:rsid w:val="00A6091F"/>
    <w:rsid w:val="00A71BF6"/>
    <w:rsid w:val="00A7212E"/>
    <w:rsid w:val="00AC2646"/>
    <w:rsid w:val="00AC552E"/>
    <w:rsid w:val="00AD74DB"/>
    <w:rsid w:val="00AE0D99"/>
    <w:rsid w:val="00AE6229"/>
    <w:rsid w:val="00AF1275"/>
    <w:rsid w:val="00B01FBF"/>
    <w:rsid w:val="00B10513"/>
    <w:rsid w:val="00B123DE"/>
    <w:rsid w:val="00B13C41"/>
    <w:rsid w:val="00B152A7"/>
    <w:rsid w:val="00B2561E"/>
    <w:rsid w:val="00B31601"/>
    <w:rsid w:val="00B35D80"/>
    <w:rsid w:val="00B707A0"/>
    <w:rsid w:val="00B74348"/>
    <w:rsid w:val="00B80721"/>
    <w:rsid w:val="00BB059C"/>
    <w:rsid w:val="00BC3D07"/>
    <w:rsid w:val="00BE1372"/>
    <w:rsid w:val="00C061AC"/>
    <w:rsid w:val="00C12D8F"/>
    <w:rsid w:val="00C40FE9"/>
    <w:rsid w:val="00C52343"/>
    <w:rsid w:val="00C668A9"/>
    <w:rsid w:val="00C83AA5"/>
    <w:rsid w:val="00C94A87"/>
    <w:rsid w:val="00CC5A95"/>
    <w:rsid w:val="00CD52D0"/>
    <w:rsid w:val="00D16684"/>
    <w:rsid w:val="00D205AF"/>
    <w:rsid w:val="00D543D6"/>
    <w:rsid w:val="00D65F19"/>
    <w:rsid w:val="00D66282"/>
    <w:rsid w:val="00D702BE"/>
    <w:rsid w:val="00D71F92"/>
    <w:rsid w:val="00D815F7"/>
    <w:rsid w:val="00DA2C64"/>
    <w:rsid w:val="00DB5A2D"/>
    <w:rsid w:val="00DC026F"/>
    <w:rsid w:val="00DC2CBD"/>
    <w:rsid w:val="00DC7C80"/>
    <w:rsid w:val="00DE6950"/>
    <w:rsid w:val="00DF466A"/>
    <w:rsid w:val="00E0171C"/>
    <w:rsid w:val="00E42B63"/>
    <w:rsid w:val="00E61F4F"/>
    <w:rsid w:val="00E72A6B"/>
    <w:rsid w:val="00E857CB"/>
    <w:rsid w:val="00E9140E"/>
    <w:rsid w:val="00E9171E"/>
    <w:rsid w:val="00E97E0B"/>
    <w:rsid w:val="00EB2F6F"/>
    <w:rsid w:val="00EB50A3"/>
    <w:rsid w:val="00EC5ED1"/>
    <w:rsid w:val="00EE019B"/>
    <w:rsid w:val="00EF0934"/>
    <w:rsid w:val="00EF3104"/>
    <w:rsid w:val="00F0192C"/>
    <w:rsid w:val="00F06B27"/>
    <w:rsid w:val="00F24977"/>
    <w:rsid w:val="00F24D1C"/>
    <w:rsid w:val="00F37F93"/>
    <w:rsid w:val="00F46AB0"/>
    <w:rsid w:val="00F612C9"/>
    <w:rsid w:val="00F76B09"/>
    <w:rsid w:val="00F84755"/>
    <w:rsid w:val="00F91EF5"/>
    <w:rsid w:val="00F9251F"/>
    <w:rsid w:val="00FA7F2E"/>
    <w:rsid w:val="00FC4C12"/>
    <w:rsid w:val="00FC7365"/>
    <w:rsid w:val="00FC7C93"/>
    <w:rsid w:val="00FD1889"/>
    <w:rsid w:val="00FD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BB109"/>
  <w15:chartTrackingRefBased/>
  <w15:docId w15:val="{EE865F19-D6D9-4914-B06F-B78DC563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1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726B8"/>
    <w:rPr>
      <w:sz w:val="20"/>
      <w:szCs w:val="20"/>
    </w:rPr>
  </w:style>
  <w:style w:type="character" w:customStyle="1" w:styleId="FootnoteTextChar">
    <w:name w:val="Footnote Text Char"/>
    <w:basedOn w:val="DefaultParagraphFont"/>
    <w:link w:val="FootnoteText"/>
    <w:uiPriority w:val="99"/>
    <w:semiHidden/>
    <w:rsid w:val="002726B8"/>
    <w:rPr>
      <w:sz w:val="20"/>
      <w:szCs w:val="20"/>
    </w:rPr>
  </w:style>
  <w:style w:type="character" w:styleId="FootnoteReference">
    <w:name w:val="footnote reference"/>
    <w:basedOn w:val="DefaultParagraphFont"/>
    <w:uiPriority w:val="99"/>
    <w:semiHidden/>
    <w:unhideWhenUsed/>
    <w:rsid w:val="002726B8"/>
    <w:rPr>
      <w:vertAlign w:val="superscript"/>
    </w:rPr>
  </w:style>
  <w:style w:type="character" w:styleId="Hyperlink">
    <w:name w:val="Hyperlink"/>
    <w:basedOn w:val="DefaultParagraphFont"/>
    <w:uiPriority w:val="99"/>
    <w:unhideWhenUsed/>
    <w:rsid w:val="00785868"/>
    <w:rPr>
      <w:color w:val="0563C1" w:themeColor="hyperlink"/>
      <w:u w:val="single"/>
    </w:rPr>
  </w:style>
  <w:style w:type="character" w:styleId="UnresolvedMention">
    <w:name w:val="Unresolved Mention"/>
    <w:basedOn w:val="DefaultParagraphFont"/>
    <w:uiPriority w:val="99"/>
    <w:semiHidden/>
    <w:unhideWhenUsed/>
    <w:rsid w:val="00785868"/>
    <w:rPr>
      <w:color w:val="605E5C"/>
      <w:shd w:val="clear" w:color="auto" w:fill="E1DFDD"/>
    </w:rPr>
  </w:style>
  <w:style w:type="paragraph" w:styleId="Header">
    <w:name w:val="header"/>
    <w:basedOn w:val="Normal"/>
    <w:link w:val="HeaderChar"/>
    <w:uiPriority w:val="99"/>
    <w:unhideWhenUsed/>
    <w:rsid w:val="008A3BBC"/>
    <w:pPr>
      <w:tabs>
        <w:tab w:val="center" w:pos="4513"/>
        <w:tab w:val="right" w:pos="9026"/>
      </w:tabs>
    </w:pPr>
  </w:style>
  <w:style w:type="character" w:customStyle="1" w:styleId="HeaderChar">
    <w:name w:val="Header Char"/>
    <w:basedOn w:val="DefaultParagraphFont"/>
    <w:link w:val="Header"/>
    <w:uiPriority w:val="99"/>
    <w:rsid w:val="008A3BBC"/>
  </w:style>
  <w:style w:type="paragraph" w:styleId="Footer">
    <w:name w:val="footer"/>
    <w:basedOn w:val="Normal"/>
    <w:link w:val="FooterChar"/>
    <w:uiPriority w:val="99"/>
    <w:unhideWhenUsed/>
    <w:rsid w:val="008A3BBC"/>
    <w:pPr>
      <w:tabs>
        <w:tab w:val="center" w:pos="4513"/>
        <w:tab w:val="right" w:pos="9026"/>
      </w:tabs>
    </w:pPr>
  </w:style>
  <w:style w:type="character" w:customStyle="1" w:styleId="FooterChar">
    <w:name w:val="Footer Char"/>
    <w:basedOn w:val="DefaultParagraphFont"/>
    <w:link w:val="Footer"/>
    <w:uiPriority w:val="99"/>
    <w:rsid w:val="008A3B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musee-vix.f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musee-vix.fr/visite-collection/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6666E-7E81-4305-AC80-0045A07A5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6</Pages>
  <Words>2513</Words>
  <Characters>14325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 (2011977)</dc:creator>
  <cp:keywords/>
  <dc:description/>
  <cp:lastModifiedBy>Samantha Jane Maclaren (2011977)</cp:lastModifiedBy>
  <cp:revision>190</cp:revision>
  <dcterms:created xsi:type="dcterms:W3CDTF">2023-02-23T15:38:00Z</dcterms:created>
  <dcterms:modified xsi:type="dcterms:W3CDTF">2023-03-13T14:28:00Z</dcterms:modified>
</cp:coreProperties>
</file>