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B249A" w14:textId="1384890C" w:rsidR="00EA47DF" w:rsidRPr="00041BFC" w:rsidRDefault="000C348C" w:rsidP="00041BFC">
      <w:pPr>
        <w:pStyle w:val="Normal1"/>
        <w:spacing w:before="240" w:after="240"/>
        <w:jc w:val="center"/>
        <w:rPr>
          <w:b/>
          <w:sz w:val="48"/>
          <w:szCs w:val="48"/>
          <w:lang w:val="en-GB"/>
        </w:rPr>
      </w:pPr>
      <w:r w:rsidRPr="00A9471E">
        <w:rPr>
          <w:b/>
          <w:sz w:val="32"/>
          <w:szCs w:val="32"/>
          <w:lang w:val="en-GB"/>
        </w:rPr>
        <w:t xml:space="preserve"> </w:t>
      </w:r>
      <w:r w:rsidR="00041BFC" w:rsidRPr="00041BFC">
        <w:rPr>
          <w:b/>
          <w:sz w:val="48"/>
          <w:szCs w:val="48"/>
          <w:lang w:val="en-GB"/>
        </w:rPr>
        <w:t>LCBB6002</w:t>
      </w:r>
    </w:p>
    <w:p w14:paraId="0AC36298" w14:textId="01D38464" w:rsidR="00EA47DF" w:rsidRPr="00A9471E" w:rsidRDefault="000C348C" w:rsidP="00041BFC">
      <w:pPr>
        <w:pStyle w:val="Normal1"/>
        <w:spacing w:before="240" w:after="240"/>
        <w:jc w:val="center"/>
        <w:rPr>
          <w:b/>
          <w:sz w:val="32"/>
          <w:szCs w:val="32"/>
          <w:lang w:val="en-GB"/>
        </w:rPr>
      </w:pPr>
      <w:r w:rsidRPr="00A9471E">
        <w:rPr>
          <w:b/>
          <w:sz w:val="32"/>
          <w:szCs w:val="32"/>
          <w:lang w:val="en-GB"/>
        </w:rPr>
        <w:t xml:space="preserve">  </w:t>
      </w:r>
    </w:p>
    <w:p w14:paraId="04AA14EC" w14:textId="77777777" w:rsidR="00EA47DF" w:rsidRPr="00A9471E" w:rsidRDefault="000C348C">
      <w:pPr>
        <w:pStyle w:val="Normal1"/>
        <w:spacing w:before="240" w:after="240"/>
        <w:jc w:val="center"/>
        <w:rPr>
          <w:b/>
          <w:sz w:val="32"/>
          <w:szCs w:val="32"/>
          <w:lang w:val="en-GB"/>
        </w:rPr>
      </w:pPr>
      <w:r w:rsidRPr="00A9471E">
        <w:rPr>
          <w:b/>
          <w:sz w:val="32"/>
          <w:szCs w:val="32"/>
          <w:lang w:val="en-GB"/>
        </w:rPr>
        <w:t xml:space="preserve"> </w:t>
      </w:r>
    </w:p>
    <w:p w14:paraId="0BF161F4" w14:textId="77777777" w:rsidR="00EA47DF" w:rsidRPr="00041BFC" w:rsidRDefault="000C348C">
      <w:pPr>
        <w:pStyle w:val="Normal1"/>
        <w:spacing w:before="240" w:after="240"/>
        <w:jc w:val="center"/>
        <w:rPr>
          <w:b/>
          <w:sz w:val="36"/>
          <w:szCs w:val="36"/>
          <w:lang w:val="en-GB"/>
        </w:rPr>
      </w:pPr>
      <w:r w:rsidRPr="00041BFC">
        <w:rPr>
          <w:b/>
          <w:sz w:val="36"/>
          <w:szCs w:val="36"/>
          <w:lang w:val="en-GB"/>
        </w:rPr>
        <w:t>ASSESSMENT 1</w:t>
      </w:r>
    </w:p>
    <w:p w14:paraId="4647744E" w14:textId="77777777" w:rsidR="00EA47DF" w:rsidRPr="00041BFC" w:rsidRDefault="000C348C">
      <w:pPr>
        <w:pStyle w:val="Normal1"/>
        <w:spacing w:before="240" w:after="240"/>
        <w:jc w:val="center"/>
        <w:rPr>
          <w:b/>
          <w:sz w:val="36"/>
          <w:szCs w:val="36"/>
          <w:lang w:val="en-GB"/>
        </w:rPr>
      </w:pPr>
      <w:r w:rsidRPr="00041BFC">
        <w:rPr>
          <w:b/>
          <w:sz w:val="36"/>
          <w:szCs w:val="36"/>
          <w:lang w:val="en-GB"/>
        </w:rPr>
        <w:t>INTERNATIONAL FINANCIAL MANAGEMENT</w:t>
      </w:r>
    </w:p>
    <w:p w14:paraId="7B570234" w14:textId="77777777" w:rsidR="00041BFC" w:rsidRDefault="00041BFC">
      <w:pPr>
        <w:pStyle w:val="Normal1"/>
        <w:jc w:val="center"/>
        <w:rPr>
          <w:lang w:val="en-GB"/>
        </w:rPr>
      </w:pPr>
    </w:p>
    <w:p w14:paraId="15ED251D" w14:textId="77777777" w:rsidR="00041BFC" w:rsidRDefault="00041BFC">
      <w:pPr>
        <w:pStyle w:val="Normal1"/>
        <w:jc w:val="center"/>
        <w:rPr>
          <w:lang w:val="en-GB"/>
        </w:rPr>
      </w:pPr>
    </w:p>
    <w:p w14:paraId="5D281DAB" w14:textId="77777777" w:rsidR="00041BFC" w:rsidRDefault="00041BFC">
      <w:pPr>
        <w:pStyle w:val="Normal1"/>
        <w:jc w:val="center"/>
        <w:rPr>
          <w:lang w:val="en-GB"/>
        </w:rPr>
      </w:pPr>
    </w:p>
    <w:p w14:paraId="14317BB9" w14:textId="77777777" w:rsidR="00041BFC" w:rsidRDefault="00041BFC">
      <w:pPr>
        <w:pStyle w:val="Normal1"/>
        <w:jc w:val="center"/>
        <w:rPr>
          <w:lang w:val="en-GB"/>
        </w:rPr>
      </w:pPr>
    </w:p>
    <w:p w14:paraId="2016BF4B" w14:textId="77777777" w:rsidR="00041BFC" w:rsidRDefault="00041BFC">
      <w:pPr>
        <w:pStyle w:val="Normal1"/>
        <w:jc w:val="center"/>
        <w:rPr>
          <w:lang w:val="en-GB"/>
        </w:rPr>
      </w:pPr>
    </w:p>
    <w:p w14:paraId="7F5F461B" w14:textId="77777777" w:rsidR="00041BFC" w:rsidRDefault="00041BFC">
      <w:pPr>
        <w:pStyle w:val="Normal1"/>
        <w:jc w:val="center"/>
        <w:rPr>
          <w:lang w:val="en-GB"/>
        </w:rPr>
      </w:pPr>
    </w:p>
    <w:p w14:paraId="59385B91" w14:textId="77777777" w:rsidR="00041BFC" w:rsidRPr="00041BFC" w:rsidRDefault="00041BFC" w:rsidP="00041BFC">
      <w:pPr>
        <w:pStyle w:val="Normal1"/>
        <w:jc w:val="left"/>
        <w:rPr>
          <w:b/>
          <w:bCs/>
          <w:sz w:val="32"/>
          <w:szCs w:val="32"/>
          <w:lang w:val="en-GB"/>
        </w:rPr>
      </w:pPr>
      <w:r w:rsidRPr="00041BFC">
        <w:rPr>
          <w:b/>
          <w:bCs/>
          <w:sz w:val="32"/>
          <w:szCs w:val="32"/>
          <w:lang w:val="en-GB"/>
        </w:rPr>
        <w:t>Student name: Carmen Elena Albert</w:t>
      </w:r>
    </w:p>
    <w:p w14:paraId="66292BC2" w14:textId="77777777" w:rsidR="00041BFC" w:rsidRPr="00041BFC" w:rsidRDefault="00041BFC" w:rsidP="00041BFC">
      <w:pPr>
        <w:pStyle w:val="Normal1"/>
        <w:jc w:val="left"/>
        <w:rPr>
          <w:b/>
          <w:bCs/>
          <w:sz w:val="32"/>
          <w:szCs w:val="32"/>
          <w:lang w:val="en-GB"/>
        </w:rPr>
      </w:pPr>
      <w:r w:rsidRPr="00041BFC">
        <w:rPr>
          <w:b/>
          <w:bCs/>
          <w:sz w:val="32"/>
          <w:szCs w:val="32"/>
          <w:lang w:val="en-GB"/>
        </w:rPr>
        <w:t>Student ID:2014069</w:t>
      </w:r>
    </w:p>
    <w:p w14:paraId="3E45A3AF" w14:textId="7DB5B7A1" w:rsidR="00EA47DF" w:rsidRPr="00A9471E" w:rsidRDefault="00041BFC" w:rsidP="00041BFC">
      <w:pPr>
        <w:pStyle w:val="Normal1"/>
        <w:jc w:val="left"/>
        <w:rPr>
          <w:b/>
          <w:lang w:val="en-GB"/>
        </w:rPr>
      </w:pPr>
      <w:r w:rsidRPr="00041BFC">
        <w:rPr>
          <w:b/>
          <w:bCs/>
          <w:sz w:val="32"/>
          <w:szCs w:val="32"/>
          <w:lang w:val="en-GB"/>
        </w:rPr>
        <w:t xml:space="preserve">Lecturer name: </w:t>
      </w:r>
      <w:r w:rsidRPr="00041BFC">
        <w:rPr>
          <w:b/>
          <w:bCs/>
          <w:sz w:val="32"/>
          <w:szCs w:val="32"/>
        </w:rPr>
        <w:t>Dr. Konstantina Mari</w:t>
      </w:r>
      <w:r w:rsidR="000C348C" w:rsidRPr="00A9471E">
        <w:rPr>
          <w:lang w:val="en-GB"/>
        </w:rPr>
        <w:br w:type="page"/>
      </w:r>
    </w:p>
    <w:p w14:paraId="10A55821" w14:textId="77777777" w:rsidR="00A9471E" w:rsidRPr="00A9471E" w:rsidRDefault="000C348C">
      <w:pPr>
        <w:pStyle w:val="Normal1"/>
        <w:jc w:val="center"/>
        <w:rPr>
          <w:b/>
          <w:lang w:val="en-GB"/>
        </w:rPr>
      </w:pPr>
      <w:r w:rsidRPr="00A9471E">
        <w:rPr>
          <w:b/>
          <w:lang w:val="en-GB"/>
        </w:rPr>
        <w:lastRenderedPageBreak/>
        <w:t>Table of Contents</w:t>
      </w:r>
    </w:p>
    <w:p w14:paraId="32329E84" w14:textId="77777777" w:rsidR="00A9471E" w:rsidRPr="00A9471E" w:rsidRDefault="00A9471E">
      <w:pPr>
        <w:pStyle w:val="TOC1"/>
        <w:tabs>
          <w:tab w:val="right" w:leader="dot" w:pos="9019"/>
        </w:tabs>
        <w:rPr>
          <w:noProof/>
          <w:lang w:val="en-GB"/>
        </w:rPr>
      </w:pPr>
      <w:r w:rsidRPr="00A9471E">
        <w:rPr>
          <w:lang w:val="en-GB"/>
        </w:rPr>
        <w:fldChar w:fldCharType="begin"/>
      </w:r>
      <w:r w:rsidRPr="00A9471E">
        <w:rPr>
          <w:lang w:val="en-GB"/>
        </w:rPr>
        <w:instrText xml:space="preserve"> TOC \o "1-3" \h \z \u </w:instrText>
      </w:r>
      <w:r w:rsidRPr="00A9471E">
        <w:rPr>
          <w:lang w:val="en-GB"/>
        </w:rPr>
        <w:fldChar w:fldCharType="separate"/>
      </w:r>
      <w:hyperlink w:anchor="_Toc123733800" w:history="1">
        <w:r w:rsidRPr="00A9471E">
          <w:rPr>
            <w:rStyle w:val="Hyperlink"/>
            <w:noProof/>
            <w:lang w:val="en-GB"/>
          </w:rPr>
          <w:t>Introduction</w:t>
        </w:r>
        <w:r w:rsidRPr="00A9471E">
          <w:rPr>
            <w:noProof/>
            <w:webHidden/>
            <w:lang w:val="en-GB"/>
          </w:rPr>
          <w:tab/>
        </w:r>
        <w:r w:rsidRPr="00A9471E">
          <w:rPr>
            <w:noProof/>
            <w:webHidden/>
            <w:lang w:val="en-GB"/>
          </w:rPr>
          <w:fldChar w:fldCharType="begin"/>
        </w:r>
        <w:r w:rsidRPr="00A9471E">
          <w:rPr>
            <w:noProof/>
            <w:webHidden/>
            <w:lang w:val="en-GB"/>
          </w:rPr>
          <w:instrText xml:space="preserve"> PAGEREF _Toc123733800 \h </w:instrText>
        </w:r>
        <w:r w:rsidRPr="00A9471E">
          <w:rPr>
            <w:noProof/>
            <w:webHidden/>
            <w:lang w:val="en-GB"/>
          </w:rPr>
        </w:r>
        <w:r w:rsidRPr="00A9471E">
          <w:rPr>
            <w:noProof/>
            <w:webHidden/>
            <w:lang w:val="en-GB"/>
          </w:rPr>
          <w:fldChar w:fldCharType="separate"/>
        </w:r>
        <w:r w:rsidRPr="00A9471E">
          <w:rPr>
            <w:noProof/>
            <w:webHidden/>
            <w:lang w:val="en-GB"/>
          </w:rPr>
          <w:t>2</w:t>
        </w:r>
        <w:r w:rsidRPr="00A9471E">
          <w:rPr>
            <w:noProof/>
            <w:webHidden/>
            <w:lang w:val="en-GB"/>
          </w:rPr>
          <w:fldChar w:fldCharType="end"/>
        </w:r>
      </w:hyperlink>
    </w:p>
    <w:p w14:paraId="5AF7EE17" w14:textId="77777777" w:rsidR="00A9471E" w:rsidRPr="00A9471E" w:rsidRDefault="00000000">
      <w:pPr>
        <w:pStyle w:val="TOC1"/>
        <w:tabs>
          <w:tab w:val="right" w:leader="dot" w:pos="9019"/>
        </w:tabs>
        <w:rPr>
          <w:noProof/>
          <w:lang w:val="en-GB"/>
        </w:rPr>
      </w:pPr>
      <w:hyperlink w:anchor="_Toc123733801" w:history="1">
        <w:r w:rsidR="00A9471E" w:rsidRPr="00A9471E">
          <w:rPr>
            <w:rStyle w:val="Hyperlink"/>
            <w:noProof/>
            <w:lang w:val="en-GB"/>
          </w:rPr>
          <w:t>Dividend Distribution Policy</w:t>
        </w:r>
        <w:r w:rsidR="00A9471E" w:rsidRPr="00A9471E">
          <w:rPr>
            <w:noProof/>
            <w:webHidden/>
            <w:lang w:val="en-GB"/>
          </w:rPr>
          <w:tab/>
        </w:r>
        <w:r w:rsidR="00A9471E" w:rsidRPr="00A9471E">
          <w:rPr>
            <w:noProof/>
            <w:webHidden/>
            <w:lang w:val="en-GB"/>
          </w:rPr>
          <w:fldChar w:fldCharType="begin"/>
        </w:r>
        <w:r w:rsidR="00A9471E" w:rsidRPr="00A9471E">
          <w:rPr>
            <w:noProof/>
            <w:webHidden/>
            <w:lang w:val="en-GB"/>
          </w:rPr>
          <w:instrText xml:space="preserve"> PAGEREF _Toc123733801 \h </w:instrText>
        </w:r>
        <w:r w:rsidR="00A9471E" w:rsidRPr="00A9471E">
          <w:rPr>
            <w:noProof/>
            <w:webHidden/>
            <w:lang w:val="en-GB"/>
          </w:rPr>
        </w:r>
        <w:r w:rsidR="00A9471E" w:rsidRPr="00A9471E">
          <w:rPr>
            <w:noProof/>
            <w:webHidden/>
            <w:lang w:val="en-GB"/>
          </w:rPr>
          <w:fldChar w:fldCharType="separate"/>
        </w:r>
        <w:r w:rsidR="00A9471E" w:rsidRPr="00A9471E">
          <w:rPr>
            <w:noProof/>
            <w:webHidden/>
            <w:lang w:val="en-GB"/>
          </w:rPr>
          <w:t>2</w:t>
        </w:r>
        <w:r w:rsidR="00A9471E" w:rsidRPr="00A9471E">
          <w:rPr>
            <w:noProof/>
            <w:webHidden/>
            <w:lang w:val="en-GB"/>
          </w:rPr>
          <w:fldChar w:fldCharType="end"/>
        </w:r>
      </w:hyperlink>
    </w:p>
    <w:p w14:paraId="7475D4C6" w14:textId="77777777" w:rsidR="00A9471E" w:rsidRPr="00A9471E" w:rsidRDefault="00000000">
      <w:pPr>
        <w:pStyle w:val="TOC1"/>
        <w:tabs>
          <w:tab w:val="right" w:leader="dot" w:pos="9019"/>
        </w:tabs>
        <w:rPr>
          <w:noProof/>
          <w:lang w:val="en-GB"/>
        </w:rPr>
      </w:pPr>
      <w:hyperlink w:anchor="_Toc123733802" w:history="1">
        <w:r w:rsidR="00A9471E" w:rsidRPr="00A9471E">
          <w:rPr>
            <w:rStyle w:val="Hyperlink"/>
            <w:noProof/>
            <w:lang w:val="en-GB"/>
          </w:rPr>
          <w:t>Market Hypothesis Theory</w:t>
        </w:r>
        <w:r w:rsidR="00A9471E" w:rsidRPr="00A9471E">
          <w:rPr>
            <w:noProof/>
            <w:webHidden/>
            <w:lang w:val="en-GB"/>
          </w:rPr>
          <w:tab/>
        </w:r>
        <w:r w:rsidR="00A9471E" w:rsidRPr="00A9471E">
          <w:rPr>
            <w:noProof/>
            <w:webHidden/>
            <w:lang w:val="en-GB"/>
          </w:rPr>
          <w:fldChar w:fldCharType="begin"/>
        </w:r>
        <w:r w:rsidR="00A9471E" w:rsidRPr="00A9471E">
          <w:rPr>
            <w:noProof/>
            <w:webHidden/>
            <w:lang w:val="en-GB"/>
          </w:rPr>
          <w:instrText xml:space="preserve"> PAGEREF _Toc123733802 \h </w:instrText>
        </w:r>
        <w:r w:rsidR="00A9471E" w:rsidRPr="00A9471E">
          <w:rPr>
            <w:noProof/>
            <w:webHidden/>
            <w:lang w:val="en-GB"/>
          </w:rPr>
        </w:r>
        <w:r w:rsidR="00A9471E" w:rsidRPr="00A9471E">
          <w:rPr>
            <w:noProof/>
            <w:webHidden/>
            <w:lang w:val="en-GB"/>
          </w:rPr>
          <w:fldChar w:fldCharType="separate"/>
        </w:r>
        <w:r w:rsidR="00A9471E" w:rsidRPr="00A9471E">
          <w:rPr>
            <w:noProof/>
            <w:webHidden/>
            <w:lang w:val="en-GB"/>
          </w:rPr>
          <w:t>3</w:t>
        </w:r>
        <w:r w:rsidR="00A9471E" w:rsidRPr="00A9471E">
          <w:rPr>
            <w:noProof/>
            <w:webHidden/>
            <w:lang w:val="en-GB"/>
          </w:rPr>
          <w:fldChar w:fldCharType="end"/>
        </w:r>
      </w:hyperlink>
    </w:p>
    <w:p w14:paraId="6770A9C3" w14:textId="77777777" w:rsidR="00A9471E" w:rsidRPr="00A9471E" w:rsidRDefault="00000000">
      <w:pPr>
        <w:pStyle w:val="TOC1"/>
        <w:tabs>
          <w:tab w:val="right" w:leader="dot" w:pos="9019"/>
        </w:tabs>
        <w:rPr>
          <w:noProof/>
          <w:lang w:val="en-GB"/>
        </w:rPr>
      </w:pPr>
      <w:hyperlink w:anchor="_Toc123733803" w:history="1">
        <w:r w:rsidR="00A9471E" w:rsidRPr="00A9471E">
          <w:rPr>
            <w:rStyle w:val="Hyperlink"/>
            <w:noProof/>
            <w:lang w:val="en-GB"/>
          </w:rPr>
          <w:t>Method of Project Appraisal</w:t>
        </w:r>
        <w:r w:rsidR="00A9471E" w:rsidRPr="00A9471E">
          <w:rPr>
            <w:noProof/>
            <w:webHidden/>
            <w:lang w:val="en-GB"/>
          </w:rPr>
          <w:tab/>
        </w:r>
        <w:r w:rsidR="00A9471E" w:rsidRPr="00A9471E">
          <w:rPr>
            <w:noProof/>
            <w:webHidden/>
            <w:lang w:val="en-GB"/>
          </w:rPr>
          <w:fldChar w:fldCharType="begin"/>
        </w:r>
        <w:r w:rsidR="00A9471E" w:rsidRPr="00A9471E">
          <w:rPr>
            <w:noProof/>
            <w:webHidden/>
            <w:lang w:val="en-GB"/>
          </w:rPr>
          <w:instrText xml:space="preserve"> PAGEREF _Toc123733803 \h </w:instrText>
        </w:r>
        <w:r w:rsidR="00A9471E" w:rsidRPr="00A9471E">
          <w:rPr>
            <w:noProof/>
            <w:webHidden/>
            <w:lang w:val="en-GB"/>
          </w:rPr>
        </w:r>
        <w:r w:rsidR="00A9471E" w:rsidRPr="00A9471E">
          <w:rPr>
            <w:noProof/>
            <w:webHidden/>
            <w:lang w:val="en-GB"/>
          </w:rPr>
          <w:fldChar w:fldCharType="separate"/>
        </w:r>
        <w:r w:rsidR="00A9471E" w:rsidRPr="00A9471E">
          <w:rPr>
            <w:noProof/>
            <w:webHidden/>
            <w:lang w:val="en-GB"/>
          </w:rPr>
          <w:t>4</w:t>
        </w:r>
        <w:r w:rsidR="00A9471E" w:rsidRPr="00A9471E">
          <w:rPr>
            <w:noProof/>
            <w:webHidden/>
            <w:lang w:val="en-GB"/>
          </w:rPr>
          <w:fldChar w:fldCharType="end"/>
        </w:r>
      </w:hyperlink>
    </w:p>
    <w:p w14:paraId="682D852A" w14:textId="77777777" w:rsidR="00A9471E" w:rsidRPr="00A9471E" w:rsidRDefault="00000000">
      <w:pPr>
        <w:pStyle w:val="TOC1"/>
        <w:tabs>
          <w:tab w:val="right" w:leader="dot" w:pos="9019"/>
        </w:tabs>
        <w:rPr>
          <w:noProof/>
          <w:lang w:val="en-GB"/>
        </w:rPr>
      </w:pPr>
      <w:hyperlink w:anchor="_Toc123733804" w:history="1">
        <w:r w:rsidR="00A9471E" w:rsidRPr="00A9471E">
          <w:rPr>
            <w:rStyle w:val="Hyperlink"/>
            <w:noProof/>
            <w:lang w:val="en-GB"/>
          </w:rPr>
          <w:t>Challenges faced in different International Financial Markets</w:t>
        </w:r>
        <w:r w:rsidR="00A9471E" w:rsidRPr="00A9471E">
          <w:rPr>
            <w:noProof/>
            <w:webHidden/>
            <w:lang w:val="en-GB"/>
          </w:rPr>
          <w:tab/>
        </w:r>
        <w:r w:rsidR="00A9471E" w:rsidRPr="00A9471E">
          <w:rPr>
            <w:noProof/>
            <w:webHidden/>
            <w:lang w:val="en-GB"/>
          </w:rPr>
          <w:fldChar w:fldCharType="begin"/>
        </w:r>
        <w:r w:rsidR="00A9471E" w:rsidRPr="00A9471E">
          <w:rPr>
            <w:noProof/>
            <w:webHidden/>
            <w:lang w:val="en-GB"/>
          </w:rPr>
          <w:instrText xml:space="preserve"> PAGEREF _Toc123733804 \h </w:instrText>
        </w:r>
        <w:r w:rsidR="00A9471E" w:rsidRPr="00A9471E">
          <w:rPr>
            <w:noProof/>
            <w:webHidden/>
            <w:lang w:val="en-GB"/>
          </w:rPr>
        </w:r>
        <w:r w:rsidR="00A9471E" w:rsidRPr="00A9471E">
          <w:rPr>
            <w:noProof/>
            <w:webHidden/>
            <w:lang w:val="en-GB"/>
          </w:rPr>
          <w:fldChar w:fldCharType="separate"/>
        </w:r>
        <w:r w:rsidR="00A9471E" w:rsidRPr="00A9471E">
          <w:rPr>
            <w:noProof/>
            <w:webHidden/>
            <w:lang w:val="en-GB"/>
          </w:rPr>
          <w:t>5</w:t>
        </w:r>
        <w:r w:rsidR="00A9471E" w:rsidRPr="00A9471E">
          <w:rPr>
            <w:noProof/>
            <w:webHidden/>
            <w:lang w:val="en-GB"/>
          </w:rPr>
          <w:fldChar w:fldCharType="end"/>
        </w:r>
      </w:hyperlink>
    </w:p>
    <w:p w14:paraId="355A889B" w14:textId="77777777" w:rsidR="00A9471E" w:rsidRPr="00A9471E" w:rsidRDefault="00000000">
      <w:pPr>
        <w:pStyle w:val="TOC1"/>
        <w:tabs>
          <w:tab w:val="right" w:leader="dot" w:pos="9019"/>
        </w:tabs>
        <w:rPr>
          <w:noProof/>
          <w:lang w:val="en-GB"/>
        </w:rPr>
      </w:pPr>
      <w:hyperlink w:anchor="_Toc123733805" w:history="1">
        <w:r w:rsidR="00A9471E" w:rsidRPr="00A9471E">
          <w:rPr>
            <w:rStyle w:val="Hyperlink"/>
            <w:noProof/>
            <w:lang w:val="en-GB"/>
          </w:rPr>
          <w:t>Significance of International Management of Finance</w:t>
        </w:r>
        <w:r w:rsidR="00A9471E" w:rsidRPr="00A9471E">
          <w:rPr>
            <w:noProof/>
            <w:webHidden/>
            <w:lang w:val="en-GB"/>
          </w:rPr>
          <w:tab/>
        </w:r>
        <w:r w:rsidR="00A9471E" w:rsidRPr="00A9471E">
          <w:rPr>
            <w:noProof/>
            <w:webHidden/>
            <w:lang w:val="en-GB"/>
          </w:rPr>
          <w:fldChar w:fldCharType="begin"/>
        </w:r>
        <w:r w:rsidR="00A9471E" w:rsidRPr="00A9471E">
          <w:rPr>
            <w:noProof/>
            <w:webHidden/>
            <w:lang w:val="en-GB"/>
          </w:rPr>
          <w:instrText xml:space="preserve"> PAGEREF _Toc123733805 \h </w:instrText>
        </w:r>
        <w:r w:rsidR="00A9471E" w:rsidRPr="00A9471E">
          <w:rPr>
            <w:noProof/>
            <w:webHidden/>
            <w:lang w:val="en-GB"/>
          </w:rPr>
        </w:r>
        <w:r w:rsidR="00A9471E" w:rsidRPr="00A9471E">
          <w:rPr>
            <w:noProof/>
            <w:webHidden/>
            <w:lang w:val="en-GB"/>
          </w:rPr>
          <w:fldChar w:fldCharType="separate"/>
        </w:r>
        <w:r w:rsidR="00A9471E" w:rsidRPr="00A9471E">
          <w:rPr>
            <w:noProof/>
            <w:webHidden/>
            <w:lang w:val="en-GB"/>
          </w:rPr>
          <w:t>6</w:t>
        </w:r>
        <w:r w:rsidR="00A9471E" w:rsidRPr="00A9471E">
          <w:rPr>
            <w:noProof/>
            <w:webHidden/>
            <w:lang w:val="en-GB"/>
          </w:rPr>
          <w:fldChar w:fldCharType="end"/>
        </w:r>
      </w:hyperlink>
    </w:p>
    <w:p w14:paraId="6D376ECF" w14:textId="77777777" w:rsidR="00A9471E" w:rsidRPr="00A9471E" w:rsidRDefault="00000000">
      <w:pPr>
        <w:pStyle w:val="TOC1"/>
        <w:tabs>
          <w:tab w:val="right" w:leader="dot" w:pos="9019"/>
        </w:tabs>
        <w:rPr>
          <w:noProof/>
          <w:lang w:val="en-GB"/>
        </w:rPr>
      </w:pPr>
      <w:hyperlink w:anchor="_Toc123733806" w:history="1">
        <w:r w:rsidR="00A9471E" w:rsidRPr="00A9471E">
          <w:rPr>
            <w:rStyle w:val="Hyperlink"/>
            <w:noProof/>
            <w:lang w:val="en-GB"/>
          </w:rPr>
          <w:t>Conclusion</w:t>
        </w:r>
        <w:r w:rsidR="00A9471E" w:rsidRPr="00A9471E">
          <w:rPr>
            <w:noProof/>
            <w:webHidden/>
            <w:lang w:val="en-GB"/>
          </w:rPr>
          <w:tab/>
        </w:r>
        <w:r w:rsidR="00A9471E" w:rsidRPr="00A9471E">
          <w:rPr>
            <w:noProof/>
            <w:webHidden/>
            <w:lang w:val="en-GB"/>
          </w:rPr>
          <w:fldChar w:fldCharType="begin"/>
        </w:r>
        <w:r w:rsidR="00A9471E" w:rsidRPr="00A9471E">
          <w:rPr>
            <w:noProof/>
            <w:webHidden/>
            <w:lang w:val="en-GB"/>
          </w:rPr>
          <w:instrText xml:space="preserve"> PAGEREF _Toc123733806 \h </w:instrText>
        </w:r>
        <w:r w:rsidR="00A9471E" w:rsidRPr="00A9471E">
          <w:rPr>
            <w:noProof/>
            <w:webHidden/>
            <w:lang w:val="en-GB"/>
          </w:rPr>
        </w:r>
        <w:r w:rsidR="00A9471E" w:rsidRPr="00A9471E">
          <w:rPr>
            <w:noProof/>
            <w:webHidden/>
            <w:lang w:val="en-GB"/>
          </w:rPr>
          <w:fldChar w:fldCharType="separate"/>
        </w:r>
        <w:r w:rsidR="00A9471E" w:rsidRPr="00A9471E">
          <w:rPr>
            <w:noProof/>
            <w:webHidden/>
            <w:lang w:val="en-GB"/>
          </w:rPr>
          <w:t>6</w:t>
        </w:r>
        <w:r w:rsidR="00A9471E" w:rsidRPr="00A9471E">
          <w:rPr>
            <w:noProof/>
            <w:webHidden/>
            <w:lang w:val="en-GB"/>
          </w:rPr>
          <w:fldChar w:fldCharType="end"/>
        </w:r>
      </w:hyperlink>
    </w:p>
    <w:p w14:paraId="02A2E680" w14:textId="77777777" w:rsidR="00A9471E" w:rsidRPr="00A9471E" w:rsidRDefault="00000000">
      <w:pPr>
        <w:pStyle w:val="TOC1"/>
        <w:tabs>
          <w:tab w:val="right" w:leader="dot" w:pos="9019"/>
        </w:tabs>
        <w:rPr>
          <w:noProof/>
          <w:lang w:val="en-GB"/>
        </w:rPr>
      </w:pPr>
      <w:hyperlink w:anchor="_Toc123733807" w:history="1">
        <w:r w:rsidR="00A9471E" w:rsidRPr="00A9471E">
          <w:rPr>
            <w:rStyle w:val="Hyperlink"/>
            <w:noProof/>
            <w:lang w:val="en-GB"/>
          </w:rPr>
          <w:t>Reference List</w:t>
        </w:r>
        <w:r w:rsidR="00A9471E" w:rsidRPr="00A9471E">
          <w:rPr>
            <w:noProof/>
            <w:webHidden/>
            <w:lang w:val="en-GB"/>
          </w:rPr>
          <w:tab/>
        </w:r>
        <w:r w:rsidR="00A9471E" w:rsidRPr="00A9471E">
          <w:rPr>
            <w:noProof/>
            <w:webHidden/>
            <w:lang w:val="en-GB"/>
          </w:rPr>
          <w:fldChar w:fldCharType="begin"/>
        </w:r>
        <w:r w:rsidR="00A9471E" w:rsidRPr="00A9471E">
          <w:rPr>
            <w:noProof/>
            <w:webHidden/>
            <w:lang w:val="en-GB"/>
          </w:rPr>
          <w:instrText xml:space="preserve"> PAGEREF _Toc123733807 \h </w:instrText>
        </w:r>
        <w:r w:rsidR="00A9471E" w:rsidRPr="00A9471E">
          <w:rPr>
            <w:noProof/>
            <w:webHidden/>
            <w:lang w:val="en-GB"/>
          </w:rPr>
        </w:r>
        <w:r w:rsidR="00A9471E" w:rsidRPr="00A9471E">
          <w:rPr>
            <w:noProof/>
            <w:webHidden/>
            <w:lang w:val="en-GB"/>
          </w:rPr>
          <w:fldChar w:fldCharType="separate"/>
        </w:r>
        <w:r w:rsidR="00A9471E" w:rsidRPr="00A9471E">
          <w:rPr>
            <w:noProof/>
            <w:webHidden/>
            <w:lang w:val="en-GB"/>
          </w:rPr>
          <w:t>7</w:t>
        </w:r>
        <w:r w:rsidR="00A9471E" w:rsidRPr="00A9471E">
          <w:rPr>
            <w:noProof/>
            <w:webHidden/>
            <w:lang w:val="en-GB"/>
          </w:rPr>
          <w:fldChar w:fldCharType="end"/>
        </w:r>
      </w:hyperlink>
    </w:p>
    <w:p w14:paraId="3E71742C" w14:textId="77777777" w:rsidR="00EA47DF" w:rsidRPr="00A9471E" w:rsidRDefault="00A9471E">
      <w:pPr>
        <w:pStyle w:val="Normal1"/>
        <w:jc w:val="center"/>
        <w:rPr>
          <w:b/>
          <w:lang w:val="en-GB"/>
        </w:rPr>
      </w:pPr>
      <w:r w:rsidRPr="00A9471E">
        <w:rPr>
          <w:lang w:val="en-GB"/>
        </w:rPr>
        <w:fldChar w:fldCharType="end"/>
      </w:r>
      <w:r w:rsidR="000C348C" w:rsidRPr="00A9471E">
        <w:rPr>
          <w:lang w:val="en-GB"/>
        </w:rPr>
        <w:br w:type="page"/>
      </w:r>
    </w:p>
    <w:p w14:paraId="21829441" w14:textId="77777777" w:rsidR="00EA47DF" w:rsidRPr="00A9471E" w:rsidRDefault="000C348C">
      <w:pPr>
        <w:pStyle w:val="Heading1"/>
        <w:rPr>
          <w:lang w:val="en-GB"/>
        </w:rPr>
      </w:pPr>
      <w:bookmarkStart w:id="0" w:name="_kmhtcz3agngq" w:colFirst="0" w:colLast="0"/>
      <w:bookmarkStart w:id="1" w:name="_Toc123733800"/>
      <w:bookmarkEnd w:id="0"/>
      <w:r w:rsidRPr="00A9471E">
        <w:rPr>
          <w:lang w:val="en-GB"/>
        </w:rPr>
        <w:lastRenderedPageBreak/>
        <w:t>Introduction</w:t>
      </w:r>
      <w:bookmarkEnd w:id="1"/>
    </w:p>
    <w:p w14:paraId="297E4B0B" w14:textId="77777777" w:rsidR="00EA47DF" w:rsidRPr="00A9471E" w:rsidRDefault="000C348C">
      <w:pPr>
        <w:pStyle w:val="Normal1"/>
        <w:rPr>
          <w:lang w:val="en-GB"/>
        </w:rPr>
      </w:pPr>
      <w:r w:rsidRPr="00A9471E">
        <w:rPr>
          <w:lang w:val="en-GB"/>
        </w:rPr>
        <w:t xml:space="preserve">International trading and financial perspectives are managed by firms operating on a global level to sustain adequate profitability during every annual period. This study emulates the similar scope of knowledge about </w:t>
      </w:r>
      <w:r w:rsidRPr="00A9471E">
        <w:rPr>
          <w:b/>
          <w:i/>
          <w:lang w:val="en-GB"/>
        </w:rPr>
        <w:t>AstraZeneca Plc</w:t>
      </w:r>
      <w:r w:rsidRPr="00A9471E">
        <w:rPr>
          <w:lang w:val="en-GB"/>
        </w:rPr>
        <w:t xml:space="preserve"> which has been trading in </w:t>
      </w:r>
      <w:r w:rsidRPr="00A9471E">
        <w:rPr>
          <w:b/>
          <w:i/>
          <w:lang w:val="en-GB"/>
        </w:rPr>
        <w:t>130 international markets</w:t>
      </w:r>
      <w:r w:rsidRPr="00A9471E">
        <w:rPr>
          <w:lang w:val="en-GB"/>
        </w:rPr>
        <w:t xml:space="preserve"> (Astrazeneca.co.uk, 2022). Composite knowledge about their dividend distribution policies, market hypothesis, project appraisal, challenges in international market, and significance of IFM are discussed in this report. Additionally, it emphasises on their international financial operations to reflect how the company has been gaining from exchanging foreign currency.</w:t>
      </w:r>
    </w:p>
    <w:p w14:paraId="6D11BF22" w14:textId="77777777" w:rsidR="00EA47DF" w:rsidRPr="00A9471E" w:rsidRDefault="000C348C">
      <w:pPr>
        <w:pStyle w:val="Heading1"/>
        <w:rPr>
          <w:lang w:val="en-GB"/>
        </w:rPr>
      </w:pPr>
      <w:bookmarkStart w:id="2" w:name="_63y5w98wopv9" w:colFirst="0" w:colLast="0"/>
      <w:bookmarkStart w:id="3" w:name="_Toc123733801"/>
      <w:bookmarkEnd w:id="2"/>
      <w:r w:rsidRPr="00A9471E">
        <w:rPr>
          <w:lang w:val="en-GB"/>
        </w:rPr>
        <w:t>Dividend Distribution Policy</w:t>
      </w:r>
      <w:bookmarkEnd w:id="3"/>
    </w:p>
    <w:p w14:paraId="5CDE68E5" w14:textId="45553630" w:rsidR="00EA47DF" w:rsidRPr="00A9471E" w:rsidRDefault="000C348C">
      <w:pPr>
        <w:pStyle w:val="Normal1"/>
        <w:rPr>
          <w:lang w:val="en-GB"/>
        </w:rPr>
      </w:pPr>
      <w:r w:rsidRPr="00A9471E">
        <w:rPr>
          <w:lang w:val="en-GB"/>
        </w:rPr>
        <w:t xml:space="preserve">Dividend distribution policy of the company is described as an initial structure of paying out share of profits to the investors. As per </w:t>
      </w:r>
      <w:proofErr w:type="spellStart"/>
      <w:r w:rsidRPr="00A9471E">
        <w:rPr>
          <w:lang w:val="en-GB"/>
        </w:rPr>
        <w:t>Pattiruhu</w:t>
      </w:r>
      <w:proofErr w:type="spellEnd"/>
      <w:r w:rsidRPr="00A9471E">
        <w:rPr>
          <w:lang w:val="en-GB"/>
        </w:rPr>
        <w:t xml:space="preserve"> and </w:t>
      </w:r>
      <w:proofErr w:type="spellStart"/>
      <w:r w:rsidRPr="00A9471E">
        <w:rPr>
          <w:lang w:val="en-GB"/>
        </w:rPr>
        <w:t>Paais</w:t>
      </w:r>
      <w:proofErr w:type="spellEnd"/>
      <w:r w:rsidRPr="00A9471E">
        <w:rPr>
          <w:lang w:val="en-GB"/>
        </w:rPr>
        <w:t xml:space="preserve"> (2020), the management decides a suitable ratio to suggest the adequate amount of </w:t>
      </w:r>
      <w:proofErr w:type="spellStart"/>
      <w:r w:rsidRPr="00A9471E">
        <w:rPr>
          <w:lang w:val="en-GB"/>
        </w:rPr>
        <w:t>payout</w:t>
      </w:r>
      <w:proofErr w:type="spellEnd"/>
      <w:r w:rsidRPr="00A9471E">
        <w:rPr>
          <w:lang w:val="en-GB"/>
        </w:rPr>
        <w:t xml:space="preserve"> during any period. Similarly, they retain adequate funds for enhancing their reserves. Dividend distribution is organised by the company to attract their investors for long term engagement. As opined by </w:t>
      </w:r>
      <w:proofErr w:type="spellStart"/>
      <w:r w:rsidRPr="00A9471E">
        <w:rPr>
          <w:lang w:val="en-GB"/>
        </w:rPr>
        <w:t>Dinh</w:t>
      </w:r>
      <w:proofErr w:type="spellEnd"/>
      <w:r w:rsidRPr="00A9471E">
        <w:rPr>
          <w:lang w:val="en-GB"/>
        </w:rPr>
        <w:t xml:space="preserve"> Nguyen </w:t>
      </w:r>
      <w:r w:rsidRPr="00A9471E">
        <w:rPr>
          <w:i/>
          <w:lang w:val="en-GB"/>
        </w:rPr>
        <w:t>et al</w:t>
      </w:r>
      <w:r w:rsidRPr="00A9471E">
        <w:rPr>
          <w:lang w:val="en-GB"/>
        </w:rPr>
        <w:t xml:space="preserve">. (2021), it enables them to retain such funds at the company’s disposal for managing various operations during the year. AstraZeneca has confirmed their investors with a two </w:t>
      </w:r>
      <w:proofErr w:type="gramStart"/>
      <w:r w:rsidRPr="00A9471E">
        <w:rPr>
          <w:lang w:val="en-GB"/>
        </w:rPr>
        <w:t xml:space="preserve">time </w:t>
      </w:r>
      <w:r w:rsidR="00542D13">
        <w:rPr>
          <w:lang w:val="en-GB"/>
        </w:rPr>
        <w:t xml:space="preserve"> </w:t>
      </w:r>
      <w:proofErr w:type="spellStart"/>
      <w:r w:rsidRPr="00A9471E">
        <w:rPr>
          <w:lang w:val="en-GB"/>
        </w:rPr>
        <w:t>payout</w:t>
      </w:r>
      <w:proofErr w:type="spellEnd"/>
      <w:proofErr w:type="gramEnd"/>
      <w:r w:rsidRPr="00A9471E">
        <w:rPr>
          <w:lang w:val="en-GB"/>
        </w:rPr>
        <w:t xml:space="preserve"> during every year. It was suitable for the company since total equity of the firm has doubled since previous years. It has enabled them to gather sufficient reserves for expanding their operations. Thus, such a dividend policy is aggressively complementing their growth during gradual terms. The company has further intended to pay out a greater amount during the second interim of the year. It is a reasonable deal for them as well as core investors.</w:t>
      </w:r>
    </w:p>
    <w:p w14:paraId="5B6B089C" w14:textId="77777777" w:rsidR="00EA47DF" w:rsidRPr="00A9471E" w:rsidRDefault="000C348C">
      <w:pPr>
        <w:pStyle w:val="Normal1"/>
        <w:jc w:val="center"/>
        <w:rPr>
          <w:lang w:val="en-GB"/>
        </w:rPr>
      </w:pPr>
      <w:r w:rsidRPr="00A9471E">
        <w:rPr>
          <w:noProof/>
          <w:lang w:val="en-GB"/>
        </w:rPr>
        <w:drawing>
          <wp:inline distT="114300" distB="114300" distL="114300" distR="114300" wp14:anchorId="5C6A323C" wp14:editId="71160ED2">
            <wp:extent cx="5731200" cy="1422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1422400"/>
                    </a:xfrm>
                    <a:prstGeom prst="rect">
                      <a:avLst/>
                    </a:prstGeom>
                    <a:ln/>
                  </pic:spPr>
                </pic:pic>
              </a:graphicData>
            </a:graphic>
          </wp:inline>
        </w:drawing>
      </w:r>
    </w:p>
    <w:p w14:paraId="34362655" w14:textId="77777777" w:rsidR="00EA47DF" w:rsidRPr="00A9471E" w:rsidRDefault="000C348C">
      <w:pPr>
        <w:pStyle w:val="Normal1"/>
        <w:jc w:val="center"/>
        <w:rPr>
          <w:b/>
          <w:lang w:val="en-GB"/>
        </w:rPr>
      </w:pPr>
      <w:r w:rsidRPr="00A9471E">
        <w:rPr>
          <w:b/>
          <w:lang w:val="en-GB"/>
        </w:rPr>
        <w:t>Figure 1: Dividend growth trend of AstraZeneca Plc</w:t>
      </w:r>
    </w:p>
    <w:p w14:paraId="1C6966AB" w14:textId="77777777" w:rsidR="00EA47DF" w:rsidRPr="00A9471E" w:rsidRDefault="000C348C">
      <w:pPr>
        <w:pStyle w:val="Normal1"/>
        <w:jc w:val="center"/>
        <w:rPr>
          <w:lang w:val="en-GB"/>
        </w:rPr>
      </w:pPr>
      <w:r w:rsidRPr="00A9471E">
        <w:rPr>
          <w:lang w:val="en-GB"/>
        </w:rPr>
        <w:t>(Source: Macrotrends.net, 2022)</w:t>
      </w:r>
    </w:p>
    <w:p w14:paraId="12947528" w14:textId="77777777" w:rsidR="00EA47DF" w:rsidRPr="00A9471E" w:rsidRDefault="000C348C">
      <w:pPr>
        <w:pStyle w:val="Normal1"/>
        <w:rPr>
          <w:lang w:val="en-GB"/>
        </w:rPr>
      </w:pPr>
      <w:r w:rsidRPr="00A9471E">
        <w:rPr>
          <w:lang w:val="en-GB"/>
        </w:rPr>
        <w:lastRenderedPageBreak/>
        <w:t xml:space="preserve">There are 3 types of dividend policies accepted on a worldwide basis. Stable policy aims to </w:t>
      </w:r>
      <w:proofErr w:type="spellStart"/>
      <w:r w:rsidRPr="00A9471E">
        <w:rPr>
          <w:lang w:val="en-GB"/>
        </w:rPr>
        <w:t>payout</w:t>
      </w:r>
      <w:proofErr w:type="spellEnd"/>
      <w:r w:rsidRPr="00A9471E">
        <w:rPr>
          <w:lang w:val="en-GB"/>
        </w:rPr>
        <w:t xml:space="preserve"> a regular amount irrespective of their scope of income. Regular policy suggests the company to </w:t>
      </w:r>
      <w:proofErr w:type="spellStart"/>
      <w:r w:rsidRPr="00A9471E">
        <w:rPr>
          <w:lang w:val="en-GB"/>
        </w:rPr>
        <w:t>payout</w:t>
      </w:r>
      <w:proofErr w:type="spellEnd"/>
      <w:r w:rsidRPr="00A9471E">
        <w:rPr>
          <w:lang w:val="en-GB"/>
        </w:rPr>
        <w:t xml:space="preserve"> a reasonable percentage of their income. Contrastingly, residual policy suggests paying the investors from the amount left after meeting company’s requirements. The board of AstraZeneca has confirmed to have been following a progressive dividend policy which is regular in nature (</w:t>
      </w:r>
      <w:proofErr w:type="spellStart"/>
      <w:r w:rsidRPr="00A9471E">
        <w:rPr>
          <w:lang w:val="en-GB"/>
        </w:rPr>
        <w:t>Astrazeneca</w:t>
      </w:r>
      <w:proofErr w:type="spellEnd"/>
      <w:r w:rsidRPr="00A9471E">
        <w:rPr>
          <w:lang w:val="en-GB"/>
        </w:rPr>
        <w:t>, 2022). Recently, during 2022 the company had paid out 500% of their equity capital. Their sole aim was to maintain adequate balance between business objectives, shareholders, and creditors during each period. Exchange rates for paying dividends at different locations are highlighted by the firm on dates prior to the day of announcement. Dividend rates for individual currencies are optimised as 0.764 GBP, 0.93 USD, and 9.49 SEK (</w:t>
      </w:r>
      <w:proofErr w:type="spellStart"/>
      <w:r w:rsidRPr="00A9471E">
        <w:rPr>
          <w:lang w:val="en-GB"/>
        </w:rPr>
        <w:t>Astrazeneca</w:t>
      </w:r>
      <w:proofErr w:type="spellEnd"/>
      <w:r w:rsidRPr="00A9471E">
        <w:rPr>
          <w:lang w:val="en-GB"/>
        </w:rPr>
        <w:t xml:space="preserve">, 2022). Presently, the dividend </w:t>
      </w:r>
      <w:proofErr w:type="spellStart"/>
      <w:r w:rsidRPr="00A9471E">
        <w:rPr>
          <w:lang w:val="en-GB"/>
        </w:rPr>
        <w:t>payout</w:t>
      </w:r>
      <w:proofErr w:type="spellEnd"/>
      <w:r w:rsidRPr="00A9471E">
        <w:rPr>
          <w:lang w:val="en-GB"/>
        </w:rPr>
        <w:t xml:space="preserve"> for this firm amounts to $0.91 while their dividend yield is 1.34% (Macrotrends.net, 2022). This led their share values to 7324 GBX in 2021 to 8678 GBX in 2022 (Google, 2022). Massive growth in their share value has escalated their market cap by considerable margins.</w:t>
      </w:r>
    </w:p>
    <w:p w14:paraId="645F3A7F" w14:textId="77777777" w:rsidR="00EA47DF" w:rsidRPr="00A9471E" w:rsidRDefault="000C348C">
      <w:pPr>
        <w:pStyle w:val="Normal1"/>
        <w:jc w:val="center"/>
        <w:rPr>
          <w:lang w:val="en-GB"/>
        </w:rPr>
      </w:pPr>
      <w:r w:rsidRPr="00A9471E">
        <w:rPr>
          <w:noProof/>
          <w:lang w:val="en-GB"/>
        </w:rPr>
        <w:drawing>
          <wp:inline distT="114300" distB="114300" distL="114300" distR="114300" wp14:anchorId="7643851F" wp14:editId="1756F9C4">
            <wp:extent cx="5731200" cy="19431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1943100"/>
                    </a:xfrm>
                    <a:prstGeom prst="rect">
                      <a:avLst/>
                    </a:prstGeom>
                    <a:ln/>
                  </pic:spPr>
                </pic:pic>
              </a:graphicData>
            </a:graphic>
          </wp:inline>
        </w:drawing>
      </w:r>
    </w:p>
    <w:p w14:paraId="34541878" w14:textId="77777777" w:rsidR="00EA47DF" w:rsidRPr="00A9471E" w:rsidRDefault="000C348C">
      <w:pPr>
        <w:pStyle w:val="Normal1"/>
        <w:jc w:val="center"/>
        <w:rPr>
          <w:b/>
          <w:lang w:val="en-GB"/>
        </w:rPr>
      </w:pPr>
      <w:r w:rsidRPr="00A9471E">
        <w:rPr>
          <w:b/>
          <w:lang w:val="en-GB"/>
        </w:rPr>
        <w:t>Figure 2: Share price growth trend</w:t>
      </w:r>
    </w:p>
    <w:p w14:paraId="193B7083" w14:textId="77777777" w:rsidR="00EA47DF" w:rsidRPr="00A9471E" w:rsidRDefault="000C348C">
      <w:pPr>
        <w:pStyle w:val="Normal1"/>
        <w:jc w:val="center"/>
        <w:rPr>
          <w:lang w:val="en-GB"/>
        </w:rPr>
      </w:pPr>
      <w:r w:rsidRPr="00A9471E">
        <w:rPr>
          <w:lang w:val="en-GB"/>
        </w:rPr>
        <w:t>(Source: Google, 2022)</w:t>
      </w:r>
    </w:p>
    <w:p w14:paraId="18581EEB" w14:textId="77777777" w:rsidR="00EA47DF" w:rsidRPr="00A9471E" w:rsidRDefault="000C348C">
      <w:pPr>
        <w:pStyle w:val="Heading1"/>
        <w:rPr>
          <w:lang w:val="en-GB"/>
        </w:rPr>
      </w:pPr>
      <w:bookmarkStart w:id="4" w:name="_g71cdqljea01" w:colFirst="0" w:colLast="0"/>
      <w:bookmarkStart w:id="5" w:name="_Toc123733802"/>
      <w:bookmarkEnd w:id="4"/>
      <w:r w:rsidRPr="00A9471E">
        <w:rPr>
          <w:lang w:val="en-GB"/>
        </w:rPr>
        <w:t>Market Hypothesis Theory</w:t>
      </w:r>
      <w:bookmarkEnd w:id="5"/>
    </w:p>
    <w:p w14:paraId="07A6E23C" w14:textId="77777777" w:rsidR="00EA47DF" w:rsidRPr="00A9471E" w:rsidRDefault="000C348C">
      <w:pPr>
        <w:pStyle w:val="Normal1"/>
        <w:rPr>
          <w:lang w:val="en-GB"/>
        </w:rPr>
      </w:pPr>
      <w:r w:rsidRPr="00A9471E">
        <w:rPr>
          <w:lang w:val="en-GB"/>
        </w:rPr>
        <w:t xml:space="preserve">As stated by Bocher (2022), market hypothesis theory establishes that share price of the organisation critically reflects valuable information about the same. There is a massive scope of fluctuation in their share prices with company information being published. Investors are highly sensitive to such information. They usually constitute their portfolios based on such movements. However, this aspect is only relevant for short term changes rather than long term emphasis. Thus, it could be stated that investors usually insist upon learning the growth in such </w:t>
      </w:r>
      <w:r w:rsidRPr="00A9471E">
        <w:rPr>
          <w:lang w:val="en-GB"/>
        </w:rPr>
        <w:lastRenderedPageBreak/>
        <w:t>prices during the future periods to invest adequate sums of funds (</w:t>
      </w:r>
      <w:proofErr w:type="spellStart"/>
      <w:r w:rsidRPr="00A9471E">
        <w:rPr>
          <w:lang w:val="en-GB"/>
        </w:rPr>
        <w:t>Bonini</w:t>
      </w:r>
      <w:proofErr w:type="spellEnd"/>
      <w:r w:rsidRPr="00A9471E">
        <w:rPr>
          <w:lang w:val="en-GB"/>
        </w:rPr>
        <w:t xml:space="preserve"> and Capizzi, 2019). Any feed about future possibilities could affect the share prices thereby accommodating appropriate scope of trading their stocks in the relevant markets. Traders usually invest to escalate their returns above the current market average. </w:t>
      </w:r>
    </w:p>
    <w:p w14:paraId="2841C881" w14:textId="77777777" w:rsidR="00EA47DF" w:rsidRPr="00A9471E" w:rsidRDefault="000C348C">
      <w:pPr>
        <w:pStyle w:val="Normal1"/>
        <w:rPr>
          <w:lang w:val="en-GB"/>
        </w:rPr>
      </w:pPr>
      <w:r w:rsidRPr="00A9471E">
        <w:rPr>
          <w:lang w:val="en-GB"/>
        </w:rPr>
        <w:t xml:space="preserve">There are 3 forms of establishing an efficient market hypothesis for an organisation. They are classified as weak, semi strong, and strong based on the scope of information available about the company. According to Han </w:t>
      </w:r>
      <w:r w:rsidRPr="00A9471E">
        <w:rPr>
          <w:i/>
          <w:lang w:val="en-GB"/>
        </w:rPr>
        <w:t>et al</w:t>
      </w:r>
      <w:r w:rsidRPr="00A9471E">
        <w:rPr>
          <w:lang w:val="en-GB"/>
        </w:rPr>
        <w:t xml:space="preserve">. (2019), weak form of market hypothesis hardly suggests any futuristic information about that company. Contrastingly, it reflects adequate data about past trends positioning the </w:t>
      </w:r>
      <w:proofErr w:type="gramStart"/>
      <w:r w:rsidRPr="00A9471E">
        <w:rPr>
          <w:lang w:val="en-GB"/>
        </w:rPr>
        <w:t>current status</w:t>
      </w:r>
      <w:proofErr w:type="gramEnd"/>
      <w:r w:rsidRPr="00A9471E">
        <w:rPr>
          <w:lang w:val="en-GB"/>
        </w:rPr>
        <w:t xml:space="preserve"> of that firm. Further trading decisions cannot be interpreted from such information. Semi strong hypothesis illustrates that a company is subject to immediate changes on the availability of currently published data. Strong form of hypothesis established that share prices of the firm are highly sensitive due to both current information published and insider data available to the traders (Bashir </w:t>
      </w:r>
      <w:r w:rsidRPr="00A9471E">
        <w:rPr>
          <w:i/>
          <w:lang w:val="en-GB"/>
        </w:rPr>
        <w:t>et al</w:t>
      </w:r>
      <w:r w:rsidRPr="00A9471E">
        <w:rPr>
          <w:lang w:val="en-GB"/>
        </w:rPr>
        <w:t>., 2020). This could generate substantial flu</w:t>
      </w:r>
      <w:r w:rsidR="00A9471E">
        <w:rPr>
          <w:lang w:val="en-GB"/>
        </w:rPr>
        <w:t>ctuation for such stocks. AstraZ</w:t>
      </w:r>
      <w:r w:rsidRPr="00A9471E">
        <w:rPr>
          <w:lang w:val="en-GB"/>
        </w:rPr>
        <w:t>eneca Plc had been continuing to emulate the characteristics of a semi strong hypothesis. Their stock prices have been eventually rescheduled by published data.</w:t>
      </w:r>
    </w:p>
    <w:p w14:paraId="7EB5B2E2" w14:textId="77777777" w:rsidR="00EA47DF" w:rsidRPr="00A9471E" w:rsidRDefault="000C348C">
      <w:pPr>
        <w:pStyle w:val="Heading1"/>
        <w:rPr>
          <w:lang w:val="en-GB"/>
        </w:rPr>
      </w:pPr>
      <w:bookmarkStart w:id="6" w:name="_8p8oiv68g9vq" w:colFirst="0" w:colLast="0"/>
      <w:bookmarkStart w:id="7" w:name="_Toc123733803"/>
      <w:bookmarkEnd w:id="6"/>
      <w:r w:rsidRPr="00A9471E">
        <w:rPr>
          <w:lang w:val="en-GB"/>
        </w:rPr>
        <w:t>Method of Project Appraisal</w:t>
      </w:r>
      <w:bookmarkEnd w:id="7"/>
    </w:p>
    <w:p w14:paraId="1B9C86E2" w14:textId="77777777" w:rsidR="00EA47DF" w:rsidRPr="00A9471E" w:rsidRDefault="000C348C">
      <w:pPr>
        <w:pStyle w:val="Normal1"/>
        <w:rPr>
          <w:lang w:val="en-GB"/>
        </w:rPr>
      </w:pPr>
      <w:r w:rsidRPr="00A9471E">
        <w:rPr>
          <w:lang w:val="en-GB"/>
        </w:rPr>
        <w:t xml:space="preserve">Project appraisal is an efficient approach for understanding the scope of viability for accepting new deals. As per Coyle and </w:t>
      </w:r>
      <w:proofErr w:type="spellStart"/>
      <w:r w:rsidRPr="00A9471E">
        <w:rPr>
          <w:lang w:val="en-GB"/>
        </w:rPr>
        <w:t>Sensier</w:t>
      </w:r>
      <w:proofErr w:type="spellEnd"/>
      <w:r w:rsidRPr="00A9471E">
        <w:rPr>
          <w:lang w:val="en-GB"/>
        </w:rPr>
        <w:t xml:space="preserve"> (2020), it is inclined towards assessing the available resources to accomplish new targets. Being a pharmaceutical giant, AstraZeneca Plc has been subject to prior concerns towards development of new medicines. For this purpose, it was highly important on their part to accommodate social observations along with available infrastructure. As opined by </w:t>
      </w:r>
      <w:proofErr w:type="spellStart"/>
      <w:r w:rsidRPr="00A9471E">
        <w:rPr>
          <w:lang w:val="en-GB"/>
        </w:rPr>
        <w:t>Lowitzsch</w:t>
      </w:r>
      <w:proofErr w:type="spellEnd"/>
      <w:r w:rsidRPr="00A9471E">
        <w:rPr>
          <w:lang w:val="en-GB"/>
        </w:rPr>
        <w:t xml:space="preserve"> </w:t>
      </w:r>
      <w:r w:rsidRPr="00A9471E">
        <w:rPr>
          <w:i/>
          <w:lang w:val="en-GB"/>
        </w:rPr>
        <w:t>et al</w:t>
      </w:r>
      <w:r w:rsidRPr="00A9471E">
        <w:rPr>
          <w:lang w:val="en-GB"/>
        </w:rPr>
        <w:t xml:space="preserve">. (2020), another important component for different projects </w:t>
      </w:r>
      <w:proofErr w:type="gramStart"/>
      <w:r w:rsidRPr="00A9471E">
        <w:rPr>
          <w:lang w:val="en-GB"/>
        </w:rPr>
        <w:t>are</w:t>
      </w:r>
      <w:proofErr w:type="gramEnd"/>
      <w:r w:rsidRPr="00A9471E">
        <w:rPr>
          <w:lang w:val="en-GB"/>
        </w:rPr>
        <w:t xml:space="preserve"> determined as financial resources. There is hardly any scope of improvement without significant availability of capital. Thus, AstraZeneca had to appropriate economic and market trends to assess their scope of performance in future scenarios. It is evident that the company requires ample resources to accomplish their research in different phenomena. They follow a simplified approach to accomplish every project in different locations.</w:t>
      </w:r>
    </w:p>
    <w:p w14:paraId="5EEF4C77" w14:textId="77777777" w:rsidR="00EA47DF" w:rsidRPr="00A9471E" w:rsidRDefault="000C348C">
      <w:pPr>
        <w:pStyle w:val="Normal1"/>
        <w:rPr>
          <w:lang w:val="en-GB"/>
        </w:rPr>
      </w:pPr>
      <w:r w:rsidRPr="00A9471E">
        <w:rPr>
          <w:lang w:val="en-GB"/>
        </w:rPr>
        <w:t xml:space="preserve">Various collaborations had to be organised by them for leveraging their operations in this industry. The company had sufficient resources of their own but managed to collaborate with other firms to negotiate effective leadership over other competitors. AstraZeneca Plc aims to </w:t>
      </w:r>
      <w:r w:rsidRPr="00A9471E">
        <w:rPr>
          <w:lang w:val="en-GB"/>
        </w:rPr>
        <w:lastRenderedPageBreak/>
        <w:t>improve human life along with generating adequate profitability during every tenure (</w:t>
      </w:r>
      <w:proofErr w:type="spellStart"/>
      <w:r w:rsidRPr="00A9471E">
        <w:rPr>
          <w:lang w:val="en-GB"/>
        </w:rPr>
        <w:t>Astrazeneca</w:t>
      </w:r>
      <w:proofErr w:type="spellEnd"/>
      <w:r w:rsidRPr="00A9471E">
        <w:rPr>
          <w:lang w:val="en-GB"/>
        </w:rPr>
        <w:t>, 2022). Thus, this firm takes up projects to associate with other allies to constitute their economic benefits (</w:t>
      </w:r>
      <w:proofErr w:type="spellStart"/>
      <w:r w:rsidRPr="00A9471E">
        <w:rPr>
          <w:lang w:val="en-GB"/>
        </w:rPr>
        <w:t>Astrazeneca</w:t>
      </w:r>
      <w:proofErr w:type="spellEnd"/>
      <w:r w:rsidRPr="00A9471E">
        <w:rPr>
          <w:lang w:val="en-GB"/>
        </w:rPr>
        <w:t>, 2022). This firm has catered to diverse fields for curing cardiovascular, cancerous, covid, respiratory, and gastrointestinal aspects. It is evident that a firm is subject to burn large proportions of their capital during such research. Collaborating with other entities have eventually helped them persist their returns against relevant investments.</w:t>
      </w:r>
    </w:p>
    <w:p w14:paraId="1D554C32" w14:textId="77777777" w:rsidR="00EA47DF" w:rsidRPr="00A9471E" w:rsidRDefault="000C348C">
      <w:pPr>
        <w:pStyle w:val="Heading1"/>
        <w:rPr>
          <w:lang w:val="en-GB"/>
        </w:rPr>
      </w:pPr>
      <w:bookmarkStart w:id="8" w:name="_ncog24v5s2k4" w:colFirst="0" w:colLast="0"/>
      <w:bookmarkStart w:id="9" w:name="_Toc123733804"/>
      <w:bookmarkEnd w:id="8"/>
      <w:r w:rsidRPr="00A9471E">
        <w:rPr>
          <w:lang w:val="en-GB"/>
        </w:rPr>
        <w:t>Challenges faced in different International Financial Markets</w:t>
      </w:r>
      <w:bookmarkEnd w:id="9"/>
    </w:p>
    <w:p w14:paraId="6C58E145" w14:textId="77777777" w:rsidR="00EA47DF" w:rsidRPr="00A9471E" w:rsidRDefault="000C348C">
      <w:pPr>
        <w:pStyle w:val="Normal1"/>
        <w:rPr>
          <w:lang w:val="en-GB"/>
        </w:rPr>
      </w:pPr>
      <w:r w:rsidRPr="00A9471E">
        <w:rPr>
          <w:lang w:val="en-GB"/>
        </w:rPr>
        <w:t xml:space="preserve">There are several challenges which might affect an organisation from generating adequate funds in the international market. According to </w:t>
      </w:r>
      <w:proofErr w:type="spellStart"/>
      <w:r w:rsidRPr="00A9471E">
        <w:rPr>
          <w:lang w:val="en-GB"/>
        </w:rPr>
        <w:t>Yazdanmehr</w:t>
      </w:r>
      <w:proofErr w:type="spellEnd"/>
      <w:r w:rsidRPr="00A9471E">
        <w:rPr>
          <w:lang w:val="en-GB"/>
        </w:rPr>
        <w:t xml:space="preserve"> </w:t>
      </w:r>
      <w:r w:rsidRPr="00A9471E">
        <w:rPr>
          <w:i/>
          <w:lang w:val="en-GB"/>
        </w:rPr>
        <w:t>et al.</w:t>
      </w:r>
      <w:r w:rsidRPr="00A9471E">
        <w:rPr>
          <w:lang w:val="en-GB"/>
        </w:rPr>
        <w:t xml:space="preserve"> (2020), both financial and social perspectives matter largely for an organisation that operates on a huge scale. There has been a prior requirement of funds with sudden improvement in technical aspects. AstraZeneca Plc had to arrange for sufficient funds to manage their research and development wings to appropriate suitable growth. Increased rates of diseases and their growing rate of market demand had naturally caused this firm to expand their R&amp;D units. Thus, company had to spend a large sum of $500 million for opening new units in Maryland, Cambridge, and Gothenburg (</w:t>
      </w:r>
      <w:proofErr w:type="spellStart"/>
      <w:r w:rsidRPr="00A9471E">
        <w:rPr>
          <w:lang w:val="en-GB"/>
        </w:rPr>
        <w:t>Astrazeneca</w:t>
      </w:r>
      <w:proofErr w:type="spellEnd"/>
      <w:r w:rsidRPr="00A9471E">
        <w:rPr>
          <w:lang w:val="en-GB"/>
        </w:rPr>
        <w:t>, 2022). It was a major challenge for them to spend such funds even though adequate funds were available to them.</w:t>
      </w:r>
    </w:p>
    <w:p w14:paraId="28C6FC5E" w14:textId="77777777" w:rsidR="00EA47DF" w:rsidRPr="00A9471E" w:rsidRDefault="000C348C">
      <w:pPr>
        <w:pStyle w:val="Normal1"/>
        <w:rPr>
          <w:lang w:val="en-GB"/>
        </w:rPr>
      </w:pPr>
      <w:r w:rsidRPr="00A9471E">
        <w:rPr>
          <w:lang w:val="en-GB"/>
        </w:rPr>
        <w:t xml:space="preserve">The company </w:t>
      </w:r>
      <w:proofErr w:type="gramStart"/>
      <w:r w:rsidRPr="00A9471E">
        <w:rPr>
          <w:lang w:val="en-GB"/>
        </w:rPr>
        <w:t>has to</w:t>
      </w:r>
      <w:proofErr w:type="gramEnd"/>
      <w:r w:rsidRPr="00A9471E">
        <w:rPr>
          <w:lang w:val="en-GB"/>
        </w:rPr>
        <w:t xml:space="preserve"> merge with other allies to advance their operational scope. Thus, one of their acquisitions cost them $2.1 billion for collaborating with </w:t>
      </w:r>
      <w:proofErr w:type="spellStart"/>
      <w:r w:rsidRPr="00A9471E">
        <w:rPr>
          <w:lang w:val="en-GB"/>
        </w:rPr>
        <w:t>Almirall</w:t>
      </w:r>
      <w:proofErr w:type="spellEnd"/>
      <w:r w:rsidRPr="00A9471E">
        <w:rPr>
          <w:lang w:val="en-GB"/>
        </w:rPr>
        <w:t xml:space="preserve"> (Reuter, 2022). However, $1.2 billion was only required to fulfil the establishment of a respiratory franchise. These are major cash outflows which had to be incurred for managing their global operations. It had naturally reduced their scope for retaining adequate capital. Additionally, advancement in technology had compelled them to appropriate a suitable amount of funds for upgrading their infrastructure and machinery. As described by Solheim-</w:t>
      </w:r>
      <w:proofErr w:type="spellStart"/>
      <w:r w:rsidRPr="00A9471E">
        <w:rPr>
          <w:lang w:val="en-GB"/>
        </w:rPr>
        <w:t>Kile</w:t>
      </w:r>
      <w:proofErr w:type="spellEnd"/>
      <w:r w:rsidRPr="00A9471E">
        <w:rPr>
          <w:lang w:val="en-GB"/>
        </w:rPr>
        <w:t xml:space="preserve"> </w:t>
      </w:r>
      <w:r w:rsidRPr="00A9471E">
        <w:rPr>
          <w:i/>
          <w:lang w:val="en-GB"/>
        </w:rPr>
        <w:t>et al</w:t>
      </w:r>
      <w:r w:rsidRPr="00A9471E">
        <w:rPr>
          <w:lang w:val="en-GB"/>
        </w:rPr>
        <w:t xml:space="preserve">. (2019), it was effectively requiring this firm to generate more loans. Thus, financial expenses were additionally incurred during every period. This became a major concern for fulfilling their </w:t>
      </w:r>
      <w:proofErr w:type="gramStart"/>
      <w:r w:rsidRPr="00A9471E">
        <w:rPr>
          <w:lang w:val="en-GB"/>
        </w:rPr>
        <w:t>long term</w:t>
      </w:r>
      <w:proofErr w:type="gramEnd"/>
      <w:r w:rsidRPr="00A9471E">
        <w:rPr>
          <w:lang w:val="en-GB"/>
        </w:rPr>
        <w:t xml:space="preserve"> objectives.</w:t>
      </w:r>
    </w:p>
    <w:p w14:paraId="74CC75FE" w14:textId="77777777" w:rsidR="00EA47DF" w:rsidRPr="00A9471E" w:rsidRDefault="000C348C">
      <w:pPr>
        <w:pStyle w:val="Heading1"/>
        <w:rPr>
          <w:lang w:val="en-GB"/>
        </w:rPr>
      </w:pPr>
      <w:bookmarkStart w:id="10" w:name="_gbf8p7suz6c4" w:colFirst="0" w:colLast="0"/>
      <w:bookmarkStart w:id="11" w:name="_Toc123733805"/>
      <w:bookmarkEnd w:id="10"/>
      <w:r w:rsidRPr="00A9471E">
        <w:rPr>
          <w:lang w:val="en-GB"/>
        </w:rPr>
        <w:t>Significance of International Management of Finance</w:t>
      </w:r>
      <w:bookmarkEnd w:id="11"/>
    </w:p>
    <w:p w14:paraId="62D774ED" w14:textId="77777777" w:rsidR="00EA47DF" w:rsidRPr="00A9471E" w:rsidRDefault="000C348C">
      <w:pPr>
        <w:pStyle w:val="Normal1"/>
        <w:rPr>
          <w:lang w:val="en-GB"/>
        </w:rPr>
      </w:pPr>
      <w:r w:rsidRPr="00A9471E">
        <w:rPr>
          <w:lang w:val="en-GB"/>
        </w:rPr>
        <w:t xml:space="preserve">International financial management is an efficient basis of managing acquisition and application of funds in the global markets. As informed by </w:t>
      </w:r>
      <w:proofErr w:type="spellStart"/>
      <w:r w:rsidRPr="00A9471E">
        <w:rPr>
          <w:lang w:val="en-GB"/>
        </w:rPr>
        <w:t>Chukurna</w:t>
      </w:r>
      <w:proofErr w:type="spellEnd"/>
      <w:r w:rsidRPr="00A9471E">
        <w:rPr>
          <w:lang w:val="en-GB"/>
        </w:rPr>
        <w:t xml:space="preserve"> </w:t>
      </w:r>
      <w:r w:rsidRPr="00A9471E">
        <w:rPr>
          <w:i/>
          <w:lang w:val="en-GB"/>
        </w:rPr>
        <w:t>et al.</w:t>
      </w:r>
      <w:r w:rsidRPr="00A9471E">
        <w:rPr>
          <w:lang w:val="en-GB"/>
        </w:rPr>
        <w:t xml:space="preserve"> (2019), operating in </w:t>
      </w:r>
      <w:proofErr w:type="gramStart"/>
      <w:r w:rsidRPr="00A9471E">
        <w:rPr>
          <w:lang w:val="en-GB"/>
        </w:rPr>
        <w:t>a large number of</w:t>
      </w:r>
      <w:proofErr w:type="gramEnd"/>
      <w:r w:rsidRPr="00A9471E">
        <w:rPr>
          <w:lang w:val="en-GB"/>
        </w:rPr>
        <w:t xml:space="preserve"> international markets include significant emphasis over foreign exchange </w:t>
      </w:r>
      <w:r w:rsidRPr="00A9471E">
        <w:rPr>
          <w:lang w:val="en-GB"/>
        </w:rPr>
        <w:lastRenderedPageBreak/>
        <w:t>rates. Thus, it is notably important on their part to assist a similar scope of efficiency for managing profits in the global markets. This phenomenon has enabled AstraZeneca Plc to grow and regulate their funds in diverse marketing conditions. Reasonable coverage of financial issues could be identified in advance for emulating effective strategies in such cases. There is a suitable scope for change and growth with this discipline being integrated into their operational framework.</w:t>
      </w:r>
    </w:p>
    <w:p w14:paraId="7EAD9869" w14:textId="77777777" w:rsidR="00EA47DF" w:rsidRPr="00A9471E" w:rsidRDefault="000C348C">
      <w:pPr>
        <w:pStyle w:val="Heading1"/>
        <w:rPr>
          <w:lang w:val="en-GB"/>
        </w:rPr>
      </w:pPr>
      <w:bookmarkStart w:id="12" w:name="_e93zg56a53ih" w:colFirst="0" w:colLast="0"/>
      <w:bookmarkStart w:id="13" w:name="_Toc123733806"/>
      <w:bookmarkEnd w:id="12"/>
      <w:r w:rsidRPr="00A9471E">
        <w:rPr>
          <w:lang w:val="en-GB"/>
        </w:rPr>
        <w:t>Conclusion</w:t>
      </w:r>
      <w:bookmarkEnd w:id="13"/>
    </w:p>
    <w:p w14:paraId="64BCFF0F" w14:textId="77777777" w:rsidR="00EA47DF" w:rsidRPr="00A9471E" w:rsidRDefault="000C348C">
      <w:pPr>
        <w:pStyle w:val="Normal1"/>
        <w:rPr>
          <w:lang w:val="en-GB"/>
        </w:rPr>
      </w:pPr>
      <w:r w:rsidRPr="00A9471E">
        <w:rPr>
          <w:lang w:val="en-GB"/>
        </w:rPr>
        <w:t>AstraZeneca Plc have been described with apparent data acquired from their annual reports. Dividend distribution policy emulates the framework followed by them to manage their investor’s returns. It has effectively optimised their market hypothesis theory to suggest that AstraZeneca follows a semi-strong market hypothesis where their share values are heavily optimised by currently published information in the market. Methods of project appraisal have highlighted the flexibility integrated by the company to meet their social and economic objectives. They tend to collaborate with other firms for multiplying financial benefits. Additionally, the company had to spend large sums for upgrading their infrast</w:t>
      </w:r>
      <w:r w:rsidR="00A9471E">
        <w:rPr>
          <w:lang w:val="en-GB"/>
        </w:rPr>
        <w:t>ructure. Lastly, few importance</w:t>
      </w:r>
      <w:r w:rsidRPr="00A9471E">
        <w:rPr>
          <w:lang w:val="en-GB"/>
        </w:rPr>
        <w:t xml:space="preserve"> of international financial management has been opinionated based on relevant sources.</w:t>
      </w:r>
    </w:p>
    <w:p w14:paraId="4191D9A9" w14:textId="77777777" w:rsidR="00EA47DF" w:rsidRPr="00A9471E" w:rsidRDefault="000C348C">
      <w:pPr>
        <w:pStyle w:val="Heading1"/>
        <w:rPr>
          <w:lang w:val="en-GB"/>
        </w:rPr>
      </w:pPr>
      <w:bookmarkStart w:id="14" w:name="_bb7bosob48xz" w:colFirst="0" w:colLast="0"/>
      <w:bookmarkEnd w:id="14"/>
      <w:r w:rsidRPr="00A9471E">
        <w:rPr>
          <w:lang w:val="en-GB"/>
        </w:rPr>
        <w:br w:type="page"/>
      </w:r>
    </w:p>
    <w:p w14:paraId="135801DD" w14:textId="77777777" w:rsidR="00EA47DF" w:rsidRPr="00A9471E" w:rsidRDefault="000C348C">
      <w:pPr>
        <w:pStyle w:val="Heading1"/>
        <w:rPr>
          <w:lang w:val="en-GB"/>
        </w:rPr>
      </w:pPr>
      <w:bookmarkStart w:id="15" w:name="_9tu5y75n6okr" w:colFirst="0" w:colLast="0"/>
      <w:bookmarkStart w:id="16" w:name="_Toc123733807"/>
      <w:bookmarkEnd w:id="15"/>
      <w:r w:rsidRPr="00A9471E">
        <w:rPr>
          <w:lang w:val="en-GB"/>
        </w:rPr>
        <w:lastRenderedPageBreak/>
        <w:t>Reference List</w:t>
      </w:r>
      <w:bookmarkEnd w:id="16"/>
    </w:p>
    <w:p w14:paraId="324C2A1E" w14:textId="77777777" w:rsidR="00A9471E" w:rsidRPr="00A9471E" w:rsidRDefault="00A9471E" w:rsidP="00A9471E">
      <w:pPr>
        <w:pStyle w:val="Normal1"/>
        <w:rPr>
          <w:lang w:val="en-GB"/>
        </w:rPr>
      </w:pPr>
      <w:proofErr w:type="spellStart"/>
      <w:r w:rsidRPr="00A9471E">
        <w:rPr>
          <w:lang w:val="en-GB"/>
        </w:rPr>
        <w:t>Astrazeneca</w:t>
      </w:r>
      <w:proofErr w:type="spellEnd"/>
      <w:r w:rsidRPr="00A9471E">
        <w:rPr>
          <w:lang w:val="en-GB"/>
        </w:rPr>
        <w:t>, (2022). About collaboration. Available at: https://www.astrazeneca.com/partnering.html [Accessed on 29.12.22]</w:t>
      </w:r>
    </w:p>
    <w:p w14:paraId="2EF88888" w14:textId="77777777" w:rsidR="00A9471E" w:rsidRPr="00A9471E" w:rsidRDefault="00A9471E" w:rsidP="00A9471E">
      <w:pPr>
        <w:pStyle w:val="Normal1"/>
        <w:rPr>
          <w:lang w:val="en-GB"/>
        </w:rPr>
      </w:pPr>
      <w:proofErr w:type="spellStart"/>
      <w:r w:rsidRPr="00A9471E">
        <w:rPr>
          <w:lang w:val="en-GB"/>
        </w:rPr>
        <w:t>Astrazeneca</w:t>
      </w:r>
      <w:proofErr w:type="spellEnd"/>
      <w:r w:rsidRPr="00A9471E">
        <w:rPr>
          <w:lang w:val="en-GB"/>
        </w:rPr>
        <w:t>, (2022). About dividend rates. Available at: https://www.astrazeneca.com/investor-relations/dividend-policy.html [Accessed on 29.12.22]</w:t>
      </w:r>
    </w:p>
    <w:p w14:paraId="0F9A95C3" w14:textId="77777777" w:rsidR="00A9471E" w:rsidRPr="00A9471E" w:rsidRDefault="00A9471E" w:rsidP="00A9471E">
      <w:pPr>
        <w:pStyle w:val="Normal1"/>
        <w:rPr>
          <w:lang w:val="en-GB"/>
        </w:rPr>
      </w:pPr>
      <w:proofErr w:type="spellStart"/>
      <w:r w:rsidRPr="00A9471E">
        <w:rPr>
          <w:lang w:val="en-GB"/>
        </w:rPr>
        <w:t>Astrazeneca</w:t>
      </w:r>
      <w:proofErr w:type="spellEnd"/>
      <w:r w:rsidRPr="00A9471E">
        <w:rPr>
          <w:lang w:val="en-GB"/>
        </w:rPr>
        <w:t>, (2022). About expenditure. Available at: https://www.astrazeneca.com/media-centre/press-releases/2013/astrazeneca-research-development-centre-global-headquarters-cambridge-18032013.html [Accessed on 29.12.22]</w:t>
      </w:r>
    </w:p>
    <w:p w14:paraId="387010D7" w14:textId="77777777" w:rsidR="00A9471E" w:rsidRPr="00A9471E" w:rsidRDefault="00A9471E" w:rsidP="00A9471E">
      <w:pPr>
        <w:pStyle w:val="Normal1"/>
        <w:rPr>
          <w:lang w:val="en-GB"/>
        </w:rPr>
      </w:pPr>
      <w:proofErr w:type="spellStart"/>
      <w:r w:rsidRPr="00A9471E">
        <w:rPr>
          <w:lang w:val="en-GB"/>
        </w:rPr>
        <w:t>Astrazeneca</w:t>
      </w:r>
      <w:proofErr w:type="spellEnd"/>
      <w:r w:rsidRPr="00A9471E">
        <w:rPr>
          <w:lang w:val="en-GB"/>
        </w:rPr>
        <w:t>, (2022). About objectives. Available at: https://www.astrazeneca.com/our-company.html [Accessed on 29.12.22]</w:t>
      </w:r>
    </w:p>
    <w:p w14:paraId="3E42C805" w14:textId="77777777" w:rsidR="00A9471E" w:rsidRPr="00A9471E" w:rsidRDefault="00A9471E" w:rsidP="00A9471E">
      <w:pPr>
        <w:pStyle w:val="Normal1"/>
        <w:rPr>
          <w:lang w:val="en-GB"/>
        </w:rPr>
      </w:pPr>
      <w:r w:rsidRPr="00A9471E">
        <w:rPr>
          <w:lang w:val="en-GB"/>
        </w:rPr>
        <w:t>Astrazeneca.co.uk, (2022). About the global presence of the company. Available at: https://www.astrazeneca.co.uk/about-us.html#:~:text=Some%201%2C800%20people%20are%20employed,medicines%20to%20130%20global%20markets. [Accessed on 29.12.22]</w:t>
      </w:r>
    </w:p>
    <w:p w14:paraId="23003F56" w14:textId="77777777" w:rsidR="00A9471E" w:rsidRPr="00A9471E" w:rsidRDefault="00A9471E" w:rsidP="00A9471E">
      <w:pPr>
        <w:pStyle w:val="Normal1"/>
        <w:rPr>
          <w:lang w:val="en-GB"/>
        </w:rPr>
      </w:pPr>
      <w:r w:rsidRPr="00A9471E">
        <w:rPr>
          <w:lang w:val="en-GB"/>
        </w:rPr>
        <w:t xml:space="preserve">Bashir, T., Khan, K.I. and </w:t>
      </w:r>
      <w:proofErr w:type="spellStart"/>
      <w:r w:rsidRPr="00A9471E">
        <w:rPr>
          <w:lang w:val="en-GB"/>
        </w:rPr>
        <w:t>Urooge</w:t>
      </w:r>
      <w:proofErr w:type="spellEnd"/>
      <w:r w:rsidRPr="00A9471E">
        <w:rPr>
          <w:lang w:val="en-GB"/>
        </w:rPr>
        <w:t>, S., (2020). Assumptions of Making a Good Deal with Bad Person: Empirical Evidence on Strong Form Market Efficiency. Global Social Sciences Review, 1, pp.154-162.</w:t>
      </w:r>
    </w:p>
    <w:p w14:paraId="5B8A7FB6" w14:textId="77777777" w:rsidR="00A9471E" w:rsidRPr="00A9471E" w:rsidRDefault="00A9471E" w:rsidP="00A9471E">
      <w:pPr>
        <w:pStyle w:val="Normal1"/>
        <w:rPr>
          <w:lang w:val="en-GB"/>
        </w:rPr>
      </w:pPr>
      <w:r w:rsidRPr="00A9471E">
        <w:rPr>
          <w:lang w:val="en-GB"/>
        </w:rPr>
        <w:t>Bocher, R., (2022). The Intersubjective Markets Hypothesis. Journal of Interdisciplinary Economics, 34(1), pp.35-50.</w:t>
      </w:r>
    </w:p>
    <w:p w14:paraId="6B524F2B" w14:textId="77777777" w:rsidR="00A9471E" w:rsidRPr="00A9471E" w:rsidRDefault="00A9471E" w:rsidP="00A9471E">
      <w:pPr>
        <w:pStyle w:val="Normal1"/>
        <w:rPr>
          <w:lang w:val="en-GB"/>
        </w:rPr>
      </w:pPr>
      <w:proofErr w:type="spellStart"/>
      <w:r w:rsidRPr="00A9471E">
        <w:rPr>
          <w:lang w:val="en-GB"/>
        </w:rPr>
        <w:t>Bonini</w:t>
      </w:r>
      <w:proofErr w:type="spellEnd"/>
      <w:r w:rsidRPr="00A9471E">
        <w:rPr>
          <w:lang w:val="en-GB"/>
        </w:rPr>
        <w:t>, S. and Capizzi, V., (2019). The role of venture capital in the emerging entrepreneurial finance ecosystem: future threats and opportunities. Venture Capital, 21(2-3), pp.137-175.</w:t>
      </w:r>
    </w:p>
    <w:p w14:paraId="4FB40D98" w14:textId="77777777" w:rsidR="00A9471E" w:rsidRPr="00A9471E" w:rsidRDefault="00A9471E" w:rsidP="00A9471E">
      <w:pPr>
        <w:pStyle w:val="Normal1"/>
        <w:rPr>
          <w:lang w:val="en-GB"/>
        </w:rPr>
      </w:pPr>
      <w:proofErr w:type="spellStart"/>
      <w:r w:rsidRPr="00A9471E">
        <w:rPr>
          <w:lang w:val="en-GB"/>
        </w:rPr>
        <w:t>Chukurna</w:t>
      </w:r>
      <w:proofErr w:type="spellEnd"/>
      <w:r w:rsidRPr="00A9471E">
        <w:rPr>
          <w:lang w:val="en-GB"/>
        </w:rPr>
        <w:t xml:space="preserve">, О., </w:t>
      </w:r>
      <w:proofErr w:type="spellStart"/>
      <w:r w:rsidRPr="00A9471E">
        <w:rPr>
          <w:lang w:val="en-GB"/>
        </w:rPr>
        <w:t>Nitsenko</w:t>
      </w:r>
      <w:proofErr w:type="spellEnd"/>
      <w:r w:rsidRPr="00A9471E">
        <w:rPr>
          <w:lang w:val="en-GB"/>
        </w:rPr>
        <w:t xml:space="preserve">, V., </w:t>
      </w:r>
      <w:proofErr w:type="spellStart"/>
      <w:r w:rsidRPr="00A9471E">
        <w:rPr>
          <w:lang w:val="en-GB"/>
        </w:rPr>
        <w:t>Kralia</w:t>
      </w:r>
      <w:proofErr w:type="spellEnd"/>
      <w:r w:rsidRPr="00A9471E">
        <w:rPr>
          <w:lang w:val="en-GB"/>
        </w:rPr>
        <w:t xml:space="preserve">, V., </w:t>
      </w:r>
      <w:proofErr w:type="spellStart"/>
      <w:r w:rsidRPr="00A9471E">
        <w:rPr>
          <w:lang w:val="en-GB"/>
        </w:rPr>
        <w:t>Sahachko</w:t>
      </w:r>
      <w:proofErr w:type="spellEnd"/>
      <w:r w:rsidRPr="00A9471E">
        <w:rPr>
          <w:lang w:val="en-GB"/>
        </w:rPr>
        <w:t xml:space="preserve">, Y., </w:t>
      </w:r>
      <w:proofErr w:type="spellStart"/>
      <w:r w:rsidRPr="00A9471E">
        <w:rPr>
          <w:lang w:val="en-GB"/>
        </w:rPr>
        <w:t>Morkunas</w:t>
      </w:r>
      <w:proofErr w:type="spellEnd"/>
      <w:r w:rsidRPr="00A9471E">
        <w:rPr>
          <w:lang w:val="en-GB"/>
        </w:rPr>
        <w:t>, M. and Volkov, A., (2019). Modelling and managing the effect of transferring the dynamics of exchange rates on prices of machine-building enterprises in Ukraine. Polish Journal of Management Studies, 19(1), pp.117-129.</w:t>
      </w:r>
    </w:p>
    <w:p w14:paraId="497A6C7D" w14:textId="77777777" w:rsidR="00A9471E" w:rsidRPr="00A9471E" w:rsidRDefault="00A9471E" w:rsidP="00A9471E">
      <w:pPr>
        <w:pStyle w:val="Normal1"/>
        <w:rPr>
          <w:lang w:val="en-GB"/>
        </w:rPr>
      </w:pPr>
      <w:r w:rsidRPr="00A9471E">
        <w:rPr>
          <w:lang w:val="en-GB"/>
        </w:rPr>
        <w:t xml:space="preserve">Coyle, D. and </w:t>
      </w:r>
      <w:proofErr w:type="spellStart"/>
      <w:r w:rsidRPr="00A9471E">
        <w:rPr>
          <w:lang w:val="en-GB"/>
        </w:rPr>
        <w:t>Sensier</w:t>
      </w:r>
      <w:proofErr w:type="spellEnd"/>
      <w:r w:rsidRPr="00A9471E">
        <w:rPr>
          <w:lang w:val="en-GB"/>
        </w:rPr>
        <w:t>, M., (2020). The imperial treasury: appraisal methodology and regional economic performance in the UK. Regional Studies, 54(3), pp.283-295.</w:t>
      </w:r>
    </w:p>
    <w:p w14:paraId="78A0E34E" w14:textId="77777777" w:rsidR="00A9471E" w:rsidRPr="00A9471E" w:rsidRDefault="00A9471E" w:rsidP="00A9471E">
      <w:pPr>
        <w:pStyle w:val="Normal1"/>
        <w:rPr>
          <w:lang w:val="en-GB"/>
        </w:rPr>
      </w:pPr>
      <w:proofErr w:type="spellStart"/>
      <w:r w:rsidRPr="00A9471E">
        <w:rPr>
          <w:lang w:val="en-GB"/>
        </w:rPr>
        <w:lastRenderedPageBreak/>
        <w:t>Dinh</w:t>
      </w:r>
      <w:proofErr w:type="spellEnd"/>
      <w:r w:rsidRPr="00A9471E">
        <w:rPr>
          <w:lang w:val="en-GB"/>
        </w:rPr>
        <w:t xml:space="preserve"> Nguyen, D., To, T.H., Nguyen, D.V. and Phuong Do, H., (2021). Managerial overconfidence and dividend policy in Vietnamese enterprises. Cogent Economics &amp; Finance, 9(1), p.1885195.</w:t>
      </w:r>
    </w:p>
    <w:p w14:paraId="4F3D16C1" w14:textId="77777777" w:rsidR="00A9471E" w:rsidRPr="00A9471E" w:rsidRDefault="00A9471E" w:rsidP="00A9471E">
      <w:pPr>
        <w:pStyle w:val="Normal1"/>
        <w:rPr>
          <w:lang w:val="en-GB"/>
        </w:rPr>
      </w:pPr>
      <w:r w:rsidRPr="00A9471E">
        <w:rPr>
          <w:lang w:val="en-GB"/>
        </w:rPr>
        <w:t>Google, (2022). About share prices. Available at: https://www.google.com/finance/quote/AZN:LON?sa=X&amp;ved=2ahUKEwi37bqdoa38AhXk5HMBHZtbBYoQ3ecFegQIKhAg&amp;window=5Y [Accessed on 29.12.22]</w:t>
      </w:r>
    </w:p>
    <w:p w14:paraId="759EC7D8" w14:textId="77777777" w:rsidR="00A9471E" w:rsidRPr="00A9471E" w:rsidRDefault="00A9471E" w:rsidP="00A9471E">
      <w:pPr>
        <w:pStyle w:val="Normal1"/>
        <w:rPr>
          <w:lang w:val="en-GB"/>
        </w:rPr>
      </w:pPr>
      <w:r w:rsidRPr="00A9471E">
        <w:rPr>
          <w:lang w:val="en-GB"/>
        </w:rPr>
        <w:t>Han, C., Wang, Y. and Xu, Y., (2019). Efficiency and multifractality analysis of the Chinese stock market: Evidence from stock indices before and after the 2015 stock market crash. Sustainability, 11(6), p.1699.</w:t>
      </w:r>
    </w:p>
    <w:p w14:paraId="6765B296" w14:textId="77777777" w:rsidR="00A9471E" w:rsidRPr="00A9471E" w:rsidRDefault="00A9471E" w:rsidP="00A9471E">
      <w:pPr>
        <w:pStyle w:val="Normal1"/>
        <w:rPr>
          <w:lang w:val="en-GB"/>
        </w:rPr>
      </w:pPr>
      <w:proofErr w:type="spellStart"/>
      <w:r w:rsidRPr="00A9471E">
        <w:rPr>
          <w:lang w:val="en-GB"/>
        </w:rPr>
        <w:t>Lowitzsch</w:t>
      </w:r>
      <w:proofErr w:type="spellEnd"/>
      <w:r w:rsidRPr="00A9471E">
        <w:rPr>
          <w:lang w:val="en-GB"/>
        </w:rPr>
        <w:t xml:space="preserve">, J., </w:t>
      </w:r>
      <w:proofErr w:type="spellStart"/>
      <w:r w:rsidRPr="00A9471E">
        <w:rPr>
          <w:lang w:val="en-GB"/>
        </w:rPr>
        <w:t>Hoicka</w:t>
      </w:r>
      <w:proofErr w:type="spellEnd"/>
      <w:r w:rsidRPr="00A9471E">
        <w:rPr>
          <w:lang w:val="en-GB"/>
        </w:rPr>
        <w:t xml:space="preserve">, C.E. and van </w:t>
      </w:r>
      <w:proofErr w:type="spellStart"/>
      <w:r w:rsidRPr="00A9471E">
        <w:rPr>
          <w:lang w:val="en-GB"/>
        </w:rPr>
        <w:t>Tulder</w:t>
      </w:r>
      <w:proofErr w:type="spellEnd"/>
      <w:r w:rsidRPr="00A9471E">
        <w:rPr>
          <w:lang w:val="en-GB"/>
        </w:rPr>
        <w:t xml:space="preserve">, F.J., (2020). Renewable energy communities under the 2019 European Clean Energy Package–Governance model for the energy clusters of the </w:t>
      </w:r>
      <w:proofErr w:type="gramStart"/>
      <w:r w:rsidRPr="00A9471E">
        <w:rPr>
          <w:lang w:val="en-GB"/>
        </w:rPr>
        <w:t>future?.</w:t>
      </w:r>
      <w:proofErr w:type="gramEnd"/>
      <w:r w:rsidRPr="00A9471E">
        <w:rPr>
          <w:lang w:val="en-GB"/>
        </w:rPr>
        <w:t xml:space="preserve"> Renewable and Sustainable Energy Reviews, 122, p.109489.</w:t>
      </w:r>
    </w:p>
    <w:p w14:paraId="43810DEB" w14:textId="77777777" w:rsidR="00A9471E" w:rsidRPr="00A9471E" w:rsidRDefault="00A9471E" w:rsidP="00A9471E">
      <w:pPr>
        <w:pStyle w:val="Normal1"/>
        <w:rPr>
          <w:lang w:val="en-GB"/>
        </w:rPr>
      </w:pPr>
      <w:r w:rsidRPr="00A9471E">
        <w:rPr>
          <w:lang w:val="en-GB"/>
        </w:rPr>
        <w:t xml:space="preserve">Macrotrends.net, (2022). About dividend yield and </w:t>
      </w:r>
      <w:proofErr w:type="spellStart"/>
      <w:r w:rsidRPr="00A9471E">
        <w:rPr>
          <w:lang w:val="en-GB"/>
        </w:rPr>
        <w:t>payout</w:t>
      </w:r>
      <w:proofErr w:type="spellEnd"/>
      <w:r w:rsidRPr="00A9471E">
        <w:rPr>
          <w:lang w:val="en-GB"/>
        </w:rPr>
        <w:t>. Available at: https://www.macrotrends.net/stocks/charts/AZN/astrazeneca/dividend-yield-history [Accessed on 29.12.22]</w:t>
      </w:r>
    </w:p>
    <w:p w14:paraId="48FFB9A7" w14:textId="77777777" w:rsidR="00A9471E" w:rsidRPr="00A9471E" w:rsidRDefault="00A9471E" w:rsidP="00A9471E">
      <w:pPr>
        <w:pStyle w:val="Normal1"/>
        <w:rPr>
          <w:lang w:val="en-GB"/>
        </w:rPr>
      </w:pPr>
      <w:proofErr w:type="spellStart"/>
      <w:r w:rsidRPr="00A9471E">
        <w:rPr>
          <w:lang w:val="en-GB"/>
        </w:rPr>
        <w:t>Pattiruhu</w:t>
      </w:r>
      <w:proofErr w:type="spellEnd"/>
      <w:r w:rsidRPr="00A9471E">
        <w:rPr>
          <w:lang w:val="en-GB"/>
        </w:rPr>
        <w:t xml:space="preserve">, J.R. and </w:t>
      </w:r>
      <w:proofErr w:type="spellStart"/>
      <w:r w:rsidRPr="00A9471E">
        <w:rPr>
          <w:lang w:val="en-GB"/>
        </w:rPr>
        <w:t>Paais</w:t>
      </w:r>
      <w:proofErr w:type="spellEnd"/>
      <w:r w:rsidRPr="00A9471E">
        <w:rPr>
          <w:lang w:val="en-GB"/>
        </w:rPr>
        <w:t>, M., (2020). Effect of liquidity, profitability, leverage, and firm size on dividend policy. The Journal of Asian Finance, Economics and Business, 7(10), pp.35-42.</w:t>
      </w:r>
    </w:p>
    <w:p w14:paraId="158207DF" w14:textId="77777777" w:rsidR="00A9471E" w:rsidRPr="00A9471E" w:rsidRDefault="00A9471E" w:rsidP="00A9471E">
      <w:pPr>
        <w:pStyle w:val="Normal1"/>
        <w:rPr>
          <w:lang w:val="en-GB"/>
        </w:rPr>
      </w:pPr>
      <w:r w:rsidRPr="00A9471E">
        <w:rPr>
          <w:lang w:val="en-GB"/>
        </w:rPr>
        <w:t xml:space="preserve">Reuters, (2022). About collaboration with </w:t>
      </w:r>
      <w:proofErr w:type="spellStart"/>
      <w:r w:rsidRPr="00A9471E">
        <w:rPr>
          <w:lang w:val="en-GB"/>
        </w:rPr>
        <w:t>Almirall</w:t>
      </w:r>
      <w:proofErr w:type="spellEnd"/>
      <w:r w:rsidRPr="00A9471E">
        <w:rPr>
          <w:lang w:val="en-GB"/>
        </w:rPr>
        <w:t>. Available at: https://www.reuters.com/article/astrazeneca-almirall-idINL6N0Q51QV20140730 [Accessed on 29.12.22]</w:t>
      </w:r>
    </w:p>
    <w:p w14:paraId="3874C570" w14:textId="77777777" w:rsidR="00A9471E" w:rsidRPr="00A9471E" w:rsidRDefault="00A9471E" w:rsidP="00A9471E">
      <w:pPr>
        <w:pStyle w:val="Normal1"/>
        <w:rPr>
          <w:lang w:val="en-GB"/>
        </w:rPr>
      </w:pPr>
      <w:r w:rsidRPr="00A9471E">
        <w:rPr>
          <w:lang w:val="en-GB"/>
        </w:rPr>
        <w:t>Solheim-</w:t>
      </w:r>
      <w:proofErr w:type="spellStart"/>
      <w:r w:rsidRPr="00A9471E">
        <w:rPr>
          <w:lang w:val="en-GB"/>
        </w:rPr>
        <w:t>Kile</w:t>
      </w:r>
      <w:proofErr w:type="spellEnd"/>
      <w:r w:rsidRPr="00A9471E">
        <w:rPr>
          <w:lang w:val="en-GB"/>
        </w:rPr>
        <w:t xml:space="preserve">, E., </w:t>
      </w:r>
      <w:proofErr w:type="spellStart"/>
      <w:r w:rsidRPr="00A9471E">
        <w:rPr>
          <w:lang w:val="en-GB"/>
        </w:rPr>
        <w:t>Lædre</w:t>
      </w:r>
      <w:proofErr w:type="spellEnd"/>
      <w:r w:rsidRPr="00A9471E">
        <w:rPr>
          <w:lang w:val="en-GB"/>
        </w:rPr>
        <w:t xml:space="preserve">, O. and </w:t>
      </w:r>
      <w:proofErr w:type="spellStart"/>
      <w:r w:rsidRPr="00A9471E">
        <w:rPr>
          <w:lang w:val="en-GB"/>
        </w:rPr>
        <w:t>Lohne</w:t>
      </w:r>
      <w:proofErr w:type="spellEnd"/>
      <w:r w:rsidRPr="00A9471E">
        <w:rPr>
          <w:lang w:val="en-GB"/>
        </w:rPr>
        <w:t>, J., (2019). Public-private partnerships: Agency costs in the privatization of social infrastructure financing. Project Management Journal, 50(2), pp.144-160.</w:t>
      </w:r>
    </w:p>
    <w:p w14:paraId="72C721D7" w14:textId="77777777" w:rsidR="00A9471E" w:rsidRPr="00A9471E" w:rsidRDefault="00A9471E" w:rsidP="00A9471E">
      <w:pPr>
        <w:pStyle w:val="Normal1"/>
        <w:rPr>
          <w:lang w:val="en-GB"/>
        </w:rPr>
      </w:pPr>
      <w:proofErr w:type="spellStart"/>
      <w:r w:rsidRPr="00A9471E">
        <w:rPr>
          <w:lang w:val="en-GB"/>
        </w:rPr>
        <w:t>Yazdanmehr</w:t>
      </w:r>
      <w:proofErr w:type="spellEnd"/>
      <w:r w:rsidRPr="00A9471E">
        <w:rPr>
          <w:lang w:val="en-GB"/>
        </w:rPr>
        <w:t>, A., Wang, J. and Yang, Z., (2020). Peers matter: The moderating role of social influence on information security policy compliance. Information Systems Journal, 30(5), pp.791-844.</w:t>
      </w:r>
    </w:p>
    <w:sectPr w:rsidR="00A9471E" w:rsidRPr="00A9471E" w:rsidSect="00A9471E">
      <w:headerReference w:type="even" r:id="rId10"/>
      <w:headerReference w:type="default" r:id="rId11"/>
      <w:footerReference w:type="even" r:id="rId12"/>
      <w:footerReference w:type="default" r:id="rId13"/>
      <w:headerReference w:type="first" r:id="rId14"/>
      <w:footerReference w:type="firs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8E01A" w14:textId="77777777" w:rsidR="000D478F" w:rsidRDefault="000D478F" w:rsidP="00EA47DF">
      <w:pPr>
        <w:spacing w:before="0" w:after="0" w:line="240" w:lineRule="auto"/>
      </w:pPr>
      <w:r>
        <w:separator/>
      </w:r>
    </w:p>
  </w:endnote>
  <w:endnote w:type="continuationSeparator" w:id="0">
    <w:p w14:paraId="2FDD287B" w14:textId="77777777" w:rsidR="000D478F" w:rsidRDefault="000D478F" w:rsidP="00EA47D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53B39" w14:textId="77777777" w:rsidR="00AF381A" w:rsidRDefault="00AF38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F1852" w14:textId="77777777" w:rsidR="00EA47DF" w:rsidRDefault="00EA47DF">
    <w:pPr>
      <w:pStyle w:val="Normal1"/>
      <w:jc w:val="right"/>
    </w:pPr>
    <w:r>
      <w:fldChar w:fldCharType="begin"/>
    </w:r>
    <w:r w:rsidR="000C348C">
      <w:instrText>PAGE</w:instrText>
    </w:r>
    <w:r>
      <w:fldChar w:fldCharType="separate"/>
    </w:r>
    <w:r w:rsidR="00AF381A">
      <w:rPr>
        <w:noProof/>
      </w:rPr>
      <w:t>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3F23B" w14:textId="77777777" w:rsidR="00EA47DF" w:rsidRDefault="00EA47DF">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48EC2" w14:textId="77777777" w:rsidR="000D478F" w:rsidRDefault="000D478F" w:rsidP="00EA47DF">
      <w:pPr>
        <w:spacing w:before="0" w:after="0" w:line="240" w:lineRule="auto"/>
      </w:pPr>
      <w:r>
        <w:separator/>
      </w:r>
    </w:p>
  </w:footnote>
  <w:footnote w:type="continuationSeparator" w:id="0">
    <w:p w14:paraId="0874218A" w14:textId="77777777" w:rsidR="000D478F" w:rsidRDefault="000D478F" w:rsidP="00EA47D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A6E6A" w14:textId="77777777" w:rsidR="00AF381A" w:rsidRDefault="00AF38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5C6B2" w14:textId="77777777" w:rsidR="00AF381A" w:rsidRDefault="00AF38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425D4" w14:textId="77777777" w:rsidR="00AF381A" w:rsidRDefault="00AF38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440D24"/>
    <w:multiLevelType w:val="hybridMultilevel"/>
    <w:tmpl w:val="8020C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2620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7DF"/>
    <w:rsid w:val="00041BFC"/>
    <w:rsid w:val="000C348C"/>
    <w:rsid w:val="000D478F"/>
    <w:rsid w:val="00542D13"/>
    <w:rsid w:val="007B2634"/>
    <w:rsid w:val="00A9471E"/>
    <w:rsid w:val="00AF381A"/>
    <w:rsid w:val="00EA47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D5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EA47DF"/>
    <w:pPr>
      <w:keepNext/>
      <w:keepLines/>
      <w:outlineLvl w:val="0"/>
    </w:pPr>
    <w:rPr>
      <w:b/>
    </w:rPr>
  </w:style>
  <w:style w:type="paragraph" w:styleId="Heading2">
    <w:name w:val="heading 2"/>
    <w:basedOn w:val="Normal1"/>
    <w:next w:val="Normal1"/>
    <w:rsid w:val="00EA47DF"/>
    <w:pPr>
      <w:keepNext/>
      <w:keepLines/>
      <w:spacing w:before="360" w:after="120"/>
      <w:outlineLvl w:val="1"/>
    </w:pPr>
    <w:rPr>
      <w:sz w:val="32"/>
      <w:szCs w:val="32"/>
    </w:rPr>
  </w:style>
  <w:style w:type="paragraph" w:styleId="Heading3">
    <w:name w:val="heading 3"/>
    <w:basedOn w:val="Normal1"/>
    <w:next w:val="Normal1"/>
    <w:rsid w:val="00EA47DF"/>
    <w:pPr>
      <w:keepNext/>
      <w:keepLines/>
      <w:spacing w:before="320" w:after="80"/>
      <w:outlineLvl w:val="2"/>
    </w:pPr>
    <w:rPr>
      <w:color w:val="434343"/>
      <w:sz w:val="28"/>
      <w:szCs w:val="28"/>
    </w:rPr>
  </w:style>
  <w:style w:type="paragraph" w:styleId="Heading4">
    <w:name w:val="heading 4"/>
    <w:basedOn w:val="Normal1"/>
    <w:next w:val="Normal1"/>
    <w:rsid w:val="00EA47DF"/>
    <w:pPr>
      <w:keepNext/>
      <w:keepLines/>
      <w:spacing w:before="280" w:after="80"/>
      <w:outlineLvl w:val="3"/>
    </w:pPr>
    <w:rPr>
      <w:color w:val="666666"/>
    </w:rPr>
  </w:style>
  <w:style w:type="paragraph" w:styleId="Heading5">
    <w:name w:val="heading 5"/>
    <w:basedOn w:val="Normal1"/>
    <w:next w:val="Normal1"/>
    <w:rsid w:val="00EA47DF"/>
    <w:pPr>
      <w:keepNext/>
      <w:keepLines/>
      <w:spacing w:before="240" w:after="80"/>
      <w:outlineLvl w:val="4"/>
    </w:pPr>
    <w:rPr>
      <w:color w:val="666666"/>
      <w:sz w:val="22"/>
      <w:szCs w:val="22"/>
    </w:rPr>
  </w:style>
  <w:style w:type="paragraph" w:styleId="Heading6">
    <w:name w:val="heading 6"/>
    <w:basedOn w:val="Normal1"/>
    <w:next w:val="Normal1"/>
    <w:rsid w:val="00EA47DF"/>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A47DF"/>
  </w:style>
  <w:style w:type="paragraph" w:styleId="Title">
    <w:name w:val="Title"/>
    <w:basedOn w:val="Normal1"/>
    <w:next w:val="Normal1"/>
    <w:rsid w:val="00EA47DF"/>
    <w:pPr>
      <w:keepNext/>
      <w:keepLines/>
      <w:spacing w:before="0" w:after="60"/>
    </w:pPr>
    <w:rPr>
      <w:sz w:val="52"/>
      <w:szCs w:val="52"/>
    </w:rPr>
  </w:style>
  <w:style w:type="paragraph" w:styleId="Subtitle">
    <w:name w:val="Subtitle"/>
    <w:basedOn w:val="Normal1"/>
    <w:next w:val="Normal1"/>
    <w:rsid w:val="00EA47DF"/>
    <w:pPr>
      <w:keepNext/>
      <w:keepLines/>
      <w:spacing w:before="0"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A9471E"/>
    <w:pPr>
      <w:spacing w:after="100"/>
    </w:pPr>
  </w:style>
  <w:style w:type="character" w:styleId="Hyperlink">
    <w:name w:val="Hyperlink"/>
    <w:basedOn w:val="DefaultParagraphFont"/>
    <w:uiPriority w:val="99"/>
    <w:unhideWhenUsed/>
    <w:rsid w:val="00A9471E"/>
    <w:rPr>
      <w:color w:val="0000FF" w:themeColor="hyperlink"/>
      <w:u w:val="single"/>
    </w:rPr>
  </w:style>
  <w:style w:type="paragraph" w:styleId="BalloonText">
    <w:name w:val="Balloon Text"/>
    <w:basedOn w:val="Normal"/>
    <w:link w:val="BalloonTextChar"/>
    <w:uiPriority w:val="99"/>
    <w:semiHidden/>
    <w:unhideWhenUsed/>
    <w:rsid w:val="00A9471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71E"/>
    <w:rPr>
      <w:rFonts w:ascii="Tahoma" w:hAnsi="Tahoma" w:cs="Tahoma"/>
      <w:sz w:val="16"/>
      <w:szCs w:val="16"/>
    </w:rPr>
  </w:style>
  <w:style w:type="paragraph" w:styleId="Header">
    <w:name w:val="header"/>
    <w:basedOn w:val="Normal"/>
    <w:link w:val="HeaderChar"/>
    <w:uiPriority w:val="99"/>
    <w:semiHidden/>
    <w:unhideWhenUsed/>
    <w:rsid w:val="00AF381A"/>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AF381A"/>
  </w:style>
  <w:style w:type="paragraph" w:styleId="Footer">
    <w:name w:val="footer"/>
    <w:basedOn w:val="Normal"/>
    <w:link w:val="FooterChar"/>
    <w:uiPriority w:val="99"/>
    <w:semiHidden/>
    <w:unhideWhenUsed/>
    <w:rsid w:val="00AF381A"/>
    <w:pPr>
      <w:tabs>
        <w:tab w:val="center" w:pos="4680"/>
        <w:tab w:val="right" w:pos="9360"/>
      </w:tabs>
      <w:spacing w:before="0" w:after="0" w:line="240" w:lineRule="auto"/>
    </w:pPr>
  </w:style>
  <w:style w:type="character" w:customStyle="1" w:styleId="FooterChar">
    <w:name w:val="Footer Char"/>
    <w:basedOn w:val="DefaultParagraphFont"/>
    <w:link w:val="Footer"/>
    <w:uiPriority w:val="99"/>
    <w:semiHidden/>
    <w:rsid w:val="00AF38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0BBB3-B7A9-49E5-879E-C0C567473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2236</Words>
  <Characters>12749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2023-01-05T18:04:00Z</dcterms:created>
  <dcterms:modified xsi:type="dcterms:W3CDTF">2023-01-05T18:19:00Z</dcterms:modified>
</cp:coreProperties>
</file>