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600"/>
        <w:jc w:val="center"/>
      </w:pPr>
      <w:r>
        <w:rPr>
          <w:rFonts w:ascii="Times New Roman" w:cs="Times New Roman" w:eastAsia="Times New Roman" w:hAnsi="Times New Roman"/>
          <w:b/>
          <w:bCs/>
          <w:color w:val="1F4E79"/>
          <w:sz w:val="28"/>
          <w:szCs w:val="28"/>
        </w:rPr>
        <w:t xml:space="preserve">UNIVERSITY OF WALES TRINITY SAINT DAVID</w:t>
      </w:r>
    </w:p>
    <w:p>
      <w:pPr>
        <w:spacing w:after="400"/>
        <w:jc w:val="center"/>
      </w:pPr>
      <w:r>
        <w:rPr>
          <w:rFonts w:ascii="Times New Roman" w:cs="Times New Roman" w:eastAsia="Times New Roman" w:hAnsi="Times New Roman"/>
          <w:i/>
          <w:iCs/>
          <w:color w:val="555555"/>
          <w:sz w:val="22"/>
          <w:szCs w:val="22"/>
        </w:rPr>
        <w:t xml:space="preserve">London Canary Wharf Campus</w:t>
      </w:r>
    </w:p>
    <w:p>
      <w:pPr>
        <w:pBdr>
          <w:bottom w:val="single" w:color="1F4E79" w:sz="12" w:space="1"/>
        </w:pBdr>
        <w:spacing w:after="400"/>
        <w:jc w:val="center"/>
      </w:pPr>
    </w:p>
    <w:p>
      <w:pPr>
        <w:spacing w:after="200" w:before="200"/>
        <w:jc w:val="center"/>
      </w:pPr>
      <w:r>
        <w:rPr>
          <w:rFonts w:ascii="Times New Roman" w:cs="Times New Roman" w:eastAsia="Times New Roman" w:hAnsi="Times New Roman"/>
          <w:b/>
          <w:bCs/>
          <w:sz w:val="26"/>
          <w:szCs w:val="26"/>
        </w:rPr>
        <w:t xml:space="preserve">LCLM 5006</w:t>
      </w:r>
    </w:p>
    <w:p>
      <w:pPr>
        <w:spacing w:after="120" w:before="300"/>
        <w:jc w:val="center"/>
      </w:pPr>
      <w:r>
        <w:rPr>
          <w:rFonts w:ascii="Times New Roman" w:cs="Times New Roman" w:eastAsia="Times New Roman" w:hAnsi="Times New Roman"/>
          <w:b/>
          <w:bCs/>
          <w:color w:val="1F4E79"/>
          <w:sz w:val="36"/>
          <w:szCs w:val="36"/>
        </w:rPr>
        <w:t xml:space="preserve">Emotional Intelligence, Mindfulness</w:t>
      </w:r>
    </w:p>
    <w:p>
      <w:pPr>
        <w:spacing w:after="120"/>
        <w:jc w:val="center"/>
      </w:pPr>
      <w:r>
        <w:rPr>
          <w:rFonts w:ascii="Times New Roman" w:cs="Times New Roman" w:eastAsia="Times New Roman" w:hAnsi="Times New Roman"/>
          <w:b/>
          <w:bCs/>
          <w:color w:val="1F4E79"/>
          <w:sz w:val="36"/>
          <w:szCs w:val="36"/>
        </w:rPr>
        <w:t xml:space="preserve">and the Management of a</w:t>
      </w:r>
    </w:p>
    <w:p>
      <w:pPr>
        <w:spacing w:after="400"/>
        <w:jc w:val="center"/>
      </w:pPr>
      <w:r>
        <w:rPr>
          <w:rFonts w:ascii="Times New Roman" w:cs="Times New Roman" w:eastAsia="Times New Roman" w:hAnsi="Times New Roman"/>
          <w:b/>
          <w:bCs/>
          <w:color w:val="1F4E79"/>
          <w:sz w:val="36"/>
          <w:szCs w:val="36"/>
        </w:rPr>
        <w:t xml:space="preserve">Multigenerational Workforce</w:t>
      </w:r>
    </w:p>
    <w:p>
      <w:pPr>
        <w:spacing w:after="600"/>
        <w:jc w:val="center"/>
      </w:pPr>
      <w:r>
        <w:rPr>
          <w:rFonts w:ascii="Times New Roman" w:cs="Times New Roman" w:eastAsia="Times New Roman" w:hAnsi="Times New Roman"/>
          <w:i/>
          <w:iCs/>
          <w:sz w:val="24"/>
          <w:szCs w:val="24"/>
        </w:rPr>
        <w:t xml:space="preserve">A Report for the Senior Management Team</w:t>
      </w:r>
    </w:p>
    <w:p>
      <w:pPr>
        <w:pBdr>
          <w:bottom w:val="single" w:color="2E75B6" w:sz="6" w:space="1"/>
        </w:pBdr>
        <w:spacing w:after="500"/>
        <w:jc w:val="center"/>
      </w:pPr>
    </w:p>
    <w:p>
      <w:pPr>
        <w:spacing w:after="80" w:before="200"/>
        <w:jc w:val="center"/>
      </w:pPr>
      <w:r>
        <w:rPr>
          <w:rFonts w:ascii="Times New Roman" w:cs="Times New Roman" w:eastAsia="Times New Roman" w:hAnsi="Times New Roman"/>
          <w:color w:val="555555"/>
          <w:sz w:val="20"/>
          <w:szCs w:val="20"/>
        </w:rPr>
        <w:t xml:space="preserve">Submitted by</w:t>
      </w:r>
    </w:p>
    <w:p>
      <w:pPr>
        <w:spacing w:after="60"/>
        <w:jc w:val="center"/>
      </w:pPr>
      <w:r>
        <w:rPr>
          <w:rFonts w:ascii="Times New Roman" w:cs="Times New Roman" w:eastAsia="Times New Roman" w:hAnsi="Times New Roman"/>
          <w:b/>
          <w:bCs/>
          <w:sz w:val="28"/>
          <w:szCs w:val="28"/>
        </w:rPr>
        <w:t xml:space="preserve">Chukwuma Nwana</w:t>
      </w:r>
    </w:p>
    <w:p>
      <w:pPr>
        <w:spacing w:after="300"/>
        <w:jc w:val="center"/>
      </w:pPr>
      <w:r>
        <w:rPr>
          <w:rFonts w:ascii="Times New Roman" w:cs="Times New Roman" w:eastAsia="Times New Roman" w:hAnsi="Times New Roman"/>
          <w:sz w:val="22"/>
          <w:szCs w:val="22"/>
        </w:rPr>
        <w:t xml:space="preserve">Student ID: 2418162</w:t>
      </w:r>
    </w:p>
    <w:p>
      <w:pPr>
        <w:spacing w:after="80" w:before="100"/>
        <w:jc w:val="center"/>
      </w:pPr>
      <w:r>
        <w:rPr>
          <w:rFonts w:ascii="Times New Roman" w:cs="Times New Roman" w:eastAsia="Times New Roman" w:hAnsi="Times New Roman"/>
          <w:color w:val="555555"/>
          <w:sz w:val="20"/>
          <w:szCs w:val="20"/>
        </w:rPr>
        <w:t xml:space="preserve">Submitted to</w:t>
      </w:r>
    </w:p>
    <w:p>
      <w:pPr>
        <w:spacing w:after="400"/>
        <w:jc w:val="center"/>
      </w:pPr>
      <w:r>
        <w:rPr>
          <w:rFonts w:ascii="Times New Roman" w:cs="Times New Roman" w:eastAsia="Times New Roman" w:hAnsi="Times New Roman"/>
          <w:b/>
          <w:bCs/>
          <w:sz w:val="26"/>
          <w:szCs w:val="26"/>
        </w:rPr>
        <w:t xml:space="preserve">Kazeem Oseni</w:t>
      </w:r>
    </w:p>
    <w:p>
      <w:pPr>
        <w:spacing w:before="300"/>
        <w:jc w:val="center"/>
      </w:pPr>
      <w:r>
        <w:rPr>
          <w:rFonts w:ascii="Times New Roman" w:cs="Times New Roman" w:eastAsia="Times New Roman" w:hAnsi="Times New Roman"/>
          <w:color w:val="555555"/>
          <w:sz w:val="22"/>
          <w:szCs w:val="22"/>
        </w:rPr>
        <w:t xml:space="preserve">August 2026</w:t>
      </w:r>
    </w:p>
    <w:p>
      <w:pPr>
        <w:sectPr>
          <w:pgSz w:w="11906" w:h="16838" w:orient="portrait"/>
          <w:pgMar w:top="1440" w:right="1440" w:bottom="1440" w:left="1440" w:header="708" w:footer="708" w:gutter="0"/>
          <w:pgNumType/>
          <w:docGrid w:linePitch="360"/>
        </w:sectPr>
      </w:pPr>
    </w:p>
    <w:p>
      <w:pPr>
        <w:pStyle w:val="Heading1"/>
        <w:spacing w:after="240" w:before="360"/>
      </w:pPr>
      <w:r>
        <w:rPr>
          <w:rFonts w:ascii="Times New Roman" w:cs="Times New Roman" w:eastAsia="Times New Roman" w:hAnsi="Times New Roman"/>
          <w:b/>
          <w:bCs/>
          <w:color w:val="1F4E79"/>
          <w:sz w:val="28"/>
          <w:szCs w:val="28"/>
        </w:rPr>
        <w:t xml:space="preserve">1. Introduction</w:t>
      </w:r>
    </w:p>
    <w:p>
      <w:pPr>
        <w:spacing w:after="200" w:line="276"/>
        <w:jc w:val="both"/>
      </w:pPr>
      <w:r>
        <w:rPr>
          <w:rFonts w:ascii="Times New Roman" w:cs="Times New Roman" w:eastAsia="Times New Roman" w:hAnsi="Times New Roman"/>
          <w:sz w:val="24"/>
          <w:szCs w:val="24"/>
        </w:rPr>
        <w:t xml:space="preserve">Recent staff surveys show that employee engagement has improved and workplace stress has gone down. These positive changes are partly due to earlier leadership training that focused on better people skills and supportive management. The results are encouraging, but some problems remain. Communication between different levels and age groups is still difficult. Leadership quality is uneven, and the organisation still needs a clearer plan for staff well-being. Because of this, the Senior Management Team has asked for a review of emotional intelligence (EI) and mindfulness as useful tools for further improvement.</w:t>
      </w:r>
    </w:p>
    <w:p>
      <w:pPr>
        <w:spacing w:after="200" w:line="276"/>
        <w:jc w:val="both"/>
      </w:pPr>
      <w:r>
        <w:rPr>
          <w:rFonts w:ascii="Times New Roman" w:cs="Times New Roman" w:eastAsia="Times New Roman" w:hAnsi="Times New Roman"/>
          <w:sz w:val="24"/>
          <w:szCs w:val="24"/>
        </w:rPr>
        <w:t xml:space="preserve">This report has two main aims. First, it looks carefully at what emotional intelligence means and how it affects everyday work outcomes such as performance, teamwork, well-being, communication, conflict handling, leadership and decision-making. Second, it examines the practical challenges of managing staff from Generation X, Generation Y (Millennials) and Generation Z. It also explores how EI skills and mindfulness can help with recruitment, day-to-day management and keeping people in the organisation.</w:t>
      </w:r>
    </w:p>
    <w:p>
      <w:pPr>
        <w:spacing w:after="200" w:line="276"/>
        <w:jc w:val="both"/>
      </w:pPr>
      <w:r>
        <w:rPr>
          <w:rFonts w:ascii="Times New Roman" w:cs="Times New Roman" w:eastAsia="Times New Roman" w:hAnsi="Times New Roman"/>
          <w:sz w:val="24"/>
          <w:szCs w:val="24"/>
        </w:rPr>
        <w:t xml:space="preserve">Emotional intelligence is the ability to notice, understand, manage and use emotions in yourself and others so that thinking and behaviour become more effective (Mayer and Salovey, 1997; Mayer, Salovey and Caruso, 2008). In the workplace, mindfulness means paying calm, non-judgemental attention to what is happening right now. This helps people become more self-aware and better at controlling their emotions (Good et al., 2016; Hülsheger et al., 2013). Together, these skills are now seen as important for staff development, good leadership, and attracting and keeping talent.</w:t>
      </w:r>
    </w:p>
    <w:p>
      <w:pPr>
        <w:spacing w:after="200" w:line="276"/>
        <w:jc w:val="both"/>
      </w:pPr>
      <w:r>
        <w:rPr>
          <w:rFonts w:ascii="Times New Roman" w:cs="Times New Roman" w:eastAsia="Times New Roman" w:hAnsi="Times New Roman"/>
          <w:sz w:val="24"/>
          <w:szCs w:val="24"/>
        </w:rPr>
        <w:t xml:space="preserve">The report is divided into two main parts. Task 1 reviews the key theories of emotional intelligence and checks how well they apply to real workplace results. Task 2 looks at the main features and expectations of the three generations now working together, assesses how these differences affect the organisation, and considers how EI and mindfulness can be used across age groups. The final section brings the findings together and offers practical recommendations for the Senior Management Team.</w:t>
      </w:r>
    </w:p>
    <w:p>
      <w:pPr>
        <w:pStyle w:val="Heading1"/>
        <w:spacing w:after="240" w:before="360"/>
      </w:pPr>
      <w:r>
        <w:rPr>
          <w:rFonts w:ascii="Times New Roman" w:cs="Times New Roman" w:eastAsia="Times New Roman" w:hAnsi="Times New Roman"/>
          <w:b/>
          <w:bCs/>
          <w:color w:val="1F4E79"/>
          <w:sz w:val="28"/>
          <w:szCs w:val="28"/>
        </w:rPr>
        <w:t xml:space="preserve">2. Task 1: Emotional Intelligence in the Workplace</w:t>
      </w:r>
    </w:p>
    <w:p>
      <w:pPr>
        <w:pStyle w:val="Heading2"/>
        <w:spacing w:after="180" w:before="280"/>
      </w:pPr>
      <w:r>
        <w:rPr>
          <w:rFonts w:ascii="Times New Roman" w:cs="Times New Roman" w:eastAsia="Times New Roman" w:hAnsi="Times New Roman"/>
          <w:b/>
          <w:bCs/>
          <w:color w:val="2E75B6"/>
          <w:sz w:val="26"/>
          <w:szCs w:val="26"/>
        </w:rPr>
        <w:t xml:space="preserve">2.1 Critical Understanding of Emotional Intelligence and Key Models</w:t>
      </w:r>
    </w:p>
    <w:p>
      <w:pPr>
        <w:spacing w:after="200" w:line="276"/>
        <w:jc w:val="both"/>
      </w:pPr>
      <w:r>
        <w:rPr>
          <w:rFonts w:ascii="Times New Roman" w:cs="Times New Roman" w:eastAsia="Times New Roman" w:hAnsi="Times New Roman"/>
          <w:sz w:val="24"/>
          <w:szCs w:val="24"/>
        </w:rPr>
        <w:t xml:space="preserve">Emotional intelligence grew out of earlier ideas about social intelligence and multiple intelligences. Salovey and Mayer (1990) first described it as a set of related abilities for handling emotional information. Later, the idea became popular and was linked more strongly to success at work and leadership. This history has produced both solid research and some confusion about what EI really is. Today, experts carefully separate pure ability models from broader mixed models that also include personality traits, motivations and behaviour (Joseph and Newman, 2010; O’Connor et al., 2019).</w:t>
      </w:r>
    </w:p>
    <w:p>
      <w:pPr>
        <w:pStyle w:val="Heading3"/>
        <w:spacing w:after="120" w:before="240"/>
      </w:pPr>
      <w:r>
        <w:rPr>
          <w:rFonts w:ascii="Times New Roman" w:cs="Times New Roman" w:eastAsia="Times New Roman" w:hAnsi="Times New Roman"/>
          <w:b/>
          <w:bCs/>
          <w:color w:val="2E75B6"/>
          <w:sz w:val="24"/>
          <w:szCs w:val="24"/>
        </w:rPr>
        <w:t xml:space="preserve">Goleman’s Framework</w:t>
      </w:r>
    </w:p>
    <w:p>
      <w:pPr>
        <w:spacing w:after="200" w:line="276"/>
        <w:jc w:val="both"/>
      </w:pPr>
      <w:r>
        <w:rPr>
          <w:rFonts w:ascii="Times New Roman" w:cs="Times New Roman" w:eastAsia="Times New Roman" w:hAnsi="Times New Roman"/>
          <w:sz w:val="24"/>
          <w:szCs w:val="24"/>
        </w:rPr>
        <w:t xml:space="preserve">Goleman’s first model listed five parts: self-awareness, self-regulation, motivation, empathy and social skills. Later versions for organisations grouped these into four areas — self-awareness, self-management, social awareness and relationship management — each with clear, measurable skills. The main strength of this approach is that it is practical. It is widely used in leadership training and 360-degree feedback. Research shows that mixed models like this link quite strongly to job performance and leadership ratings because they focus on the behaviours organisations care about most (O’Boyle et al., 2011).</w:t>
      </w:r>
    </w:p>
    <w:p>
      <w:pPr>
        <w:spacing w:after="200" w:line="276"/>
        <w:jc w:val="both"/>
      </w:pPr>
      <w:r>
        <w:rPr>
          <w:rFonts w:ascii="Times New Roman" w:cs="Times New Roman" w:eastAsia="Times New Roman" w:hAnsi="Times New Roman"/>
          <w:sz w:val="24"/>
          <w:szCs w:val="24"/>
        </w:rPr>
        <w:t xml:space="preserve">However, the model has been criticised for overlapping with well-known personality traits, especially conscientiousness, emotional stability and agreeableness. Critics say Goleman’s version mixes ability with traits, motives and results. This can make it look more powerful than it really is while reducing theoretical clarity (Mayer, Salovey and Caruso, 2008). Measuring it through self-ratings or multi-rater feedback also brings the risk of bias and people trying to look good.</w:t>
      </w:r>
    </w:p>
    <w:p>
      <w:pPr>
        <w:pStyle w:val="Heading3"/>
        <w:spacing w:after="120" w:before="240"/>
      </w:pPr>
      <w:r>
        <w:rPr>
          <w:rFonts w:ascii="Times New Roman" w:cs="Times New Roman" w:eastAsia="Times New Roman" w:hAnsi="Times New Roman"/>
          <w:b/>
          <w:bCs/>
          <w:color w:val="2E75B6"/>
          <w:sz w:val="24"/>
          <w:szCs w:val="24"/>
        </w:rPr>
        <w:t xml:space="preserve">Mayer and Salovey’s Ability Model</w:t>
      </w:r>
    </w:p>
    <w:p>
      <w:pPr>
        <w:spacing w:after="200" w:line="276"/>
        <w:jc w:val="both"/>
      </w:pPr>
      <w:r>
        <w:rPr>
          <w:rFonts w:ascii="Times New Roman" w:cs="Times New Roman" w:eastAsia="Times New Roman" w:hAnsi="Times New Roman"/>
          <w:sz w:val="24"/>
          <w:szCs w:val="24"/>
        </w:rPr>
        <w:t xml:space="preserve">In contrast, Mayer and Salovey treat EI strictly as a form of intelligence with four levels: noticing emotions, using emotions to help thinking, understanding emotions, and managing emotions (Mayer and Salovey, 1997; Mayer, Salovey and Caruso, 2004). It is measured with performance tests such as the MSCEIT, where people must choose correct answers rather than rate themselves. Strengths include clear definitions, closer links to traditional intelligence research, and better separation from personality measures (Mayer, Salovey and Caruso, 2008). Studies show that ability EI predicts some work outcomes, such as better decisions and smoother interactions, but the effects become smaller once general intelligence and personality are taken into account (Joseph and Newman, 2010).</w:t>
      </w:r>
    </w:p>
    <w:p>
      <w:pPr>
        <w:spacing w:after="200" w:line="276"/>
        <w:jc w:val="both"/>
      </w:pPr>
      <w:r>
        <w:rPr>
          <w:rFonts w:ascii="Times New Roman" w:cs="Times New Roman" w:eastAsia="Times New Roman" w:hAnsi="Times New Roman"/>
          <w:sz w:val="24"/>
          <w:szCs w:val="24"/>
        </w:rPr>
        <w:t xml:space="preserve">The main limitation is that the model is narrower. It focuses less on the social and behavioural results that organisations usually want to develop. Some researchers also question how well the MSCEIT scoring methods work in real life, and note that ability EI adds less extra value for job performance than mixed models do (O’Boyle et al., 2011).</w:t>
      </w:r>
    </w:p>
    <w:p>
      <w:pPr>
        <w:pStyle w:val="Heading3"/>
        <w:spacing w:after="120" w:before="240"/>
      </w:pPr>
      <w:r>
        <w:rPr>
          <w:rFonts w:ascii="Times New Roman" w:cs="Times New Roman" w:eastAsia="Times New Roman" w:hAnsi="Times New Roman"/>
          <w:b/>
          <w:bCs/>
          <w:color w:val="2E75B6"/>
          <w:sz w:val="24"/>
          <w:szCs w:val="24"/>
        </w:rPr>
        <w:t xml:space="preserve">Bar-On’s Emotional-Social Intelligence Model</w:t>
      </w:r>
    </w:p>
    <w:p>
      <w:pPr>
        <w:spacing w:after="200" w:line="276"/>
        <w:jc w:val="both"/>
      </w:pPr>
      <w:r>
        <w:rPr>
          <w:rFonts w:ascii="Times New Roman" w:cs="Times New Roman" w:eastAsia="Times New Roman" w:hAnsi="Times New Roman"/>
          <w:sz w:val="24"/>
          <w:szCs w:val="24"/>
        </w:rPr>
        <w:t xml:space="preserve">Bar-On’s model sees emotional-social intelligence as a mix of emotional and social skills that help people understand and express themselves, understand others, relate to them, and deal with daily pressures (Bar-On, 2006). It covers intrapersonal skills, interpersonal skills, stress management, adaptability and general mood, measured mainly by the self-report EQ-i. The strength of this model is its breadth. It includes skills that matter for everyday functioning and well-being, and it has been used widely in clinical, education and work settings.</w:t>
      </w:r>
    </w:p>
    <w:p>
      <w:pPr>
        <w:spacing w:after="200" w:line="276"/>
        <w:jc w:val="both"/>
      </w:pPr>
      <w:r>
        <w:rPr>
          <w:rFonts w:ascii="Times New Roman" w:cs="Times New Roman" w:eastAsia="Times New Roman" w:hAnsi="Times New Roman"/>
          <w:sz w:val="24"/>
          <w:szCs w:val="24"/>
        </w:rPr>
        <w:t xml:space="preserve">Its main weakness is the reliance on self-report, which can be biased and may mix true ability with how people see themselves or how they are feeling at the time. Like other mixed models, it also overlaps a lot with personality traits (Petrides and Furnham, 2001).</w:t>
      </w:r>
    </w:p>
    <w:p>
      <w:pPr>
        <w:pStyle w:val="Heading3"/>
        <w:spacing w:after="120" w:before="240"/>
      </w:pPr>
      <w:r>
        <w:rPr>
          <w:rFonts w:ascii="Times New Roman" w:cs="Times New Roman" w:eastAsia="Times New Roman" w:hAnsi="Times New Roman"/>
          <w:b/>
          <w:bCs/>
          <w:color w:val="2E75B6"/>
          <w:sz w:val="24"/>
          <w:szCs w:val="24"/>
        </w:rPr>
        <w:t xml:space="preserve">Critical Comparison</w:t>
      </w:r>
    </w:p>
    <w:p>
      <w:pPr>
        <w:spacing w:after="200" w:line="276"/>
        <w:jc w:val="both"/>
      </w:pPr>
      <w:r>
        <w:rPr>
          <w:rFonts w:ascii="Times New Roman" w:cs="Times New Roman" w:eastAsia="Times New Roman" w:hAnsi="Times New Roman"/>
          <w:sz w:val="24"/>
          <w:szCs w:val="24"/>
        </w:rPr>
        <w:t xml:space="preserve">The three models differ in important ways. Mayer and Salovey’s ability model is the purest in theory and is preferred in academic research that wants to study EI as a thinking skill. Mixed models are more useful in organisations because they focus on the behaviours that support leadership and performance. Different ways of measuring also make comparison hard: performance tests versus self-report or multi-rater tools produce different results (O’Connor et al., 2019).</w:t>
      </w:r>
    </w:p>
    <w:p>
      <w:pPr>
        <w:spacing w:after="200" w:line="276"/>
        <w:jc w:val="both"/>
      </w:pPr>
      <w:r>
        <w:rPr>
          <w:rFonts w:ascii="Times New Roman" w:cs="Times New Roman" w:eastAsia="Times New Roman" w:hAnsi="Times New Roman"/>
          <w:sz w:val="24"/>
          <w:szCs w:val="24"/>
        </w:rPr>
        <w:t xml:space="preserve">For practical use at work, a balanced approach is best. Organisations that want to develop leaders and improve how people work together often get quicker results from mixed, competency-based models. They should still remember the limits of these models and not claim they are completely separate from personality or general ability. Ability models remain useful for research, for selection when objective testing is needed, and for programmes that aim to diagnose skills precisely.</w:t>
      </w:r>
    </w:p>
    <w:p>
      <w:pPr>
        <w:pStyle w:val="Heading2"/>
        <w:spacing w:after="180" w:before="280"/>
      </w:pPr>
      <w:r>
        <w:rPr>
          <w:rFonts w:ascii="Times New Roman" w:cs="Times New Roman" w:eastAsia="Times New Roman" w:hAnsi="Times New Roman"/>
          <w:b/>
          <w:bCs/>
          <w:color w:val="2E75B6"/>
          <w:sz w:val="26"/>
          <w:szCs w:val="26"/>
        </w:rPr>
        <w:t xml:space="preserve">2.2 Application of EI Core Components to Workplace Outcomes</w:t>
      </w:r>
    </w:p>
    <w:p>
      <w:pPr>
        <w:spacing w:after="200" w:line="276"/>
        <w:jc w:val="both"/>
      </w:pPr>
      <w:r>
        <w:rPr>
          <w:rFonts w:ascii="Times New Roman" w:cs="Times New Roman" w:eastAsia="Times New Roman" w:hAnsi="Times New Roman"/>
          <w:sz w:val="24"/>
          <w:szCs w:val="24"/>
        </w:rPr>
        <w:t xml:space="preserve">Research shows that higher emotional intelligence is linked to better individual and team performance. People who notice and manage emotions well tend to use their mental energy more effectively, stay calm under pressure, and adapt more easily to change (Joseph and Newman, 2010). In teams, shared emotional skill supports better understanding, smoother cooperation and greater resilience. Meta-analyses find moderate positive links between EI and job performance, with stronger effects in jobs that involve a lot of emotional work or dealing with people (O’Boyle et al., 2011).</w:t>
      </w:r>
    </w:p>
    <w:p>
      <w:pPr>
        <w:spacing w:after="200" w:line="276"/>
        <w:jc w:val="both"/>
      </w:pPr>
      <w:r>
        <w:rPr>
          <w:rFonts w:ascii="Times New Roman" w:cs="Times New Roman" w:eastAsia="Times New Roman" w:hAnsi="Times New Roman"/>
          <w:sz w:val="24"/>
          <w:szCs w:val="24"/>
        </w:rPr>
        <w:t xml:space="preserve">Teamwork also improves. Empathy and social skills help people see things from others’ points of view, reduce misunderstandings and encourage sharing of knowledge. Teams with higher average EI handle conflict better and create a safer atmosphere where people can disagree constructively (Jordan and Troth, 2004).</w:t>
      </w:r>
    </w:p>
    <w:p>
      <w:pPr>
        <w:spacing w:after="200" w:line="276"/>
        <w:jc w:val="both"/>
      </w:pPr>
      <w:r>
        <w:rPr>
          <w:rFonts w:ascii="Times New Roman" w:cs="Times New Roman" w:eastAsia="Times New Roman" w:hAnsi="Times New Roman"/>
          <w:sz w:val="24"/>
          <w:szCs w:val="24"/>
        </w:rPr>
        <w:t xml:space="preserve">Emotional intelligence also helps with well-being and reduces stress and burnout. Skills in self-regulation and stress management allow people to spot early signs of exhaustion and use healthy coping methods. Mindfulness practices, which build present-moment awareness and reduce automatic reactions, have been shown to lower burnout and improve well-being at work (Good et al., 2016; Hülsheger et al., 2013). When combined with EI training, these approaches deal with both the thinking and feeling sides of workplace strain.</w:t>
      </w:r>
    </w:p>
    <w:p>
      <w:pPr>
        <w:spacing w:after="200" w:line="276"/>
        <w:jc w:val="both"/>
      </w:pPr>
      <w:r>
        <w:rPr>
          <w:rFonts w:ascii="Times New Roman" w:cs="Times New Roman" w:eastAsia="Times New Roman" w:hAnsi="Times New Roman"/>
          <w:sz w:val="24"/>
          <w:szCs w:val="24"/>
        </w:rPr>
        <w:t xml:space="preserve">Looking more closely at specific outcomes shows both benefits and limits. Clear communication is helped by accurate emotion reading and empathy. Leaders who are strong in these areas deliver messages more clearly and with better emotional match, so people are more willing to listen. Conflict management improves when people can control their own emotions and use social skills to calm the situation and focus on real interests rather than fixed positions (Jordan and Troth, 2004). Leadership effectiveness is strongly linked to EI, especially transformational and authentic styles that rely on inspiration, individual attention and openness (Miao, Humphrey and Qian, 2016). Decision quality is supported by the ability to use emotional information without being overwhelmed by it. Ability EI in particular has been linked to more balanced risk assessment and less bias under stress.</w:t>
      </w:r>
    </w:p>
    <w:p>
      <w:pPr>
        <w:spacing w:after="200" w:line="276"/>
        <w:jc w:val="both"/>
      </w:pPr>
      <w:r>
        <w:rPr>
          <w:rFonts w:ascii="Times New Roman" w:cs="Times New Roman" w:eastAsia="Times New Roman" w:hAnsi="Times New Roman"/>
          <w:sz w:val="24"/>
          <w:szCs w:val="24"/>
        </w:rPr>
        <w:t xml:space="preserve">Still, the claims need to be kept in proportion. The effects are usually moderate, not large, and EI often adds only a modest amount beyond general intelligence and personality. Context also matters — organisational culture, job design, leadership climate and individual personality differences all influence how far EI turns into better results. In very hierarchical or emotionally closed cultures, for example, showing empathy or vulnerability can be difficult. Focusing only on EI training without also improving systems and culture risks expecting individuals to solve problems that are actually organisational.</w:t>
      </w:r>
    </w:p>
    <w:p>
      <w:pPr>
        <w:pStyle w:val="Heading1"/>
        <w:spacing w:after="240" w:before="360"/>
      </w:pPr>
      <w:r>
        <w:rPr>
          <w:rFonts w:ascii="Times New Roman" w:cs="Times New Roman" w:eastAsia="Times New Roman" w:hAnsi="Times New Roman"/>
          <w:b/>
          <w:bCs/>
          <w:color w:val="1F4E79"/>
          <w:sz w:val="28"/>
          <w:szCs w:val="28"/>
        </w:rPr>
        <w:t xml:space="preserve">3. Task 2: Managing a Multigenerational Workforce</w:t>
      </w:r>
    </w:p>
    <w:p>
      <w:pPr>
        <w:pStyle w:val="Heading2"/>
        <w:spacing w:after="180" w:before="280"/>
      </w:pPr>
      <w:r>
        <w:rPr>
          <w:rFonts w:ascii="Times New Roman" w:cs="Times New Roman" w:eastAsia="Times New Roman" w:hAnsi="Times New Roman"/>
          <w:b/>
          <w:bCs/>
          <w:color w:val="2E75B6"/>
          <w:sz w:val="26"/>
          <w:szCs w:val="26"/>
        </w:rPr>
        <w:t xml:space="preserve">3.1 Characteristics and Expectations of Key Generational Groups</w:t>
      </w:r>
    </w:p>
    <w:p>
      <w:pPr>
        <w:spacing w:after="200" w:line="276"/>
        <w:jc w:val="both"/>
      </w:pPr>
      <w:r>
        <w:rPr>
          <w:rFonts w:ascii="Times New Roman" w:cs="Times New Roman" w:eastAsia="Times New Roman" w:hAnsi="Times New Roman"/>
          <w:sz w:val="24"/>
          <w:szCs w:val="24"/>
        </w:rPr>
        <w:t xml:space="preserve">Most organisations today employ people from three or more generations at the same time. Individual differences within any age group are always larger than the average differences between groups. Still, broad patterns of values, communication style, what motivates people, and comfort with technology are useful for managers to know, as long as they are not treated as fixed stereotypes (Lyons and Kuron, 2014). Table 1 summarises the main features of the three generations that make up most of today’s workforce.</w:t>
      </w:r>
    </w:p>
    <w:p>
      <w:pPr>
        <w:spacing w:after="120" w:before="200"/>
      </w:pPr>
      <w:r>
        <w:rPr>
          <w:rFonts w:ascii="Times New Roman" w:cs="Times New Roman" w:eastAsia="Times New Roman" w:hAnsi="Times New Roman"/>
          <w:b/>
          <w:bCs/>
          <w:sz w:val="20"/>
          <w:szCs w:val="20"/>
        </w:rPr>
        <w:t xml:space="preserve">Table 1. Summary of key characteristics of Generation X, Generation Y (Millennials) and Generation Z</w:t>
      </w:r>
    </w:p>
    <w:p>
      <w:pPr>
        <w:spacing w:after="120"/>
      </w:pPr>
      <w:r>
        <w:rPr>
          <w:rFonts w:ascii="Times New Roman" w:cs="Times New Roman" w:eastAsia="Times New Roman" w:hAnsi="Times New Roman"/>
          <w:i/>
          <w:iCs/>
          <w:sz w:val="18"/>
          <w:szCs w:val="18"/>
        </w:rPr>
        <w:t xml:space="preserve">(Adapted from Lyons and Kuron, 2014 and related academic syntheses)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800"/>
        <w:gridCol w:w="2400"/>
        <w:gridCol w:w="2413"/>
        <w:gridCol w:w="2413"/>
      </w:tblGrid>
      <w:tr>
        <w:tc>
          <w:tcPr>
            <w:tcW w:type="dxa" w:w="1800"/>
            <w:tcBorders>
              <w:top w:val="single" w:color="1F4E79" w:sz="4"/>
              <w:left w:val="single" w:color="1F4E79" w:sz="4"/>
              <w:bottom w:val="single" w:color="1F4E79" w:sz="4"/>
              <w:right w:val="single" w:color="1F4E79" w:sz="4"/>
            </w:tcBorders>
            <w:shd w:fill="1F4E79" w:val="clear"/>
            <w:tcMar>
              <w:top w:type="dxa" w:w="60"/>
              <w:left w:type="dxa" w:w="80"/>
              <w:bottom w:type="dxa" w:w="60"/>
              <w:right w:type="dxa" w:w="80"/>
            </w:tcMar>
          </w:tcPr>
          <w:p>
            <w:r>
              <w:rPr>
                <w:rFonts w:ascii="Times New Roman" w:cs="Times New Roman" w:eastAsia="Times New Roman" w:hAnsi="Times New Roman"/>
                <w:b/>
                <w:bCs/>
                <w:color w:val="FFFFFF"/>
                <w:sz w:val="18"/>
                <w:szCs w:val="18"/>
              </w:rPr>
              <w:t xml:space="preserve">Dimension</w:t>
            </w:r>
          </w:p>
        </w:tc>
        <w:tc>
          <w:tcPr>
            <w:tcW w:type="dxa" w:w="2400"/>
            <w:tcBorders>
              <w:top w:val="single" w:color="1F4E79" w:sz="4"/>
              <w:left w:val="single" w:color="1F4E79" w:sz="4"/>
              <w:bottom w:val="single" w:color="1F4E79" w:sz="4"/>
              <w:right w:val="single" w:color="1F4E79" w:sz="4"/>
            </w:tcBorders>
            <w:shd w:fill="1F4E79" w:val="clear"/>
            <w:tcMar>
              <w:top w:type="dxa" w:w="60"/>
              <w:left w:type="dxa" w:w="80"/>
              <w:bottom w:type="dxa" w:w="60"/>
              <w:right w:type="dxa" w:w="80"/>
            </w:tcMar>
          </w:tcPr>
          <w:p>
            <w:r>
              <w:rPr>
                <w:rFonts w:ascii="Times New Roman" w:cs="Times New Roman" w:eastAsia="Times New Roman" w:hAnsi="Times New Roman"/>
                <w:b/>
                <w:bCs/>
                <w:color w:val="FFFFFF"/>
                <w:sz w:val="18"/>
                <w:szCs w:val="18"/>
              </w:rPr>
              <w:t xml:space="preserve">Generation X (≈1965–1980)</w:t>
            </w:r>
          </w:p>
        </w:tc>
        <w:tc>
          <w:tcPr>
            <w:tcW w:type="dxa" w:w="2413"/>
            <w:tcBorders>
              <w:top w:val="single" w:color="1F4E79" w:sz="4"/>
              <w:left w:val="single" w:color="1F4E79" w:sz="4"/>
              <w:bottom w:val="single" w:color="1F4E79" w:sz="4"/>
              <w:right w:val="single" w:color="1F4E79" w:sz="4"/>
            </w:tcBorders>
            <w:shd w:fill="1F4E79" w:val="clear"/>
            <w:tcMar>
              <w:top w:type="dxa" w:w="60"/>
              <w:left w:type="dxa" w:w="80"/>
              <w:bottom w:type="dxa" w:w="60"/>
              <w:right w:type="dxa" w:w="80"/>
            </w:tcMar>
          </w:tcPr>
          <w:p>
            <w:r>
              <w:rPr>
                <w:rFonts w:ascii="Times New Roman" w:cs="Times New Roman" w:eastAsia="Times New Roman" w:hAnsi="Times New Roman"/>
                <w:b/>
                <w:bCs/>
                <w:color w:val="FFFFFF"/>
                <w:sz w:val="18"/>
                <w:szCs w:val="18"/>
              </w:rPr>
              <w:t xml:space="preserve">Generation Y / Millennials (≈1981–1996)</w:t>
            </w:r>
          </w:p>
        </w:tc>
        <w:tc>
          <w:tcPr>
            <w:tcW w:type="dxa" w:w="2413"/>
            <w:tcBorders>
              <w:top w:val="single" w:color="1F4E79" w:sz="4"/>
              <w:left w:val="single" w:color="1F4E79" w:sz="4"/>
              <w:bottom w:val="single" w:color="1F4E79" w:sz="4"/>
              <w:right w:val="single" w:color="1F4E79" w:sz="4"/>
            </w:tcBorders>
            <w:shd w:fill="1F4E79" w:val="clear"/>
            <w:tcMar>
              <w:top w:type="dxa" w:w="60"/>
              <w:left w:type="dxa" w:w="80"/>
              <w:bottom w:type="dxa" w:w="60"/>
              <w:right w:type="dxa" w:w="80"/>
            </w:tcMar>
          </w:tcPr>
          <w:p>
            <w:r>
              <w:rPr>
                <w:rFonts w:ascii="Times New Roman" w:cs="Times New Roman" w:eastAsia="Times New Roman" w:hAnsi="Times New Roman"/>
                <w:b/>
                <w:bCs/>
                <w:color w:val="FFFFFF"/>
                <w:sz w:val="18"/>
                <w:szCs w:val="18"/>
              </w:rPr>
              <w:t xml:space="preserve">Generation Z (≈1997–2012)</w:t>
            </w:r>
          </w:p>
        </w:tc>
      </w:tr>
      <w:tr>
        <w:tc>
          <w:tcPr>
            <w:tcW w:type="dxa" w:w="1800"/>
            <w:tcBorders>
              <w:top w:val="single" w:color="666666" w:sz="4"/>
              <w:left w:val="single" w:color="666666" w:sz="4"/>
              <w:bottom w:val="single" w:color="666666" w:sz="4"/>
              <w:right w:val="single" w:color="666666" w:sz="4"/>
            </w:tcBorders>
            <w:shd w:fill="F2F2F2" w:val="clear"/>
            <w:tcMar>
              <w:top w:type="dxa" w:w="60"/>
              <w:left w:type="dxa" w:w="80"/>
              <w:bottom w:type="dxa" w:w="60"/>
              <w:right w:type="dxa" w:w="80"/>
            </w:tcMar>
          </w:tcPr>
          <w:p>
            <w:r>
              <w:rPr>
                <w:rFonts w:ascii="Times New Roman" w:cs="Times New Roman" w:eastAsia="Times New Roman" w:hAnsi="Times New Roman"/>
                <w:b/>
                <w:bCs/>
                <w:color w:val="000000"/>
                <w:sz w:val="16"/>
                <w:szCs w:val="16"/>
              </w:rPr>
              <w:t xml:space="preserve">Core values</w:t>
            </w:r>
          </w:p>
        </w:tc>
        <w:tc>
          <w:tcPr>
            <w:tcW w:type="dxa" w:w="2400"/>
            <w:tcBorders>
              <w:top w:val="single" w:color="666666" w:sz="4"/>
              <w:left w:val="single" w:color="666666" w:sz="4"/>
              <w:bottom w:val="single" w:color="666666" w:sz="4"/>
              <w:right w:val="single" w:color="666666" w:sz="4"/>
            </w:tcBorders>
            <w:tcMar>
              <w:top w:type="dxa" w:w="60"/>
              <w:left w:type="dxa" w:w="80"/>
              <w:bottom w:type="dxa" w:w="60"/>
              <w:right w:type="dxa" w:w="80"/>
            </w:tcMar>
          </w:tcPr>
          <w:p>
            <w:r>
              <w:rPr>
                <w:rFonts w:ascii="Times New Roman" w:cs="Times New Roman" w:eastAsia="Times New Roman" w:hAnsi="Times New Roman"/>
                <w:color w:val="000000"/>
                <w:sz w:val="16"/>
                <w:szCs w:val="16"/>
              </w:rPr>
              <w:t xml:space="preserve">Autonomy, pragmatism, self-reliance, work–life balance</w:t>
            </w:r>
          </w:p>
        </w:tc>
        <w:tc>
          <w:tcPr>
            <w:tcW w:type="dxa" w:w="2413"/>
            <w:tcBorders>
              <w:top w:val="single" w:color="666666" w:sz="4"/>
              <w:left w:val="single" w:color="666666" w:sz="4"/>
              <w:bottom w:val="single" w:color="666666" w:sz="4"/>
              <w:right w:val="single" w:color="666666" w:sz="4"/>
            </w:tcBorders>
            <w:tcMar>
              <w:top w:type="dxa" w:w="60"/>
              <w:left w:type="dxa" w:w="80"/>
              <w:bottom w:type="dxa" w:w="60"/>
              <w:right w:type="dxa" w:w="80"/>
            </w:tcMar>
          </w:tcPr>
          <w:p>
            <w:r>
              <w:rPr>
                <w:rFonts w:ascii="Times New Roman" w:cs="Times New Roman" w:eastAsia="Times New Roman" w:hAnsi="Times New Roman"/>
                <w:color w:val="000000"/>
                <w:sz w:val="16"/>
                <w:szCs w:val="16"/>
              </w:rPr>
              <w:t xml:space="preserve">Purpose, growth, collaboration, values alignment</w:t>
            </w:r>
          </w:p>
        </w:tc>
        <w:tc>
          <w:tcPr>
            <w:tcW w:type="dxa" w:w="2413"/>
            <w:tcBorders>
              <w:top w:val="single" w:color="666666" w:sz="4"/>
              <w:left w:val="single" w:color="666666" w:sz="4"/>
              <w:bottom w:val="single" w:color="666666" w:sz="4"/>
              <w:right w:val="single" w:color="666666" w:sz="4"/>
            </w:tcBorders>
            <w:tcMar>
              <w:top w:type="dxa" w:w="60"/>
              <w:left w:type="dxa" w:w="80"/>
              <w:bottom w:type="dxa" w:w="60"/>
              <w:right w:type="dxa" w:w="80"/>
            </w:tcMar>
          </w:tcPr>
          <w:p>
            <w:r>
              <w:rPr>
                <w:rFonts w:ascii="Times New Roman" w:cs="Times New Roman" w:eastAsia="Times New Roman" w:hAnsi="Times New Roman"/>
                <w:color w:val="000000"/>
                <w:sz w:val="16"/>
                <w:szCs w:val="16"/>
              </w:rPr>
              <w:t xml:space="preserve">Authenticity, inclusivity, mental health, continuous learning</w:t>
            </w:r>
          </w:p>
        </w:tc>
      </w:tr>
      <w:tr>
        <w:tc>
          <w:tcPr>
            <w:tcW w:type="dxa" w:w="1800"/>
            <w:tcBorders>
              <w:top w:val="single" w:color="666666" w:sz="4"/>
              <w:left w:val="single" w:color="666666" w:sz="4"/>
              <w:bottom w:val="single" w:color="666666" w:sz="4"/>
              <w:right w:val="single" w:color="666666" w:sz="4"/>
            </w:tcBorders>
            <w:shd w:fill="F2F2F2" w:val="clear"/>
            <w:tcMar>
              <w:top w:type="dxa" w:w="60"/>
              <w:left w:type="dxa" w:w="80"/>
              <w:bottom w:type="dxa" w:w="60"/>
              <w:right w:type="dxa" w:w="80"/>
            </w:tcMar>
          </w:tcPr>
          <w:p>
            <w:r>
              <w:rPr>
                <w:rFonts w:ascii="Times New Roman" w:cs="Times New Roman" w:eastAsia="Times New Roman" w:hAnsi="Times New Roman"/>
                <w:b/>
                <w:bCs/>
                <w:color w:val="000000"/>
                <w:sz w:val="16"/>
                <w:szCs w:val="16"/>
              </w:rPr>
              <w:t xml:space="preserve">Communication preferences</w:t>
            </w:r>
          </w:p>
        </w:tc>
        <w:tc>
          <w:tcPr>
            <w:tcW w:type="dxa" w:w="2400"/>
            <w:tcBorders>
              <w:top w:val="single" w:color="666666" w:sz="4"/>
              <w:left w:val="single" w:color="666666" w:sz="4"/>
              <w:bottom w:val="single" w:color="666666" w:sz="4"/>
              <w:right w:val="single" w:color="666666" w:sz="4"/>
            </w:tcBorders>
            <w:tcMar>
              <w:top w:type="dxa" w:w="60"/>
              <w:left w:type="dxa" w:w="80"/>
              <w:bottom w:type="dxa" w:w="60"/>
              <w:right w:type="dxa" w:w="80"/>
            </w:tcMar>
          </w:tcPr>
          <w:p>
            <w:r>
              <w:rPr>
                <w:rFonts w:ascii="Times New Roman" w:cs="Times New Roman" w:eastAsia="Times New Roman" w:hAnsi="Times New Roman"/>
                <w:color w:val="000000"/>
                <w:sz w:val="16"/>
                <w:szCs w:val="16"/>
              </w:rPr>
              <w:t xml:space="preserve">Direct, efficient, email or brief meetings; dislike excessive process</w:t>
            </w:r>
          </w:p>
        </w:tc>
        <w:tc>
          <w:tcPr>
            <w:tcW w:type="dxa" w:w="2413"/>
            <w:tcBorders>
              <w:top w:val="single" w:color="666666" w:sz="4"/>
              <w:left w:val="single" w:color="666666" w:sz="4"/>
              <w:bottom w:val="single" w:color="666666" w:sz="4"/>
              <w:right w:val="single" w:color="666666" w:sz="4"/>
            </w:tcBorders>
            <w:tcMar>
              <w:top w:type="dxa" w:w="60"/>
              <w:left w:type="dxa" w:w="80"/>
              <w:bottom w:type="dxa" w:w="60"/>
              <w:right w:type="dxa" w:w="80"/>
            </w:tcMar>
          </w:tcPr>
          <w:p>
            <w:r>
              <w:rPr>
                <w:rFonts w:ascii="Times New Roman" w:cs="Times New Roman" w:eastAsia="Times New Roman" w:hAnsi="Times New Roman"/>
                <w:color w:val="000000"/>
                <w:sz w:val="16"/>
                <w:szCs w:val="16"/>
              </w:rPr>
              <w:t xml:space="preserve">Collaborative platforms, video, relatively rapid feedback cycles</w:t>
            </w:r>
          </w:p>
        </w:tc>
        <w:tc>
          <w:tcPr>
            <w:tcW w:type="dxa" w:w="2413"/>
            <w:tcBorders>
              <w:top w:val="single" w:color="666666" w:sz="4"/>
              <w:left w:val="single" w:color="666666" w:sz="4"/>
              <w:bottom w:val="single" w:color="666666" w:sz="4"/>
              <w:right w:val="single" w:color="666666" w:sz="4"/>
            </w:tcBorders>
            <w:tcMar>
              <w:top w:type="dxa" w:w="60"/>
              <w:left w:type="dxa" w:w="80"/>
              <w:bottom w:type="dxa" w:w="60"/>
              <w:right w:type="dxa" w:w="80"/>
            </w:tcMar>
          </w:tcPr>
          <w:p>
            <w:r>
              <w:rPr>
                <w:rFonts w:ascii="Times New Roman" w:cs="Times New Roman" w:eastAsia="Times New Roman" w:hAnsi="Times New Roman"/>
                <w:color w:val="000000"/>
                <w:sz w:val="16"/>
                <w:szCs w:val="16"/>
              </w:rPr>
              <w:t xml:space="preserve">Concise, digital-first, asynchronous options; real-time feedback preferred</w:t>
            </w:r>
          </w:p>
        </w:tc>
      </w:tr>
      <w:tr>
        <w:tc>
          <w:tcPr>
            <w:tcW w:type="dxa" w:w="1800"/>
            <w:tcBorders>
              <w:top w:val="single" w:color="666666" w:sz="4"/>
              <w:left w:val="single" w:color="666666" w:sz="4"/>
              <w:bottom w:val="single" w:color="666666" w:sz="4"/>
              <w:right w:val="single" w:color="666666" w:sz="4"/>
            </w:tcBorders>
            <w:shd w:fill="F2F2F2" w:val="clear"/>
            <w:tcMar>
              <w:top w:type="dxa" w:w="60"/>
              <w:left w:type="dxa" w:w="80"/>
              <w:bottom w:type="dxa" w:w="60"/>
              <w:right w:type="dxa" w:w="80"/>
            </w:tcMar>
          </w:tcPr>
          <w:p>
            <w:r>
              <w:rPr>
                <w:rFonts w:ascii="Times New Roman" w:cs="Times New Roman" w:eastAsia="Times New Roman" w:hAnsi="Times New Roman"/>
                <w:b/>
                <w:bCs/>
                <w:color w:val="000000"/>
                <w:sz w:val="16"/>
                <w:szCs w:val="16"/>
              </w:rPr>
              <w:t xml:space="preserve">Motivation drivers</w:t>
            </w:r>
          </w:p>
        </w:tc>
        <w:tc>
          <w:tcPr>
            <w:tcW w:type="dxa" w:w="2400"/>
            <w:tcBorders>
              <w:top w:val="single" w:color="666666" w:sz="4"/>
              <w:left w:val="single" w:color="666666" w:sz="4"/>
              <w:bottom w:val="single" w:color="666666" w:sz="4"/>
              <w:right w:val="single" w:color="666666" w:sz="4"/>
            </w:tcBorders>
            <w:tcMar>
              <w:top w:type="dxa" w:w="60"/>
              <w:left w:type="dxa" w:w="80"/>
              <w:bottom w:type="dxa" w:w="60"/>
              <w:right w:type="dxa" w:w="80"/>
            </w:tcMar>
          </w:tcPr>
          <w:p>
            <w:r>
              <w:rPr>
                <w:rFonts w:ascii="Times New Roman" w:cs="Times New Roman" w:eastAsia="Times New Roman" w:hAnsi="Times New Roman"/>
                <w:color w:val="000000"/>
                <w:sz w:val="16"/>
                <w:szCs w:val="16"/>
              </w:rPr>
              <w:t xml:space="preserve">Fair compensation, independence, competence recognition, balance</w:t>
            </w:r>
          </w:p>
        </w:tc>
        <w:tc>
          <w:tcPr>
            <w:tcW w:type="dxa" w:w="2413"/>
            <w:tcBorders>
              <w:top w:val="single" w:color="666666" w:sz="4"/>
              <w:left w:val="single" w:color="666666" w:sz="4"/>
              <w:bottom w:val="single" w:color="666666" w:sz="4"/>
              <w:right w:val="single" w:color="666666" w:sz="4"/>
            </w:tcBorders>
            <w:tcMar>
              <w:top w:type="dxa" w:w="60"/>
              <w:left w:type="dxa" w:w="80"/>
              <w:bottom w:type="dxa" w:w="60"/>
              <w:right w:type="dxa" w:w="80"/>
            </w:tcMar>
          </w:tcPr>
          <w:p>
            <w:r>
              <w:rPr>
                <w:rFonts w:ascii="Times New Roman" w:cs="Times New Roman" w:eastAsia="Times New Roman" w:hAnsi="Times New Roman"/>
                <w:color w:val="000000"/>
                <w:sz w:val="16"/>
                <w:szCs w:val="16"/>
              </w:rPr>
              <w:t xml:space="preserve">Development opportunities, recognition, meaningful work, flexibility</w:t>
            </w:r>
          </w:p>
        </w:tc>
        <w:tc>
          <w:tcPr>
            <w:tcW w:type="dxa" w:w="2413"/>
            <w:tcBorders>
              <w:top w:val="single" w:color="666666" w:sz="4"/>
              <w:left w:val="single" w:color="666666" w:sz="4"/>
              <w:bottom w:val="single" w:color="666666" w:sz="4"/>
              <w:right w:val="single" w:color="666666" w:sz="4"/>
            </w:tcBorders>
            <w:tcMar>
              <w:top w:type="dxa" w:w="60"/>
              <w:left w:type="dxa" w:w="80"/>
              <w:bottom w:type="dxa" w:w="60"/>
              <w:right w:type="dxa" w:w="80"/>
            </w:tcMar>
          </w:tcPr>
          <w:p>
            <w:r>
              <w:rPr>
                <w:rFonts w:ascii="Times New Roman" w:cs="Times New Roman" w:eastAsia="Times New Roman" w:hAnsi="Times New Roman"/>
                <w:color w:val="000000"/>
                <w:sz w:val="16"/>
                <w:szCs w:val="16"/>
              </w:rPr>
              <w:t xml:space="preserve">Skill development, psychological safety, early contribution, transparency</w:t>
            </w:r>
          </w:p>
        </w:tc>
      </w:tr>
      <w:tr>
        <w:tc>
          <w:tcPr>
            <w:tcW w:type="dxa" w:w="1800"/>
            <w:tcBorders>
              <w:top w:val="single" w:color="666666" w:sz="4"/>
              <w:left w:val="single" w:color="666666" w:sz="4"/>
              <w:bottom w:val="single" w:color="666666" w:sz="4"/>
              <w:right w:val="single" w:color="666666" w:sz="4"/>
            </w:tcBorders>
            <w:shd w:fill="F2F2F2" w:val="clear"/>
            <w:tcMar>
              <w:top w:type="dxa" w:w="60"/>
              <w:left w:type="dxa" w:w="80"/>
              <w:bottom w:type="dxa" w:w="60"/>
              <w:right w:type="dxa" w:w="80"/>
            </w:tcMar>
          </w:tcPr>
          <w:p>
            <w:r>
              <w:rPr>
                <w:rFonts w:ascii="Times New Roman" w:cs="Times New Roman" w:eastAsia="Times New Roman" w:hAnsi="Times New Roman"/>
                <w:b/>
                <w:bCs/>
                <w:color w:val="000000"/>
                <w:sz w:val="16"/>
                <w:szCs w:val="16"/>
              </w:rPr>
              <w:t xml:space="preserve">Technological adaptability</w:t>
            </w:r>
          </w:p>
        </w:tc>
        <w:tc>
          <w:tcPr>
            <w:tcW w:type="dxa" w:w="2400"/>
            <w:tcBorders>
              <w:top w:val="single" w:color="666666" w:sz="4"/>
              <w:left w:val="single" w:color="666666" w:sz="4"/>
              <w:bottom w:val="single" w:color="666666" w:sz="4"/>
              <w:right w:val="single" w:color="666666" w:sz="4"/>
            </w:tcBorders>
            <w:tcMar>
              <w:top w:type="dxa" w:w="60"/>
              <w:left w:type="dxa" w:w="80"/>
              <w:bottom w:type="dxa" w:w="60"/>
              <w:right w:type="dxa" w:w="80"/>
            </w:tcMar>
          </w:tcPr>
          <w:p>
            <w:r>
              <w:rPr>
                <w:rFonts w:ascii="Times New Roman" w:cs="Times New Roman" w:eastAsia="Times New Roman" w:hAnsi="Times New Roman"/>
                <w:color w:val="000000"/>
                <w:sz w:val="16"/>
                <w:szCs w:val="16"/>
              </w:rPr>
              <w:t xml:space="preserve">High relative to earlier cohorts; comfortable with established digital tools</w:t>
            </w:r>
          </w:p>
        </w:tc>
        <w:tc>
          <w:tcPr>
            <w:tcW w:type="dxa" w:w="2413"/>
            <w:tcBorders>
              <w:top w:val="single" w:color="666666" w:sz="4"/>
              <w:left w:val="single" w:color="666666" w:sz="4"/>
              <w:bottom w:val="single" w:color="666666" w:sz="4"/>
              <w:right w:val="single" w:color="666666" w:sz="4"/>
            </w:tcBorders>
            <w:tcMar>
              <w:top w:type="dxa" w:w="60"/>
              <w:left w:type="dxa" w:w="80"/>
              <w:bottom w:type="dxa" w:w="60"/>
              <w:right w:type="dxa" w:w="80"/>
            </w:tcMar>
          </w:tcPr>
          <w:p>
            <w:r>
              <w:rPr>
                <w:rFonts w:ascii="Times New Roman" w:cs="Times New Roman" w:eastAsia="Times New Roman" w:hAnsi="Times New Roman"/>
                <w:color w:val="000000"/>
                <w:sz w:val="16"/>
                <w:szCs w:val="16"/>
              </w:rPr>
              <w:t xml:space="preserve">Strong digital fluency; early adopters of collaborative technologies</w:t>
            </w:r>
          </w:p>
        </w:tc>
        <w:tc>
          <w:tcPr>
            <w:tcW w:type="dxa" w:w="2413"/>
            <w:tcBorders>
              <w:top w:val="single" w:color="666666" w:sz="4"/>
              <w:left w:val="single" w:color="666666" w:sz="4"/>
              <w:bottom w:val="single" w:color="666666" w:sz="4"/>
              <w:right w:val="single" w:color="666666" w:sz="4"/>
            </w:tcBorders>
            <w:tcMar>
              <w:top w:type="dxa" w:w="60"/>
              <w:left w:type="dxa" w:w="80"/>
              <w:bottom w:type="dxa" w:w="60"/>
              <w:right w:type="dxa" w:w="80"/>
            </w:tcMar>
          </w:tcPr>
          <w:p>
            <w:r>
              <w:rPr>
                <w:rFonts w:ascii="Times New Roman" w:cs="Times New Roman" w:eastAsia="Times New Roman" w:hAnsi="Times New Roman"/>
                <w:color w:val="000000"/>
                <w:sz w:val="16"/>
                <w:szCs w:val="16"/>
              </w:rPr>
              <w:t xml:space="preserve">Digital natives; seamless integration of AI and mobile-first tools</w:t>
            </w:r>
          </w:p>
        </w:tc>
      </w:tr>
      <w:tr>
        <w:tc>
          <w:tcPr>
            <w:tcW w:type="dxa" w:w="1800"/>
            <w:tcBorders>
              <w:top w:val="single" w:color="666666" w:sz="4"/>
              <w:left w:val="single" w:color="666666" w:sz="4"/>
              <w:bottom w:val="single" w:color="666666" w:sz="4"/>
              <w:right w:val="single" w:color="666666" w:sz="4"/>
            </w:tcBorders>
            <w:shd w:fill="F2F2F2" w:val="clear"/>
            <w:tcMar>
              <w:top w:type="dxa" w:w="60"/>
              <w:left w:type="dxa" w:w="80"/>
              <w:bottom w:type="dxa" w:w="60"/>
              <w:right w:type="dxa" w:w="80"/>
            </w:tcMar>
          </w:tcPr>
          <w:p>
            <w:r>
              <w:rPr>
                <w:rFonts w:ascii="Times New Roman" w:cs="Times New Roman" w:eastAsia="Times New Roman" w:hAnsi="Times New Roman"/>
                <w:b/>
                <w:bCs/>
                <w:color w:val="000000"/>
                <w:sz w:val="16"/>
                <w:szCs w:val="16"/>
              </w:rPr>
              <w:t xml:space="preserve">Typical workplace stance</w:t>
            </w:r>
          </w:p>
        </w:tc>
        <w:tc>
          <w:tcPr>
            <w:tcW w:type="dxa" w:w="2400"/>
            <w:tcBorders>
              <w:top w:val="single" w:color="666666" w:sz="4"/>
              <w:left w:val="single" w:color="666666" w:sz="4"/>
              <w:bottom w:val="single" w:color="666666" w:sz="4"/>
              <w:right w:val="single" w:color="666666" w:sz="4"/>
            </w:tcBorders>
            <w:tcMar>
              <w:top w:type="dxa" w:w="60"/>
              <w:left w:type="dxa" w:w="80"/>
              <w:bottom w:type="dxa" w:w="60"/>
              <w:right w:type="dxa" w:w="80"/>
            </w:tcMar>
          </w:tcPr>
          <w:p>
            <w:r>
              <w:rPr>
                <w:rFonts w:ascii="Times New Roman" w:cs="Times New Roman" w:eastAsia="Times New Roman" w:hAnsi="Times New Roman"/>
                <w:color w:val="000000"/>
                <w:sz w:val="16"/>
                <w:szCs w:val="16"/>
              </w:rPr>
              <w:t xml:space="preserve">Skeptical of institutional promises; bridge between older and younger cohorts</w:t>
            </w:r>
          </w:p>
        </w:tc>
        <w:tc>
          <w:tcPr>
            <w:tcW w:type="dxa" w:w="2413"/>
            <w:tcBorders>
              <w:top w:val="single" w:color="666666" w:sz="4"/>
              <w:left w:val="single" w:color="666666" w:sz="4"/>
              <w:bottom w:val="single" w:color="666666" w:sz="4"/>
              <w:right w:val="single" w:color="666666" w:sz="4"/>
            </w:tcBorders>
            <w:tcMar>
              <w:top w:type="dxa" w:w="60"/>
              <w:left w:type="dxa" w:w="80"/>
              <w:bottom w:type="dxa" w:w="60"/>
              <w:right w:type="dxa" w:w="80"/>
            </w:tcMar>
          </w:tcPr>
          <w:p>
            <w:r>
              <w:rPr>
                <w:rFonts w:ascii="Times New Roman" w:cs="Times New Roman" w:eastAsia="Times New Roman" w:hAnsi="Times New Roman"/>
                <w:color w:val="000000"/>
                <w:sz w:val="16"/>
                <w:szCs w:val="16"/>
              </w:rPr>
              <w:t xml:space="preserve">Seek transparent leadership and sustainable workload</w:t>
            </w:r>
          </w:p>
        </w:tc>
        <w:tc>
          <w:tcPr>
            <w:tcW w:type="dxa" w:w="2413"/>
            <w:tcBorders>
              <w:top w:val="single" w:color="666666" w:sz="4"/>
              <w:left w:val="single" w:color="666666" w:sz="4"/>
              <w:bottom w:val="single" w:color="666666" w:sz="4"/>
              <w:right w:val="single" w:color="666666" w:sz="4"/>
            </w:tcBorders>
            <w:tcMar>
              <w:top w:type="dxa" w:w="60"/>
              <w:left w:type="dxa" w:w="80"/>
              <w:bottom w:type="dxa" w:w="60"/>
              <w:right w:type="dxa" w:w="80"/>
            </w:tcMar>
          </w:tcPr>
          <w:p>
            <w:r>
              <w:rPr>
                <w:rFonts w:ascii="Times New Roman" w:cs="Times New Roman" w:eastAsia="Times New Roman" w:hAnsi="Times New Roman"/>
                <w:color w:val="000000"/>
                <w:sz w:val="16"/>
                <w:szCs w:val="16"/>
              </w:rPr>
              <w:t xml:space="preserve">Lower tolerance for rigid hierarchy or opaque decision-making</w:t>
            </w:r>
          </w:p>
        </w:tc>
      </w:tr>
    </w:tbl>
    <w:p>
      <w:pPr>
        <w:spacing w:after="200" w:before="120"/>
      </w:pPr>
      <w:r>
        <w:rPr>
          <w:rFonts w:ascii="Times New Roman" w:cs="Times New Roman" w:eastAsia="Times New Roman" w:hAnsi="Times New Roman"/>
          <w:i/>
          <w:iCs/>
          <w:sz w:val="18"/>
          <w:szCs w:val="18"/>
        </w:rPr>
        <w:t xml:space="preserve">Source: Synthesised from Lyons and Kuron (2014) and supporting peer-reviewed literature on generational work values and behaviour.</w:t>
      </w:r>
    </w:p>
    <w:p>
      <w:pPr>
        <w:pStyle w:val="Heading3"/>
        <w:spacing w:after="120" w:before="240"/>
      </w:pPr>
      <w:r>
        <w:rPr>
          <w:rFonts w:ascii="Times New Roman" w:cs="Times New Roman" w:eastAsia="Times New Roman" w:hAnsi="Times New Roman"/>
          <w:b/>
          <w:bCs/>
          <w:color w:val="2E75B6"/>
          <w:sz w:val="24"/>
          <w:szCs w:val="24"/>
        </w:rPr>
        <w:t xml:space="preserve">Generation X (approximately 1965–1980)</w:t>
      </w:r>
    </w:p>
    <w:p>
      <w:pPr>
        <w:spacing w:after="200" w:line="276"/>
        <w:jc w:val="both"/>
      </w:pPr>
      <w:r>
        <w:rPr>
          <w:rFonts w:ascii="Times New Roman" w:cs="Times New Roman" w:eastAsia="Times New Roman" w:hAnsi="Times New Roman"/>
          <w:sz w:val="24"/>
          <w:szCs w:val="24"/>
        </w:rPr>
        <w:t xml:space="preserve">Generation X employees usually value independence, competence and practical results. Growing up with economic uncertainty, company downsizing and the early rise of digital technology taught them to rely on themselves and to be cautious about organisational promises. They prefer direct, efficient communication and often become impatient with long meetings or too much process. What motivates them includes fair pay, independence, recognition of their skills, and a good work–life balance. They are comfortable with established digital tools, though their digital fluency may lag behind younger colleagues. Many Gen X staff now hold middle or senior management roles and act as a bridge between older organisational knowledge and younger digital ways of working.</w:t>
      </w:r>
    </w:p>
    <w:p>
      <w:pPr>
        <w:pStyle w:val="Heading3"/>
        <w:spacing w:after="120" w:before="240"/>
      </w:pPr>
      <w:r>
        <w:rPr>
          <w:rFonts w:ascii="Times New Roman" w:cs="Times New Roman" w:eastAsia="Times New Roman" w:hAnsi="Times New Roman"/>
          <w:b/>
          <w:bCs/>
          <w:color w:val="2E75B6"/>
          <w:sz w:val="24"/>
          <w:szCs w:val="24"/>
        </w:rPr>
        <w:t xml:space="preserve">Generation Y / Millennials (approximately 1981–1996)</w:t>
      </w:r>
    </w:p>
    <w:p>
      <w:pPr>
        <w:spacing w:after="200" w:line="276"/>
        <w:jc w:val="both"/>
      </w:pPr>
      <w:r>
        <w:rPr>
          <w:rFonts w:ascii="Times New Roman" w:cs="Times New Roman" w:eastAsia="Times New Roman" w:hAnsi="Times New Roman"/>
          <w:sz w:val="24"/>
          <w:szCs w:val="24"/>
        </w:rPr>
        <w:t xml:space="preserve">Millennials tend to value purpose, personal growth, collaboration and work that matches their values. Shaped by digital media, economic recession and greater awareness of diversity, they often look for open leadership, frequent feedback and meaningful work. They prefer collaborative tools, video calls and relatively quick responses. Development opportunities, recognition and flexibility are strong motivators. Their digital skills are generally strong. Many Millennials are now in management roles and place more weight on sustainable workload and long-term career fit than on rapid promotion alone.</w:t>
      </w:r>
    </w:p>
    <w:p>
      <w:pPr>
        <w:pStyle w:val="Heading3"/>
        <w:spacing w:after="120" w:before="240"/>
      </w:pPr>
      <w:r>
        <w:rPr>
          <w:rFonts w:ascii="Times New Roman" w:cs="Times New Roman" w:eastAsia="Times New Roman" w:hAnsi="Times New Roman"/>
          <w:b/>
          <w:bCs/>
          <w:color w:val="2E75B6"/>
          <w:sz w:val="24"/>
          <w:szCs w:val="24"/>
        </w:rPr>
        <w:t xml:space="preserve">Generation Z (approximately 1997–2012)</w:t>
      </w:r>
    </w:p>
    <w:p>
      <w:pPr>
        <w:spacing w:after="200" w:line="276"/>
        <w:jc w:val="both"/>
      </w:pPr>
      <w:r>
        <w:rPr>
          <w:rFonts w:ascii="Times New Roman" w:cs="Times New Roman" w:eastAsia="Times New Roman" w:hAnsi="Times New Roman"/>
          <w:sz w:val="24"/>
          <w:szCs w:val="24"/>
        </w:rPr>
        <w:t xml:space="preserve">Generation Z, the newest large group, usually emphasises authenticity, mental health, inclusivity and continuous learning. As digital natives who have never known a world without the internet, they expect seamless technology, real-time or near-real-time feedback, and a clear organisational commitment to diversity and well-being. Skill development, psychological safety and the chance to contribute early in their careers motivate them. They prefer short, digital-first communication and options for asynchronous work. They are strong self-directed learners, especially with new technology, but often show less patience with rigid hierarchy or unclear decision-making.</w:t>
      </w:r>
    </w:p>
    <w:p>
      <w:pPr>
        <w:spacing w:after="200" w:line="276"/>
        <w:jc w:val="both"/>
      </w:pPr>
      <w:r>
        <w:rPr>
          <w:rFonts w:ascii="Times New Roman" w:cs="Times New Roman" w:eastAsia="Times New Roman" w:hAnsi="Times New Roman"/>
          <w:sz w:val="24"/>
          <w:szCs w:val="24"/>
        </w:rPr>
        <w:t xml:space="preserve">These patterns should be treated as general tendencies, not fixed rules. Life stage, personality, professional identity and how people are socialised at work often influence behaviour more strongly than the generation they belong to (Lyons and Kuron, 2014).</w:t>
      </w:r>
    </w:p>
    <w:p>
      <w:pPr>
        <w:pStyle w:val="Heading2"/>
        <w:spacing w:after="180" w:before="280"/>
      </w:pPr>
      <w:r>
        <w:rPr>
          <w:rFonts w:ascii="Times New Roman" w:cs="Times New Roman" w:eastAsia="Times New Roman" w:hAnsi="Times New Roman"/>
          <w:b/>
          <w:bCs/>
          <w:color w:val="2E75B6"/>
          <w:sz w:val="26"/>
          <w:szCs w:val="26"/>
        </w:rPr>
        <w:t xml:space="preserve">3.2 Impact of Generational Differences on Organisational Effectiveness</w:t>
      </w:r>
    </w:p>
    <w:p>
      <w:pPr>
        <w:spacing w:after="200" w:line="276"/>
        <w:jc w:val="both"/>
      </w:pPr>
      <w:r>
        <w:rPr>
          <w:rFonts w:ascii="Times New Roman" w:cs="Times New Roman" w:eastAsia="Times New Roman" w:hAnsi="Times New Roman"/>
          <w:sz w:val="24"/>
          <w:szCs w:val="24"/>
        </w:rPr>
        <w:t xml:space="preserve">Having several generations in the workplace can bring both benefits and problems. On the positive side, different age groups bring a wider range of perspectives, skills and ways of solving problems. Knowledge can flow from experienced Gen X and older staff to digitally fluent younger colleagues, while reverse mentoring can work in the other direction. This speeds up learning and innovation. Different life experiences can also lead to better decisions when people feel safe enough to speak openly (Lyons and Kuron, 2014).</w:t>
      </w:r>
    </w:p>
    <w:p>
      <w:pPr>
        <w:spacing w:after="200" w:line="276"/>
        <w:jc w:val="both"/>
      </w:pPr>
      <w:r>
        <w:rPr>
          <w:rFonts w:ascii="Times New Roman" w:cs="Times New Roman" w:eastAsia="Times New Roman" w:hAnsi="Times New Roman"/>
          <w:sz w:val="24"/>
          <w:szCs w:val="24"/>
        </w:rPr>
        <w:t xml:space="preserve">The challenges are also well known. Communication problems arise from different preferences about formality, channels and how often feedback is given. Expectations about work–life balance, flexibility and career progress can differ sharply, causing frustration when one set of policies is applied to everyone. Gaps in technology skills and attitudes towards digital tools can hinder teamwork. If these issues are ignored, they can grow into conflict, lower engagement or higher turnover among groups that feel their needs are overlooked.</w:t>
      </w:r>
    </w:p>
    <w:p>
      <w:pPr>
        <w:spacing w:after="200" w:line="276"/>
        <w:jc w:val="both"/>
      </w:pPr>
      <w:r>
        <w:rPr>
          <w:rFonts w:ascii="Times New Roman" w:cs="Times New Roman" w:eastAsia="Times New Roman" w:hAnsi="Times New Roman"/>
          <w:sz w:val="24"/>
          <w:szCs w:val="24"/>
        </w:rPr>
        <w:t xml:space="preserve">The real impact of generational difference depends heavily on the quality of leadership and the organisational culture. Where leaders show curiosity, flexibility and genuine interest in individual preferences, age diversity becomes an asset. Where leaders rely on stereotypes or force everyone into the same mould, the same diversity becomes a source of friction, lower productivity and cultural splits. Team dynamics, productivity and culture are therefore shaped more by leadership quality and inclusive systems than by the simple presence of different generations.</w:t>
      </w:r>
    </w:p>
    <w:p>
      <w:pPr>
        <w:pStyle w:val="Heading2"/>
        <w:spacing w:after="180" w:before="280"/>
      </w:pPr>
      <w:r>
        <w:rPr>
          <w:rFonts w:ascii="Times New Roman" w:cs="Times New Roman" w:eastAsia="Times New Roman" w:hAnsi="Times New Roman"/>
          <w:b/>
          <w:bCs/>
          <w:color w:val="2E75B6"/>
          <w:sz w:val="26"/>
          <w:szCs w:val="26"/>
        </w:rPr>
        <w:t xml:space="preserve">3.3 Applying Emotional Intelligence and Mindfulness Across Generations</w:t>
      </w:r>
    </w:p>
    <w:p>
      <w:pPr>
        <w:spacing w:after="200" w:line="276"/>
        <w:jc w:val="both"/>
      </w:pPr>
      <w:r>
        <w:rPr>
          <w:rFonts w:ascii="Times New Roman" w:cs="Times New Roman" w:eastAsia="Times New Roman" w:hAnsi="Times New Roman"/>
          <w:sz w:val="24"/>
          <w:szCs w:val="24"/>
        </w:rPr>
        <w:t xml:space="preserve">Managers can use EI skills — especially empathy, self-regulation and social skills — at three key stages: recruitment, day-to-day management and performance discussions, and retention.</w:t>
      </w:r>
    </w:p>
    <w:p>
      <w:pPr>
        <w:spacing w:after="200" w:line="276"/>
        <w:jc w:val="both"/>
      </w:pPr>
      <w:r>
        <w:rPr>
          <w:rFonts w:ascii="Times New Roman" w:cs="Times New Roman" w:eastAsia="Times New Roman" w:hAnsi="Times New Roman"/>
          <w:sz w:val="24"/>
          <w:szCs w:val="24"/>
        </w:rPr>
        <w:t xml:space="preserve">In recruitment, empathy helps interviewers understand what candidates from different generations value and whether they will fit the culture. Self-regulation stops interviewers from projecting their own generational norms onto candidates. Social skills help design employer branding and selection processes that feel genuine and respectful to a wide range of applicants.</w:t>
      </w:r>
    </w:p>
    <w:p>
      <w:pPr>
        <w:spacing w:after="200" w:line="276"/>
        <w:jc w:val="both"/>
      </w:pPr>
      <w:r>
        <w:rPr>
          <w:rFonts w:ascii="Times New Roman" w:cs="Times New Roman" w:eastAsia="Times New Roman" w:hAnsi="Times New Roman"/>
          <w:sz w:val="24"/>
          <w:szCs w:val="24"/>
        </w:rPr>
        <w:t xml:space="preserve">In daily management, empathy and social awareness let leaders adjust their communication style, feedback frequency and level of autonomy to suit both the individual and the generational group, without dropping organisational standards. Self-regulation is essential when friction between age groups appears. Leaders who manage their own reactions set a good example and stop problems from escalating. Relationship skills help create mixed-generation teams and mentoring pairs that use complementary strengths.</w:t>
      </w:r>
    </w:p>
    <w:p>
      <w:pPr>
        <w:spacing w:after="200" w:line="276"/>
        <w:jc w:val="both"/>
      </w:pPr>
      <w:r>
        <w:rPr>
          <w:rFonts w:ascii="Times New Roman" w:cs="Times New Roman" w:eastAsia="Times New Roman" w:hAnsi="Times New Roman"/>
          <w:sz w:val="24"/>
          <w:szCs w:val="24"/>
        </w:rPr>
        <w:t xml:space="preserve">Retention also benefits from these skills. Understanding what keeps each group committed — autonomy and balance for many Gen X staff, purpose and development for Millennials, authenticity and growth for Gen Z — allows more targeted and effective retention actions.</w:t>
      </w:r>
    </w:p>
    <w:p>
      <w:pPr>
        <w:spacing w:after="200" w:line="276"/>
        <w:jc w:val="both"/>
      </w:pPr>
      <w:r>
        <w:rPr>
          <w:rFonts w:ascii="Times New Roman" w:cs="Times New Roman" w:eastAsia="Times New Roman" w:hAnsi="Times New Roman"/>
          <w:sz w:val="24"/>
          <w:szCs w:val="24"/>
        </w:rPr>
        <w:t xml:space="preserve">Mindfulness supports EI by strengthening self-awareness and emotional control. Leaders who practise present-moment attention are better able to notice their own biases, stay calm under interpersonal pressure, and give genuine attention to staff of any generation (Good et al., 2016). Recent evidence shows that leader mindfulness is linked to more follower-centred behaviour and better well-being and performance among staff. At team level, shared mindfulness practices can improve collective awareness and psychological safety.</w:t>
      </w:r>
    </w:p>
    <w:p>
      <w:pPr>
        <w:spacing w:after="200" w:line="276"/>
        <w:jc w:val="both"/>
      </w:pPr>
      <w:r>
        <w:rPr>
          <w:rFonts w:ascii="Times New Roman" w:cs="Times New Roman" w:eastAsia="Times New Roman" w:hAnsi="Times New Roman"/>
          <w:sz w:val="24"/>
          <w:szCs w:val="24"/>
        </w:rPr>
        <w:t xml:space="preserve">Creating psychological safety and inclusive environments remains central. When people of all ages feel able to express preferences, admit uncertainty and challenge assumptions without fear of ridicule or career damage, generational differences become resources rather than problems. EI and mindfulness equip leaders and team members with the emotional and attention skills needed for respectful dialogue.</w:t>
      </w:r>
    </w:p>
    <w:p>
      <w:pPr>
        <w:spacing w:after="200" w:line="276"/>
        <w:jc w:val="both"/>
      </w:pPr>
      <w:r>
        <w:rPr>
          <w:rFonts w:ascii="Times New Roman" w:cs="Times New Roman" w:eastAsia="Times New Roman" w:hAnsi="Times New Roman"/>
          <w:sz w:val="24"/>
          <w:szCs w:val="24"/>
        </w:rPr>
        <w:t xml:space="preserve">The potential benefits are clear: better communication, less conflict, higher engagement and more effective knowledge sharing. There are also practical limits. EI and mindfulness programmes need ongoing investment, skilled facilitation and cultural support. One-off workshops rarely produce lasting change. Individual differences in openness, time pressure and existing politics can reduce impact. These approaches deal with personal and interpersonal dynamics; they cannot replace fair pay systems, clear career paths or proper resources.</w:t>
      </w:r>
    </w:p>
    <w:p>
      <w:pPr>
        <w:pStyle w:val="Heading1"/>
        <w:spacing w:after="240" w:before="360"/>
      </w:pPr>
      <w:r>
        <w:rPr>
          <w:rFonts w:ascii="Times New Roman" w:cs="Times New Roman" w:eastAsia="Times New Roman" w:hAnsi="Times New Roman"/>
          <w:b/>
          <w:bCs/>
          <w:color w:val="1F4E79"/>
          <w:sz w:val="28"/>
          <w:szCs w:val="28"/>
        </w:rPr>
        <w:t xml:space="preserve">4. Conclusions and Recommendations</w:t>
      </w:r>
    </w:p>
    <w:p>
      <w:pPr>
        <w:spacing w:after="200" w:line="276"/>
        <w:jc w:val="both"/>
      </w:pPr>
      <w:r>
        <w:rPr>
          <w:rFonts w:ascii="Times New Roman" w:cs="Times New Roman" w:eastAsia="Times New Roman" w:hAnsi="Times New Roman"/>
          <w:sz w:val="24"/>
          <w:szCs w:val="24"/>
        </w:rPr>
        <w:t xml:space="preserve">The analysis in this report leads to several clear conclusions. Emotional intelligence, whether defined as pure ability or as a broader set of competencies, contributes usefully to individual performance, teamwork, well-being, communication, conflict resolution, leadership and decision quality. Its effects are real but moderate. They are strongest when EI is developed together with mindfulness and when it is supported by the wider organisational system. Multigenerational workforces bring both advantages of diversity and risks of friction. Which outcome dominates depends mainly on the quality of leadership and the deliberate use of empathy, self-regulation and inclusive practices.</w:t>
      </w:r>
    </w:p>
    <w:p>
      <w:pPr>
        <w:spacing w:after="200" w:line="276"/>
        <w:jc w:val="both"/>
      </w:pPr>
      <w:r>
        <w:rPr>
          <w:rFonts w:ascii="Times New Roman" w:cs="Times New Roman" w:eastAsia="Times New Roman" w:hAnsi="Times New Roman"/>
          <w:sz w:val="24"/>
          <w:szCs w:val="24"/>
        </w:rPr>
        <w:t xml:space="preserve">The following recommendations are offered to the Senior Management Team:</w:t>
      </w:r>
    </w:p>
    <w:p>
      <w:pPr>
        <w:spacing w:after="80" w:before="200"/>
      </w:pPr>
      <w:r>
        <w:rPr>
          <w:rFonts w:ascii="Times New Roman" w:cs="Times New Roman" w:eastAsia="Times New Roman" w:hAnsi="Times New Roman"/>
          <w:b/>
          <w:bCs/>
          <w:sz w:val="24"/>
          <w:szCs w:val="24"/>
        </w:rPr>
        <w:t xml:space="preserve">Employee development (EI and mindfulness training).</w:t>
      </w:r>
    </w:p>
    <w:p>
      <w:pPr>
        <w:spacing w:after="200" w:line="276"/>
        <w:jc w:val="both"/>
      </w:pPr>
      <w:r>
        <w:rPr>
          <w:rFonts w:ascii="Times New Roman" w:cs="Times New Roman" w:eastAsia="Times New Roman" w:hAnsi="Times New Roman"/>
          <w:sz w:val="24"/>
          <w:szCs w:val="24"/>
        </w:rPr>
        <w:t xml:space="preserve">Introduce a structured, multi-level development programme that combines ability-based assessment where useful, competency development drawn from mixed models, and evidence-based mindfulness training. Programmes should run over time rather than as one-off events, include practice and coaching, and be evaluated against behavioural and well-being measures.</w:t>
      </w:r>
    </w:p>
    <w:p>
      <w:pPr>
        <w:spacing w:after="80" w:before="160"/>
      </w:pPr>
      <w:r>
        <w:rPr>
          <w:rFonts w:ascii="Times New Roman" w:cs="Times New Roman" w:eastAsia="Times New Roman" w:hAnsi="Times New Roman"/>
          <w:b/>
          <w:bCs/>
          <w:sz w:val="24"/>
          <w:szCs w:val="24"/>
        </w:rPr>
        <w:t xml:space="preserve">Leadership capability building.</w:t>
      </w:r>
    </w:p>
    <w:p>
      <w:pPr>
        <w:spacing w:after="200" w:line="276"/>
        <w:jc w:val="both"/>
      </w:pPr>
      <w:r>
        <w:rPr>
          <w:rFonts w:ascii="Times New Roman" w:cs="Times New Roman" w:eastAsia="Times New Roman" w:hAnsi="Times New Roman"/>
          <w:sz w:val="24"/>
          <w:szCs w:val="24"/>
        </w:rPr>
        <w:t xml:space="preserve">Give priority to EI and mindfulness development for current and future leaders, with special focus on empathy, self-regulation and creating psychological safety. Build these skills into existing leadership frameworks and 360-degree feedback processes. Encourage reverse mentoring and cross-generational leadership pairings.</w:t>
      </w:r>
    </w:p>
    <w:p>
      <w:pPr>
        <w:spacing w:after="80" w:before="160"/>
      </w:pPr>
      <w:r>
        <w:rPr>
          <w:rFonts w:ascii="Times New Roman" w:cs="Times New Roman" w:eastAsia="Times New Roman" w:hAnsi="Times New Roman"/>
          <w:b/>
          <w:bCs/>
          <w:sz w:val="24"/>
          <w:szCs w:val="24"/>
        </w:rPr>
        <w:t xml:space="preserve">Recruitment and retention strategies for a multigenerational workforce.</w:t>
      </w:r>
    </w:p>
    <w:p>
      <w:pPr>
        <w:spacing w:after="200" w:line="276"/>
        <w:jc w:val="both"/>
      </w:pPr>
      <w:r>
        <w:rPr>
          <w:rFonts w:ascii="Times New Roman" w:cs="Times New Roman" w:eastAsia="Times New Roman" w:hAnsi="Times New Roman"/>
          <w:sz w:val="24"/>
          <w:szCs w:val="24"/>
        </w:rPr>
        <w:t xml:space="preserve">Review recruitment processes for generational bias and redesign selection methods to assess both technical ability and emotional competence. Develop flexible yet consistent retention offers that address the different but overlapping needs of Gen X, Millennial and Gen Z staff — autonomy and balance, purpose and growth, authenticity and development — while keeping organisational fairness. Track engagement and turnover data by generation so that emerging patterns can be spotted early.</w:t>
      </w:r>
    </w:p>
    <w:p>
      <w:pPr>
        <w:spacing w:after="200" w:line="276"/>
        <w:jc w:val="both"/>
      </w:pPr>
      <w:r>
        <w:rPr>
          <w:rFonts w:ascii="Times New Roman" w:cs="Times New Roman" w:eastAsia="Times New Roman" w:hAnsi="Times New Roman"/>
          <w:sz w:val="24"/>
          <w:szCs w:val="24"/>
        </w:rPr>
        <w:t xml:space="preserve">In conclusion, emotional intelligence and mindfulness are practical capabilities that support both performance and culture in a complex, multigenerational workplace. When they are developed systematically and used with a clear understanding of their limits, they give the Senior Management Team useful tools for building on the improvements already seen in the climate survey and for creating a more resilient, inclusive and effective organisation.</w:t>
      </w:r>
    </w:p>
    <w:p>
      <w:pPr>
        <w:pStyle w:val="Heading1"/>
        <w:spacing w:after="240" w:before="360"/>
      </w:pPr>
      <w:r>
        <w:rPr>
          <w:rFonts w:ascii="Times New Roman" w:cs="Times New Roman" w:eastAsia="Times New Roman" w:hAnsi="Times New Roman"/>
          <w:b/>
          <w:bCs/>
          <w:color w:val="1F4E79"/>
          <w:sz w:val="28"/>
          <w:szCs w:val="28"/>
        </w:rPr>
        <w:t xml:space="preserve">5. Reference List</w:t>
      </w:r>
    </w:p>
    <w:p>
      <w:pPr>
        <w:spacing w:after="200" w:line="276"/>
        <w:jc w:val="both"/>
      </w:pPr>
      <w:r>
        <w:rPr>
          <w:rFonts w:ascii="Times New Roman" w:cs="Times New Roman" w:eastAsia="Times New Roman" w:hAnsi="Times New Roman"/>
          <w:sz w:val="24"/>
          <w:szCs w:val="24"/>
        </w:rPr>
        <w:t xml:space="preserve">Bar-On, R. (2006) ‘The Bar-On model of emotional-social intelligence (ESI)’, Psicothema, 18(Suppl.), pp. 13–25. Available at: https://www.psicothema.es/pi?pii=3271 (Accessed: 15 August 2026).</w:t>
      </w:r>
    </w:p>
    <w:p>
      <w:pPr>
        <w:spacing w:after="200" w:line="276"/>
        <w:jc w:val="both"/>
      </w:pPr>
      <w:r>
        <w:rPr>
          <w:rFonts w:ascii="Times New Roman" w:cs="Times New Roman" w:eastAsia="Times New Roman" w:hAnsi="Times New Roman"/>
          <w:sz w:val="24"/>
          <w:szCs w:val="24"/>
        </w:rPr>
        <w:t xml:space="preserve">Good, D.J., Lyddy, C.J., Glomb, T.M., Bono, J.E., Brown, K.W., Duffy, M.K., Baer, R.A., Brewer, J.A. and Lazar, S.W. (2016) ‘Contemplating mindfulness at work: an integrative review’, Journal of Management, 42(1), pp. 114–142. https://doi.org/10.1177/0149206315617003</w:t>
      </w:r>
    </w:p>
    <w:p>
      <w:pPr>
        <w:spacing w:after="200" w:line="276"/>
        <w:jc w:val="both"/>
      </w:pPr>
      <w:r>
        <w:rPr>
          <w:rFonts w:ascii="Times New Roman" w:cs="Times New Roman" w:eastAsia="Times New Roman" w:hAnsi="Times New Roman"/>
          <w:sz w:val="24"/>
          <w:szCs w:val="24"/>
        </w:rPr>
        <w:t xml:space="preserve">Hülsheger, U.R., Alberts, H.J.E.M., Feinholdt, A. and Lang, J.W.B. (2013) ‘Benefits of mindfulness at work: the role of mindfulness in emotion regulation, emotional exhaustion, and job satisfaction’, Journal of Applied Psychology, 98(2), pp. 310–325. https://doi.org/10.1037/a0031313</w:t>
      </w:r>
    </w:p>
    <w:p>
      <w:pPr>
        <w:spacing w:after="200" w:line="276"/>
        <w:jc w:val="both"/>
      </w:pPr>
      <w:r>
        <w:rPr>
          <w:rFonts w:ascii="Times New Roman" w:cs="Times New Roman" w:eastAsia="Times New Roman" w:hAnsi="Times New Roman"/>
          <w:sz w:val="24"/>
          <w:szCs w:val="24"/>
        </w:rPr>
        <w:t xml:space="preserve">Jordan, P.J. and Troth, A.C. (2004) ‘Managing emotions during team problem solving: emotional intelligence and conflict resolution’, Human Performance, 17(2), pp. 195–218. https://doi.org/10.1207/s15327043hup1702_4</w:t>
      </w:r>
    </w:p>
    <w:p>
      <w:pPr>
        <w:spacing w:after="200" w:line="276"/>
        <w:jc w:val="both"/>
      </w:pPr>
      <w:r>
        <w:rPr>
          <w:rFonts w:ascii="Times New Roman" w:cs="Times New Roman" w:eastAsia="Times New Roman" w:hAnsi="Times New Roman"/>
          <w:sz w:val="24"/>
          <w:szCs w:val="24"/>
        </w:rPr>
        <w:t xml:space="preserve">Joseph, D.L. and Newman, D.A. (2010) ‘Emotional intelligence: an integrative meta-analysis and cascading model’, Journal of Applied Psychology, 95(1), pp. 54–78. https://doi.org/10.1037/a0017286</w:t>
      </w:r>
    </w:p>
    <w:p>
      <w:pPr>
        <w:spacing w:after="200" w:line="276"/>
        <w:jc w:val="both"/>
      </w:pPr>
      <w:r>
        <w:rPr>
          <w:rFonts w:ascii="Times New Roman" w:cs="Times New Roman" w:eastAsia="Times New Roman" w:hAnsi="Times New Roman"/>
          <w:sz w:val="24"/>
          <w:szCs w:val="24"/>
        </w:rPr>
        <w:t xml:space="preserve">Lyons, S. and Kuron, L. (2014) ‘Generational differences in the workplace: a review of the evidence and directions for future research’, Journal of Organizational Behavior, 35(S1), pp. S139–S157. https://doi.org/10.1002/job.1913</w:t>
      </w:r>
    </w:p>
    <w:p>
      <w:pPr>
        <w:spacing w:after="200" w:line="276"/>
        <w:jc w:val="both"/>
      </w:pPr>
      <w:r>
        <w:rPr>
          <w:rFonts w:ascii="Times New Roman" w:cs="Times New Roman" w:eastAsia="Times New Roman" w:hAnsi="Times New Roman"/>
          <w:sz w:val="24"/>
          <w:szCs w:val="24"/>
        </w:rPr>
        <w:t xml:space="preserve">Mayer, J.D. and Salovey, P. (1997) ‘What is emotional intelligence?’, in Salovey, P. and Sluyter, D. (eds.) Emotional Development and Emotional Intelligence: Educational Implications. New York: Basic Books, pp. 3–31.</w:t>
      </w:r>
    </w:p>
    <w:p>
      <w:pPr>
        <w:spacing w:after="200" w:line="276"/>
        <w:jc w:val="both"/>
      </w:pPr>
      <w:r>
        <w:rPr>
          <w:rFonts w:ascii="Times New Roman" w:cs="Times New Roman" w:eastAsia="Times New Roman" w:hAnsi="Times New Roman"/>
          <w:sz w:val="24"/>
          <w:szCs w:val="24"/>
        </w:rPr>
        <w:t xml:space="preserve">Mayer, J.D., Salovey, P. and Caruso, D.R. (2004) ‘Emotional intelligence: theory, findings, and implications’, Psychological Inquiry, 15(3), pp. 197–215. https://doi.org/10.1207/s15327965pli1503_02</w:t>
      </w:r>
    </w:p>
    <w:p>
      <w:pPr>
        <w:spacing w:after="200" w:line="276"/>
        <w:jc w:val="both"/>
      </w:pPr>
      <w:r>
        <w:rPr>
          <w:rFonts w:ascii="Times New Roman" w:cs="Times New Roman" w:eastAsia="Times New Roman" w:hAnsi="Times New Roman"/>
          <w:sz w:val="24"/>
          <w:szCs w:val="24"/>
        </w:rPr>
        <w:t xml:space="preserve">Mayer, J.D., Salovey, P. and Caruso, D.R. (2008) ‘Emotional intelligence: new ability or eclectic traits?’, American Psychologist, 63(6), pp. 503–517. https://doi.org/10.1037/0003-066X.63.6.503</w:t>
      </w:r>
    </w:p>
    <w:p>
      <w:pPr>
        <w:spacing w:after="200" w:line="276"/>
        <w:jc w:val="both"/>
      </w:pPr>
      <w:r>
        <w:rPr>
          <w:rFonts w:ascii="Times New Roman" w:cs="Times New Roman" w:eastAsia="Times New Roman" w:hAnsi="Times New Roman"/>
          <w:sz w:val="24"/>
          <w:szCs w:val="24"/>
        </w:rPr>
        <w:t xml:space="preserve">Miao, C., Humphrey, R.H. and Qian, S. (2016) ‘Leader emotional intelligence and subordinate job satisfaction: a meta-analysis of main, mediator, and moderator effects’, Personality and Individual Differences, 102, pp. 13–24. https://doi.org/10.1016/j.paid.2016.06.056</w:t>
      </w:r>
    </w:p>
    <w:p>
      <w:pPr>
        <w:spacing w:after="200" w:line="276"/>
        <w:jc w:val="both"/>
      </w:pPr>
      <w:r>
        <w:rPr>
          <w:rFonts w:ascii="Times New Roman" w:cs="Times New Roman" w:eastAsia="Times New Roman" w:hAnsi="Times New Roman"/>
          <w:sz w:val="24"/>
          <w:szCs w:val="24"/>
        </w:rPr>
        <w:t xml:space="preserve">O’Boyle, E.H., Humphrey, R.H., Pollack, J.M., Hawver, T.H. and Story, P.A. (2011) ‘The relation between emotional intelligence and job performance: a meta-analysis’, Journal of Organizational Behavior, 32(5), pp. 788–818. https://doi.org/10.1002/job.714</w:t>
      </w:r>
    </w:p>
    <w:p>
      <w:pPr>
        <w:spacing w:after="200" w:line="276"/>
        <w:jc w:val="both"/>
      </w:pPr>
      <w:r>
        <w:rPr>
          <w:rFonts w:ascii="Times New Roman" w:cs="Times New Roman" w:eastAsia="Times New Roman" w:hAnsi="Times New Roman"/>
          <w:sz w:val="24"/>
          <w:szCs w:val="24"/>
        </w:rPr>
        <w:t xml:space="preserve">O’Connor, P.J., Hill, A., Kaya, M. and Martin, B. (2019) ‘The measurement of emotional intelligence: a critical review of the literature and recommendations for researchers and practitioners’, Frontiers in Psychology, 10, article 1116. https://doi.org/10.3389/fpsyg.2019.01116</w:t>
      </w:r>
    </w:p>
    <w:p>
      <w:pPr>
        <w:spacing w:after="200" w:line="276"/>
        <w:jc w:val="both"/>
      </w:pPr>
      <w:r>
        <w:rPr>
          <w:rFonts w:ascii="Times New Roman" w:cs="Times New Roman" w:eastAsia="Times New Roman" w:hAnsi="Times New Roman"/>
          <w:sz w:val="24"/>
          <w:szCs w:val="24"/>
        </w:rPr>
        <w:t xml:space="preserve">Petrides, K.V. and Furnham, A. (2001) ‘Trait emotional intelligence: psychometric investigation with reference to established trait taxonomies’, European Journal of Personality, 15(6), pp. 425–448. https://doi.org/10.1002/per.416</w:t>
      </w:r>
    </w:p>
    <w:p>
      <w:pPr>
        <w:spacing w:after="200" w:line="276"/>
        <w:jc w:val="both"/>
      </w:pPr>
      <w:r>
        <w:rPr>
          <w:rFonts w:ascii="Times New Roman" w:cs="Times New Roman" w:eastAsia="Times New Roman" w:hAnsi="Times New Roman"/>
          <w:sz w:val="24"/>
          <w:szCs w:val="24"/>
        </w:rPr>
        <w:t xml:space="preserve">Salovey, P. and Mayer, J.D. (1990) ‘Emotional intelligence’, Imagination, Cognition and Personality, 9(3), pp. 185–211. https://doi.org/10.2190/DUGG-P24E-52WK-6CDG</w:t>
      </w:r>
    </w:p>
    <w:sectPr>
      <w:headerReference w:type="default" r:id="rId7"/>
      <w:footerReference w:type="default" r:id="rId8"/>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18"/>
        <w:szCs w:val="18"/>
      </w:rPr>
      <w:t xml:space="preserve">Page </w:t>
    </w:r>
    <w:r>
      <w:rPr>
        <w:rFonts w:ascii="Times New Roman" w:cs="Times New Roman" w:eastAsia="Times New Roman" w:hAnsi="Times New Roman"/>
        <w:sz w:val="18"/>
        <w:szCs w:val="18"/>
      </w:rPr>
      <w:fldChar w:fldCharType="begin"/>
      <w:instrText xml:space="preserve">PAGE</w:instrText>
      <w:fldChar w:fldCharType="separate"/>
      <w:fldChar w:fldCharType="end"/>
    </w:r>
    <w:r>
      <w:rPr>
        <w:rFonts w:ascii="Times New Roman" w:cs="Times New Roman" w:eastAsia="Times New Roman" w:hAnsi="Times New Roman"/>
        <w:sz w:val="18"/>
        <w:szCs w:val="18"/>
      </w:rPr>
      <w:t xml:space="preserve"> of </w:t>
    </w:r>
    <w:r>
      <w:rPr>
        <w:rFonts w:ascii="Times New Roman" w:cs="Times New Roman" w:eastAsia="Times New Roman" w:hAnsi="Times New Roman"/>
        <w:sz w:val="18"/>
        <w:szCs w:val="18"/>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Times New Roman" w:cs="Times New Roman" w:eastAsia="Times New Roman" w:hAnsi="Times New Roman"/>
        <w:i/>
        <w:iCs/>
        <w:color w:val="666666"/>
        <w:sz w:val="18"/>
        <w:szCs w:val="18"/>
      </w:rPr>
      <w:t xml:space="preserve">LCLM 5006 – Emotional Intelligence and Multigenerational Workforce Report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240" w:before="360"/>
      <w:outlineLvl w:val="0"/>
    </w:pPr>
    <w:rPr>
      <w:rFonts w:ascii="Times New Roman" w:cs="Times New Roman" w:eastAsia="Times New Roman" w:hAnsi="Times New Roman"/>
      <w:b/>
      <w:bCs/>
      <w:color w:val="1F4E79"/>
      <w:sz w:val="28"/>
      <w:szCs w:val="28"/>
    </w:rPr>
  </w:style>
  <w:style w:type="paragraph" w:styleId="Heading2">
    <w:name w:val="Heading 2"/>
    <w:basedOn w:val="Normal"/>
    <w:next w:val="Normal"/>
    <w:qFormat/>
    <w:pPr>
      <w:spacing w:after="180" w:before="280"/>
      <w:outlineLvl w:val="1"/>
    </w:pPr>
    <w:rPr>
      <w:rFonts w:ascii="Times New Roman" w:cs="Times New Roman" w:eastAsia="Times New Roman" w:hAnsi="Times New Roman"/>
      <w:b/>
      <w:bCs/>
      <w:color w:val="2E75B6"/>
      <w:sz w:val="26"/>
      <w:szCs w:val="26"/>
    </w:rPr>
  </w:style>
  <w:style w:type="paragraph" w:styleId="Heading3">
    <w:name w:val="Heading 3"/>
    <w:basedOn w:val="Normal"/>
    <w:next w:val="Normal"/>
    <w:qFormat/>
    <w:pPr>
      <w:spacing w:after="120" w:before="240"/>
      <w:outlineLvl w:val="2"/>
    </w:pPr>
    <w:rPr>
      <w:rFonts w:ascii="Times New Roman" w:cs="Times New Roman" w:eastAsia="Times New Roman" w:hAnsi="Times New Roman"/>
      <w:b/>
      <w:bCs/>
      <w:color w:val="2E75B6"/>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2026-08-21T09:49:30.333Z</dcterms:created>
  <dcterms:modified xsi:type="dcterms:W3CDTF">2026-08-21T09:49:30.334Z</dcterms:modified>
</cp:coreProperties>
</file>

<file path=docProps/custom.xml><?xml version="1.0" encoding="utf-8"?>
<Properties xmlns="http://schemas.openxmlformats.org/officeDocument/2006/custom-properties" xmlns:vt="http://schemas.openxmlformats.org/officeDocument/2006/docPropsVTypes"/>
</file>