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95A0D" w14:textId="77777777" w:rsidR="00183E46" w:rsidRDefault="00183E46" w:rsidP="00183E46">
      <w:pPr>
        <w:spacing w:after="120"/>
      </w:pPr>
    </w:p>
    <w:p w14:paraId="319FB541" w14:textId="77777777" w:rsidR="00183E46" w:rsidRDefault="00183E46" w:rsidP="00183E46">
      <w:pPr>
        <w:spacing w:after="120"/>
        <w:rPr>
          <w:rFonts w:ascii="Arial" w:hAnsi="Arial" w:cs="Arial"/>
          <w:sz w:val="24"/>
          <w:szCs w:val="24"/>
        </w:rPr>
      </w:pPr>
      <w:r w:rsidRPr="00183E46">
        <w:rPr>
          <w:rFonts w:ascii="Arial" w:hAnsi="Arial" w:cs="Arial"/>
          <w:sz w:val="24"/>
          <w:szCs w:val="24"/>
        </w:rPr>
        <w:t xml:space="preserve">                                                </w:t>
      </w:r>
    </w:p>
    <w:p w14:paraId="352AFE2D" w14:textId="77777777" w:rsidR="00183E46" w:rsidRDefault="00183E46" w:rsidP="00183E46">
      <w:pPr>
        <w:spacing w:after="120"/>
        <w:rPr>
          <w:rFonts w:ascii="Arial" w:hAnsi="Arial" w:cs="Arial"/>
          <w:sz w:val="24"/>
          <w:szCs w:val="24"/>
        </w:rPr>
      </w:pPr>
    </w:p>
    <w:p w14:paraId="596E1912" w14:textId="77777777" w:rsidR="00183E46" w:rsidRDefault="00183E46" w:rsidP="00183E46">
      <w:pPr>
        <w:spacing w:after="120"/>
        <w:rPr>
          <w:rFonts w:ascii="Arial" w:hAnsi="Arial" w:cs="Arial"/>
          <w:sz w:val="24"/>
          <w:szCs w:val="24"/>
        </w:rPr>
      </w:pPr>
    </w:p>
    <w:p w14:paraId="6946EBAE" w14:textId="77777777" w:rsidR="00183E46" w:rsidRDefault="00183E46" w:rsidP="00183E46">
      <w:pPr>
        <w:spacing w:after="120"/>
        <w:rPr>
          <w:rFonts w:ascii="Arial" w:hAnsi="Arial" w:cs="Arial"/>
          <w:sz w:val="24"/>
          <w:szCs w:val="24"/>
        </w:rPr>
      </w:pPr>
    </w:p>
    <w:p w14:paraId="19FE4FD8" w14:textId="77777777" w:rsidR="00183E46" w:rsidRDefault="00183E46" w:rsidP="00183E46">
      <w:pPr>
        <w:spacing w:after="120"/>
        <w:rPr>
          <w:rFonts w:ascii="Arial" w:hAnsi="Arial" w:cs="Arial"/>
          <w:sz w:val="24"/>
          <w:szCs w:val="24"/>
        </w:rPr>
      </w:pPr>
    </w:p>
    <w:p w14:paraId="4673F9CF" w14:textId="77777777" w:rsidR="00183E46" w:rsidRDefault="00183E46" w:rsidP="00183E46">
      <w:pPr>
        <w:spacing w:after="120"/>
        <w:rPr>
          <w:rFonts w:ascii="Arial" w:hAnsi="Arial" w:cs="Arial"/>
          <w:sz w:val="24"/>
          <w:szCs w:val="24"/>
        </w:rPr>
      </w:pPr>
    </w:p>
    <w:p w14:paraId="334F5D11" w14:textId="77777777" w:rsidR="00183E46" w:rsidRDefault="00183E46" w:rsidP="00183E46">
      <w:pPr>
        <w:spacing w:after="120"/>
        <w:rPr>
          <w:rFonts w:ascii="Arial" w:hAnsi="Arial" w:cs="Arial"/>
          <w:sz w:val="24"/>
          <w:szCs w:val="24"/>
        </w:rPr>
      </w:pPr>
    </w:p>
    <w:p w14:paraId="7980E3A0" w14:textId="77777777" w:rsidR="00183E46" w:rsidRDefault="00183E46" w:rsidP="00183E46">
      <w:pPr>
        <w:spacing w:after="120"/>
        <w:rPr>
          <w:rFonts w:ascii="Arial" w:hAnsi="Arial" w:cs="Arial"/>
          <w:sz w:val="24"/>
          <w:szCs w:val="24"/>
        </w:rPr>
      </w:pPr>
    </w:p>
    <w:p w14:paraId="603C6BF3" w14:textId="77777777" w:rsidR="00183E46" w:rsidRDefault="00183E46" w:rsidP="00183E46">
      <w:pPr>
        <w:spacing w:after="120"/>
        <w:rPr>
          <w:rFonts w:ascii="Arial" w:hAnsi="Arial" w:cs="Arial"/>
          <w:sz w:val="24"/>
          <w:szCs w:val="24"/>
        </w:rPr>
      </w:pPr>
    </w:p>
    <w:p w14:paraId="4DFF0ABB" w14:textId="77777777" w:rsidR="00183E46" w:rsidRDefault="00183E46" w:rsidP="00183E46">
      <w:pPr>
        <w:spacing w:after="120"/>
        <w:rPr>
          <w:rFonts w:ascii="Arial" w:hAnsi="Arial" w:cs="Arial"/>
          <w:sz w:val="24"/>
          <w:szCs w:val="24"/>
        </w:rPr>
      </w:pPr>
    </w:p>
    <w:p w14:paraId="75059466" w14:textId="090633D4" w:rsidR="00183E46" w:rsidRDefault="00183E46" w:rsidP="00183E46">
      <w:pPr>
        <w:spacing w:after="120"/>
        <w:rPr>
          <w:rFonts w:ascii="Arial" w:hAnsi="Arial" w:cs="Arial"/>
          <w:sz w:val="24"/>
          <w:szCs w:val="24"/>
        </w:rPr>
      </w:pPr>
      <w:r w:rsidRPr="00183E46">
        <w:rPr>
          <w:rFonts w:ascii="Arial" w:hAnsi="Arial" w:cs="Arial"/>
          <w:sz w:val="24"/>
          <w:szCs w:val="24"/>
        </w:rPr>
        <w:t xml:space="preserve">Name: </w:t>
      </w:r>
      <w:r w:rsidRPr="00183E46">
        <w:rPr>
          <w:rFonts w:ascii="Arial" w:hAnsi="Arial" w:cs="Arial"/>
          <w:sz w:val="24"/>
          <w:szCs w:val="24"/>
        </w:rPr>
        <w:t xml:space="preserve">Illia </w:t>
      </w:r>
      <w:proofErr w:type="spellStart"/>
      <w:r w:rsidRPr="00183E46">
        <w:rPr>
          <w:rFonts w:ascii="Arial" w:hAnsi="Arial" w:cs="Arial"/>
          <w:sz w:val="24"/>
          <w:szCs w:val="24"/>
        </w:rPr>
        <w:t>Perepechaiev</w:t>
      </w:r>
      <w:proofErr w:type="spellEnd"/>
    </w:p>
    <w:p w14:paraId="6C0B1958" w14:textId="77777777" w:rsidR="00183E46" w:rsidRPr="00183E46" w:rsidRDefault="00183E46" w:rsidP="00183E46">
      <w:pPr>
        <w:spacing w:after="120"/>
        <w:rPr>
          <w:rFonts w:ascii="Arial" w:hAnsi="Arial" w:cs="Arial"/>
        </w:rPr>
      </w:pPr>
    </w:p>
    <w:p w14:paraId="721AF0DB" w14:textId="4C4B830C" w:rsidR="00183E46" w:rsidRDefault="00183E46" w:rsidP="00183E46">
      <w:pPr>
        <w:spacing w:after="120"/>
        <w:rPr>
          <w:rFonts w:ascii="Arial" w:hAnsi="Arial" w:cs="Arial"/>
          <w:sz w:val="24"/>
          <w:szCs w:val="24"/>
        </w:rPr>
      </w:pPr>
      <w:r w:rsidRPr="00183E46">
        <w:rPr>
          <w:rFonts w:ascii="Arial" w:hAnsi="Arial" w:cs="Arial"/>
          <w:sz w:val="24"/>
          <w:szCs w:val="24"/>
        </w:rPr>
        <w:t>Student Number: 242541</w:t>
      </w:r>
      <w:r w:rsidRPr="00183E46">
        <w:rPr>
          <w:rFonts w:ascii="Arial" w:hAnsi="Arial" w:cs="Arial"/>
          <w:sz w:val="24"/>
          <w:szCs w:val="24"/>
        </w:rPr>
        <w:t>9</w:t>
      </w:r>
    </w:p>
    <w:p w14:paraId="0184B88C" w14:textId="77777777" w:rsidR="00183E46" w:rsidRPr="00183E46" w:rsidRDefault="00183E46" w:rsidP="00183E46">
      <w:pPr>
        <w:spacing w:after="120"/>
        <w:rPr>
          <w:rFonts w:ascii="Arial" w:hAnsi="Arial" w:cs="Arial"/>
        </w:rPr>
      </w:pPr>
    </w:p>
    <w:p w14:paraId="0E96FFAB" w14:textId="07EF3868" w:rsidR="00183E46" w:rsidRDefault="00183E46" w:rsidP="00183E46">
      <w:pPr>
        <w:spacing w:after="120"/>
        <w:rPr>
          <w:rFonts w:ascii="Arial" w:hAnsi="Arial" w:cs="Arial"/>
          <w:sz w:val="24"/>
          <w:szCs w:val="24"/>
        </w:rPr>
      </w:pPr>
      <w:r w:rsidRPr="00183E46">
        <w:rPr>
          <w:rFonts w:ascii="Arial" w:hAnsi="Arial" w:cs="Arial"/>
          <w:sz w:val="24"/>
          <w:szCs w:val="24"/>
        </w:rPr>
        <w:t>Programme: BSc Applied Computing</w:t>
      </w:r>
    </w:p>
    <w:p w14:paraId="3BF1D297" w14:textId="77777777" w:rsidR="00183E46" w:rsidRPr="00183E46" w:rsidRDefault="00183E46" w:rsidP="00183E46">
      <w:pPr>
        <w:spacing w:after="120"/>
        <w:rPr>
          <w:rFonts w:ascii="Arial" w:hAnsi="Arial" w:cs="Arial"/>
          <w:sz w:val="24"/>
          <w:szCs w:val="24"/>
        </w:rPr>
      </w:pPr>
    </w:p>
    <w:p w14:paraId="474CC7EA" w14:textId="77777777" w:rsidR="00183E46" w:rsidRDefault="00183E46" w:rsidP="00183E46">
      <w:pPr>
        <w:spacing w:after="120"/>
        <w:rPr>
          <w:rFonts w:ascii="Arial" w:hAnsi="Arial" w:cs="Arial"/>
          <w:sz w:val="24"/>
          <w:szCs w:val="24"/>
        </w:rPr>
      </w:pPr>
      <w:r w:rsidRPr="00183E46">
        <w:rPr>
          <w:rFonts w:ascii="Arial" w:hAnsi="Arial" w:cs="Arial"/>
          <w:sz w:val="24"/>
          <w:szCs w:val="24"/>
        </w:rPr>
        <w:t>Module: Data Security and Compliance</w:t>
      </w:r>
    </w:p>
    <w:p w14:paraId="51DAEB35" w14:textId="7F53A779" w:rsidR="00183E46" w:rsidRDefault="00183E46" w:rsidP="00183E46">
      <w:pPr>
        <w:spacing w:after="120"/>
        <w:rPr>
          <w:rFonts w:ascii="Arial" w:hAnsi="Arial" w:cs="Arial"/>
          <w:sz w:val="24"/>
          <w:szCs w:val="24"/>
        </w:rPr>
      </w:pPr>
      <w:r w:rsidRPr="00183E46">
        <w:rPr>
          <w:rFonts w:ascii="Arial" w:hAnsi="Arial" w:cs="Arial"/>
          <w:sz w:val="24"/>
          <w:szCs w:val="24"/>
        </w:rPr>
        <w:br/>
        <w:t>Lecture</w:t>
      </w:r>
      <w:r w:rsidRPr="00183E46">
        <w:rPr>
          <w:rFonts w:ascii="Arial" w:hAnsi="Arial" w:cs="Arial"/>
          <w:sz w:val="24"/>
          <w:szCs w:val="24"/>
          <w:lang w:val="en-US"/>
        </w:rPr>
        <w:t>r</w:t>
      </w:r>
      <w:r w:rsidRPr="00183E46">
        <w:rPr>
          <w:rFonts w:ascii="Arial" w:hAnsi="Arial" w:cs="Arial"/>
          <w:sz w:val="24"/>
          <w:szCs w:val="24"/>
        </w:rPr>
        <w:t>: Dr. Mohamed Ben Farah</w:t>
      </w:r>
    </w:p>
    <w:p w14:paraId="00140680" w14:textId="77777777" w:rsidR="00183E46" w:rsidRPr="00183E46" w:rsidRDefault="00183E46" w:rsidP="00183E46">
      <w:pPr>
        <w:spacing w:after="120"/>
        <w:rPr>
          <w:rFonts w:ascii="Arial" w:hAnsi="Arial" w:cs="Arial"/>
          <w:sz w:val="24"/>
          <w:szCs w:val="24"/>
        </w:rPr>
      </w:pPr>
    </w:p>
    <w:p w14:paraId="567E30E9" w14:textId="26947B16" w:rsidR="00183E46" w:rsidRDefault="00183E46" w:rsidP="00183E46">
      <w:pPr>
        <w:spacing w:after="120"/>
        <w:rPr>
          <w:rFonts w:ascii="Arial" w:hAnsi="Arial" w:cs="Arial"/>
          <w:sz w:val="24"/>
          <w:szCs w:val="24"/>
        </w:rPr>
      </w:pPr>
      <w:r w:rsidRPr="00183E46">
        <w:rPr>
          <w:rFonts w:ascii="Arial" w:hAnsi="Arial" w:cs="Arial"/>
          <w:sz w:val="24"/>
          <w:szCs w:val="24"/>
        </w:rPr>
        <w:t>Submission Date: 3</w:t>
      </w:r>
      <w:r w:rsidRPr="00183E46">
        <w:rPr>
          <w:rFonts w:ascii="Arial" w:hAnsi="Arial" w:cs="Arial"/>
          <w:sz w:val="24"/>
          <w:szCs w:val="24"/>
        </w:rPr>
        <w:t>1</w:t>
      </w:r>
      <w:r w:rsidRPr="00183E46">
        <w:rPr>
          <w:rFonts w:ascii="Arial" w:hAnsi="Arial" w:cs="Arial"/>
          <w:sz w:val="24"/>
          <w:szCs w:val="24"/>
        </w:rPr>
        <w:t>.07.2026</w:t>
      </w:r>
    </w:p>
    <w:p w14:paraId="2942BAC2" w14:textId="77777777" w:rsidR="00183E46" w:rsidRDefault="00183E46">
      <w:pPr>
        <w:rPr>
          <w:rFonts w:ascii="Arial" w:hAnsi="Arial" w:cs="Arial"/>
          <w:sz w:val="24"/>
          <w:szCs w:val="24"/>
        </w:rPr>
      </w:pPr>
      <w:r>
        <w:rPr>
          <w:rFonts w:ascii="Arial" w:hAnsi="Arial" w:cs="Arial"/>
          <w:sz w:val="24"/>
          <w:szCs w:val="24"/>
        </w:rPr>
        <w:br w:type="page"/>
      </w:r>
    </w:p>
    <w:p w14:paraId="7037C52E" w14:textId="77777777" w:rsidR="00183E46" w:rsidRPr="00183E46" w:rsidRDefault="00183E46" w:rsidP="00183E46">
      <w:pPr>
        <w:spacing w:after="120"/>
        <w:rPr>
          <w:rFonts w:ascii="Arial" w:hAnsi="Arial" w:cs="Arial"/>
        </w:rPr>
      </w:pPr>
    </w:p>
    <w:p w14:paraId="0691E372" w14:textId="4227409F" w:rsidR="00183E46" w:rsidRPr="00183E46" w:rsidRDefault="00183E46" w:rsidP="00183E46">
      <w:pPr>
        <w:rPr>
          <w:rFonts w:ascii="Arial" w:hAnsi="Arial" w:cs="Arial"/>
          <w:color w:val="2E74B5"/>
          <w:sz w:val="32"/>
          <w:szCs w:val="32"/>
        </w:rPr>
      </w:pPr>
    </w:p>
    <w:sdt>
      <w:sdtPr>
        <w:id w:val="-1745711560"/>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6A3A9462" w14:textId="44568131" w:rsidR="00183E46" w:rsidRDefault="00183E46">
          <w:pPr>
            <w:pStyle w:val="TOCHeading"/>
          </w:pPr>
          <w:r>
            <w:t>Table of Contents</w:t>
          </w:r>
        </w:p>
        <w:p w14:paraId="4FD42A72" w14:textId="0E941704" w:rsidR="002824F3" w:rsidRDefault="00183E46">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6388706" w:history="1">
            <w:r w:rsidR="002824F3" w:rsidRPr="00291534">
              <w:rPr>
                <w:rStyle w:val="Hyperlink"/>
                <w:rFonts w:ascii="Arial" w:hAnsi="Arial" w:cs="Arial"/>
                <w:noProof/>
              </w:rPr>
              <w:t>Abstract</w:t>
            </w:r>
            <w:r w:rsidR="002824F3">
              <w:rPr>
                <w:noProof/>
                <w:webHidden/>
              </w:rPr>
              <w:tab/>
            </w:r>
            <w:r w:rsidR="002824F3">
              <w:rPr>
                <w:noProof/>
                <w:webHidden/>
              </w:rPr>
              <w:fldChar w:fldCharType="begin"/>
            </w:r>
            <w:r w:rsidR="002824F3">
              <w:rPr>
                <w:noProof/>
                <w:webHidden/>
              </w:rPr>
              <w:instrText xml:space="preserve"> PAGEREF _Toc236388706 \h </w:instrText>
            </w:r>
            <w:r w:rsidR="002824F3">
              <w:rPr>
                <w:noProof/>
                <w:webHidden/>
              </w:rPr>
            </w:r>
            <w:r w:rsidR="002824F3">
              <w:rPr>
                <w:noProof/>
                <w:webHidden/>
              </w:rPr>
              <w:fldChar w:fldCharType="separate"/>
            </w:r>
            <w:r w:rsidR="002824F3">
              <w:rPr>
                <w:noProof/>
                <w:webHidden/>
              </w:rPr>
              <w:t>3</w:t>
            </w:r>
            <w:r w:rsidR="002824F3">
              <w:rPr>
                <w:noProof/>
                <w:webHidden/>
              </w:rPr>
              <w:fldChar w:fldCharType="end"/>
            </w:r>
          </w:hyperlink>
        </w:p>
        <w:p w14:paraId="196D33CE" w14:textId="5882A7A6" w:rsidR="002824F3" w:rsidRDefault="002824F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388707" w:history="1">
            <w:r w:rsidRPr="0029153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_Toc236388707 \h </w:instrText>
            </w:r>
            <w:r>
              <w:rPr>
                <w:noProof/>
                <w:webHidden/>
              </w:rPr>
            </w:r>
            <w:r>
              <w:rPr>
                <w:noProof/>
                <w:webHidden/>
              </w:rPr>
              <w:fldChar w:fldCharType="separate"/>
            </w:r>
            <w:r>
              <w:rPr>
                <w:noProof/>
                <w:webHidden/>
              </w:rPr>
              <w:t>3</w:t>
            </w:r>
            <w:r>
              <w:rPr>
                <w:noProof/>
                <w:webHidden/>
              </w:rPr>
              <w:fldChar w:fldCharType="end"/>
            </w:r>
          </w:hyperlink>
        </w:p>
        <w:p w14:paraId="0D6917E4" w14:textId="20AA3271" w:rsidR="002824F3" w:rsidRDefault="002824F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388708" w:history="1">
            <w:r w:rsidRPr="00291534">
              <w:rPr>
                <w:rStyle w:val="Hyperlink"/>
                <w:rFonts w:ascii="Arial" w:hAnsi="Arial" w:cs="Arial"/>
                <w:noProof/>
              </w:rPr>
              <w:t>Task 1 Governance of Artificial Intelligence and Machine Learning Systems: Managing Risk, Ethics and Compliance</w:t>
            </w:r>
            <w:r>
              <w:rPr>
                <w:noProof/>
                <w:webHidden/>
              </w:rPr>
              <w:tab/>
            </w:r>
            <w:r>
              <w:rPr>
                <w:noProof/>
                <w:webHidden/>
              </w:rPr>
              <w:fldChar w:fldCharType="begin"/>
            </w:r>
            <w:r>
              <w:rPr>
                <w:noProof/>
                <w:webHidden/>
              </w:rPr>
              <w:instrText xml:space="preserve"> PAGEREF _Toc236388708 \h </w:instrText>
            </w:r>
            <w:r>
              <w:rPr>
                <w:noProof/>
                <w:webHidden/>
              </w:rPr>
            </w:r>
            <w:r>
              <w:rPr>
                <w:noProof/>
                <w:webHidden/>
              </w:rPr>
              <w:fldChar w:fldCharType="separate"/>
            </w:r>
            <w:r>
              <w:rPr>
                <w:noProof/>
                <w:webHidden/>
              </w:rPr>
              <w:t>4</w:t>
            </w:r>
            <w:r>
              <w:rPr>
                <w:noProof/>
                <w:webHidden/>
              </w:rPr>
              <w:fldChar w:fldCharType="end"/>
            </w:r>
          </w:hyperlink>
        </w:p>
        <w:p w14:paraId="13C64632" w14:textId="757C28B6" w:rsidR="002824F3" w:rsidRDefault="002824F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388709" w:history="1">
            <w:r w:rsidRPr="00291534">
              <w:rPr>
                <w:rStyle w:val="Hyperlink"/>
                <w:rFonts w:ascii="Arial" w:hAnsi="Arial" w:cs="Arial"/>
                <w:noProof/>
              </w:rPr>
              <w:t>1.1 The Growing Importance of AI Governance</w:t>
            </w:r>
            <w:r>
              <w:rPr>
                <w:noProof/>
                <w:webHidden/>
              </w:rPr>
              <w:tab/>
            </w:r>
            <w:r>
              <w:rPr>
                <w:noProof/>
                <w:webHidden/>
              </w:rPr>
              <w:fldChar w:fldCharType="begin"/>
            </w:r>
            <w:r>
              <w:rPr>
                <w:noProof/>
                <w:webHidden/>
              </w:rPr>
              <w:instrText xml:space="preserve"> PAGEREF _Toc236388709 \h </w:instrText>
            </w:r>
            <w:r>
              <w:rPr>
                <w:noProof/>
                <w:webHidden/>
              </w:rPr>
            </w:r>
            <w:r>
              <w:rPr>
                <w:noProof/>
                <w:webHidden/>
              </w:rPr>
              <w:fldChar w:fldCharType="separate"/>
            </w:r>
            <w:r>
              <w:rPr>
                <w:noProof/>
                <w:webHidden/>
              </w:rPr>
              <w:t>4</w:t>
            </w:r>
            <w:r>
              <w:rPr>
                <w:noProof/>
                <w:webHidden/>
              </w:rPr>
              <w:fldChar w:fldCharType="end"/>
            </w:r>
          </w:hyperlink>
        </w:p>
        <w:p w14:paraId="387FA0C4" w14:textId="3310B250" w:rsidR="002824F3" w:rsidRDefault="002824F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388710" w:history="1">
            <w:r w:rsidRPr="00291534">
              <w:rPr>
                <w:rStyle w:val="Hyperlink"/>
                <w:rFonts w:ascii="Arial" w:hAnsi="Arial" w:cs="Arial"/>
                <w:noProof/>
              </w:rPr>
              <w:t>Critical Discussion</w:t>
            </w:r>
            <w:r>
              <w:rPr>
                <w:noProof/>
                <w:webHidden/>
              </w:rPr>
              <w:tab/>
            </w:r>
            <w:r>
              <w:rPr>
                <w:noProof/>
                <w:webHidden/>
              </w:rPr>
              <w:fldChar w:fldCharType="begin"/>
            </w:r>
            <w:r>
              <w:rPr>
                <w:noProof/>
                <w:webHidden/>
              </w:rPr>
              <w:instrText xml:space="preserve"> PAGEREF _Toc236388710 \h </w:instrText>
            </w:r>
            <w:r>
              <w:rPr>
                <w:noProof/>
                <w:webHidden/>
              </w:rPr>
            </w:r>
            <w:r>
              <w:rPr>
                <w:noProof/>
                <w:webHidden/>
              </w:rPr>
              <w:fldChar w:fldCharType="separate"/>
            </w:r>
            <w:r>
              <w:rPr>
                <w:noProof/>
                <w:webHidden/>
              </w:rPr>
              <w:t>5</w:t>
            </w:r>
            <w:r>
              <w:rPr>
                <w:noProof/>
                <w:webHidden/>
              </w:rPr>
              <w:fldChar w:fldCharType="end"/>
            </w:r>
          </w:hyperlink>
        </w:p>
        <w:p w14:paraId="13474650" w14:textId="5B6DDBE0" w:rsidR="002824F3" w:rsidRDefault="002824F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388711" w:history="1">
            <w:r w:rsidRPr="00291534">
              <w:rPr>
                <w:rStyle w:val="Hyperlink"/>
                <w:rFonts w:ascii="Arial" w:hAnsi="Arial" w:cs="Arial"/>
                <w:noProof/>
              </w:rPr>
              <w:t>1.2 Key Risks Associated with AI and Machine Learning Systems</w:t>
            </w:r>
            <w:r>
              <w:rPr>
                <w:noProof/>
                <w:webHidden/>
              </w:rPr>
              <w:tab/>
            </w:r>
            <w:r>
              <w:rPr>
                <w:noProof/>
                <w:webHidden/>
              </w:rPr>
              <w:fldChar w:fldCharType="begin"/>
            </w:r>
            <w:r>
              <w:rPr>
                <w:noProof/>
                <w:webHidden/>
              </w:rPr>
              <w:instrText xml:space="preserve"> PAGEREF _Toc236388711 \h </w:instrText>
            </w:r>
            <w:r>
              <w:rPr>
                <w:noProof/>
                <w:webHidden/>
              </w:rPr>
            </w:r>
            <w:r>
              <w:rPr>
                <w:noProof/>
                <w:webHidden/>
              </w:rPr>
              <w:fldChar w:fldCharType="separate"/>
            </w:r>
            <w:r>
              <w:rPr>
                <w:noProof/>
                <w:webHidden/>
              </w:rPr>
              <w:t>5</w:t>
            </w:r>
            <w:r>
              <w:rPr>
                <w:noProof/>
                <w:webHidden/>
              </w:rPr>
              <w:fldChar w:fldCharType="end"/>
            </w:r>
          </w:hyperlink>
        </w:p>
        <w:p w14:paraId="30612D00" w14:textId="28E074DA" w:rsidR="002824F3" w:rsidRDefault="002824F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388712" w:history="1">
            <w:r w:rsidRPr="00291534">
              <w:rPr>
                <w:rStyle w:val="Hyperlink"/>
                <w:rFonts w:ascii="Arial" w:hAnsi="Arial" w:cs="Arial"/>
                <w:noProof/>
              </w:rPr>
              <w:t>1.3 Regulatory and Standards Landscape</w:t>
            </w:r>
            <w:r>
              <w:rPr>
                <w:noProof/>
                <w:webHidden/>
              </w:rPr>
              <w:tab/>
            </w:r>
            <w:r>
              <w:rPr>
                <w:noProof/>
                <w:webHidden/>
              </w:rPr>
              <w:fldChar w:fldCharType="begin"/>
            </w:r>
            <w:r>
              <w:rPr>
                <w:noProof/>
                <w:webHidden/>
              </w:rPr>
              <w:instrText xml:space="preserve"> PAGEREF _Toc236388712 \h </w:instrText>
            </w:r>
            <w:r>
              <w:rPr>
                <w:noProof/>
                <w:webHidden/>
              </w:rPr>
            </w:r>
            <w:r>
              <w:rPr>
                <w:noProof/>
                <w:webHidden/>
              </w:rPr>
              <w:fldChar w:fldCharType="separate"/>
            </w:r>
            <w:r>
              <w:rPr>
                <w:noProof/>
                <w:webHidden/>
              </w:rPr>
              <w:t>6</w:t>
            </w:r>
            <w:r>
              <w:rPr>
                <w:noProof/>
                <w:webHidden/>
              </w:rPr>
              <w:fldChar w:fldCharType="end"/>
            </w:r>
          </w:hyperlink>
        </w:p>
        <w:p w14:paraId="1B082CD9" w14:textId="127D1AC0" w:rsidR="002824F3" w:rsidRDefault="002824F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388713" w:history="1">
            <w:r w:rsidRPr="00291534">
              <w:rPr>
                <w:rStyle w:val="Hyperlink"/>
                <w:rFonts w:ascii="Arial" w:hAnsi="Arial" w:cs="Arial"/>
                <w:noProof/>
              </w:rPr>
              <w:t>1.4 Comparative Evaluation of Governance Approaches</w:t>
            </w:r>
            <w:r>
              <w:rPr>
                <w:noProof/>
                <w:webHidden/>
              </w:rPr>
              <w:tab/>
            </w:r>
            <w:r>
              <w:rPr>
                <w:noProof/>
                <w:webHidden/>
              </w:rPr>
              <w:fldChar w:fldCharType="begin"/>
            </w:r>
            <w:r>
              <w:rPr>
                <w:noProof/>
                <w:webHidden/>
              </w:rPr>
              <w:instrText xml:space="preserve"> PAGEREF _Toc236388713 \h </w:instrText>
            </w:r>
            <w:r>
              <w:rPr>
                <w:noProof/>
                <w:webHidden/>
              </w:rPr>
            </w:r>
            <w:r>
              <w:rPr>
                <w:noProof/>
                <w:webHidden/>
              </w:rPr>
              <w:fldChar w:fldCharType="separate"/>
            </w:r>
            <w:r>
              <w:rPr>
                <w:noProof/>
                <w:webHidden/>
              </w:rPr>
              <w:t>7</w:t>
            </w:r>
            <w:r>
              <w:rPr>
                <w:noProof/>
                <w:webHidden/>
              </w:rPr>
              <w:fldChar w:fldCharType="end"/>
            </w:r>
          </w:hyperlink>
        </w:p>
        <w:p w14:paraId="23AD3E20" w14:textId="6AA9DDA8" w:rsidR="002824F3" w:rsidRDefault="002824F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388714" w:history="1">
            <w:r w:rsidRPr="00291534">
              <w:rPr>
                <w:rStyle w:val="Hyperlink"/>
                <w:rFonts w:ascii="Arial" w:hAnsi="Arial" w:cs="Arial"/>
                <w:noProof/>
              </w:rPr>
              <w:t>Task 2  Applying Governance Principles to the Equifax Data Breach</w:t>
            </w:r>
            <w:r>
              <w:rPr>
                <w:noProof/>
                <w:webHidden/>
              </w:rPr>
              <w:tab/>
            </w:r>
            <w:r>
              <w:rPr>
                <w:noProof/>
                <w:webHidden/>
              </w:rPr>
              <w:fldChar w:fldCharType="begin"/>
            </w:r>
            <w:r>
              <w:rPr>
                <w:noProof/>
                <w:webHidden/>
              </w:rPr>
              <w:instrText xml:space="preserve"> PAGEREF _Toc236388714 \h </w:instrText>
            </w:r>
            <w:r>
              <w:rPr>
                <w:noProof/>
                <w:webHidden/>
              </w:rPr>
            </w:r>
            <w:r>
              <w:rPr>
                <w:noProof/>
                <w:webHidden/>
              </w:rPr>
              <w:fldChar w:fldCharType="separate"/>
            </w:r>
            <w:r>
              <w:rPr>
                <w:noProof/>
                <w:webHidden/>
              </w:rPr>
              <w:t>9</w:t>
            </w:r>
            <w:r>
              <w:rPr>
                <w:noProof/>
                <w:webHidden/>
              </w:rPr>
              <w:fldChar w:fldCharType="end"/>
            </w:r>
          </w:hyperlink>
        </w:p>
        <w:p w14:paraId="48351B6E" w14:textId="2D438C4E" w:rsidR="002824F3" w:rsidRDefault="002824F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388715" w:history="1">
            <w:r w:rsidRPr="00291534">
              <w:rPr>
                <w:rStyle w:val="Hyperlink"/>
                <w:rFonts w:ascii="Arial" w:hAnsi="Arial" w:cs="Arial"/>
                <w:noProof/>
              </w:rPr>
              <w:t>2.1 Organisational Structure and Accountability</w:t>
            </w:r>
            <w:r>
              <w:rPr>
                <w:noProof/>
                <w:webHidden/>
              </w:rPr>
              <w:tab/>
            </w:r>
            <w:r>
              <w:rPr>
                <w:noProof/>
                <w:webHidden/>
              </w:rPr>
              <w:fldChar w:fldCharType="begin"/>
            </w:r>
            <w:r>
              <w:rPr>
                <w:noProof/>
                <w:webHidden/>
              </w:rPr>
              <w:instrText xml:space="preserve"> PAGEREF _Toc236388715 \h </w:instrText>
            </w:r>
            <w:r>
              <w:rPr>
                <w:noProof/>
                <w:webHidden/>
              </w:rPr>
            </w:r>
            <w:r>
              <w:rPr>
                <w:noProof/>
                <w:webHidden/>
              </w:rPr>
              <w:fldChar w:fldCharType="separate"/>
            </w:r>
            <w:r>
              <w:rPr>
                <w:noProof/>
                <w:webHidden/>
              </w:rPr>
              <w:t>9</w:t>
            </w:r>
            <w:r>
              <w:rPr>
                <w:noProof/>
                <w:webHidden/>
              </w:rPr>
              <w:fldChar w:fldCharType="end"/>
            </w:r>
          </w:hyperlink>
        </w:p>
        <w:p w14:paraId="386A2194" w14:textId="73FE3C98" w:rsidR="002824F3" w:rsidRDefault="002824F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388716" w:history="1">
            <w:r w:rsidRPr="00291534">
              <w:rPr>
                <w:rStyle w:val="Hyperlink"/>
                <w:rFonts w:ascii="Arial" w:hAnsi="Arial" w:cs="Arial"/>
                <w:noProof/>
              </w:rPr>
              <w:t>2.2 Policies and Procedures</w:t>
            </w:r>
            <w:r>
              <w:rPr>
                <w:noProof/>
                <w:webHidden/>
              </w:rPr>
              <w:tab/>
            </w:r>
            <w:r>
              <w:rPr>
                <w:noProof/>
                <w:webHidden/>
              </w:rPr>
              <w:fldChar w:fldCharType="begin"/>
            </w:r>
            <w:r>
              <w:rPr>
                <w:noProof/>
                <w:webHidden/>
              </w:rPr>
              <w:instrText xml:space="preserve"> PAGEREF _Toc236388716 \h </w:instrText>
            </w:r>
            <w:r>
              <w:rPr>
                <w:noProof/>
                <w:webHidden/>
              </w:rPr>
            </w:r>
            <w:r>
              <w:rPr>
                <w:noProof/>
                <w:webHidden/>
              </w:rPr>
              <w:fldChar w:fldCharType="separate"/>
            </w:r>
            <w:r>
              <w:rPr>
                <w:noProof/>
                <w:webHidden/>
              </w:rPr>
              <w:t>10</w:t>
            </w:r>
            <w:r>
              <w:rPr>
                <w:noProof/>
                <w:webHidden/>
              </w:rPr>
              <w:fldChar w:fldCharType="end"/>
            </w:r>
          </w:hyperlink>
        </w:p>
        <w:p w14:paraId="5A9703B4" w14:textId="4E72D4B5" w:rsidR="002824F3" w:rsidRDefault="002824F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388717" w:history="1">
            <w:r w:rsidRPr="00291534">
              <w:rPr>
                <w:rStyle w:val="Hyperlink"/>
                <w:rFonts w:ascii="Arial" w:hAnsi="Arial" w:cs="Arial"/>
                <w:noProof/>
              </w:rPr>
              <w:t>2.3 Governance and Strategic Alignment</w:t>
            </w:r>
            <w:r>
              <w:rPr>
                <w:noProof/>
                <w:webHidden/>
              </w:rPr>
              <w:tab/>
            </w:r>
            <w:r>
              <w:rPr>
                <w:noProof/>
                <w:webHidden/>
              </w:rPr>
              <w:fldChar w:fldCharType="begin"/>
            </w:r>
            <w:r>
              <w:rPr>
                <w:noProof/>
                <w:webHidden/>
              </w:rPr>
              <w:instrText xml:space="preserve"> PAGEREF _Toc236388717 \h </w:instrText>
            </w:r>
            <w:r>
              <w:rPr>
                <w:noProof/>
                <w:webHidden/>
              </w:rPr>
            </w:r>
            <w:r>
              <w:rPr>
                <w:noProof/>
                <w:webHidden/>
              </w:rPr>
              <w:fldChar w:fldCharType="separate"/>
            </w:r>
            <w:r>
              <w:rPr>
                <w:noProof/>
                <w:webHidden/>
              </w:rPr>
              <w:t>10</w:t>
            </w:r>
            <w:r>
              <w:rPr>
                <w:noProof/>
                <w:webHidden/>
              </w:rPr>
              <w:fldChar w:fldCharType="end"/>
            </w:r>
          </w:hyperlink>
        </w:p>
        <w:p w14:paraId="6E760188" w14:textId="75E35881" w:rsidR="002824F3" w:rsidRDefault="002824F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388718" w:history="1">
            <w:r w:rsidRPr="00291534">
              <w:rPr>
                <w:rStyle w:val="Hyperlink"/>
                <w:rFonts w:ascii="Arial" w:hAnsi="Arial" w:cs="Arial"/>
                <w:noProof/>
              </w:rPr>
              <w:t>2.4 Risk Management and Assessment</w:t>
            </w:r>
            <w:r>
              <w:rPr>
                <w:noProof/>
                <w:webHidden/>
              </w:rPr>
              <w:tab/>
            </w:r>
            <w:r>
              <w:rPr>
                <w:noProof/>
                <w:webHidden/>
              </w:rPr>
              <w:fldChar w:fldCharType="begin"/>
            </w:r>
            <w:r>
              <w:rPr>
                <w:noProof/>
                <w:webHidden/>
              </w:rPr>
              <w:instrText xml:space="preserve"> PAGEREF _Toc236388718 \h </w:instrText>
            </w:r>
            <w:r>
              <w:rPr>
                <w:noProof/>
                <w:webHidden/>
              </w:rPr>
            </w:r>
            <w:r>
              <w:rPr>
                <w:noProof/>
                <w:webHidden/>
              </w:rPr>
              <w:fldChar w:fldCharType="separate"/>
            </w:r>
            <w:r>
              <w:rPr>
                <w:noProof/>
                <w:webHidden/>
              </w:rPr>
              <w:t>11</w:t>
            </w:r>
            <w:r>
              <w:rPr>
                <w:noProof/>
                <w:webHidden/>
              </w:rPr>
              <w:fldChar w:fldCharType="end"/>
            </w:r>
          </w:hyperlink>
        </w:p>
        <w:p w14:paraId="4025A2E3" w14:textId="4FAB3087" w:rsidR="002824F3" w:rsidRDefault="002824F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388719" w:history="1">
            <w:r w:rsidRPr="00291534">
              <w:rPr>
                <w:rStyle w:val="Hyperlink"/>
                <w:rFonts w:ascii="Arial" w:hAnsi="Arial" w:cs="Arial"/>
                <w:noProof/>
              </w:rPr>
              <w:t>2.5 Compliance, Incident Response and Protection Controls</w:t>
            </w:r>
            <w:r>
              <w:rPr>
                <w:noProof/>
                <w:webHidden/>
              </w:rPr>
              <w:tab/>
            </w:r>
            <w:r>
              <w:rPr>
                <w:noProof/>
                <w:webHidden/>
              </w:rPr>
              <w:fldChar w:fldCharType="begin"/>
            </w:r>
            <w:r>
              <w:rPr>
                <w:noProof/>
                <w:webHidden/>
              </w:rPr>
              <w:instrText xml:space="preserve"> PAGEREF _Toc236388719 \h </w:instrText>
            </w:r>
            <w:r>
              <w:rPr>
                <w:noProof/>
                <w:webHidden/>
              </w:rPr>
            </w:r>
            <w:r>
              <w:rPr>
                <w:noProof/>
                <w:webHidden/>
              </w:rPr>
              <w:fldChar w:fldCharType="separate"/>
            </w:r>
            <w:r>
              <w:rPr>
                <w:noProof/>
                <w:webHidden/>
              </w:rPr>
              <w:t>12</w:t>
            </w:r>
            <w:r>
              <w:rPr>
                <w:noProof/>
                <w:webHidden/>
              </w:rPr>
              <w:fldChar w:fldCharType="end"/>
            </w:r>
          </w:hyperlink>
        </w:p>
        <w:p w14:paraId="7EE6A844" w14:textId="218A66AD" w:rsidR="002824F3" w:rsidRDefault="002824F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388720" w:history="1">
            <w:r w:rsidRPr="0029153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_Toc236388720 \h </w:instrText>
            </w:r>
            <w:r>
              <w:rPr>
                <w:noProof/>
                <w:webHidden/>
              </w:rPr>
            </w:r>
            <w:r>
              <w:rPr>
                <w:noProof/>
                <w:webHidden/>
              </w:rPr>
              <w:fldChar w:fldCharType="separate"/>
            </w:r>
            <w:r>
              <w:rPr>
                <w:noProof/>
                <w:webHidden/>
              </w:rPr>
              <w:t>14</w:t>
            </w:r>
            <w:r>
              <w:rPr>
                <w:noProof/>
                <w:webHidden/>
              </w:rPr>
              <w:fldChar w:fldCharType="end"/>
            </w:r>
          </w:hyperlink>
        </w:p>
        <w:p w14:paraId="71D235AE" w14:textId="5590C182" w:rsidR="002824F3" w:rsidRDefault="002824F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388721" w:history="1">
            <w:r w:rsidRPr="00291534">
              <w:rPr>
                <w:rStyle w:val="Hyperlink"/>
                <w:noProof/>
              </w:rPr>
              <w:t>References</w:t>
            </w:r>
            <w:r>
              <w:rPr>
                <w:noProof/>
                <w:webHidden/>
              </w:rPr>
              <w:tab/>
            </w:r>
            <w:r>
              <w:rPr>
                <w:noProof/>
                <w:webHidden/>
              </w:rPr>
              <w:fldChar w:fldCharType="begin"/>
            </w:r>
            <w:r>
              <w:rPr>
                <w:noProof/>
                <w:webHidden/>
              </w:rPr>
              <w:instrText xml:space="preserve"> PAGEREF _Toc236388721 \h </w:instrText>
            </w:r>
            <w:r>
              <w:rPr>
                <w:noProof/>
                <w:webHidden/>
              </w:rPr>
            </w:r>
            <w:r>
              <w:rPr>
                <w:noProof/>
                <w:webHidden/>
              </w:rPr>
              <w:fldChar w:fldCharType="separate"/>
            </w:r>
            <w:r>
              <w:rPr>
                <w:noProof/>
                <w:webHidden/>
              </w:rPr>
              <w:t>15</w:t>
            </w:r>
            <w:r>
              <w:rPr>
                <w:noProof/>
                <w:webHidden/>
              </w:rPr>
              <w:fldChar w:fldCharType="end"/>
            </w:r>
          </w:hyperlink>
        </w:p>
        <w:p w14:paraId="645B6351" w14:textId="28625384" w:rsidR="00183E46" w:rsidRDefault="00183E46">
          <w:r>
            <w:rPr>
              <w:b/>
              <w:bCs/>
              <w:noProof/>
            </w:rPr>
            <w:fldChar w:fldCharType="end"/>
          </w:r>
        </w:p>
      </w:sdtContent>
    </w:sdt>
    <w:p w14:paraId="23E9938C" w14:textId="1C83C7BA" w:rsidR="00805A67" w:rsidRPr="00183E46" w:rsidRDefault="00000000" w:rsidP="00183E46">
      <w:pPr>
        <w:pStyle w:val="Heading1"/>
        <w:pageBreakBefore/>
        <w:rPr>
          <w:rFonts w:ascii="Arial" w:hAnsi="Arial" w:cs="Arial"/>
        </w:rPr>
      </w:pPr>
      <w:bookmarkStart w:id="0" w:name="_Toc236388706"/>
      <w:r w:rsidRPr="00183E46">
        <w:rPr>
          <w:rFonts w:ascii="Arial" w:hAnsi="Arial" w:cs="Arial"/>
        </w:rPr>
        <w:lastRenderedPageBreak/>
        <w:t>Abstract</w:t>
      </w:r>
      <w:bookmarkEnd w:id="0"/>
    </w:p>
    <w:p w14:paraId="52CE1A21" w14:textId="77777777" w:rsidR="00805A67" w:rsidRPr="00183E46" w:rsidRDefault="00000000">
      <w:pPr>
        <w:spacing w:after="200" w:line="276" w:lineRule="auto"/>
        <w:rPr>
          <w:rFonts w:ascii="Arial" w:hAnsi="Arial" w:cs="Arial"/>
        </w:rPr>
      </w:pPr>
      <w:r w:rsidRPr="00183E46">
        <w:rPr>
          <w:rFonts w:ascii="Arial" w:hAnsi="Arial" w:cs="Arial"/>
        </w:rPr>
        <w:t>Artificial Intelligence (AI) has become an integral part of modern organisations, supporting decision-making, automating business processes and analysing large volumes of information. While these technologies improve efficiency and create new business opportunities, they also introduce security, ethical and regulatory challenges that traditional information security frameworks were not designed to address. AI systems rely heavily on data quality, model integrity and continuous monitoring, making governance an essential component of organisational resilience.</w:t>
      </w:r>
    </w:p>
    <w:p w14:paraId="47CD4DA3" w14:textId="77777777" w:rsidR="00805A67" w:rsidRPr="00183E46" w:rsidRDefault="00000000">
      <w:pPr>
        <w:spacing w:after="200" w:line="276" w:lineRule="auto"/>
        <w:rPr>
          <w:rFonts w:ascii="Arial" w:hAnsi="Arial" w:cs="Arial"/>
        </w:rPr>
      </w:pPr>
      <w:r w:rsidRPr="00183E46">
        <w:rPr>
          <w:rFonts w:ascii="Arial" w:hAnsi="Arial" w:cs="Arial"/>
        </w:rPr>
        <w:t>This report critically examines the governance of Artificial Intelligence and Machine Learning systems by exploring the risks associated with AI models, the regulatory landscape and current governance frameworks. Rather than treating AI security as purely a technical issue, the discussion considers governance as a combination of organisational accountability, risk management and legal compliance. The second part of the report applies these principles to the 2017 Equifax data breach. Although the breach was not caused by AI, the case demonstrates how modern governance practices, intelligent risk management and automated security monitoring could significantly improve an organisation's ability to prevent, detect and respond to cyber threats.</w:t>
      </w:r>
    </w:p>
    <w:p w14:paraId="2A284467" w14:textId="77777777" w:rsidR="00805A67" w:rsidRPr="00183E46" w:rsidRDefault="00000000">
      <w:pPr>
        <w:pStyle w:val="Heading1"/>
        <w:spacing w:before="400" w:after="200"/>
        <w:rPr>
          <w:rFonts w:ascii="Arial" w:hAnsi="Arial" w:cs="Arial"/>
        </w:rPr>
      </w:pPr>
      <w:bookmarkStart w:id="1" w:name="_Toc236388707"/>
      <w:r w:rsidRPr="00183E46">
        <w:rPr>
          <w:rFonts w:ascii="Arial" w:hAnsi="Arial" w:cs="Arial"/>
        </w:rPr>
        <w:t>Introduction</w:t>
      </w:r>
      <w:bookmarkEnd w:id="1"/>
    </w:p>
    <w:p w14:paraId="65D4E341" w14:textId="77777777" w:rsidR="00805A67" w:rsidRPr="00183E46" w:rsidRDefault="00000000">
      <w:pPr>
        <w:spacing w:after="200" w:line="276" w:lineRule="auto"/>
        <w:rPr>
          <w:rFonts w:ascii="Arial" w:hAnsi="Arial" w:cs="Arial"/>
        </w:rPr>
      </w:pPr>
      <w:r w:rsidRPr="00183E46">
        <w:rPr>
          <w:rFonts w:ascii="Arial" w:hAnsi="Arial" w:cs="Arial"/>
        </w:rPr>
        <w:t>Artificial Intelligence is no longer limited to research laboratories or large technology companies. Banks use machine learning to detect fraudulent transactions, hospitals rely on predictive models to assist with diagnosis, retailers analyse customer behaviour to personalise services, and governments increasingly use AI to support public decision-making. As organisations become more dependent on these technologies, the protection of AI systems has become a strategic concern rather than simply a technical responsibility.</w:t>
      </w:r>
    </w:p>
    <w:p w14:paraId="331F2B87" w14:textId="77777777" w:rsidR="00805A67" w:rsidRPr="00183E46" w:rsidRDefault="00000000">
      <w:pPr>
        <w:spacing w:after="200" w:line="276" w:lineRule="auto"/>
        <w:rPr>
          <w:rFonts w:ascii="Arial" w:hAnsi="Arial" w:cs="Arial"/>
        </w:rPr>
      </w:pPr>
      <w:r w:rsidRPr="00183E46">
        <w:rPr>
          <w:rFonts w:ascii="Arial" w:hAnsi="Arial" w:cs="Arial"/>
        </w:rPr>
        <w:t>Unlike conventional software, AI systems introduce additional layers of complexity. Their performance depends not only on secure infrastructure but also on the quality of training data, the integrity of machine learning models and the transparency of automated decision-making. Poor governance can therefore result in security incidents, biased outcomes or regulatory violations even when traditional cybersecurity controls appear effective. Recent developments, including the publication of the European Union AI Act and ISO/IEC 42001, demonstrate that governments and international standards organisations now view AI governance as an essential element of organisational risk management rather than an optional best practice.</w:t>
      </w:r>
    </w:p>
    <w:p w14:paraId="4DD597A2" w14:textId="77777777" w:rsidR="00805A67" w:rsidRPr="00183E46" w:rsidRDefault="00000000">
      <w:pPr>
        <w:spacing w:after="200" w:line="276" w:lineRule="auto"/>
        <w:rPr>
          <w:rFonts w:ascii="Arial" w:hAnsi="Arial" w:cs="Arial"/>
        </w:rPr>
      </w:pPr>
      <w:r w:rsidRPr="00183E46">
        <w:rPr>
          <w:rFonts w:ascii="Arial" w:hAnsi="Arial" w:cs="Arial"/>
        </w:rPr>
        <w:t>At the same time, organisations face increasing pressure to innovate while maintaining public trust. AI technologies often process large volumes of personal information, creating direct links between cybersecurity, privacy and ethical decision-making. A successful governance strategy must therefore balance innovation with accountability, ensuring that AI systems remain secure, reliable and compliant throughout their lifecycle.</w:t>
      </w:r>
    </w:p>
    <w:p w14:paraId="16270788" w14:textId="4693C533" w:rsidR="00183E46" w:rsidRDefault="00000000">
      <w:pPr>
        <w:spacing w:after="200" w:line="276" w:lineRule="auto"/>
        <w:rPr>
          <w:rFonts w:ascii="Arial" w:hAnsi="Arial" w:cs="Arial"/>
        </w:rPr>
      </w:pPr>
      <w:r w:rsidRPr="00183E46">
        <w:rPr>
          <w:rFonts w:ascii="Arial" w:hAnsi="Arial" w:cs="Arial"/>
        </w:rPr>
        <w:t>This report critically evaluates the governance of AI and Machine Learning systems by analysing the risks associated with AI technologies, the regulatory environment and recognised governance frameworks. The discussion then applies these principles to the Equifax data breach, demonstrating how stronger governance, automated security capabilities and structured risk management could reduce organisational exposure to future cyber incidents and strengthen organisational resilience more broadly.</w:t>
      </w:r>
    </w:p>
    <w:p w14:paraId="2E010D02" w14:textId="77777777" w:rsidR="00183E46" w:rsidRDefault="00183E46">
      <w:pPr>
        <w:rPr>
          <w:rFonts w:ascii="Arial" w:hAnsi="Arial" w:cs="Arial"/>
        </w:rPr>
      </w:pPr>
      <w:r>
        <w:rPr>
          <w:rFonts w:ascii="Arial" w:hAnsi="Arial" w:cs="Arial"/>
        </w:rPr>
        <w:br w:type="page"/>
      </w:r>
    </w:p>
    <w:p w14:paraId="1EA1F72A" w14:textId="77777777" w:rsidR="00805A67" w:rsidRPr="00183E46" w:rsidRDefault="00805A67">
      <w:pPr>
        <w:spacing w:after="200" w:line="276" w:lineRule="auto"/>
        <w:rPr>
          <w:rFonts w:ascii="Arial" w:hAnsi="Arial" w:cs="Arial"/>
        </w:rPr>
      </w:pPr>
    </w:p>
    <w:p w14:paraId="7258B289" w14:textId="78788C2F" w:rsidR="00805A67" w:rsidRPr="00183E46" w:rsidRDefault="00000000">
      <w:pPr>
        <w:pStyle w:val="Heading1"/>
        <w:spacing w:before="400" w:after="200"/>
        <w:rPr>
          <w:rFonts w:ascii="Arial" w:hAnsi="Arial" w:cs="Arial"/>
        </w:rPr>
      </w:pPr>
      <w:bookmarkStart w:id="2" w:name="_Toc236388708"/>
      <w:r w:rsidRPr="00183E46">
        <w:rPr>
          <w:rFonts w:ascii="Arial" w:hAnsi="Arial" w:cs="Arial"/>
        </w:rPr>
        <w:t>Task 1 Governance of Artificial Intelligence and Machine Learning Systems: Managing Risk, Ethics and Compliance</w:t>
      </w:r>
      <w:bookmarkEnd w:id="2"/>
    </w:p>
    <w:p w14:paraId="4FC63292" w14:textId="77777777" w:rsidR="00805A67" w:rsidRPr="00183E46" w:rsidRDefault="00000000">
      <w:pPr>
        <w:pStyle w:val="Heading2"/>
        <w:spacing w:before="300" w:after="150"/>
        <w:rPr>
          <w:rFonts w:ascii="Arial" w:hAnsi="Arial" w:cs="Arial"/>
        </w:rPr>
      </w:pPr>
      <w:bookmarkStart w:id="3" w:name="_Toc236388709"/>
      <w:r w:rsidRPr="00183E46">
        <w:rPr>
          <w:rFonts w:ascii="Arial" w:hAnsi="Arial" w:cs="Arial"/>
        </w:rPr>
        <w:t>1.1 The Growing Importance of AI Governance</w:t>
      </w:r>
      <w:bookmarkEnd w:id="3"/>
    </w:p>
    <w:p w14:paraId="018EEE2C" w14:textId="77777777" w:rsidR="00805A67" w:rsidRPr="00183E46" w:rsidRDefault="00000000">
      <w:pPr>
        <w:spacing w:after="200" w:line="276" w:lineRule="auto"/>
        <w:rPr>
          <w:rFonts w:ascii="Arial" w:hAnsi="Arial" w:cs="Arial"/>
        </w:rPr>
      </w:pPr>
      <w:r w:rsidRPr="00183E46">
        <w:rPr>
          <w:rFonts w:ascii="Arial" w:hAnsi="Arial" w:cs="Arial"/>
        </w:rPr>
        <w:t>Artificial Intelligence has developed from an emerging technology into a core component of organisational decision-making. Businesses increasingly depend on AI systems to automate repetitive tasks, detect patterns within large datasets and improve operational efficiency. Financial institutions use machine learning to identify fraudulent transactions, healthcare providers support clinical decision-making through predictive analytics, while retailers employ recommendation algorithms to improve customer experience. As AI becomes integrated into critical business processes, organisations are no longer responsible only for protecting data; they must also ensure that the systems analysing this data operate securely, fairly and consistently.</w:t>
      </w:r>
    </w:p>
    <w:p w14:paraId="6353CD5F" w14:textId="77777777" w:rsidR="00805A67" w:rsidRPr="00183E46" w:rsidRDefault="00000000">
      <w:pPr>
        <w:spacing w:after="200" w:line="276" w:lineRule="auto"/>
        <w:rPr>
          <w:rFonts w:ascii="Arial" w:hAnsi="Arial" w:cs="Arial"/>
        </w:rPr>
      </w:pPr>
      <w:r w:rsidRPr="00183E46">
        <w:rPr>
          <w:rFonts w:ascii="Arial" w:hAnsi="Arial" w:cs="Arial"/>
        </w:rPr>
        <w:t>The rapid adoption of AI has created governance challenges that extend beyond traditional cybersecurity. Conventional information security frameworks primarily focus on protecting confidentiality, integrity and availability of information assets. AI systems, however, introduce additional concerns such as model transparency, explainability, algorithmic bias and the integrity of training datasets. These issues demonstrate that governance of AI requires broader oversight than conventional IT governance.</w:t>
      </w:r>
    </w:p>
    <w:p w14:paraId="20FAA8FB" w14:textId="77777777" w:rsidR="00805A67" w:rsidRPr="00183E46" w:rsidRDefault="00000000">
      <w:pPr>
        <w:spacing w:after="200" w:line="276" w:lineRule="auto"/>
        <w:rPr>
          <w:rFonts w:ascii="Arial" w:hAnsi="Arial" w:cs="Arial"/>
        </w:rPr>
      </w:pPr>
      <w:r w:rsidRPr="00183E46">
        <w:rPr>
          <w:rFonts w:ascii="Arial" w:hAnsi="Arial" w:cs="Arial"/>
        </w:rPr>
        <w:t xml:space="preserve">One of the main reasons AI </w:t>
      </w:r>
      <w:proofErr w:type="gramStart"/>
      <w:r w:rsidRPr="00183E46">
        <w:rPr>
          <w:rFonts w:ascii="Arial" w:hAnsi="Arial" w:cs="Arial"/>
        </w:rPr>
        <w:t>governance</w:t>
      </w:r>
      <w:proofErr w:type="gramEnd"/>
      <w:r w:rsidRPr="00183E46">
        <w:rPr>
          <w:rFonts w:ascii="Arial" w:hAnsi="Arial" w:cs="Arial"/>
        </w:rPr>
        <w:t xml:space="preserve"> has become increasingly important is the growing dependence of business decisions on automated systems. Decisions regarding loan approvals, recruitment processes or medical recommendations may now be partially generated by machine learning models. If these systems produce inaccurate or biased outcomes, the consequences extend beyond technical failure and may affect legal compliance, organisational reputation and public trust. Consequently, governance should ensure not only that AI systems remain operational but also that they continue to produce reliable and accountable outcomes.</w:t>
      </w:r>
    </w:p>
    <w:p w14:paraId="4B31609A" w14:textId="77777777" w:rsidR="00805A67" w:rsidRPr="00183E46" w:rsidRDefault="00000000">
      <w:pPr>
        <w:spacing w:after="200" w:line="276" w:lineRule="auto"/>
        <w:rPr>
          <w:rFonts w:ascii="Arial" w:hAnsi="Arial" w:cs="Arial"/>
        </w:rPr>
      </w:pPr>
      <w:r w:rsidRPr="00183E46">
        <w:rPr>
          <w:rFonts w:ascii="Arial" w:hAnsi="Arial" w:cs="Arial"/>
        </w:rPr>
        <w:t xml:space="preserve">Data quality represents another critical aspect of AI governance. Machine learning models learn patterns from historical data, meaning that inaccurate, incomplete or manipulated datasets directly influence future predictions. Unlike traditional software, where errors are usually caused by programming mistakes, AI systems may gradually become less reliable if the data used for training no longer reflects current business conditions. This phenomenon, often referred to as data drift or model drift, requires organisations to monitor AI systems continuously rather than </w:t>
      </w:r>
      <w:proofErr w:type="gramStart"/>
      <w:r w:rsidRPr="00183E46">
        <w:rPr>
          <w:rFonts w:ascii="Arial" w:hAnsi="Arial" w:cs="Arial"/>
        </w:rPr>
        <w:t>assuming that</w:t>
      </w:r>
      <w:proofErr w:type="gramEnd"/>
      <w:r w:rsidRPr="00183E46">
        <w:rPr>
          <w:rFonts w:ascii="Arial" w:hAnsi="Arial" w:cs="Arial"/>
        </w:rPr>
        <w:t xml:space="preserve"> successful deployment guarantees long-term performance.</w:t>
      </w:r>
    </w:p>
    <w:p w14:paraId="4053CF5C" w14:textId="77777777" w:rsidR="00805A67" w:rsidRPr="00183E46" w:rsidRDefault="00000000">
      <w:pPr>
        <w:spacing w:after="200" w:line="276" w:lineRule="auto"/>
        <w:rPr>
          <w:rFonts w:ascii="Arial" w:hAnsi="Arial" w:cs="Arial"/>
        </w:rPr>
      </w:pPr>
      <w:r w:rsidRPr="00183E46">
        <w:rPr>
          <w:rFonts w:ascii="Arial" w:hAnsi="Arial" w:cs="Arial"/>
        </w:rPr>
        <w:t xml:space="preserve">Governance also involves defining accountability, and accountability is itself a precondition for organisational resilience: an organisation cannot recover quickly from an AI-related failure if no one is clearly responsible for identifying and correcting it. One of the challenges associated with AI adoption is that responsibility often becomes distributed across multiple departments. Data scientists develop models, IT teams manage infrastructure, compliance officers oversee regulatory </w:t>
      </w:r>
      <w:proofErr w:type="gramStart"/>
      <w:r w:rsidRPr="00183E46">
        <w:rPr>
          <w:rFonts w:ascii="Arial" w:hAnsi="Arial" w:cs="Arial"/>
        </w:rPr>
        <w:t>requirements</w:t>
      </w:r>
      <w:proofErr w:type="gramEnd"/>
      <w:r w:rsidRPr="00183E46">
        <w:rPr>
          <w:rFonts w:ascii="Arial" w:hAnsi="Arial" w:cs="Arial"/>
        </w:rPr>
        <w:t xml:space="preserve"> and business managers rely on AI-generated recommendations. Without clearly defined responsibilities, organisations may struggle to determine who is accountable when AI systems produce incorrect or harmful decisions. Effective governance therefore requires clear reporting structures, documented responsibilities and continuous oversight from senior management.</w:t>
      </w:r>
    </w:p>
    <w:p w14:paraId="6A46C6F9" w14:textId="5DD8A030" w:rsidR="00805A67" w:rsidRPr="00183E46" w:rsidRDefault="00000000">
      <w:pPr>
        <w:spacing w:after="200" w:line="276" w:lineRule="auto"/>
        <w:rPr>
          <w:rFonts w:ascii="Arial" w:hAnsi="Arial" w:cs="Arial"/>
        </w:rPr>
      </w:pPr>
      <w:r w:rsidRPr="00183E46">
        <w:rPr>
          <w:rFonts w:ascii="Arial" w:hAnsi="Arial" w:cs="Arial"/>
        </w:rPr>
        <w:t xml:space="preserve">International organisations have recognised the importance of AI governance by introducing dedicated frameworks and standards. The National Institute of Standards and Technology (NIST) published the AI Risk Management Framework (AI RMF 1.0) to help organisations identify, assess </w:t>
      </w:r>
      <w:r w:rsidRPr="00183E46">
        <w:rPr>
          <w:rFonts w:ascii="Arial" w:hAnsi="Arial" w:cs="Arial"/>
        </w:rPr>
        <w:lastRenderedPageBreak/>
        <w:t xml:space="preserve">and manage AI-related risks </w:t>
      </w:r>
      <w:sdt>
        <w:sdtPr>
          <w:rPr>
            <w:rFonts w:ascii="Arial" w:hAnsi="Arial" w:cs="Arial"/>
          </w:rPr>
          <w:id w:val="-784725241"/>
          <w:citation/>
        </w:sdtPr>
        <w:sdtContent>
          <w:r w:rsidR="00183E46">
            <w:rPr>
              <w:rFonts w:ascii="Arial" w:hAnsi="Arial" w:cs="Arial"/>
            </w:rPr>
            <w:fldChar w:fldCharType="begin"/>
          </w:r>
          <w:r w:rsidR="00183E46">
            <w:rPr>
              <w:rFonts w:ascii="Arial" w:hAnsi="Arial" w:cs="Arial"/>
              <w:lang w:val="en-US"/>
            </w:rPr>
            <w:instrText xml:space="preserve"> CITATION ETa23 \l 1033 </w:instrText>
          </w:r>
          <w:r w:rsidR="00183E46">
            <w:rPr>
              <w:rFonts w:ascii="Arial" w:hAnsi="Arial" w:cs="Arial"/>
            </w:rPr>
            <w:fldChar w:fldCharType="separate"/>
          </w:r>
          <w:r w:rsidR="002824F3" w:rsidRPr="002824F3">
            <w:rPr>
              <w:rFonts w:ascii="Arial" w:hAnsi="Arial" w:cs="Arial"/>
              <w:noProof/>
              <w:lang w:val="en-US"/>
            </w:rPr>
            <w:t>[1]</w:t>
          </w:r>
          <w:r w:rsidR="00183E46">
            <w:rPr>
              <w:rFonts w:ascii="Arial" w:hAnsi="Arial" w:cs="Arial"/>
            </w:rPr>
            <w:fldChar w:fldCharType="end"/>
          </w:r>
        </w:sdtContent>
      </w:sdt>
      <w:r w:rsidRPr="00183E46">
        <w:rPr>
          <w:rFonts w:ascii="Arial" w:hAnsi="Arial" w:cs="Arial"/>
        </w:rPr>
        <w:t xml:space="preserve">. Similarly, ISO/IEC 42001, published in 2023, became the first international management system standard specifically designed for Artificial Intelligence </w:t>
      </w:r>
      <w:sdt>
        <w:sdtPr>
          <w:rPr>
            <w:rFonts w:ascii="Arial" w:hAnsi="Arial" w:cs="Arial"/>
          </w:rPr>
          <w:id w:val="-301156746"/>
          <w:citation/>
        </w:sdtPr>
        <w:sdtContent>
          <w:r w:rsidR="00183E46">
            <w:rPr>
              <w:rFonts w:ascii="Arial" w:hAnsi="Arial" w:cs="Arial"/>
            </w:rPr>
            <w:fldChar w:fldCharType="begin"/>
          </w:r>
          <w:r w:rsidR="00183E46">
            <w:rPr>
              <w:rFonts w:ascii="Arial" w:hAnsi="Arial" w:cs="Arial"/>
              <w:lang w:val="en-US"/>
            </w:rPr>
            <w:instrText xml:space="preserve"> CITATION Com23 \l 1033 </w:instrText>
          </w:r>
          <w:r w:rsidR="00183E46">
            <w:rPr>
              <w:rFonts w:ascii="Arial" w:hAnsi="Arial" w:cs="Arial"/>
            </w:rPr>
            <w:fldChar w:fldCharType="separate"/>
          </w:r>
          <w:r w:rsidR="002824F3" w:rsidRPr="002824F3">
            <w:rPr>
              <w:rFonts w:ascii="Arial" w:hAnsi="Arial" w:cs="Arial"/>
              <w:noProof/>
              <w:lang w:val="en-US"/>
            </w:rPr>
            <w:t>[2]</w:t>
          </w:r>
          <w:r w:rsidR="00183E46">
            <w:rPr>
              <w:rFonts w:ascii="Arial" w:hAnsi="Arial" w:cs="Arial"/>
            </w:rPr>
            <w:fldChar w:fldCharType="end"/>
          </w:r>
        </w:sdtContent>
      </w:sdt>
      <w:r w:rsidRPr="00183E46">
        <w:rPr>
          <w:rFonts w:ascii="Arial" w:hAnsi="Arial" w:cs="Arial"/>
        </w:rPr>
        <w:t xml:space="preserve">. Unlike earlier security standards that primarily addressed information assets, ISO/IEC 42001 focuses on establishing governance processes throughout the AI lifecycle, including development, deployment and ongoing monitoring </w:t>
      </w:r>
      <w:sdt>
        <w:sdtPr>
          <w:rPr>
            <w:rFonts w:ascii="Arial" w:hAnsi="Arial" w:cs="Arial"/>
          </w:rPr>
          <w:id w:val="54366636"/>
          <w:citation/>
        </w:sdtPr>
        <w:sdtContent>
          <w:r w:rsidR="00183E46">
            <w:rPr>
              <w:rFonts w:ascii="Arial" w:hAnsi="Arial" w:cs="Arial"/>
            </w:rPr>
            <w:fldChar w:fldCharType="begin"/>
          </w:r>
          <w:r w:rsidR="00183E46">
            <w:rPr>
              <w:rFonts w:ascii="Arial" w:hAnsi="Arial" w:cs="Arial"/>
              <w:lang w:val="en-US"/>
            </w:rPr>
            <w:instrText xml:space="preserve"> CITATION Com23 \l 1033 </w:instrText>
          </w:r>
          <w:r w:rsidR="00183E46">
            <w:rPr>
              <w:rFonts w:ascii="Arial" w:hAnsi="Arial" w:cs="Arial"/>
            </w:rPr>
            <w:fldChar w:fldCharType="separate"/>
          </w:r>
          <w:r w:rsidR="002824F3" w:rsidRPr="002824F3">
            <w:rPr>
              <w:rFonts w:ascii="Arial" w:hAnsi="Arial" w:cs="Arial"/>
              <w:noProof/>
              <w:lang w:val="en-US"/>
            </w:rPr>
            <w:t>[2]</w:t>
          </w:r>
          <w:r w:rsidR="00183E46">
            <w:rPr>
              <w:rFonts w:ascii="Arial" w:hAnsi="Arial" w:cs="Arial"/>
            </w:rPr>
            <w:fldChar w:fldCharType="end"/>
          </w:r>
        </w:sdtContent>
      </w:sdt>
      <w:r w:rsidRPr="00183E46">
        <w:rPr>
          <w:rFonts w:ascii="Arial" w:hAnsi="Arial" w:cs="Arial"/>
        </w:rPr>
        <w:t>.</w:t>
      </w:r>
    </w:p>
    <w:p w14:paraId="384C3465" w14:textId="77777777" w:rsidR="00805A67" w:rsidRPr="00183E46" w:rsidRDefault="00000000">
      <w:pPr>
        <w:spacing w:after="200" w:line="276" w:lineRule="auto"/>
        <w:rPr>
          <w:rFonts w:ascii="Arial" w:hAnsi="Arial" w:cs="Arial"/>
        </w:rPr>
      </w:pPr>
      <w:r w:rsidRPr="00183E46">
        <w:rPr>
          <w:rFonts w:ascii="Arial" w:hAnsi="Arial" w:cs="Arial"/>
        </w:rPr>
        <w:t>Despite these developments, implementing effective AI governance remains challenging. Many organisations adopt AI technologies faster than they develop governance capabilities. This imbalance creates situations where sophisticated machine learning models operate within environments that lack appropriate oversight, risk assessment or compliance monitoring. As a result, organisations may achieve short-term operational benefits while unknowingly increasing long-term legal and security risks.</w:t>
      </w:r>
    </w:p>
    <w:p w14:paraId="5E82DCC8" w14:textId="77777777" w:rsidR="00805A67" w:rsidRPr="00183E46" w:rsidRDefault="00000000">
      <w:pPr>
        <w:spacing w:after="200" w:line="276" w:lineRule="auto"/>
        <w:rPr>
          <w:rFonts w:ascii="Arial" w:hAnsi="Arial" w:cs="Arial"/>
        </w:rPr>
      </w:pPr>
      <w:r w:rsidRPr="00183E46">
        <w:rPr>
          <w:rFonts w:ascii="Arial" w:hAnsi="Arial" w:cs="Arial"/>
        </w:rPr>
        <w:t>Rather than viewing AI governance as a barrier to innovation, organisations should recognise it as a mechanism that enables sustainable adoption of AI technologies. Effective governance increases stakeholder confidence, improves regulatory compliance and supports responsible decision-making. In practice, organisations that invest in governance early are more likely to deploy AI successfully than those that focus solely on technological capability.</w:t>
      </w:r>
    </w:p>
    <w:p w14:paraId="5D5CD98B" w14:textId="77777777" w:rsidR="00805A67" w:rsidRPr="00183E46" w:rsidRDefault="00000000">
      <w:pPr>
        <w:pStyle w:val="Heading2"/>
        <w:spacing w:before="300" w:after="150"/>
        <w:rPr>
          <w:rFonts w:ascii="Arial" w:hAnsi="Arial" w:cs="Arial"/>
        </w:rPr>
      </w:pPr>
      <w:bookmarkStart w:id="4" w:name="_Toc236388710"/>
      <w:r w:rsidRPr="00183E46">
        <w:rPr>
          <w:rFonts w:ascii="Arial" w:hAnsi="Arial" w:cs="Arial"/>
        </w:rPr>
        <w:t>Critical Discussion</w:t>
      </w:r>
      <w:bookmarkEnd w:id="4"/>
    </w:p>
    <w:p w14:paraId="4E12911F" w14:textId="77777777" w:rsidR="00805A67" w:rsidRPr="00183E46" w:rsidRDefault="00000000">
      <w:pPr>
        <w:spacing w:after="200" w:line="276" w:lineRule="auto"/>
        <w:rPr>
          <w:rFonts w:ascii="Arial" w:hAnsi="Arial" w:cs="Arial"/>
        </w:rPr>
      </w:pPr>
      <w:r w:rsidRPr="00183E46">
        <w:rPr>
          <w:rFonts w:ascii="Arial" w:hAnsi="Arial" w:cs="Arial"/>
        </w:rPr>
        <w:t>Although AI governance has become an increasingly common topic in both academic research and industry guidance, there is still no universal agreement regarding the most effective governance model. Large multinational organisations often possess sufficient financial and technical resources to establish dedicated AI governance teams, whereas smaller organisations may struggle to justify the additional cost and complexity. Consequently, governance frameworks should be adapted to organisational size, risk exposure and business objectives rather than being implemented as a standardised checklist. This suggests that successful AI governance depends less on the number of policies adopted and more on how effectively governance principles are integrated into everyday organisational decision-making.</w:t>
      </w:r>
    </w:p>
    <w:p w14:paraId="3956341E" w14:textId="77777777" w:rsidR="00805A67" w:rsidRPr="00183E46" w:rsidRDefault="00000000">
      <w:pPr>
        <w:pStyle w:val="Heading2"/>
        <w:spacing w:before="300" w:after="150"/>
        <w:rPr>
          <w:rFonts w:ascii="Arial" w:hAnsi="Arial" w:cs="Arial"/>
        </w:rPr>
      </w:pPr>
      <w:bookmarkStart w:id="5" w:name="_Toc236388711"/>
      <w:r w:rsidRPr="00183E46">
        <w:rPr>
          <w:rFonts w:ascii="Arial" w:hAnsi="Arial" w:cs="Arial"/>
        </w:rPr>
        <w:t>1.2 Key Risks Associated with AI and Machine Learning Systems</w:t>
      </w:r>
      <w:bookmarkEnd w:id="5"/>
    </w:p>
    <w:p w14:paraId="3B1A4548" w14:textId="7945BE25" w:rsidR="00805A67" w:rsidRPr="00183E46" w:rsidRDefault="00000000">
      <w:pPr>
        <w:spacing w:after="200" w:line="276" w:lineRule="auto"/>
        <w:rPr>
          <w:rFonts w:ascii="Arial" w:hAnsi="Arial" w:cs="Arial"/>
        </w:rPr>
      </w:pPr>
      <w:r w:rsidRPr="00183E46">
        <w:rPr>
          <w:rFonts w:ascii="Arial" w:hAnsi="Arial" w:cs="Arial"/>
        </w:rPr>
        <w:t xml:space="preserve">The risks introduced by Artificial Intelligence differ significantly from those addressed by conventional information security </w:t>
      </w:r>
      <w:proofErr w:type="gramStart"/>
      <w:r w:rsidRPr="00183E46">
        <w:rPr>
          <w:rFonts w:ascii="Arial" w:hAnsi="Arial" w:cs="Arial"/>
        </w:rPr>
        <w:t>practice, and</w:t>
      </w:r>
      <w:proofErr w:type="gramEnd"/>
      <w:r w:rsidRPr="00183E46">
        <w:rPr>
          <w:rFonts w:ascii="Arial" w:hAnsi="Arial" w:cs="Arial"/>
        </w:rPr>
        <w:t xml:space="preserve"> understanding them is essential before any governance structure can be meaningfully designed. One of the most frequently cited risks is data poisoning, in which an attacker deliberately manipulates the training data used to build a model, causing it to learn incorrect or malicious patterns </w:t>
      </w:r>
      <w:sdt>
        <w:sdtPr>
          <w:rPr>
            <w:rFonts w:ascii="Arial" w:hAnsi="Arial" w:cs="Arial"/>
          </w:rPr>
          <w:id w:val="-91557736"/>
          <w:citation/>
        </w:sdtPr>
        <w:sdtContent>
          <w:r w:rsidR="00183E46">
            <w:rPr>
              <w:rFonts w:ascii="Arial" w:hAnsi="Arial" w:cs="Arial"/>
            </w:rPr>
            <w:fldChar w:fldCharType="begin"/>
          </w:r>
          <w:r w:rsidR="00183E46">
            <w:rPr>
              <w:rFonts w:ascii="Arial" w:hAnsi="Arial" w:cs="Arial"/>
              <w:lang w:val="en-US"/>
            </w:rPr>
            <w:instrText xml:space="preserve"> CITATION ZTi22 \l 1033 </w:instrText>
          </w:r>
          <w:r w:rsidR="00183E46">
            <w:rPr>
              <w:rFonts w:ascii="Arial" w:hAnsi="Arial" w:cs="Arial"/>
            </w:rPr>
            <w:fldChar w:fldCharType="separate"/>
          </w:r>
          <w:r w:rsidR="002824F3" w:rsidRPr="002824F3">
            <w:rPr>
              <w:rFonts w:ascii="Arial" w:hAnsi="Arial" w:cs="Arial"/>
              <w:noProof/>
              <w:lang w:val="en-US"/>
            </w:rPr>
            <w:t>[3]</w:t>
          </w:r>
          <w:r w:rsidR="00183E46">
            <w:rPr>
              <w:rFonts w:ascii="Arial" w:hAnsi="Arial" w:cs="Arial"/>
            </w:rPr>
            <w:fldChar w:fldCharType="end"/>
          </w:r>
        </w:sdtContent>
      </w:sdt>
      <w:r w:rsidRPr="00183E46">
        <w:rPr>
          <w:rFonts w:ascii="Arial" w:hAnsi="Arial" w:cs="Arial"/>
        </w:rPr>
        <w:t xml:space="preserve">. Because machine learning systems derive their behaviour from data rather than explicit programming logic, a compromised dataset can produce flawed outputs long after the original manipulation has occurred, making detection considerably more difficult than identifying a conventional software vulnerability </w:t>
      </w:r>
      <w:sdt>
        <w:sdtPr>
          <w:rPr>
            <w:rFonts w:ascii="Arial" w:hAnsi="Arial" w:cs="Arial"/>
          </w:rPr>
          <w:id w:val="-547694778"/>
          <w:citation/>
        </w:sdtPr>
        <w:sdtContent>
          <w:r w:rsidR="00183E46">
            <w:rPr>
              <w:rFonts w:ascii="Arial" w:hAnsi="Arial" w:cs="Arial"/>
            </w:rPr>
            <w:fldChar w:fldCharType="begin"/>
          </w:r>
          <w:r w:rsidR="00183E46">
            <w:rPr>
              <w:rFonts w:ascii="Arial" w:hAnsi="Arial" w:cs="Arial"/>
              <w:lang w:val="en-US"/>
            </w:rPr>
            <w:instrText xml:space="preserve"> CITATION ZTi22 \l 1033 </w:instrText>
          </w:r>
          <w:r w:rsidR="00183E46">
            <w:rPr>
              <w:rFonts w:ascii="Arial" w:hAnsi="Arial" w:cs="Arial"/>
            </w:rPr>
            <w:fldChar w:fldCharType="separate"/>
          </w:r>
          <w:r w:rsidR="002824F3" w:rsidRPr="002824F3">
            <w:rPr>
              <w:rFonts w:ascii="Arial" w:hAnsi="Arial" w:cs="Arial"/>
              <w:noProof/>
              <w:lang w:val="en-US"/>
            </w:rPr>
            <w:t>[3]</w:t>
          </w:r>
          <w:r w:rsidR="00183E46">
            <w:rPr>
              <w:rFonts w:ascii="Arial" w:hAnsi="Arial" w:cs="Arial"/>
            </w:rPr>
            <w:fldChar w:fldCharType="end"/>
          </w:r>
        </w:sdtContent>
      </w:sdt>
      <w:r w:rsidRPr="00183E46">
        <w:rPr>
          <w:rFonts w:ascii="Arial" w:hAnsi="Arial" w:cs="Arial"/>
        </w:rPr>
        <w:t>.</w:t>
      </w:r>
    </w:p>
    <w:p w14:paraId="79E0A196" w14:textId="34545A33" w:rsidR="00805A67" w:rsidRPr="00183E46" w:rsidRDefault="00000000">
      <w:pPr>
        <w:spacing w:after="200" w:line="276" w:lineRule="auto"/>
        <w:rPr>
          <w:rFonts w:ascii="Arial" w:hAnsi="Arial" w:cs="Arial"/>
        </w:rPr>
      </w:pPr>
      <w:r w:rsidRPr="00183E46">
        <w:rPr>
          <w:rFonts w:ascii="Arial" w:hAnsi="Arial" w:cs="Arial"/>
        </w:rPr>
        <w:t xml:space="preserve">A second and closely related concern is model drift, referred to briefly in Section 1.1. As real-world conditions change, a model trained on historical data may gradually lose accuracy, producing predictions that no longer reflect current circumstances </w:t>
      </w:r>
      <w:sdt>
        <w:sdtPr>
          <w:rPr>
            <w:rFonts w:ascii="Arial" w:hAnsi="Arial" w:cs="Arial"/>
          </w:rPr>
          <w:id w:val="734280727"/>
          <w:citation/>
        </w:sdtPr>
        <w:sdtContent>
          <w:r w:rsidR="00183E46">
            <w:rPr>
              <w:rFonts w:ascii="Arial" w:hAnsi="Arial" w:cs="Arial"/>
            </w:rPr>
            <w:fldChar w:fldCharType="begin"/>
          </w:r>
          <w:r w:rsidR="00183E46">
            <w:rPr>
              <w:rFonts w:ascii="Arial" w:hAnsi="Arial" w:cs="Arial"/>
              <w:lang w:val="en-US"/>
            </w:rPr>
            <w:instrText xml:space="preserve"> CITATION JGa \l 1033 </w:instrText>
          </w:r>
          <w:r w:rsidR="00183E46">
            <w:rPr>
              <w:rFonts w:ascii="Arial" w:hAnsi="Arial" w:cs="Arial"/>
            </w:rPr>
            <w:fldChar w:fldCharType="separate"/>
          </w:r>
          <w:r w:rsidR="002824F3" w:rsidRPr="002824F3">
            <w:rPr>
              <w:rFonts w:ascii="Arial" w:hAnsi="Arial" w:cs="Arial"/>
              <w:noProof/>
              <w:lang w:val="en-US"/>
            </w:rPr>
            <w:t>[4]</w:t>
          </w:r>
          <w:r w:rsidR="00183E46">
            <w:rPr>
              <w:rFonts w:ascii="Arial" w:hAnsi="Arial" w:cs="Arial"/>
            </w:rPr>
            <w:fldChar w:fldCharType="end"/>
          </w:r>
        </w:sdtContent>
      </w:sdt>
      <w:r w:rsidRPr="00183E46">
        <w:rPr>
          <w:rFonts w:ascii="Arial" w:hAnsi="Arial" w:cs="Arial"/>
        </w:rPr>
        <w:t xml:space="preserve">. Unlike a system failure, drift does not generate an obvious error message; it manifests as a slow decline in reliability that may go unnoticed unless organisations implement continuous performance monitoring </w:t>
      </w:r>
      <w:sdt>
        <w:sdtPr>
          <w:rPr>
            <w:rFonts w:ascii="Arial" w:hAnsi="Arial" w:cs="Arial"/>
          </w:rPr>
          <w:id w:val="1393000464"/>
          <w:citation/>
        </w:sdtPr>
        <w:sdtContent>
          <w:r w:rsidR="00183E46">
            <w:rPr>
              <w:rFonts w:ascii="Arial" w:hAnsi="Arial" w:cs="Arial"/>
            </w:rPr>
            <w:fldChar w:fldCharType="begin"/>
          </w:r>
          <w:r w:rsidR="00183E46">
            <w:rPr>
              <w:rFonts w:ascii="Arial" w:hAnsi="Arial" w:cs="Arial"/>
              <w:lang w:val="en-US"/>
            </w:rPr>
            <w:instrText xml:space="preserve"> CITATION JGa \l 1033 </w:instrText>
          </w:r>
          <w:r w:rsidR="00183E46">
            <w:rPr>
              <w:rFonts w:ascii="Arial" w:hAnsi="Arial" w:cs="Arial"/>
            </w:rPr>
            <w:fldChar w:fldCharType="separate"/>
          </w:r>
          <w:r w:rsidR="002824F3" w:rsidRPr="002824F3">
            <w:rPr>
              <w:rFonts w:ascii="Arial" w:hAnsi="Arial" w:cs="Arial"/>
              <w:noProof/>
              <w:lang w:val="en-US"/>
            </w:rPr>
            <w:t>[4]</w:t>
          </w:r>
          <w:r w:rsidR="00183E46">
            <w:rPr>
              <w:rFonts w:ascii="Arial" w:hAnsi="Arial" w:cs="Arial"/>
            </w:rPr>
            <w:fldChar w:fldCharType="end"/>
          </w:r>
        </w:sdtContent>
      </w:sdt>
      <w:r w:rsidRPr="00183E46">
        <w:rPr>
          <w:rFonts w:ascii="Arial" w:hAnsi="Arial" w:cs="Arial"/>
        </w:rPr>
        <w:t>. This creates a governance challenge, since responsibility for detecting drift often falls between technical teams who maintain infrastructure and business units who consume the model's outputs.</w:t>
      </w:r>
    </w:p>
    <w:p w14:paraId="39A3EDCE" w14:textId="256098C1" w:rsidR="00805A67" w:rsidRPr="00183E46" w:rsidRDefault="00000000">
      <w:pPr>
        <w:spacing w:after="200" w:line="276" w:lineRule="auto"/>
        <w:rPr>
          <w:rFonts w:ascii="Arial" w:hAnsi="Arial" w:cs="Arial"/>
        </w:rPr>
      </w:pPr>
      <w:r w:rsidRPr="00183E46">
        <w:rPr>
          <w:rFonts w:ascii="Arial" w:hAnsi="Arial" w:cs="Arial"/>
        </w:rPr>
        <w:t>Algorithmic bias represents a further significant risk, particularly where AI systems inform decisions affecting individuals, such as credit scoring, recruitment or medical triage. Empirical audits of commercial systems have demonstrated this concretely: an evaluation of commercial gender-classification services found substantially higher error rates for darker-skinned women than for lighter-</w:t>
      </w:r>
      <w:r w:rsidRPr="00183E46">
        <w:rPr>
          <w:rFonts w:ascii="Arial" w:hAnsi="Arial" w:cs="Arial"/>
        </w:rPr>
        <w:lastRenderedPageBreak/>
        <w:t xml:space="preserve">skinned men, a disparity traced to unrepresentative training data </w:t>
      </w:r>
      <w:sdt>
        <w:sdtPr>
          <w:rPr>
            <w:rFonts w:ascii="Arial" w:hAnsi="Arial" w:cs="Arial"/>
          </w:rPr>
          <w:id w:val="-1494031471"/>
          <w:citation/>
        </w:sdtPr>
        <w:sdtContent>
          <w:r w:rsidR="00183E46">
            <w:rPr>
              <w:rFonts w:ascii="Arial" w:hAnsi="Arial" w:cs="Arial"/>
            </w:rPr>
            <w:fldChar w:fldCharType="begin"/>
          </w:r>
          <w:r w:rsidR="00183E46">
            <w:rPr>
              <w:rFonts w:ascii="Arial" w:hAnsi="Arial" w:cs="Arial"/>
              <w:lang w:val="en-US"/>
            </w:rPr>
            <w:instrText xml:space="preserve"> CITATION JBu \l 1033 </w:instrText>
          </w:r>
          <w:r w:rsidR="00183E46">
            <w:rPr>
              <w:rFonts w:ascii="Arial" w:hAnsi="Arial" w:cs="Arial"/>
            </w:rPr>
            <w:fldChar w:fldCharType="separate"/>
          </w:r>
          <w:r w:rsidR="002824F3" w:rsidRPr="002824F3">
            <w:rPr>
              <w:rFonts w:ascii="Arial" w:hAnsi="Arial" w:cs="Arial"/>
              <w:noProof/>
              <w:lang w:val="en-US"/>
            </w:rPr>
            <w:t>[5]</w:t>
          </w:r>
          <w:r w:rsidR="00183E46">
            <w:rPr>
              <w:rFonts w:ascii="Arial" w:hAnsi="Arial" w:cs="Arial"/>
            </w:rPr>
            <w:fldChar w:fldCharType="end"/>
          </w:r>
        </w:sdtContent>
      </w:sdt>
      <w:r w:rsidRPr="00183E46">
        <w:rPr>
          <w:rFonts w:ascii="Arial" w:hAnsi="Arial" w:cs="Arial"/>
        </w:rPr>
        <w:t>. Bias may originate from unrepresentative training data, from historical inequalities embedded within that data, or from proxy variables that correlate with protected characteristics without being explicitly labelled as such. What makes this risk distinct from conventional security threats is that a biased model can operate exactly as designed while still producing discriminatory or unlawful outcomes, meaning that technical correctness does not guarantee ethical or legal compliance.</w:t>
      </w:r>
    </w:p>
    <w:p w14:paraId="60E6CA7B" w14:textId="588692FF" w:rsidR="00805A67" w:rsidRPr="00183E46" w:rsidRDefault="00000000">
      <w:pPr>
        <w:spacing w:after="200" w:line="276" w:lineRule="auto"/>
        <w:rPr>
          <w:rFonts w:ascii="Arial" w:hAnsi="Arial" w:cs="Arial"/>
        </w:rPr>
      </w:pPr>
      <w:r w:rsidRPr="00183E46">
        <w:rPr>
          <w:rFonts w:ascii="Arial" w:hAnsi="Arial" w:cs="Arial"/>
        </w:rPr>
        <w:t xml:space="preserve">Closely connected to bias is the issue of explainability. Many high-performing machine learning models, particularly deep learning architectures, function as effective “black boxes”: they produce accurate outputs, yet the internal reasoning behind a specific decision is difficult to interpret even for the engineers who built the system </w:t>
      </w:r>
      <w:sdt>
        <w:sdtPr>
          <w:rPr>
            <w:rFonts w:ascii="Arial" w:hAnsi="Arial" w:cs="Arial"/>
          </w:rPr>
          <w:id w:val="-31806640"/>
          <w:citation/>
        </w:sdtPr>
        <w:sdtContent>
          <w:r w:rsidR="00183E46">
            <w:rPr>
              <w:rFonts w:ascii="Arial" w:hAnsi="Arial" w:cs="Arial"/>
            </w:rPr>
            <w:fldChar w:fldCharType="begin"/>
          </w:r>
          <w:r w:rsidR="00183E46">
            <w:rPr>
              <w:rFonts w:ascii="Arial" w:hAnsi="Arial" w:cs="Arial"/>
              <w:lang w:val="en-US"/>
            </w:rPr>
            <w:instrText xml:space="preserve"> CITATION AAd \l 1033 </w:instrText>
          </w:r>
          <w:r w:rsidR="00183E46">
            <w:rPr>
              <w:rFonts w:ascii="Arial" w:hAnsi="Arial" w:cs="Arial"/>
            </w:rPr>
            <w:fldChar w:fldCharType="separate"/>
          </w:r>
          <w:r w:rsidR="002824F3" w:rsidRPr="002824F3">
            <w:rPr>
              <w:rFonts w:ascii="Arial" w:hAnsi="Arial" w:cs="Arial"/>
              <w:noProof/>
              <w:lang w:val="en-US"/>
            </w:rPr>
            <w:t>[6]</w:t>
          </w:r>
          <w:r w:rsidR="00183E46">
            <w:rPr>
              <w:rFonts w:ascii="Arial" w:hAnsi="Arial" w:cs="Arial"/>
            </w:rPr>
            <w:fldChar w:fldCharType="end"/>
          </w:r>
        </w:sdtContent>
      </w:sdt>
      <w:r w:rsidRPr="00183E46">
        <w:rPr>
          <w:rFonts w:ascii="Arial" w:hAnsi="Arial" w:cs="Arial"/>
        </w:rPr>
        <w:t xml:space="preserve">. This lack of transparency complicates accountability, since organisations may struggle to justify an automated decision to a regulator, a court, or an affected individual. The emergence of Explainable AI (XAI) techniques reflects an attempt to address this gap, though such tools remain an evolving area of practice rather than a settled solution </w:t>
      </w:r>
      <w:sdt>
        <w:sdtPr>
          <w:rPr>
            <w:rFonts w:ascii="Arial" w:hAnsi="Arial" w:cs="Arial"/>
          </w:rPr>
          <w:id w:val="841740068"/>
          <w:citation/>
        </w:sdtPr>
        <w:sdtContent>
          <w:r w:rsidR="00183E46">
            <w:rPr>
              <w:rFonts w:ascii="Arial" w:hAnsi="Arial" w:cs="Arial"/>
            </w:rPr>
            <w:fldChar w:fldCharType="begin"/>
          </w:r>
          <w:r w:rsidR="00183E46">
            <w:rPr>
              <w:rFonts w:ascii="Arial" w:hAnsi="Arial" w:cs="Arial"/>
              <w:lang w:val="en-US"/>
            </w:rPr>
            <w:instrText xml:space="preserve"> CITATION AAd \l 1033 </w:instrText>
          </w:r>
          <w:r w:rsidR="00183E46">
            <w:rPr>
              <w:rFonts w:ascii="Arial" w:hAnsi="Arial" w:cs="Arial"/>
            </w:rPr>
            <w:fldChar w:fldCharType="separate"/>
          </w:r>
          <w:r w:rsidR="002824F3" w:rsidRPr="002824F3">
            <w:rPr>
              <w:rFonts w:ascii="Arial" w:hAnsi="Arial" w:cs="Arial"/>
              <w:noProof/>
              <w:lang w:val="en-US"/>
            </w:rPr>
            <w:t>[6]</w:t>
          </w:r>
          <w:r w:rsidR="00183E46">
            <w:rPr>
              <w:rFonts w:ascii="Arial" w:hAnsi="Arial" w:cs="Arial"/>
            </w:rPr>
            <w:fldChar w:fldCharType="end"/>
          </w:r>
        </w:sdtContent>
      </w:sdt>
      <w:r w:rsidRPr="00183E46">
        <w:rPr>
          <w:rFonts w:ascii="Arial" w:hAnsi="Arial" w:cs="Arial"/>
        </w:rPr>
        <w:t>.</w:t>
      </w:r>
    </w:p>
    <w:p w14:paraId="10F2B7F0" w14:textId="5069767B" w:rsidR="00805A67" w:rsidRPr="00183E46" w:rsidRDefault="00000000">
      <w:pPr>
        <w:spacing w:after="200" w:line="276" w:lineRule="auto"/>
        <w:rPr>
          <w:rFonts w:ascii="Arial" w:hAnsi="Arial" w:cs="Arial"/>
        </w:rPr>
      </w:pPr>
      <w:r w:rsidRPr="00183E46">
        <w:rPr>
          <w:rFonts w:ascii="Arial" w:hAnsi="Arial" w:cs="Arial"/>
        </w:rPr>
        <w:t xml:space="preserve">Finally, organisations face growing supply chain risk associated with AI. Many businesses do not build models from first principles but instead rely on pre-trained models, third-party APIs or datasets sourced externally, and outsourced training pipelines have themselves been identified as a distinct vector for poisoning attacks </w:t>
      </w:r>
      <w:sdt>
        <w:sdtPr>
          <w:rPr>
            <w:rFonts w:ascii="Arial" w:hAnsi="Arial" w:cs="Arial"/>
          </w:rPr>
          <w:id w:val="59991439"/>
          <w:citation/>
        </w:sdtPr>
        <w:sdtContent>
          <w:r w:rsidR="00183E46">
            <w:rPr>
              <w:rFonts w:ascii="Arial" w:hAnsi="Arial" w:cs="Arial"/>
            </w:rPr>
            <w:fldChar w:fldCharType="begin"/>
          </w:r>
          <w:r w:rsidR="00183E46">
            <w:rPr>
              <w:rFonts w:ascii="Arial" w:hAnsi="Arial" w:cs="Arial"/>
              <w:lang w:val="en-US"/>
            </w:rPr>
            <w:instrText xml:space="preserve"> CITATION ZTi22 \l 1033 </w:instrText>
          </w:r>
          <w:r w:rsidR="00183E46">
            <w:rPr>
              <w:rFonts w:ascii="Arial" w:hAnsi="Arial" w:cs="Arial"/>
            </w:rPr>
            <w:fldChar w:fldCharType="separate"/>
          </w:r>
          <w:r w:rsidR="002824F3" w:rsidRPr="002824F3">
            <w:rPr>
              <w:rFonts w:ascii="Arial" w:hAnsi="Arial" w:cs="Arial"/>
              <w:noProof/>
              <w:lang w:val="en-US"/>
            </w:rPr>
            <w:t>[3]</w:t>
          </w:r>
          <w:r w:rsidR="00183E46">
            <w:rPr>
              <w:rFonts w:ascii="Arial" w:hAnsi="Arial" w:cs="Arial"/>
            </w:rPr>
            <w:fldChar w:fldCharType="end"/>
          </w:r>
        </w:sdtContent>
      </w:sdt>
      <w:r w:rsidRPr="00183E46">
        <w:rPr>
          <w:rFonts w:ascii="Arial" w:hAnsi="Arial" w:cs="Arial"/>
        </w:rPr>
        <w:t>. This dependency mirrors the software supply chain risks already familiar from conventional cybersecurity, but with the added complexity that the internal logic of a third-party model is rarely fully visible to the organisation deploying it. A vulnerability, bias, or poisoning event introduced upstream can therefore propagate into an organisation's systems without any internal fault in the deployment process itself.</w:t>
      </w:r>
    </w:p>
    <w:p w14:paraId="4A873134" w14:textId="77777777" w:rsidR="00805A67" w:rsidRPr="00183E46" w:rsidRDefault="00000000">
      <w:pPr>
        <w:spacing w:after="200" w:line="276" w:lineRule="auto"/>
        <w:rPr>
          <w:rFonts w:ascii="Arial" w:hAnsi="Arial" w:cs="Arial"/>
        </w:rPr>
      </w:pPr>
      <w:r w:rsidRPr="00183E46">
        <w:rPr>
          <w:rFonts w:ascii="Arial" w:hAnsi="Arial" w:cs="Arial"/>
        </w:rPr>
        <w:t>Taken together, these risks demonstrate that AI governance cannot be reduced to a single control or technical safeguard. Data integrity, model performance, fairness, transparency and third-party dependency each require distinct forms of oversight, reinforcing the argument that governance must be treated as a continuous organisational process rather than a one-off compliance exercise.</w:t>
      </w:r>
    </w:p>
    <w:p w14:paraId="3F776884" w14:textId="77777777" w:rsidR="00805A67" w:rsidRPr="00183E46" w:rsidRDefault="00000000">
      <w:pPr>
        <w:pStyle w:val="Heading2"/>
        <w:spacing w:before="300" w:after="150"/>
        <w:rPr>
          <w:rFonts w:ascii="Arial" w:hAnsi="Arial" w:cs="Arial"/>
        </w:rPr>
      </w:pPr>
      <w:bookmarkStart w:id="6" w:name="_Toc236388712"/>
      <w:r w:rsidRPr="00183E46">
        <w:rPr>
          <w:rFonts w:ascii="Arial" w:hAnsi="Arial" w:cs="Arial"/>
        </w:rPr>
        <w:t>1.3 Regulatory and Standards Landscape</w:t>
      </w:r>
      <w:bookmarkEnd w:id="6"/>
    </w:p>
    <w:p w14:paraId="62F15483" w14:textId="102F1B8B" w:rsidR="00805A67" w:rsidRPr="00183E46" w:rsidRDefault="00000000">
      <w:pPr>
        <w:spacing w:after="200" w:line="276" w:lineRule="auto"/>
        <w:rPr>
          <w:rFonts w:ascii="Arial" w:hAnsi="Arial" w:cs="Arial"/>
        </w:rPr>
      </w:pPr>
      <w:r w:rsidRPr="00183E46">
        <w:rPr>
          <w:rFonts w:ascii="Arial" w:hAnsi="Arial" w:cs="Arial"/>
        </w:rPr>
        <w:t xml:space="preserve">The regulatory response to these risks has developed rapidly, though it remains fragmented across jurisdictions. The European Union AI Act, formally Regulation (EU) 2024/1689, entered into force in 2024 and represents the most comprehensive legislative attempt to regulate AI to date </w:t>
      </w:r>
      <w:sdt>
        <w:sdtPr>
          <w:rPr>
            <w:rFonts w:ascii="Arial" w:hAnsi="Arial" w:cs="Arial"/>
          </w:rPr>
          <w:id w:val="-246261943"/>
          <w:citation/>
        </w:sdtPr>
        <w:sdtContent>
          <w:r w:rsidR="00183E46">
            <w:rPr>
              <w:rFonts w:ascii="Arial" w:hAnsi="Arial" w:cs="Arial"/>
            </w:rPr>
            <w:fldChar w:fldCharType="begin"/>
          </w:r>
          <w:r w:rsidR="00183E46">
            <w:rPr>
              <w:rFonts w:ascii="Arial" w:hAnsi="Arial" w:cs="Arial"/>
              <w:lang w:val="en-US"/>
            </w:rPr>
            <w:instrText xml:space="preserve"> CITATION Art24 \l 1033 </w:instrText>
          </w:r>
          <w:r w:rsidR="00183E46">
            <w:rPr>
              <w:rFonts w:ascii="Arial" w:hAnsi="Arial" w:cs="Arial"/>
            </w:rPr>
            <w:fldChar w:fldCharType="separate"/>
          </w:r>
          <w:r w:rsidR="002824F3" w:rsidRPr="002824F3">
            <w:rPr>
              <w:rFonts w:ascii="Arial" w:hAnsi="Arial" w:cs="Arial"/>
              <w:noProof/>
              <w:lang w:val="en-US"/>
            </w:rPr>
            <w:t>[7]</w:t>
          </w:r>
          <w:r w:rsidR="00183E46">
            <w:rPr>
              <w:rFonts w:ascii="Arial" w:hAnsi="Arial" w:cs="Arial"/>
            </w:rPr>
            <w:fldChar w:fldCharType="end"/>
          </w:r>
        </w:sdtContent>
      </w:sdt>
      <w:r w:rsidRPr="00183E46">
        <w:rPr>
          <w:rFonts w:ascii="Arial" w:hAnsi="Arial" w:cs="Arial"/>
        </w:rPr>
        <w:t xml:space="preserve">. It adopts a risk-based classification model, categorising AI systems as unacceptable, high, limited or minimal risk, with obligations scaling accordingly </w:t>
      </w:r>
      <w:sdt>
        <w:sdtPr>
          <w:rPr>
            <w:rFonts w:ascii="Arial" w:hAnsi="Arial" w:cs="Arial"/>
          </w:rPr>
          <w:id w:val="135379973"/>
          <w:citation/>
        </w:sdtPr>
        <w:sdtContent>
          <w:r w:rsidR="00183E46">
            <w:rPr>
              <w:rFonts w:ascii="Arial" w:hAnsi="Arial" w:cs="Arial"/>
            </w:rPr>
            <w:fldChar w:fldCharType="begin"/>
          </w:r>
          <w:r w:rsidR="00183E46">
            <w:rPr>
              <w:rFonts w:ascii="Arial" w:hAnsi="Arial" w:cs="Arial"/>
              <w:lang w:val="en-US"/>
            </w:rPr>
            <w:instrText xml:space="preserve"> CITATION Art24 \l 1033 </w:instrText>
          </w:r>
          <w:r w:rsidR="00183E46">
            <w:rPr>
              <w:rFonts w:ascii="Arial" w:hAnsi="Arial" w:cs="Arial"/>
            </w:rPr>
            <w:fldChar w:fldCharType="separate"/>
          </w:r>
          <w:r w:rsidR="002824F3" w:rsidRPr="002824F3">
            <w:rPr>
              <w:rFonts w:ascii="Arial" w:hAnsi="Arial" w:cs="Arial"/>
              <w:noProof/>
              <w:lang w:val="en-US"/>
            </w:rPr>
            <w:t>[7]</w:t>
          </w:r>
          <w:r w:rsidR="00183E46">
            <w:rPr>
              <w:rFonts w:ascii="Arial" w:hAnsi="Arial" w:cs="Arial"/>
            </w:rPr>
            <w:fldChar w:fldCharType="end"/>
          </w:r>
        </w:sdtContent>
      </w:sdt>
      <w:r w:rsidRPr="00183E46">
        <w:rPr>
          <w:rFonts w:ascii="Arial" w:hAnsi="Arial" w:cs="Arial"/>
        </w:rPr>
        <w:t xml:space="preserve">. High-risk systems, such as those used in recruitment, credit scoring or critical infrastructure, are subject to requirements including risk management, data governance, human oversight and post-market monitoring </w:t>
      </w:r>
      <w:sdt>
        <w:sdtPr>
          <w:rPr>
            <w:rFonts w:ascii="Arial" w:hAnsi="Arial" w:cs="Arial"/>
          </w:rPr>
          <w:id w:val="-428744699"/>
          <w:citation/>
        </w:sdtPr>
        <w:sdtContent>
          <w:r w:rsidR="00183E46">
            <w:rPr>
              <w:rFonts w:ascii="Arial" w:hAnsi="Arial" w:cs="Arial"/>
            </w:rPr>
            <w:fldChar w:fldCharType="begin"/>
          </w:r>
          <w:r w:rsidR="00183E46">
            <w:rPr>
              <w:rFonts w:ascii="Arial" w:hAnsi="Arial" w:cs="Arial"/>
              <w:lang w:val="en-US"/>
            </w:rPr>
            <w:instrText xml:space="preserve"> CITATION Art24 \l 1033 </w:instrText>
          </w:r>
          <w:r w:rsidR="00183E46">
            <w:rPr>
              <w:rFonts w:ascii="Arial" w:hAnsi="Arial" w:cs="Arial"/>
            </w:rPr>
            <w:fldChar w:fldCharType="separate"/>
          </w:r>
          <w:r w:rsidR="002824F3" w:rsidRPr="002824F3">
            <w:rPr>
              <w:rFonts w:ascii="Arial" w:hAnsi="Arial" w:cs="Arial"/>
              <w:noProof/>
              <w:lang w:val="en-US"/>
            </w:rPr>
            <w:t>[7]</w:t>
          </w:r>
          <w:r w:rsidR="00183E46">
            <w:rPr>
              <w:rFonts w:ascii="Arial" w:hAnsi="Arial" w:cs="Arial"/>
            </w:rPr>
            <w:fldChar w:fldCharType="end"/>
          </w:r>
        </w:sdtContent>
      </w:sdt>
      <w:r w:rsidRPr="00183E46">
        <w:rPr>
          <w:rFonts w:ascii="Arial" w:hAnsi="Arial" w:cs="Arial"/>
        </w:rPr>
        <w:t>. This approach reflects a recognition that not all AI applications carry the same level of societal or organisational risk, and that regulation should be proportionate rather than uniform.</w:t>
      </w:r>
    </w:p>
    <w:p w14:paraId="5F440725" w14:textId="688FA450" w:rsidR="00805A67" w:rsidRPr="00183E46" w:rsidRDefault="00000000">
      <w:pPr>
        <w:spacing w:after="200" w:line="276" w:lineRule="auto"/>
        <w:rPr>
          <w:rFonts w:ascii="Arial" w:hAnsi="Arial" w:cs="Arial"/>
        </w:rPr>
      </w:pPr>
      <w:r w:rsidRPr="00183E46">
        <w:rPr>
          <w:rFonts w:ascii="Arial" w:hAnsi="Arial" w:cs="Arial"/>
        </w:rPr>
        <w:t xml:space="preserve">At the level of organisational management, ISO/IEC 42001 provides a structured framework for establishing an AI Management System (AIMS), closely modelled on the Plan-Do-Check-Act cycle familiar from ISO 27001 </w:t>
      </w:r>
      <w:sdt>
        <w:sdtPr>
          <w:rPr>
            <w:rFonts w:ascii="Arial" w:hAnsi="Arial" w:cs="Arial"/>
          </w:rPr>
          <w:id w:val="-1907757968"/>
          <w:citation/>
        </w:sdtPr>
        <w:sdtContent>
          <w:r w:rsidR="002824F3">
            <w:rPr>
              <w:rFonts w:ascii="Arial" w:hAnsi="Arial" w:cs="Arial"/>
            </w:rPr>
            <w:fldChar w:fldCharType="begin"/>
          </w:r>
          <w:r w:rsidR="002824F3">
            <w:rPr>
              <w:rFonts w:ascii="Arial" w:hAnsi="Arial" w:cs="Arial"/>
              <w:lang w:val="en-US"/>
            </w:rPr>
            <w:instrText xml:space="preserve"> CITATION Int1 \l 1033 </w:instrText>
          </w:r>
          <w:r w:rsidR="002824F3">
            <w:rPr>
              <w:rFonts w:ascii="Arial" w:hAnsi="Arial" w:cs="Arial"/>
            </w:rPr>
            <w:fldChar w:fldCharType="separate"/>
          </w:r>
          <w:r w:rsidR="002824F3" w:rsidRPr="002824F3">
            <w:rPr>
              <w:rFonts w:ascii="Arial" w:hAnsi="Arial" w:cs="Arial"/>
              <w:noProof/>
              <w:lang w:val="en-US"/>
            </w:rPr>
            <w:t>[8]</w:t>
          </w:r>
          <w:r w:rsidR="002824F3">
            <w:rPr>
              <w:rFonts w:ascii="Arial" w:hAnsi="Arial" w:cs="Arial"/>
            </w:rPr>
            <w:fldChar w:fldCharType="end"/>
          </w:r>
        </w:sdtContent>
      </w:sdt>
      <w:r w:rsidRPr="00183E46">
        <w:rPr>
          <w:rFonts w:ascii="Arial" w:hAnsi="Arial" w:cs="Arial"/>
        </w:rPr>
        <w:t xml:space="preserve">. Rather than prescribing specific technical controls, the standard requires organisations to demonstrate ongoing governance processes: defining roles and responsibilities, assessing AI-related risk, and continually reviewing system performance throughout the AI lifecycle </w:t>
      </w:r>
      <w:sdt>
        <w:sdtPr>
          <w:rPr>
            <w:rFonts w:ascii="Arial" w:hAnsi="Arial" w:cs="Arial"/>
          </w:rPr>
          <w:id w:val="-1087461823"/>
          <w:citation/>
        </w:sdtPr>
        <w:sdtContent>
          <w:r w:rsidR="002824F3">
            <w:rPr>
              <w:rFonts w:ascii="Arial" w:hAnsi="Arial" w:cs="Arial"/>
            </w:rPr>
            <w:fldChar w:fldCharType="begin"/>
          </w:r>
          <w:r w:rsidR="002824F3">
            <w:rPr>
              <w:rFonts w:ascii="Arial" w:hAnsi="Arial" w:cs="Arial"/>
              <w:lang w:val="en-US"/>
            </w:rPr>
            <w:instrText xml:space="preserve"> CITATION Com23 \l 1033 </w:instrText>
          </w:r>
          <w:r w:rsidR="002824F3">
            <w:rPr>
              <w:rFonts w:ascii="Arial" w:hAnsi="Arial" w:cs="Arial"/>
            </w:rPr>
            <w:fldChar w:fldCharType="separate"/>
          </w:r>
          <w:r w:rsidR="002824F3" w:rsidRPr="002824F3">
            <w:rPr>
              <w:rFonts w:ascii="Arial" w:hAnsi="Arial" w:cs="Arial"/>
              <w:noProof/>
              <w:lang w:val="en-US"/>
            </w:rPr>
            <w:t>[2]</w:t>
          </w:r>
          <w:r w:rsidR="002824F3">
            <w:rPr>
              <w:rFonts w:ascii="Arial" w:hAnsi="Arial" w:cs="Arial"/>
            </w:rPr>
            <w:fldChar w:fldCharType="end"/>
          </w:r>
        </w:sdtContent>
      </w:sdt>
      <w:r w:rsidRPr="00183E46">
        <w:rPr>
          <w:rFonts w:ascii="Arial" w:hAnsi="Arial" w:cs="Arial"/>
        </w:rPr>
        <w:t>. This lifecycle-oriented approach is significant because it positions governance as an iterative discipline rather than a static certification.</w:t>
      </w:r>
    </w:p>
    <w:p w14:paraId="4FD30350" w14:textId="77777777" w:rsidR="00805A67" w:rsidRPr="00183E46" w:rsidRDefault="00000000">
      <w:pPr>
        <w:spacing w:after="200" w:line="276" w:lineRule="auto"/>
        <w:rPr>
          <w:rFonts w:ascii="Arial" w:hAnsi="Arial" w:cs="Arial"/>
        </w:rPr>
      </w:pPr>
      <w:r w:rsidRPr="00183E46">
        <w:rPr>
          <w:rFonts w:ascii="Arial" w:hAnsi="Arial" w:cs="Arial"/>
        </w:rPr>
        <w:t xml:space="preserve">The NIST AI Risk Management Framework offers a complementary, voluntary approach structured around four core functions: Govern, Map, Measure and Manage [4]. “Govern” establishes organisational culture and accountability; “Map” identifies context and potential risks; “Measure” applies quantitative and qualitative assessment; and “Manage” prioritises and responds to identified risks [4]. Unlike the EU AI Act, the NIST framework does not carry legal force, but its structure has </w:t>
      </w:r>
      <w:r w:rsidRPr="00183E46">
        <w:rPr>
          <w:rFonts w:ascii="Arial" w:hAnsi="Arial" w:cs="Arial"/>
        </w:rPr>
        <w:lastRenderedPageBreak/>
        <w:t>nonetheless influenced governance practice internationally, including within organisations that are not directly subject to EU jurisdiction.</w:t>
      </w:r>
    </w:p>
    <w:p w14:paraId="6D32EAFA" w14:textId="32BD80BA" w:rsidR="00805A67" w:rsidRPr="00183E46" w:rsidRDefault="00000000">
      <w:pPr>
        <w:spacing w:after="200" w:line="276" w:lineRule="auto"/>
        <w:rPr>
          <w:rFonts w:ascii="Arial" w:hAnsi="Arial" w:cs="Arial"/>
        </w:rPr>
      </w:pPr>
      <w:r w:rsidRPr="00183E46">
        <w:rPr>
          <w:rFonts w:ascii="Arial" w:hAnsi="Arial" w:cs="Arial"/>
        </w:rPr>
        <w:t xml:space="preserve">Finally, existing data protection law continues to intersect with AI governance, most notably through GDPR Article 22, which grants individuals the right not to be subject to decisions based solely on automated processing where such decisions produce legal or similarly significant effects </w:t>
      </w:r>
      <w:sdt>
        <w:sdtPr>
          <w:rPr>
            <w:rFonts w:ascii="Arial" w:hAnsi="Arial" w:cs="Arial"/>
          </w:rPr>
          <w:id w:val="-1947913833"/>
          <w:citation/>
        </w:sdtPr>
        <w:sdtContent>
          <w:r w:rsidR="002824F3">
            <w:rPr>
              <w:rFonts w:ascii="Arial" w:hAnsi="Arial" w:cs="Arial"/>
            </w:rPr>
            <w:fldChar w:fldCharType="begin"/>
          </w:r>
          <w:r w:rsidR="002824F3">
            <w:rPr>
              <w:rFonts w:ascii="Arial" w:hAnsi="Arial" w:cs="Arial"/>
              <w:lang w:val="en-US"/>
            </w:rPr>
            <w:instrText xml:space="preserve"> CITATION Art24 \l 1033 </w:instrText>
          </w:r>
          <w:r w:rsidR="002824F3">
            <w:rPr>
              <w:rFonts w:ascii="Arial" w:hAnsi="Arial" w:cs="Arial"/>
            </w:rPr>
            <w:fldChar w:fldCharType="separate"/>
          </w:r>
          <w:r w:rsidR="002824F3" w:rsidRPr="002824F3">
            <w:rPr>
              <w:rFonts w:ascii="Arial" w:hAnsi="Arial" w:cs="Arial"/>
              <w:noProof/>
              <w:lang w:val="en-US"/>
            </w:rPr>
            <w:t>[7]</w:t>
          </w:r>
          <w:r w:rsidR="002824F3">
            <w:rPr>
              <w:rFonts w:ascii="Arial" w:hAnsi="Arial" w:cs="Arial"/>
            </w:rPr>
            <w:fldChar w:fldCharType="end"/>
          </w:r>
        </w:sdtContent>
      </w:sdt>
      <w:r w:rsidRPr="00183E46">
        <w:rPr>
          <w:rFonts w:ascii="Arial" w:hAnsi="Arial" w:cs="Arial"/>
        </w:rPr>
        <w:t>. This provision demonstrates that AI governance obligations did not emerge exclusively from new AI-specific legislation; rather, existing privacy law already imposed constraints on automated decision-making that organisations were required to observe.</w:t>
      </w:r>
    </w:p>
    <w:p w14:paraId="556D6DA2" w14:textId="72838E5F" w:rsidR="00805A67" w:rsidRPr="00183E46" w:rsidRDefault="00000000">
      <w:pPr>
        <w:spacing w:after="200" w:line="276" w:lineRule="auto"/>
        <w:rPr>
          <w:rFonts w:ascii="Arial" w:hAnsi="Arial" w:cs="Arial"/>
        </w:rPr>
      </w:pPr>
      <w:r w:rsidRPr="00183E46">
        <w:rPr>
          <w:rFonts w:ascii="Arial" w:hAnsi="Arial" w:cs="Arial"/>
        </w:rPr>
        <w:t xml:space="preserve">The regulatory landscape is further complicated by sector-specific legislation that intersects with, rather than replaces, general AI and data protection rules. The Digital Operational Resilience Act (DORA) imposes binding ICT risk-management and resilience obligations on financial entities operating in the EU </w:t>
      </w:r>
      <w:sdt>
        <w:sdtPr>
          <w:rPr>
            <w:rFonts w:ascii="Arial" w:hAnsi="Arial" w:cs="Arial"/>
          </w:rPr>
          <w:id w:val="881677938"/>
          <w:citation/>
        </w:sdtPr>
        <w:sdtContent>
          <w:r w:rsidR="002824F3">
            <w:rPr>
              <w:rFonts w:ascii="Arial" w:hAnsi="Arial" w:cs="Arial"/>
            </w:rPr>
            <w:fldChar w:fldCharType="begin"/>
          </w:r>
          <w:r w:rsidR="002824F3">
            <w:rPr>
              <w:rFonts w:ascii="Arial" w:hAnsi="Arial" w:cs="Arial"/>
              <w:lang w:val="en-US"/>
            </w:rPr>
            <w:instrText xml:space="preserve"> CITATION Reg22 \l 1033 </w:instrText>
          </w:r>
          <w:r w:rsidR="002824F3">
            <w:rPr>
              <w:rFonts w:ascii="Arial" w:hAnsi="Arial" w:cs="Arial"/>
            </w:rPr>
            <w:fldChar w:fldCharType="separate"/>
          </w:r>
          <w:r w:rsidR="002824F3" w:rsidRPr="002824F3">
            <w:rPr>
              <w:rFonts w:ascii="Arial" w:hAnsi="Arial" w:cs="Arial"/>
              <w:noProof/>
              <w:lang w:val="en-US"/>
            </w:rPr>
            <w:t>[9]</w:t>
          </w:r>
          <w:r w:rsidR="002824F3">
            <w:rPr>
              <w:rFonts w:ascii="Arial" w:hAnsi="Arial" w:cs="Arial"/>
            </w:rPr>
            <w:fldChar w:fldCharType="end"/>
          </w:r>
        </w:sdtContent>
      </w:sdt>
      <w:r w:rsidRPr="00183E46">
        <w:rPr>
          <w:rFonts w:ascii="Arial" w:hAnsi="Arial" w:cs="Arial"/>
        </w:rPr>
        <w:t xml:space="preserve">, while the NIS2 Directive extends comparable cybersecurity risk-management and incident-reporting requirements across a broader range of essential and important sectors </w:t>
      </w:r>
      <w:sdt>
        <w:sdtPr>
          <w:rPr>
            <w:rFonts w:ascii="Arial" w:hAnsi="Arial" w:cs="Arial"/>
          </w:rPr>
          <w:id w:val="-1316481415"/>
          <w:citation/>
        </w:sdtPr>
        <w:sdtContent>
          <w:r w:rsidR="002824F3">
            <w:rPr>
              <w:rFonts w:ascii="Arial" w:hAnsi="Arial" w:cs="Arial"/>
            </w:rPr>
            <w:fldChar w:fldCharType="begin"/>
          </w:r>
          <w:r w:rsidR="002824F3">
            <w:rPr>
              <w:rFonts w:ascii="Arial" w:hAnsi="Arial" w:cs="Arial"/>
              <w:lang w:val="en-US"/>
            </w:rPr>
            <w:instrText xml:space="preserve"> CITATION Dir22 \l 1033 </w:instrText>
          </w:r>
          <w:r w:rsidR="002824F3">
            <w:rPr>
              <w:rFonts w:ascii="Arial" w:hAnsi="Arial" w:cs="Arial"/>
            </w:rPr>
            <w:fldChar w:fldCharType="separate"/>
          </w:r>
          <w:r w:rsidR="002824F3" w:rsidRPr="002824F3">
            <w:rPr>
              <w:rFonts w:ascii="Arial" w:hAnsi="Arial" w:cs="Arial"/>
              <w:noProof/>
              <w:lang w:val="en-US"/>
            </w:rPr>
            <w:t>[10]</w:t>
          </w:r>
          <w:r w:rsidR="002824F3">
            <w:rPr>
              <w:rFonts w:ascii="Arial" w:hAnsi="Arial" w:cs="Arial"/>
            </w:rPr>
            <w:fldChar w:fldCharType="end"/>
          </w:r>
        </w:sdtContent>
      </w:sdt>
      <w:r w:rsidRPr="00183E46">
        <w:rPr>
          <w:rFonts w:ascii="Arial" w:hAnsi="Arial" w:cs="Arial"/>
        </w:rPr>
        <w:t>. Organisations deploying AI within these sectors must therefore reconcile AI-specific obligations with pre-existing, sector-specific resilience requirements, reinforcing the earlier argument that AI governance cannot be addressed through a single framework in isolation.</w:t>
      </w:r>
    </w:p>
    <w:p w14:paraId="6213C095" w14:textId="77777777" w:rsidR="00805A67" w:rsidRPr="00183E46" w:rsidRDefault="00000000">
      <w:pPr>
        <w:pStyle w:val="Heading2"/>
        <w:spacing w:before="300" w:after="150"/>
        <w:rPr>
          <w:rFonts w:ascii="Arial" w:hAnsi="Arial" w:cs="Arial"/>
        </w:rPr>
      </w:pPr>
      <w:bookmarkStart w:id="7" w:name="_Toc236388713"/>
      <w:r w:rsidRPr="00183E46">
        <w:rPr>
          <w:rFonts w:ascii="Arial" w:hAnsi="Arial" w:cs="Arial"/>
        </w:rPr>
        <w:t>1.4 Comparative Evaluation of Governance Approaches</w:t>
      </w:r>
      <w:bookmarkEnd w:id="7"/>
    </w:p>
    <w:p w14:paraId="2AD00114" w14:textId="77777777" w:rsidR="00805A67" w:rsidRPr="00183E46" w:rsidRDefault="00000000">
      <w:pPr>
        <w:spacing w:after="200" w:line="276" w:lineRule="auto"/>
        <w:rPr>
          <w:rFonts w:ascii="Arial" w:hAnsi="Arial" w:cs="Arial"/>
        </w:rPr>
      </w:pPr>
      <w:r w:rsidRPr="00183E46">
        <w:rPr>
          <w:rFonts w:ascii="Arial" w:hAnsi="Arial" w:cs="Arial"/>
        </w:rPr>
        <w:t>Although the frameworks discussed above share a common objective, they differ substantially in scope, enforceability and focus, and no single framework addresses AI governance comprehensively on its own.</w:t>
      </w:r>
    </w:p>
    <w:p w14:paraId="08C613CB" w14:textId="77777777" w:rsidR="00805A67" w:rsidRPr="00183E46" w:rsidRDefault="00805A67">
      <w:pPr>
        <w:spacing w:after="200"/>
        <w:rPr>
          <w:rFonts w:ascii="Arial" w:hAnsi="Arial" w:cs="Arial"/>
        </w:rPr>
      </w:pP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52"/>
        <w:gridCol w:w="2068"/>
        <w:gridCol w:w="2828"/>
        <w:gridCol w:w="2452"/>
      </w:tblGrid>
      <w:tr w:rsidR="00805A67" w:rsidRPr="00183E46" w14:paraId="26FE2CDA" w14:textId="77777777">
        <w:tblPrEx>
          <w:tblCellMar>
            <w:top w:w="0" w:type="dxa"/>
            <w:bottom w:w="0" w:type="dxa"/>
          </w:tblCellMar>
        </w:tblPrEx>
        <w:trPr>
          <w:tblHeader/>
        </w:trPr>
        <w:tc>
          <w:tcPr>
            <w:tcW w:w="2200" w:type="dxa"/>
            <w:shd w:val="clear" w:color="auto" w:fill="D9E2F3"/>
            <w:tcMar>
              <w:top w:w="100" w:type="dxa"/>
              <w:left w:w="100" w:type="dxa"/>
              <w:bottom w:w="100" w:type="dxa"/>
              <w:right w:w="100" w:type="dxa"/>
            </w:tcMar>
          </w:tcPr>
          <w:p w14:paraId="31F1F6B6" w14:textId="77777777" w:rsidR="00805A67" w:rsidRPr="00183E46" w:rsidRDefault="00000000">
            <w:pPr>
              <w:rPr>
                <w:rFonts w:ascii="Arial" w:hAnsi="Arial" w:cs="Arial"/>
              </w:rPr>
            </w:pPr>
            <w:r w:rsidRPr="00183E46">
              <w:rPr>
                <w:rFonts w:ascii="Arial" w:hAnsi="Arial" w:cs="Arial"/>
                <w:b/>
                <w:bCs/>
              </w:rPr>
              <w:t>Framework</w:t>
            </w:r>
          </w:p>
        </w:tc>
        <w:tc>
          <w:tcPr>
            <w:tcW w:w="1900" w:type="dxa"/>
            <w:shd w:val="clear" w:color="auto" w:fill="D9E2F3"/>
            <w:tcMar>
              <w:top w:w="100" w:type="dxa"/>
              <w:left w:w="100" w:type="dxa"/>
              <w:bottom w:w="100" w:type="dxa"/>
              <w:right w:w="100" w:type="dxa"/>
            </w:tcMar>
          </w:tcPr>
          <w:p w14:paraId="2A928527" w14:textId="77777777" w:rsidR="00805A67" w:rsidRPr="00183E46" w:rsidRDefault="00000000">
            <w:pPr>
              <w:rPr>
                <w:rFonts w:ascii="Arial" w:hAnsi="Arial" w:cs="Arial"/>
              </w:rPr>
            </w:pPr>
            <w:r w:rsidRPr="00183E46">
              <w:rPr>
                <w:rFonts w:ascii="Arial" w:hAnsi="Arial" w:cs="Arial"/>
                <w:b/>
                <w:bCs/>
              </w:rPr>
              <w:t>Nature</w:t>
            </w:r>
          </w:p>
        </w:tc>
        <w:tc>
          <w:tcPr>
            <w:tcW w:w="2900" w:type="dxa"/>
            <w:shd w:val="clear" w:color="auto" w:fill="D9E2F3"/>
            <w:tcMar>
              <w:top w:w="100" w:type="dxa"/>
              <w:left w:w="100" w:type="dxa"/>
              <w:bottom w:w="100" w:type="dxa"/>
              <w:right w:w="100" w:type="dxa"/>
            </w:tcMar>
          </w:tcPr>
          <w:p w14:paraId="520AE542" w14:textId="77777777" w:rsidR="00805A67" w:rsidRPr="00183E46" w:rsidRDefault="00000000">
            <w:pPr>
              <w:rPr>
                <w:rFonts w:ascii="Arial" w:hAnsi="Arial" w:cs="Arial"/>
              </w:rPr>
            </w:pPr>
            <w:r w:rsidRPr="00183E46">
              <w:rPr>
                <w:rFonts w:ascii="Arial" w:hAnsi="Arial" w:cs="Arial"/>
                <w:b/>
                <w:bCs/>
              </w:rPr>
              <w:t>Enforceability</w:t>
            </w:r>
          </w:p>
        </w:tc>
        <w:tc>
          <w:tcPr>
            <w:tcW w:w="2500" w:type="dxa"/>
            <w:shd w:val="clear" w:color="auto" w:fill="D9E2F3"/>
            <w:tcMar>
              <w:top w:w="100" w:type="dxa"/>
              <w:left w:w="100" w:type="dxa"/>
              <w:bottom w:w="100" w:type="dxa"/>
              <w:right w:w="100" w:type="dxa"/>
            </w:tcMar>
          </w:tcPr>
          <w:p w14:paraId="070A08BF" w14:textId="77777777" w:rsidR="00805A67" w:rsidRPr="00183E46" w:rsidRDefault="00000000">
            <w:pPr>
              <w:rPr>
                <w:rFonts w:ascii="Arial" w:hAnsi="Arial" w:cs="Arial"/>
              </w:rPr>
            </w:pPr>
            <w:r w:rsidRPr="00183E46">
              <w:rPr>
                <w:rFonts w:ascii="Arial" w:hAnsi="Arial" w:cs="Arial"/>
                <w:b/>
                <w:bCs/>
              </w:rPr>
              <w:t>Primary Focus</w:t>
            </w:r>
          </w:p>
        </w:tc>
      </w:tr>
      <w:tr w:rsidR="00805A67" w:rsidRPr="00183E46" w14:paraId="6881088F" w14:textId="77777777">
        <w:tblPrEx>
          <w:tblCellMar>
            <w:top w:w="0" w:type="dxa"/>
            <w:bottom w:w="0" w:type="dxa"/>
          </w:tblCellMar>
        </w:tblPrEx>
        <w:tc>
          <w:tcPr>
            <w:tcW w:w="2200" w:type="dxa"/>
            <w:tcMar>
              <w:top w:w="100" w:type="dxa"/>
              <w:left w:w="100" w:type="dxa"/>
              <w:bottom w:w="100" w:type="dxa"/>
              <w:right w:w="100" w:type="dxa"/>
            </w:tcMar>
          </w:tcPr>
          <w:p w14:paraId="000B7A25" w14:textId="77777777" w:rsidR="00805A67" w:rsidRPr="00183E46" w:rsidRDefault="00000000">
            <w:pPr>
              <w:rPr>
                <w:rFonts w:ascii="Arial" w:hAnsi="Arial" w:cs="Arial"/>
              </w:rPr>
            </w:pPr>
            <w:r w:rsidRPr="00183E46">
              <w:rPr>
                <w:rFonts w:ascii="Arial" w:hAnsi="Arial" w:cs="Arial"/>
              </w:rPr>
              <w:t>EU AI Act</w:t>
            </w:r>
          </w:p>
        </w:tc>
        <w:tc>
          <w:tcPr>
            <w:tcW w:w="1900" w:type="dxa"/>
            <w:tcMar>
              <w:top w:w="100" w:type="dxa"/>
              <w:left w:w="100" w:type="dxa"/>
              <w:bottom w:w="100" w:type="dxa"/>
              <w:right w:w="100" w:type="dxa"/>
            </w:tcMar>
          </w:tcPr>
          <w:p w14:paraId="535993D7" w14:textId="77777777" w:rsidR="00805A67" w:rsidRPr="00183E46" w:rsidRDefault="00000000">
            <w:pPr>
              <w:rPr>
                <w:rFonts w:ascii="Arial" w:hAnsi="Arial" w:cs="Arial"/>
              </w:rPr>
            </w:pPr>
            <w:r w:rsidRPr="00183E46">
              <w:rPr>
                <w:rFonts w:ascii="Arial" w:hAnsi="Arial" w:cs="Arial"/>
              </w:rPr>
              <w:t>Legislation</w:t>
            </w:r>
          </w:p>
        </w:tc>
        <w:tc>
          <w:tcPr>
            <w:tcW w:w="2900" w:type="dxa"/>
            <w:tcMar>
              <w:top w:w="100" w:type="dxa"/>
              <w:left w:w="100" w:type="dxa"/>
              <w:bottom w:w="100" w:type="dxa"/>
              <w:right w:w="100" w:type="dxa"/>
            </w:tcMar>
          </w:tcPr>
          <w:p w14:paraId="2E897401" w14:textId="77777777" w:rsidR="00805A67" w:rsidRPr="00183E46" w:rsidRDefault="00000000">
            <w:pPr>
              <w:rPr>
                <w:rFonts w:ascii="Arial" w:hAnsi="Arial" w:cs="Arial"/>
              </w:rPr>
            </w:pPr>
            <w:r w:rsidRPr="00183E46">
              <w:rPr>
                <w:rFonts w:ascii="Arial" w:hAnsi="Arial" w:cs="Arial"/>
              </w:rPr>
              <w:t>Legally binding, risk-tiered obligations</w:t>
            </w:r>
          </w:p>
        </w:tc>
        <w:tc>
          <w:tcPr>
            <w:tcW w:w="2500" w:type="dxa"/>
            <w:tcMar>
              <w:top w:w="100" w:type="dxa"/>
              <w:left w:w="100" w:type="dxa"/>
              <w:bottom w:w="100" w:type="dxa"/>
              <w:right w:w="100" w:type="dxa"/>
            </w:tcMar>
          </w:tcPr>
          <w:p w14:paraId="6A3403C2" w14:textId="77777777" w:rsidR="00805A67" w:rsidRPr="00183E46" w:rsidRDefault="00000000">
            <w:pPr>
              <w:rPr>
                <w:rFonts w:ascii="Arial" w:hAnsi="Arial" w:cs="Arial"/>
              </w:rPr>
            </w:pPr>
            <w:r w:rsidRPr="00183E46">
              <w:rPr>
                <w:rFonts w:ascii="Arial" w:hAnsi="Arial" w:cs="Arial"/>
              </w:rPr>
              <w:t>Product/system risk classification</w:t>
            </w:r>
          </w:p>
        </w:tc>
      </w:tr>
      <w:tr w:rsidR="00805A67" w:rsidRPr="00183E46" w14:paraId="793FCE71" w14:textId="77777777">
        <w:tblPrEx>
          <w:tblCellMar>
            <w:top w:w="0" w:type="dxa"/>
            <w:bottom w:w="0" w:type="dxa"/>
          </w:tblCellMar>
        </w:tblPrEx>
        <w:tc>
          <w:tcPr>
            <w:tcW w:w="2200" w:type="dxa"/>
            <w:tcMar>
              <w:top w:w="100" w:type="dxa"/>
              <w:left w:w="100" w:type="dxa"/>
              <w:bottom w:w="100" w:type="dxa"/>
              <w:right w:w="100" w:type="dxa"/>
            </w:tcMar>
          </w:tcPr>
          <w:p w14:paraId="3932430C" w14:textId="77777777" w:rsidR="00805A67" w:rsidRPr="00183E46" w:rsidRDefault="00000000">
            <w:pPr>
              <w:rPr>
                <w:rFonts w:ascii="Arial" w:hAnsi="Arial" w:cs="Arial"/>
              </w:rPr>
            </w:pPr>
            <w:r w:rsidRPr="00183E46">
              <w:rPr>
                <w:rFonts w:ascii="Arial" w:hAnsi="Arial" w:cs="Arial"/>
              </w:rPr>
              <w:t>ISO/IEC 42001</w:t>
            </w:r>
          </w:p>
        </w:tc>
        <w:tc>
          <w:tcPr>
            <w:tcW w:w="1900" w:type="dxa"/>
            <w:tcMar>
              <w:top w:w="100" w:type="dxa"/>
              <w:left w:w="100" w:type="dxa"/>
              <w:bottom w:w="100" w:type="dxa"/>
              <w:right w:w="100" w:type="dxa"/>
            </w:tcMar>
          </w:tcPr>
          <w:p w14:paraId="5842E8D1" w14:textId="77777777" w:rsidR="00805A67" w:rsidRPr="00183E46" w:rsidRDefault="00000000">
            <w:pPr>
              <w:rPr>
                <w:rFonts w:ascii="Arial" w:hAnsi="Arial" w:cs="Arial"/>
              </w:rPr>
            </w:pPr>
            <w:r w:rsidRPr="00183E46">
              <w:rPr>
                <w:rFonts w:ascii="Arial" w:hAnsi="Arial" w:cs="Arial"/>
              </w:rPr>
              <w:t>Management standard</w:t>
            </w:r>
          </w:p>
        </w:tc>
        <w:tc>
          <w:tcPr>
            <w:tcW w:w="2900" w:type="dxa"/>
            <w:tcMar>
              <w:top w:w="100" w:type="dxa"/>
              <w:left w:w="100" w:type="dxa"/>
              <w:bottom w:w="100" w:type="dxa"/>
              <w:right w:w="100" w:type="dxa"/>
            </w:tcMar>
          </w:tcPr>
          <w:p w14:paraId="19EA8261" w14:textId="77777777" w:rsidR="00805A67" w:rsidRPr="00183E46" w:rsidRDefault="00000000">
            <w:pPr>
              <w:rPr>
                <w:rFonts w:ascii="Arial" w:hAnsi="Arial" w:cs="Arial"/>
              </w:rPr>
            </w:pPr>
            <w:r w:rsidRPr="00183E46">
              <w:rPr>
                <w:rFonts w:ascii="Arial" w:hAnsi="Arial" w:cs="Arial"/>
              </w:rPr>
              <w:t>Voluntary, certifiable</w:t>
            </w:r>
          </w:p>
        </w:tc>
        <w:tc>
          <w:tcPr>
            <w:tcW w:w="2500" w:type="dxa"/>
            <w:tcMar>
              <w:top w:w="100" w:type="dxa"/>
              <w:left w:w="100" w:type="dxa"/>
              <w:bottom w:w="100" w:type="dxa"/>
              <w:right w:w="100" w:type="dxa"/>
            </w:tcMar>
          </w:tcPr>
          <w:p w14:paraId="54987EA8" w14:textId="77777777" w:rsidR="00805A67" w:rsidRPr="00183E46" w:rsidRDefault="00000000">
            <w:pPr>
              <w:rPr>
                <w:rFonts w:ascii="Arial" w:hAnsi="Arial" w:cs="Arial"/>
              </w:rPr>
            </w:pPr>
            <w:r w:rsidRPr="00183E46">
              <w:rPr>
                <w:rFonts w:ascii="Arial" w:hAnsi="Arial" w:cs="Arial"/>
              </w:rPr>
              <w:t>Organisational governance process</w:t>
            </w:r>
          </w:p>
        </w:tc>
      </w:tr>
      <w:tr w:rsidR="00805A67" w:rsidRPr="00183E46" w14:paraId="4A2230B1" w14:textId="77777777">
        <w:tblPrEx>
          <w:tblCellMar>
            <w:top w:w="0" w:type="dxa"/>
            <w:bottom w:w="0" w:type="dxa"/>
          </w:tblCellMar>
        </w:tblPrEx>
        <w:tc>
          <w:tcPr>
            <w:tcW w:w="2200" w:type="dxa"/>
            <w:tcMar>
              <w:top w:w="100" w:type="dxa"/>
              <w:left w:w="100" w:type="dxa"/>
              <w:bottom w:w="100" w:type="dxa"/>
              <w:right w:w="100" w:type="dxa"/>
            </w:tcMar>
          </w:tcPr>
          <w:p w14:paraId="1FDFB5F8" w14:textId="77777777" w:rsidR="00805A67" w:rsidRPr="00183E46" w:rsidRDefault="00000000">
            <w:pPr>
              <w:rPr>
                <w:rFonts w:ascii="Arial" w:hAnsi="Arial" w:cs="Arial"/>
              </w:rPr>
            </w:pPr>
            <w:r w:rsidRPr="00183E46">
              <w:rPr>
                <w:rFonts w:ascii="Arial" w:hAnsi="Arial" w:cs="Arial"/>
              </w:rPr>
              <w:t>NIST AI RMF</w:t>
            </w:r>
          </w:p>
        </w:tc>
        <w:tc>
          <w:tcPr>
            <w:tcW w:w="1900" w:type="dxa"/>
            <w:tcMar>
              <w:top w:w="100" w:type="dxa"/>
              <w:left w:w="100" w:type="dxa"/>
              <w:bottom w:w="100" w:type="dxa"/>
              <w:right w:w="100" w:type="dxa"/>
            </w:tcMar>
          </w:tcPr>
          <w:p w14:paraId="6454BABE" w14:textId="77777777" w:rsidR="00805A67" w:rsidRPr="00183E46" w:rsidRDefault="00000000">
            <w:pPr>
              <w:rPr>
                <w:rFonts w:ascii="Arial" w:hAnsi="Arial" w:cs="Arial"/>
              </w:rPr>
            </w:pPr>
            <w:r w:rsidRPr="00183E46">
              <w:rPr>
                <w:rFonts w:ascii="Arial" w:hAnsi="Arial" w:cs="Arial"/>
              </w:rPr>
              <w:t>Framework/guidance</w:t>
            </w:r>
          </w:p>
        </w:tc>
        <w:tc>
          <w:tcPr>
            <w:tcW w:w="2900" w:type="dxa"/>
            <w:tcMar>
              <w:top w:w="100" w:type="dxa"/>
              <w:left w:w="100" w:type="dxa"/>
              <w:bottom w:w="100" w:type="dxa"/>
              <w:right w:w="100" w:type="dxa"/>
            </w:tcMar>
          </w:tcPr>
          <w:p w14:paraId="218CE816" w14:textId="77777777" w:rsidR="00805A67" w:rsidRPr="00183E46" w:rsidRDefault="00000000">
            <w:pPr>
              <w:rPr>
                <w:rFonts w:ascii="Arial" w:hAnsi="Arial" w:cs="Arial"/>
              </w:rPr>
            </w:pPr>
            <w:r w:rsidRPr="00183E46">
              <w:rPr>
                <w:rFonts w:ascii="Arial" w:hAnsi="Arial" w:cs="Arial"/>
              </w:rPr>
              <w:t>Voluntary</w:t>
            </w:r>
          </w:p>
        </w:tc>
        <w:tc>
          <w:tcPr>
            <w:tcW w:w="2500" w:type="dxa"/>
            <w:tcMar>
              <w:top w:w="100" w:type="dxa"/>
              <w:left w:w="100" w:type="dxa"/>
              <w:bottom w:w="100" w:type="dxa"/>
              <w:right w:w="100" w:type="dxa"/>
            </w:tcMar>
          </w:tcPr>
          <w:p w14:paraId="35B05E66" w14:textId="77777777" w:rsidR="00805A67" w:rsidRPr="00183E46" w:rsidRDefault="00000000">
            <w:pPr>
              <w:rPr>
                <w:rFonts w:ascii="Arial" w:hAnsi="Arial" w:cs="Arial"/>
              </w:rPr>
            </w:pPr>
            <w:r w:rsidRPr="00183E46">
              <w:rPr>
                <w:rFonts w:ascii="Arial" w:hAnsi="Arial" w:cs="Arial"/>
              </w:rPr>
              <w:t>Risk identification and management culture</w:t>
            </w:r>
          </w:p>
        </w:tc>
      </w:tr>
      <w:tr w:rsidR="00805A67" w:rsidRPr="00183E46" w14:paraId="0441323B" w14:textId="77777777">
        <w:tblPrEx>
          <w:tblCellMar>
            <w:top w:w="0" w:type="dxa"/>
            <w:bottom w:w="0" w:type="dxa"/>
          </w:tblCellMar>
        </w:tblPrEx>
        <w:tc>
          <w:tcPr>
            <w:tcW w:w="2200" w:type="dxa"/>
            <w:tcMar>
              <w:top w:w="100" w:type="dxa"/>
              <w:left w:w="100" w:type="dxa"/>
              <w:bottom w:w="100" w:type="dxa"/>
              <w:right w:w="100" w:type="dxa"/>
            </w:tcMar>
          </w:tcPr>
          <w:p w14:paraId="1CB2D4A3" w14:textId="77777777" w:rsidR="00805A67" w:rsidRPr="00183E46" w:rsidRDefault="00000000">
            <w:pPr>
              <w:rPr>
                <w:rFonts w:ascii="Arial" w:hAnsi="Arial" w:cs="Arial"/>
              </w:rPr>
            </w:pPr>
            <w:r w:rsidRPr="00183E46">
              <w:rPr>
                <w:rFonts w:ascii="Arial" w:hAnsi="Arial" w:cs="Arial"/>
              </w:rPr>
              <w:t>GDPR Art. 22</w:t>
            </w:r>
          </w:p>
        </w:tc>
        <w:tc>
          <w:tcPr>
            <w:tcW w:w="1900" w:type="dxa"/>
            <w:tcMar>
              <w:top w:w="100" w:type="dxa"/>
              <w:left w:w="100" w:type="dxa"/>
              <w:bottom w:w="100" w:type="dxa"/>
              <w:right w:w="100" w:type="dxa"/>
            </w:tcMar>
          </w:tcPr>
          <w:p w14:paraId="13943EFE" w14:textId="77777777" w:rsidR="00805A67" w:rsidRPr="00183E46" w:rsidRDefault="00000000">
            <w:pPr>
              <w:rPr>
                <w:rFonts w:ascii="Arial" w:hAnsi="Arial" w:cs="Arial"/>
              </w:rPr>
            </w:pPr>
            <w:r w:rsidRPr="00183E46">
              <w:rPr>
                <w:rFonts w:ascii="Arial" w:hAnsi="Arial" w:cs="Arial"/>
              </w:rPr>
              <w:t>Legislation</w:t>
            </w:r>
          </w:p>
        </w:tc>
        <w:tc>
          <w:tcPr>
            <w:tcW w:w="2900" w:type="dxa"/>
            <w:tcMar>
              <w:top w:w="100" w:type="dxa"/>
              <w:left w:w="100" w:type="dxa"/>
              <w:bottom w:w="100" w:type="dxa"/>
              <w:right w:w="100" w:type="dxa"/>
            </w:tcMar>
          </w:tcPr>
          <w:p w14:paraId="39415E94" w14:textId="77777777" w:rsidR="00805A67" w:rsidRPr="00183E46" w:rsidRDefault="00000000">
            <w:pPr>
              <w:rPr>
                <w:rFonts w:ascii="Arial" w:hAnsi="Arial" w:cs="Arial"/>
              </w:rPr>
            </w:pPr>
            <w:r w:rsidRPr="00183E46">
              <w:rPr>
                <w:rFonts w:ascii="Arial" w:hAnsi="Arial" w:cs="Arial"/>
              </w:rPr>
              <w:t>Legally binding</w:t>
            </w:r>
          </w:p>
        </w:tc>
        <w:tc>
          <w:tcPr>
            <w:tcW w:w="2500" w:type="dxa"/>
            <w:tcMar>
              <w:top w:w="100" w:type="dxa"/>
              <w:left w:w="100" w:type="dxa"/>
              <w:bottom w:w="100" w:type="dxa"/>
              <w:right w:w="100" w:type="dxa"/>
            </w:tcMar>
          </w:tcPr>
          <w:p w14:paraId="1BD63879" w14:textId="77777777" w:rsidR="00805A67" w:rsidRPr="00183E46" w:rsidRDefault="00000000">
            <w:pPr>
              <w:rPr>
                <w:rFonts w:ascii="Arial" w:hAnsi="Arial" w:cs="Arial"/>
              </w:rPr>
            </w:pPr>
            <w:r w:rsidRPr="00183E46">
              <w:rPr>
                <w:rFonts w:ascii="Arial" w:hAnsi="Arial" w:cs="Arial"/>
              </w:rPr>
              <w:t>Individual rights re: automated decisions</w:t>
            </w:r>
          </w:p>
        </w:tc>
      </w:tr>
    </w:tbl>
    <w:p w14:paraId="5430C4B8" w14:textId="77777777" w:rsidR="00805A67" w:rsidRPr="00183E46" w:rsidRDefault="00805A67">
      <w:pPr>
        <w:spacing w:before="200" w:after="200"/>
        <w:rPr>
          <w:rFonts w:ascii="Arial" w:hAnsi="Arial" w:cs="Arial"/>
        </w:rPr>
      </w:pPr>
    </w:p>
    <w:p w14:paraId="6DF7A507" w14:textId="548689D8" w:rsidR="00805A67" w:rsidRPr="00183E46" w:rsidRDefault="00000000">
      <w:pPr>
        <w:spacing w:after="200" w:line="276" w:lineRule="auto"/>
        <w:rPr>
          <w:rFonts w:ascii="Arial" w:hAnsi="Arial" w:cs="Arial"/>
        </w:rPr>
      </w:pPr>
      <w:r w:rsidRPr="00183E46">
        <w:rPr>
          <w:rFonts w:ascii="Arial" w:hAnsi="Arial" w:cs="Arial"/>
        </w:rPr>
        <w:t>The EU AI Act provides legal certainty and enforceable consequences but applies primarily within EU jurisdiction and focuses on the AI system itself rather than the surrounding organisational processes. ISO/IEC 42001, by contrast, is jurisdiction-independent and process-focused, but compliance is voluntary and therefore dependent on organisational will rather than legal obligation. NIST's framework offers flexibility and broad applicability, yet its non-binding nature means it can be selectively adopted, potentially leaving gaps in accountability</w:t>
      </w:r>
      <w:sdt>
        <w:sdtPr>
          <w:rPr>
            <w:rFonts w:ascii="Arial" w:hAnsi="Arial" w:cs="Arial"/>
          </w:rPr>
          <w:id w:val="2085017030"/>
          <w:citation/>
        </w:sdtPr>
        <w:sdtContent>
          <w:r w:rsidR="002824F3">
            <w:rPr>
              <w:rFonts w:ascii="Arial" w:hAnsi="Arial" w:cs="Arial"/>
            </w:rPr>
            <w:fldChar w:fldCharType="begin"/>
          </w:r>
          <w:r w:rsidR="002824F3">
            <w:rPr>
              <w:rFonts w:ascii="Arial" w:hAnsi="Arial" w:cs="Arial"/>
              <w:lang w:val="en-US"/>
            </w:rPr>
            <w:instrText xml:space="preserve"> CITATION SRo201 \l 1033 </w:instrText>
          </w:r>
          <w:r w:rsidR="002824F3">
            <w:rPr>
              <w:rFonts w:ascii="Arial" w:hAnsi="Arial" w:cs="Arial"/>
            </w:rPr>
            <w:fldChar w:fldCharType="separate"/>
          </w:r>
          <w:r w:rsidR="002824F3">
            <w:rPr>
              <w:rFonts w:ascii="Arial" w:hAnsi="Arial" w:cs="Arial"/>
              <w:noProof/>
              <w:lang w:val="en-US"/>
            </w:rPr>
            <w:t xml:space="preserve"> </w:t>
          </w:r>
          <w:r w:rsidR="002824F3" w:rsidRPr="002824F3">
            <w:rPr>
              <w:rFonts w:ascii="Arial" w:hAnsi="Arial" w:cs="Arial"/>
              <w:noProof/>
              <w:lang w:val="en-US"/>
            </w:rPr>
            <w:t>[11]</w:t>
          </w:r>
          <w:r w:rsidR="002824F3">
            <w:rPr>
              <w:rFonts w:ascii="Arial" w:hAnsi="Arial" w:cs="Arial"/>
            </w:rPr>
            <w:fldChar w:fldCharType="end"/>
          </w:r>
        </w:sdtContent>
      </w:sdt>
      <w:r w:rsidRPr="00183E46">
        <w:rPr>
          <w:rFonts w:ascii="Arial" w:hAnsi="Arial" w:cs="Arial"/>
        </w:rPr>
        <w:t>.</w:t>
      </w:r>
    </w:p>
    <w:p w14:paraId="5082E3BF" w14:textId="77777777" w:rsidR="00805A67" w:rsidRPr="00183E46" w:rsidRDefault="00000000">
      <w:pPr>
        <w:spacing w:after="200" w:line="276" w:lineRule="auto"/>
        <w:rPr>
          <w:rFonts w:ascii="Arial" w:hAnsi="Arial" w:cs="Arial"/>
        </w:rPr>
      </w:pPr>
      <w:r w:rsidRPr="00183E46">
        <w:rPr>
          <w:rFonts w:ascii="Arial" w:hAnsi="Arial" w:cs="Arial"/>
        </w:rPr>
        <w:t xml:space="preserve">This suggests that regulation and voluntary standards are not competing alternatives but complementary layers: legislation establishes minimum enforceable obligations, while management standards and risk frameworks provide the operational detail needed to meet them in practice. Organisations that rely solely on legal compliance risk treating governance as a checklist exercise, whereas those that adopt ISO/IEC 42001 or NIST AI RMF without regard to binding legislation may develop mature internal processes that nonetheless fail to satisfy statutory requirements. Effective AI </w:t>
      </w:r>
      <w:r w:rsidRPr="00183E46">
        <w:rPr>
          <w:rFonts w:ascii="Arial" w:hAnsi="Arial" w:cs="Arial"/>
        </w:rPr>
        <w:lastRenderedPageBreak/>
        <w:t>governance therefore depends on combining binding regulation with structured internal management systems, rather than treating either as sufficient in isolation; in the author's view, this combination is what ultimately distinguishes organisations that treat AI governance as a genuine contributor to organisational resilience from those that treat it as a compliance formality to be satisfied once and then forgotten.</w:t>
      </w:r>
    </w:p>
    <w:p w14:paraId="4867E6EF" w14:textId="77777777" w:rsidR="00805A67" w:rsidRPr="00183E46" w:rsidRDefault="00805A67">
      <w:pPr>
        <w:pageBreakBefore/>
        <w:rPr>
          <w:rFonts w:ascii="Arial" w:hAnsi="Arial" w:cs="Arial"/>
        </w:rPr>
      </w:pPr>
    </w:p>
    <w:p w14:paraId="551342C7" w14:textId="79B77C59" w:rsidR="00805A67" w:rsidRPr="00183E46" w:rsidRDefault="00000000">
      <w:pPr>
        <w:pStyle w:val="Heading1"/>
        <w:spacing w:before="400" w:after="200"/>
        <w:rPr>
          <w:rFonts w:ascii="Arial" w:hAnsi="Arial" w:cs="Arial"/>
        </w:rPr>
      </w:pPr>
      <w:bookmarkStart w:id="8" w:name="_Toc236388714"/>
      <w:r w:rsidRPr="00183E46">
        <w:rPr>
          <w:rFonts w:ascii="Arial" w:hAnsi="Arial" w:cs="Arial"/>
        </w:rPr>
        <w:t xml:space="preserve">Task </w:t>
      </w:r>
      <w:proofErr w:type="gramStart"/>
      <w:r w:rsidRPr="00183E46">
        <w:rPr>
          <w:rFonts w:ascii="Arial" w:hAnsi="Arial" w:cs="Arial"/>
        </w:rPr>
        <w:t>2  Applying</w:t>
      </w:r>
      <w:proofErr w:type="gramEnd"/>
      <w:r w:rsidRPr="00183E46">
        <w:rPr>
          <w:rFonts w:ascii="Arial" w:hAnsi="Arial" w:cs="Arial"/>
        </w:rPr>
        <w:t xml:space="preserve"> Governance Principles to the Equifax Data Breach</w:t>
      </w:r>
      <w:bookmarkEnd w:id="8"/>
    </w:p>
    <w:p w14:paraId="5EF5B1F8" w14:textId="1F53B5CE" w:rsidR="00805A67" w:rsidRPr="00183E46" w:rsidRDefault="00000000">
      <w:pPr>
        <w:pStyle w:val="Heading2"/>
        <w:spacing w:before="300" w:after="150"/>
        <w:rPr>
          <w:rFonts w:ascii="Arial" w:hAnsi="Arial" w:cs="Arial"/>
        </w:rPr>
      </w:pPr>
      <w:bookmarkStart w:id="9" w:name="_Toc236388715"/>
      <w:r w:rsidRPr="00183E46">
        <w:rPr>
          <w:rFonts w:ascii="Arial" w:hAnsi="Arial" w:cs="Arial"/>
        </w:rPr>
        <w:t>2.1 Organisational Structure and Accountability</w:t>
      </w:r>
      <w:bookmarkEnd w:id="9"/>
      <w:r w:rsidRPr="00183E46">
        <w:rPr>
          <w:rFonts w:ascii="Arial" w:hAnsi="Arial" w:cs="Arial"/>
        </w:rPr>
        <w:t xml:space="preserve"> </w:t>
      </w:r>
    </w:p>
    <w:p w14:paraId="12B96398" w14:textId="5157F1A5" w:rsidR="00805A67" w:rsidRPr="00183E46" w:rsidRDefault="00000000">
      <w:pPr>
        <w:spacing w:after="200" w:line="276" w:lineRule="auto"/>
        <w:rPr>
          <w:rFonts w:ascii="Arial" w:hAnsi="Arial" w:cs="Arial"/>
        </w:rPr>
      </w:pPr>
      <w:r w:rsidRPr="00183E46">
        <w:rPr>
          <w:rFonts w:ascii="Arial" w:hAnsi="Arial" w:cs="Arial"/>
        </w:rPr>
        <w:t xml:space="preserve">The Equifax breach exposed a fundamental accountability gap: an internal notice instructing administrators to patch the Apache Struts vulnerability was sent to an out-of-date recipient list, meaning the individuals responsible for applying the patch never received it </w:t>
      </w:r>
      <w:sdt>
        <w:sdtPr>
          <w:rPr>
            <w:rFonts w:ascii="Arial" w:hAnsi="Arial" w:cs="Arial"/>
          </w:rPr>
          <w:id w:val="1097059386"/>
          <w:citation/>
        </w:sdtPr>
        <w:sdtContent>
          <w:r w:rsidR="002824F3">
            <w:rPr>
              <w:rFonts w:ascii="Arial" w:hAnsi="Arial" w:cs="Arial"/>
            </w:rPr>
            <w:fldChar w:fldCharType="begin"/>
          </w:r>
          <w:r w:rsidR="002824F3">
            <w:rPr>
              <w:rFonts w:ascii="Arial" w:hAnsi="Arial" w:cs="Arial"/>
              <w:lang w:val="en-US"/>
            </w:rPr>
            <w:instrText xml:space="preserve"> CITATION USG \l 1033 </w:instrText>
          </w:r>
          <w:r w:rsidR="002824F3">
            <w:rPr>
              <w:rFonts w:ascii="Arial" w:hAnsi="Arial" w:cs="Arial"/>
            </w:rPr>
            <w:fldChar w:fldCharType="separate"/>
          </w:r>
          <w:r w:rsidR="002824F3" w:rsidRPr="002824F3">
            <w:rPr>
              <w:rFonts w:ascii="Arial" w:hAnsi="Arial" w:cs="Arial"/>
              <w:noProof/>
              <w:lang w:val="en-US"/>
            </w:rPr>
            <w:t>[12]</w:t>
          </w:r>
          <w:r w:rsidR="002824F3">
            <w:rPr>
              <w:rFonts w:ascii="Arial" w:hAnsi="Arial" w:cs="Arial"/>
            </w:rPr>
            <w:fldChar w:fldCharType="end"/>
          </w:r>
        </w:sdtContent>
      </w:sdt>
      <w:r w:rsidRPr="00183E46">
        <w:rPr>
          <w:rFonts w:ascii="Arial" w:hAnsi="Arial" w:cs="Arial"/>
        </w:rPr>
        <w:t xml:space="preserve">. Applying the governance principles discussed in Task 1, a restructured accountability model should place ultimate responsibility for cybersecurity risk with a Chief Information Security Officer (CISO) who reports directly to the Board of Directors, rather than through an intermediate IT management layer, a reporting gap that was itself identified as a contributing factor by the U.S. House Committee on Oversight and Government Reform </w:t>
      </w:r>
      <w:sdt>
        <w:sdtPr>
          <w:rPr>
            <w:rFonts w:ascii="Arial" w:hAnsi="Arial" w:cs="Arial"/>
          </w:rPr>
          <w:id w:val="1703124552"/>
          <w:citation/>
        </w:sdtPr>
        <w:sdtContent>
          <w:r w:rsidR="002824F3">
            <w:rPr>
              <w:rFonts w:ascii="Arial" w:hAnsi="Arial" w:cs="Arial"/>
            </w:rPr>
            <w:fldChar w:fldCharType="begin"/>
          </w:r>
          <w:r w:rsidR="002824F3">
            <w:rPr>
              <w:rFonts w:ascii="Arial" w:hAnsi="Arial" w:cs="Arial"/>
              <w:lang w:val="en-US"/>
            </w:rPr>
            <w:instrText xml:space="preserve"> CITATION USH \l 1033 </w:instrText>
          </w:r>
          <w:r w:rsidR="002824F3">
            <w:rPr>
              <w:rFonts w:ascii="Arial" w:hAnsi="Arial" w:cs="Arial"/>
            </w:rPr>
            <w:fldChar w:fldCharType="separate"/>
          </w:r>
          <w:r w:rsidR="002824F3" w:rsidRPr="002824F3">
            <w:rPr>
              <w:rFonts w:ascii="Arial" w:hAnsi="Arial" w:cs="Arial"/>
              <w:noProof/>
              <w:lang w:val="en-US"/>
            </w:rPr>
            <w:t>[13]</w:t>
          </w:r>
          <w:r w:rsidR="002824F3">
            <w:rPr>
              <w:rFonts w:ascii="Arial" w:hAnsi="Arial" w:cs="Arial"/>
            </w:rPr>
            <w:fldChar w:fldCharType="end"/>
          </w:r>
        </w:sdtContent>
      </w:sdt>
      <w:r w:rsidRPr="00183E46">
        <w:rPr>
          <w:rFonts w:ascii="Arial" w:hAnsi="Arial" w:cs="Arial"/>
        </w:rPr>
        <w:t>. This reporting line ensures that security risk is treated as an enterprise risk rather than a purely operational IT concern, addressing the disconnect that allowed a known, unpatched vulnerability to remain unaddressed for months without senior-level awareness.</w:t>
      </w:r>
    </w:p>
    <w:p w14:paraId="6D2E724B" w14:textId="069BD75D" w:rsidR="00805A67" w:rsidRPr="00183E46" w:rsidRDefault="00000000">
      <w:pPr>
        <w:spacing w:after="200" w:line="276" w:lineRule="auto"/>
        <w:rPr>
          <w:rFonts w:ascii="Arial" w:hAnsi="Arial" w:cs="Arial"/>
        </w:rPr>
      </w:pPr>
      <w:r w:rsidRPr="00183E46">
        <w:rPr>
          <w:rFonts w:ascii="Arial" w:hAnsi="Arial" w:cs="Arial"/>
        </w:rPr>
        <w:t xml:space="preserve">Beneath the CISO, two operational roles are proposed: a Head of Security Architecture, responsible for maintaining asset inventories, network segmentation and secure infrastructure design; and a Head of Secure Development, responsible for embedding security requirements into the software development lifecycle, including third-party and open-source component management such as the Apache Struts framework itself. Separating these roles is justified because architectural weaknesses (such as flat network segmentation, which allowed attackers to move freely once inside) and development weaknesses (such as an unpatched open-source dependency that a routine internal scan failed to identify </w:t>
      </w:r>
      <w:sdt>
        <w:sdtPr>
          <w:rPr>
            <w:rFonts w:ascii="Arial" w:hAnsi="Arial" w:cs="Arial"/>
          </w:rPr>
          <w:id w:val="-1827584963"/>
          <w:citation/>
        </w:sdtPr>
        <w:sdtContent>
          <w:r w:rsidR="002824F3">
            <w:rPr>
              <w:rFonts w:ascii="Arial" w:hAnsi="Arial" w:cs="Arial"/>
            </w:rPr>
            <w:fldChar w:fldCharType="begin"/>
          </w:r>
          <w:r w:rsidR="002824F3">
            <w:rPr>
              <w:rFonts w:ascii="Arial" w:hAnsi="Arial" w:cs="Arial"/>
              <w:lang w:val="en-US"/>
            </w:rPr>
            <w:instrText xml:space="preserve"> CITATION USG \l 1033 </w:instrText>
          </w:r>
          <w:r w:rsidR="002824F3">
            <w:rPr>
              <w:rFonts w:ascii="Arial" w:hAnsi="Arial" w:cs="Arial"/>
            </w:rPr>
            <w:fldChar w:fldCharType="separate"/>
          </w:r>
          <w:r w:rsidR="002824F3" w:rsidRPr="002824F3">
            <w:rPr>
              <w:rFonts w:ascii="Arial" w:hAnsi="Arial" w:cs="Arial"/>
              <w:noProof/>
              <w:lang w:val="en-US"/>
            </w:rPr>
            <w:t>[12]</w:t>
          </w:r>
          <w:r w:rsidR="002824F3">
            <w:rPr>
              <w:rFonts w:ascii="Arial" w:hAnsi="Arial" w:cs="Arial"/>
            </w:rPr>
            <w:fldChar w:fldCharType="end"/>
          </w:r>
        </w:sdtContent>
      </w:sdt>
      <w:r w:rsidRPr="00183E46">
        <w:rPr>
          <w:rFonts w:ascii="Arial" w:hAnsi="Arial" w:cs="Arial"/>
        </w:rPr>
        <w:t>) require distinct expertise and accountability, yet were both implicated in the breach.</w:t>
      </w: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4500"/>
        <w:gridCol w:w="2500"/>
      </w:tblGrid>
      <w:tr w:rsidR="00805A67" w:rsidRPr="00183E46" w14:paraId="43D14DC0" w14:textId="77777777">
        <w:tblPrEx>
          <w:tblCellMar>
            <w:top w:w="0" w:type="dxa"/>
            <w:bottom w:w="0" w:type="dxa"/>
          </w:tblCellMar>
        </w:tblPrEx>
        <w:trPr>
          <w:tblHeader/>
        </w:trPr>
        <w:tc>
          <w:tcPr>
            <w:tcW w:w="1500" w:type="dxa"/>
            <w:shd w:val="clear" w:color="auto" w:fill="D9E2F3"/>
            <w:tcMar>
              <w:top w:w="100" w:type="dxa"/>
              <w:left w:w="100" w:type="dxa"/>
              <w:bottom w:w="100" w:type="dxa"/>
              <w:right w:w="100" w:type="dxa"/>
            </w:tcMar>
          </w:tcPr>
          <w:p w14:paraId="29E38A4E" w14:textId="77777777" w:rsidR="00805A67" w:rsidRPr="00183E46" w:rsidRDefault="00000000">
            <w:pPr>
              <w:rPr>
                <w:rFonts w:ascii="Arial" w:hAnsi="Arial" w:cs="Arial"/>
              </w:rPr>
            </w:pPr>
            <w:r w:rsidRPr="00183E46">
              <w:rPr>
                <w:rFonts w:ascii="Arial" w:hAnsi="Arial" w:cs="Arial"/>
                <w:b/>
                <w:bCs/>
              </w:rPr>
              <w:t>Level</w:t>
            </w:r>
          </w:p>
        </w:tc>
        <w:tc>
          <w:tcPr>
            <w:tcW w:w="4500" w:type="dxa"/>
            <w:shd w:val="clear" w:color="auto" w:fill="D9E2F3"/>
            <w:tcMar>
              <w:top w:w="100" w:type="dxa"/>
              <w:left w:w="100" w:type="dxa"/>
              <w:bottom w:w="100" w:type="dxa"/>
              <w:right w:w="100" w:type="dxa"/>
            </w:tcMar>
          </w:tcPr>
          <w:p w14:paraId="193D8AE9" w14:textId="77777777" w:rsidR="00805A67" w:rsidRPr="00183E46" w:rsidRDefault="00000000">
            <w:pPr>
              <w:rPr>
                <w:rFonts w:ascii="Arial" w:hAnsi="Arial" w:cs="Arial"/>
              </w:rPr>
            </w:pPr>
            <w:r w:rsidRPr="00183E46">
              <w:rPr>
                <w:rFonts w:ascii="Arial" w:hAnsi="Arial" w:cs="Arial"/>
                <w:b/>
                <w:bCs/>
              </w:rPr>
              <w:t>Role</w:t>
            </w:r>
          </w:p>
        </w:tc>
        <w:tc>
          <w:tcPr>
            <w:tcW w:w="2500" w:type="dxa"/>
            <w:shd w:val="clear" w:color="auto" w:fill="D9E2F3"/>
            <w:tcMar>
              <w:top w:w="100" w:type="dxa"/>
              <w:left w:w="100" w:type="dxa"/>
              <w:bottom w:w="100" w:type="dxa"/>
              <w:right w:w="100" w:type="dxa"/>
            </w:tcMar>
          </w:tcPr>
          <w:p w14:paraId="6906C570" w14:textId="77777777" w:rsidR="00805A67" w:rsidRPr="00183E46" w:rsidRDefault="00000000">
            <w:pPr>
              <w:rPr>
                <w:rFonts w:ascii="Arial" w:hAnsi="Arial" w:cs="Arial"/>
              </w:rPr>
            </w:pPr>
            <w:r w:rsidRPr="00183E46">
              <w:rPr>
                <w:rFonts w:ascii="Arial" w:hAnsi="Arial" w:cs="Arial"/>
                <w:b/>
                <w:bCs/>
              </w:rPr>
              <w:t>Reports To</w:t>
            </w:r>
          </w:p>
        </w:tc>
      </w:tr>
      <w:tr w:rsidR="00805A67" w:rsidRPr="00183E46" w14:paraId="16212410" w14:textId="77777777">
        <w:tblPrEx>
          <w:tblCellMar>
            <w:top w:w="0" w:type="dxa"/>
            <w:bottom w:w="0" w:type="dxa"/>
          </w:tblCellMar>
        </w:tblPrEx>
        <w:tc>
          <w:tcPr>
            <w:tcW w:w="1500" w:type="dxa"/>
            <w:tcMar>
              <w:top w:w="100" w:type="dxa"/>
              <w:left w:w="100" w:type="dxa"/>
              <w:bottom w:w="100" w:type="dxa"/>
              <w:right w:w="100" w:type="dxa"/>
            </w:tcMar>
          </w:tcPr>
          <w:p w14:paraId="4FA0A673" w14:textId="77777777" w:rsidR="00805A67" w:rsidRPr="00183E46" w:rsidRDefault="00000000">
            <w:pPr>
              <w:rPr>
                <w:rFonts w:ascii="Arial" w:hAnsi="Arial" w:cs="Arial"/>
              </w:rPr>
            </w:pPr>
            <w:r w:rsidRPr="00183E46">
              <w:rPr>
                <w:rFonts w:ascii="Arial" w:hAnsi="Arial" w:cs="Arial"/>
              </w:rPr>
              <w:t>1</w:t>
            </w:r>
          </w:p>
        </w:tc>
        <w:tc>
          <w:tcPr>
            <w:tcW w:w="4500" w:type="dxa"/>
            <w:tcMar>
              <w:top w:w="100" w:type="dxa"/>
              <w:left w:w="100" w:type="dxa"/>
              <w:bottom w:w="100" w:type="dxa"/>
              <w:right w:w="100" w:type="dxa"/>
            </w:tcMar>
          </w:tcPr>
          <w:p w14:paraId="611E729A" w14:textId="77777777" w:rsidR="00805A67" w:rsidRPr="00183E46" w:rsidRDefault="00000000">
            <w:pPr>
              <w:rPr>
                <w:rFonts w:ascii="Arial" w:hAnsi="Arial" w:cs="Arial"/>
              </w:rPr>
            </w:pPr>
            <w:r w:rsidRPr="00183E46">
              <w:rPr>
                <w:rFonts w:ascii="Arial" w:hAnsi="Arial" w:cs="Arial"/>
              </w:rPr>
              <w:t>Board of Directors</w:t>
            </w:r>
          </w:p>
        </w:tc>
        <w:tc>
          <w:tcPr>
            <w:tcW w:w="2500" w:type="dxa"/>
            <w:tcMar>
              <w:top w:w="100" w:type="dxa"/>
              <w:left w:w="100" w:type="dxa"/>
              <w:bottom w:w="100" w:type="dxa"/>
              <w:right w:w="100" w:type="dxa"/>
            </w:tcMar>
          </w:tcPr>
          <w:p w14:paraId="681F5C34" w14:textId="77777777" w:rsidR="00805A67" w:rsidRPr="00183E46" w:rsidRDefault="00000000">
            <w:pPr>
              <w:rPr>
                <w:rFonts w:ascii="Arial" w:hAnsi="Arial" w:cs="Arial"/>
              </w:rPr>
            </w:pPr>
            <w:r w:rsidRPr="00183E46">
              <w:rPr>
                <w:rFonts w:ascii="Arial" w:hAnsi="Arial" w:cs="Arial"/>
              </w:rPr>
              <w:t>—</w:t>
            </w:r>
          </w:p>
        </w:tc>
      </w:tr>
      <w:tr w:rsidR="00805A67" w:rsidRPr="00183E46" w14:paraId="2A074191" w14:textId="77777777">
        <w:tblPrEx>
          <w:tblCellMar>
            <w:top w:w="0" w:type="dxa"/>
            <w:bottom w:w="0" w:type="dxa"/>
          </w:tblCellMar>
        </w:tblPrEx>
        <w:tc>
          <w:tcPr>
            <w:tcW w:w="1500" w:type="dxa"/>
            <w:tcMar>
              <w:top w:w="100" w:type="dxa"/>
              <w:left w:w="100" w:type="dxa"/>
              <w:bottom w:w="100" w:type="dxa"/>
              <w:right w:w="100" w:type="dxa"/>
            </w:tcMar>
          </w:tcPr>
          <w:p w14:paraId="1071463E" w14:textId="77777777" w:rsidR="00805A67" w:rsidRPr="00183E46" w:rsidRDefault="00000000">
            <w:pPr>
              <w:rPr>
                <w:rFonts w:ascii="Arial" w:hAnsi="Arial" w:cs="Arial"/>
              </w:rPr>
            </w:pPr>
            <w:r w:rsidRPr="00183E46">
              <w:rPr>
                <w:rFonts w:ascii="Arial" w:hAnsi="Arial" w:cs="Arial"/>
              </w:rPr>
              <w:t>2</w:t>
            </w:r>
          </w:p>
        </w:tc>
        <w:tc>
          <w:tcPr>
            <w:tcW w:w="4500" w:type="dxa"/>
            <w:tcMar>
              <w:top w:w="100" w:type="dxa"/>
              <w:left w:w="100" w:type="dxa"/>
              <w:bottom w:w="100" w:type="dxa"/>
              <w:right w:w="100" w:type="dxa"/>
            </w:tcMar>
          </w:tcPr>
          <w:p w14:paraId="64A0767D" w14:textId="77777777" w:rsidR="00805A67" w:rsidRPr="00183E46" w:rsidRDefault="00000000">
            <w:pPr>
              <w:rPr>
                <w:rFonts w:ascii="Arial" w:hAnsi="Arial" w:cs="Arial"/>
              </w:rPr>
            </w:pPr>
            <w:r w:rsidRPr="00183E46">
              <w:rPr>
                <w:rFonts w:ascii="Arial" w:hAnsi="Arial" w:cs="Arial"/>
              </w:rPr>
              <w:t>Chief Information Security Officer (CISO)</w:t>
            </w:r>
          </w:p>
        </w:tc>
        <w:tc>
          <w:tcPr>
            <w:tcW w:w="2500" w:type="dxa"/>
            <w:tcMar>
              <w:top w:w="100" w:type="dxa"/>
              <w:left w:w="100" w:type="dxa"/>
              <w:bottom w:w="100" w:type="dxa"/>
              <w:right w:w="100" w:type="dxa"/>
            </w:tcMar>
          </w:tcPr>
          <w:p w14:paraId="7AEE7B90" w14:textId="77777777" w:rsidR="00805A67" w:rsidRPr="00183E46" w:rsidRDefault="00000000">
            <w:pPr>
              <w:rPr>
                <w:rFonts w:ascii="Arial" w:hAnsi="Arial" w:cs="Arial"/>
              </w:rPr>
            </w:pPr>
            <w:r w:rsidRPr="00183E46">
              <w:rPr>
                <w:rFonts w:ascii="Arial" w:hAnsi="Arial" w:cs="Arial"/>
              </w:rPr>
              <w:t>Board of Directors</w:t>
            </w:r>
          </w:p>
        </w:tc>
      </w:tr>
      <w:tr w:rsidR="00805A67" w:rsidRPr="00183E46" w14:paraId="45E2FA26" w14:textId="77777777">
        <w:tblPrEx>
          <w:tblCellMar>
            <w:top w:w="0" w:type="dxa"/>
            <w:bottom w:w="0" w:type="dxa"/>
          </w:tblCellMar>
        </w:tblPrEx>
        <w:tc>
          <w:tcPr>
            <w:tcW w:w="1500" w:type="dxa"/>
            <w:tcMar>
              <w:top w:w="100" w:type="dxa"/>
              <w:left w:w="100" w:type="dxa"/>
              <w:bottom w:w="100" w:type="dxa"/>
              <w:right w:w="100" w:type="dxa"/>
            </w:tcMar>
          </w:tcPr>
          <w:p w14:paraId="736B340F" w14:textId="77777777" w:rsidR="00805A67" w:rsidRPr="00183E46" w:rsidRDefault="00000000">
            <w:pPr>
              <w:rPr>
                <w:rFonts w:ascii="Arial" w:hAnsi="Arial" w:cs="Arial"/>
              </w:rPr>
            </w:pPr>
            <w:r w:rsidRPr="00183E46">
              <w:rPr>
                <w:rFonts w:ascii="Arial" w:hAnsi="Arial" w:cs="Arial"/>
              </w:rPr>
              <w:t>3</w:t>
            </w:r>
          </w:p>
        </w:tc>
        <w:tc>
          <w:tcPr>
            <w:tcW w:w="4500" w:type="dxa"/>
            <w:tcMar>
              <w:top w:w="100" w:type="dxa"/>
              <w:left w:w="100" w:type="dxa"/>
              <w:bottom w:w="100" w:type="dxa"/>
              <w:right w:w="100" w:type="dxa"/>
            </w:tcMar>
          </w:tcPr>
          <w:p w14:paraId="72B9223A" w14:textId="77777777" w:rsidR="00805A67" w:rsidRPr="00183E46" w:rsidRDefault="00000000">
            <w:pPr>
              <w:rPr>
                <w:rFonts w:ascii="Arial" w:hAnsi="Arial" w:cs="Arial"/>
              </w:rPr>
            </w:pPr>
            <w:r w:rsidRPr="00183E46">
              <w:rPr>
                <w:rFonts w:ascii="Arial" w:hAnsi="Arial" w:cs="Arial"/>
              </w:rPr>
              <w:t>Head of Security Architecture</w:t>
            </w:r>
          </w:p>
        </w:tc>
        <w:tc>
          <w:tcPr>
            <w:tcW w:w="2500" w:type="dxa"/>
            <w:tcMar>
              <w:top w:w="100" w:type="dxa"/>
              <w:left w:w="100" w:type="dxa"/>
              <w:bottom w:w="100" w:type="dxa"/>
              <w:right w:w="100" w:type="dxa"/>
            </w:tcMar>
          </w:tcPr>
          <w:p w14:paraId="4362F1CC" w14:textId="77777777" w:rsidR="00805A67" w:rsidRPr="00183E46" w:rsidRDefault="00000000">
            <w:pPr>
              <w:rPr>
                <w:rFonts w:ascii="Arial" w:hAnsi="Arial" w:cs="Arial"/>
              </w:rPr>
            </w:pPr>
            <w:r w:rsidRPr="00183E46">
              <w:rPr>
                <w:rFonts w:ascii="Arial" w:hAnsi="Arial" w:cs="Arial"/>
              </w:rPr>
              <w:t>CISO</w:t>
            </w:r>
          </w:p>
        </w:tc>
      </w:tr>
      <w:tr w:rsidR="00805A67" w:rsidRPr="00183E46" w14:paraId="4AB8C7FD" w14:textId="77777777">
        <w:tblPrEx>
          <w:tblCellMar>
            <w:top w:w="0" w:type="dxa"/>
            <w:bottom w:w="0" w:type="dxa"/>
          </w:tblCellMar>
        </w:tblPrEx>
        <w:tc>
          <w:tcPr>
            <w:tcW w:w="1500" w:type="dxa"/>
            <w:tcMar>
              <w:top w:w="100" w:type="dxa"/>
              <w:left w:w="100" w:type="dxa"/>
              <w:bottom w:w="100" w:type="dxa"/>
              <w:right w:w="100" w:type="dxa"/>
            </w:tcMar>
          </w:tcPr>
          <w:p w14:paraId="2FA351E2" w14:textId="77777777" w:rsidR="00805A67" w:rsidRPr="00183E46" w:rsidRDefault="00000000">
            <w:pPr>
              <w:rPr>
                <w:rFonts w:ascii="Arial" w:hAnsi="Arial" w:cs="Arial"/>
              </w:rPr>
            </w:pPr>
            <w:r w:rsidRPr="00183E46">
              <w:rPr>
                <w:rFonts w:ascii="Arial" w:hAnsi="Arial" w:cs="Arial"/>
              </w:rPr>
              <w:t>3</w:t>
            </w:r>
          </w:p>
        </w:tc>
        <w:tc>
          <w:tcPr>
            <w:tcW w:w="4500" w:type="dxa"/>
            <w:tcMar>
              <w:top w:w="100" w:type="dxa"/>
              <w:left w:w="100" w:type="dxa"/>
              <w:bottom w:w="100" w:type="dxa"/>
              <w:right w:w="100" w:type="dxa"/>
            </w:tcMar>
          </w:tcPr>
          <w:p w14:paraId="278908EB" w14:textId="77777777" w:rsidR="00805A67" w:rsidRPr="00183E46" w:rsidRDefault="00000000">
            <w:pPr>
              <w:rPr>
                <w:rFonts w:ascii="Arial" w:hAnsi="Arial" w:cs="Arial"/>
              </w:rPr>
            </w:pPr>
            <w:r w:rsidRPr="00183E46">
              <w:rPr>
                <w:rFonts w:ascii="Arial" w:hAnsi="Arial" w:cs="Arial"/>
              </w:rPr>
              <w:t>Head of Secure Development</w:t>
            </w:r>
          </w:p>
        </w:tc>
        <w:tc>
          <w:tcPr>
            <w:tcW w:w="2500" w:type="dxa"/>
            <w:tcMar>
              <w:top w:w="100" w:type="dxa"/>
              <w:left w:w="100" w:type="dxa"/>
              <w:bottom w:w="100" w:type="dxa"/>
              <w:right w:w="100" w:type="dxa"/>
            </w:tcMar>
          </w:tcPr>
          <w:p w14:paraId="4F27F397" w14:textId="77777777" w:rsidR="00805A67" w:rsidRPr="00183E46" w:rsidRDefault="00000000">
            <w:pPr>
              <w:rPr>
                <w:rFonts w:ascii="Arial" w:hAnsi="Arial" w:cs="Arial"/>
              </w:rPr>
            </w:pPr>
            <w:r w:rsidRPr="00183E46">
              <w:rPr>
                <w:rFonts w:ascii="Arial" w:hAnsi="Arial" w:cs="Arial"/>
              </w:rPr>
              <w:t>CISO</w:t>
            </w:r>
          </w:p>
        </w:tc>
      </w:tr>
    </w:tbl>
    <w:p w14:paraId="2DDD1079" w14:textId="77777777" w:rsidR="00805A67" w:rsidRPr="00183E46" w:rsidRDefault="00805A67">
      <w:pPr>
        <w:spacing w:before="300" w:after="200"/>
        <w:rPr>
          <w:rFonts w:ascii="Arial" w:hAnsi="Arial" w:cs="Arial"/>
        </w:rPr>
      </w:pPr>
    </w:p>
    <w:p w14:paraId="14CDCA73" w14:textId="77777777" w:rsidR="00805A67" w:rsidRPr="00183E46" w:rsidRDefault="00000000">
      <w:pPr>
        <w:spacing w:before="200" w:after="200"/>
        <w:jc w:val="center"/>
        <w:rPr>
          <w:rFonts w:ascii="Arial" w:hAnsi="Arial" w:cs="Arial"/>
        </w:rPr>
      </w:pPr>
      <w:r w:rsidRPr="00183E46">
        <w:rPr>
          <w:rFonts w:ascii="Arial" w:hAnsi="Arial" w:cs="Arial"/>
          <w:noProof/>
        </w:rPr>
        <w:lastRenderedPageBreak/>
        <w:drawing>
          <wp:inline distT="0" distB="0" distL="0" distR="0" wp14:anchorId="131BC662" wp14:editId="2B9668E8">
            <wp:extent cx="4381500" cy="2428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381500" cy="2428875"/>
                    </a:xfrm>
                    <a:prstGeom prst="rect">
                      <a:avLst/>
                    </a:prstGeom>
                  </pic:spPr>
                </pic:pic>
              </a:graphicData>
            </a:graphic>
          </wp:inline>
        </w:drawing>
      </w:r>
    </w:p>
    <w:p w14:paraId="35DC651C" w14:textId="148C0D70" w:rsidR="00805A67" w:rsidRPr="00183E46" w:rsidRDefault="00000000">
      <w:pPr>
        <w:pStyle w:val="Heading2"/>
        <w:spacing w:before="300" w:after="150"/>
        <w:rPr>
          <w:rFonts w:ascii="Arial" w:hAnsi="Arial" w:cs="Arial"/>
        </w:rPr>
      </w:pPr>
      <w:bookmarkStart w:id="10" w:name="_Toc236388716"/>
      <w:r w:rsidRPr="00183E46">
        <w:rPr>
          <w:rFonts w:ascii="Arial" w:hAnsi="Arial" w:cs="Arial"/>
        </w:rPr>
        <w:t>2.2 Policies and Procedures</w:t>
      </w:r>
      <w:bookmarkEnd w:id="10"/>
      <w:r w:rsidRPr="00183E46">
        <w:rPr>
          <w:rFonts w:ascii="Arial" w:hAnsi="Arial" w:cs="Arial"/>
        </w:rPr>
        <w:t xml:space="preserve"> </w:t>
      </w:r>
    </w:p>
    <w:p w14:paraId="631FBA03" w14:textId="702ACE95" w:rsidR="00805A67" w:rsidRPr="00183E46" w:rsidRDefault="00000000">
      <w:pPr>
        <w:spacing w:after="200" w:line="276" w:lineRule="auto"/>
        <w:rPr>
          <w:rFonts w:ascii="Arial" w:hAnsi="Arial" w:cs="Arial"/>
        </w:rPr>
      </w:pPr>
      <w:r w:rsidRPr="00183E46">
        <w:rPr>
          <w:rFonts w:ascii="Arial" w:hAnsi="Arial" w:cs="Arial"/>
        </w:rPr>
        <w:t xml:space="preserve">Formalised, measurable policies are required in four areas directly implicated in the breach. First, a patch management policy should mandate remediation timelines proportionate to severity </w:t>
      </w:r>
      <w:r w:rsidR="002824F3">
        <w:rPr>
          <w:rFonts w:ascii="Arial" w:hAnsi="Arial" w:cs="Arial"/>
        </w:rPr>
        <w:t>-</w:t>
      </w:r>
      <w:r w:rsidRPr="00183E46">
        <w:rPr>
          <w:rFonts w:ascii="Arial" w:hAnsi="Arial" w:cs="Arial"/>
        </w:rPr>
        <w:t xml:space="preserve"> for example, critical vulnerabilities with an available exploit patched within 72 hours </w:t>
      </w:r>
      <w:r w:rsidR="002824F3">
        <w:rPr>
          <w:rFonts w:ascii="Arial" w:hAnsi="Arial" w:cs="Arial"/>
        </w:rPr>
        <w:t>-</w:t>
      </w:r>
      <w:r w:rsidRPr="00183E46">
        <w:rPr>
          <w:rFonts w:ascii="Arial" w:hAnsi="Arial" w:cs="Arial"/>
        </w:rPr>
        <w:t xml:space="preserve"> with compliance tracked through automated reporting rather than manual sign-off. Second, an asset visibility policy should require a continuously updated inventory of all internet-facing systems and software dependencies, since Equifax's failure stemmed partly from incomplete awareness of where the vulnerable Struts component was deployed. Third, a secure software development lifecycle (SSDLC) policy should mandate dependency scanning and security testing at each release stage, preventing known-vulnerable components from reaching production. Fourth, a data protection policy should classify sensitive data (such as Social Security numbers) and mandate encryption both at rest and in transit, alongside access controls restricting exposure to only those systems with a legitimate business need.</w:t>
      </w:r>
    </w:p>
    <w:tbl>
      <w:tblPr>
        <w:tblW w:w="8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3800"/>
        <w:gridCol w:w="2700"/>
      </w:tblGrid>
      <w:tr w:rsidR="00805A67" w:rsidRPr="00183E46" w14:paraId="33082C63" w14:textId="77777777">
        <w:tblPrEx>
          <w:tblCellMar>
            <w:top w:w="0" w:type="dxa"/>
            <w:bottom w:w="0" w:type="dxa"/>
          </w:tblCellMar>
        </w:tblPrEx>
        <w:trPr>
          <w:tblHeader/>
        </w:trPr>
        <w:tc>
          <w:tcPr>
            <w:tcW w:w="2200" w:type="dxa"/>
            <w:shd w:val="clear" w:color="auto" w:fill="D9E2F3"/>
            <w:tcMar>
              <w:top w:w="100" w:type="dxa"/>
              <w:left w:w="100" w:type="dxa"/>
              <w:bottom w:w="100" w:type="dxa"/>
              <w:right w:w="100" w:type="dxa"/>
            </w:tcMar>
          </w:tcPr>
          <w:p w14:paraId="532FF2EF" w14:textId="77777777" w:rsidR="00805A67" w:rsidRPr="00183E46" w:rsidRDefault="00000000">
            <w:pPr>
              <w:rPr>
                <w:rFonts w:ascii="Arial" w:hAnsi="Arial" w:cs="Arial"/>
              </w:rPr>
            </w:pPr>
            <w:r w:rsidRPr="00183E46">
              <w:rPr>
                <w:rFonts w:ascii="Arial" w:hAnsi="Arial" w:cs="Arial"/>
                <w:b/>
                <w:bCs/>
              </w:rPr>
              <w:t>Policy Area</w:t>
            </w:r>
          </w:p>
        </w:tc>
        <w:tc>
          <w:tcPr>
            <w:tcW w:w="3800" w:type="dxa"/>
            <w:shd w:val="clear" w:color="auto" w:fill="D9E2F3"/>
            <w:tcMar>
              <w:top w:w="100" w:type="dxa"/>
              <w:left w:w="100" w:type="dxa"/>
              <w:bottom w:w="100" w:type="dxa"/>
              <w:right w:w="100" w:type="dxa"/>
            </w:tcMar>
          </w:tcPr>
          <w:p w14:paraId="71879F9A" w14:textId="77777777" w:rsidR="00805A67" w:rsidRPr="00183E46" w:rsidRDefault="00000000">
            <w:pPr>
              <w:rPr>
                <w:rFonts w:ascii="Arial" w:hAnsi="Arial" w:cs="Arial"/>
              </w:rPr>
            </w:pPr>
            <w:r w:rsidRPr="00183E46">
              <w:rPr>
                <w:rFonts w:ascii="Arial" w:hAnsi="Arial" w:cs="Arial"/>
                <w:b/>
                <w:bCs/>
              </w:rPr>
              <w:t>Requirement</w:t>
            </w:r>
          </w:p>
        </w:tc>
        <w:tc>
          <w:tcPr>
            <w:tcW w:w="2700" w:type="dxa"/>
            <w:shd w:val="clear" w:color="auto" w:fill="D9E2F3"/>
            <w:tcMar>
              <w:top w:w="100" w:type="dxa"/>
              <w:left w:w="100" w:type="dxa"/>
              <w:bottom w:w="100" w:type="dxa"/>
              <w:right w:w="100" w:type="dxa"/>
            </w:tcMar>
          </w:tcPr>
          <w:p w14:paraId="7B02BC8B" w14:textId="77777777" w:rsidR="00805A67" w:rsidRPr="00183E46" w:rsidRDefault="00000000">
            <w:pPr>
              <w:rPr>
                <w:rFonts w:ascii="Arial" w:hAnsi="Arial" w:cs="Arial"/>
              </w:rPr>
            </w:pPr>
            <w:r w:rsidRPr="00183E46">
              <w:rPr>
                <w:rFonts w:ascii="Arial" w:hAnsi="Arial" w:cs="Arial"/>
                <w:b/>
                <w:bCs/>
              </w:rPr>
              <w:t>Metric</w:t>
            </w:r>
          </w:p>
        </w:tc>
      </w:tr>
      <w:tr w:rsidR="00805A67" w:rsidRPr="00183E46" w14:paraId="544E93AD" w14:textId="77777777">
        <w:tblPrEx>
          <w:tblCellMar>
            <w:top w:w="0" w:type="dxa"/>
            <w:bottom w:w="0" w:type="dxa"/>
          </w:tblCellMar>
        </w:tblPrEx>
        <w:tc>
          <w:tcPr>
            <w:tcW w:w="2200" w:type="dxa"/>
            <w:tcMar>
              <w:top w:w="100" w:type="dxa"/>
              <w:left w:w="100" w:type="dxa"/>
              <w:bottom w:w="100" w:type="dxa"/>
              <w:right w:w="100" w:type="dxa"/>
            </w:tcMar>
          </w:tcPr>
          <w:p w14:paraId="5B9BB099" w14:textId="77777777" w:rsidR="00805A67" w:rsidRPr="00183E46" w:rsidRDefault="00000000">
            <w:pPr>
              <w:rPr>
                <w:rFonts w:ascii="Arial" w:hAnsi="Arial" w:cs="Arial"/>
              </w:rPr>
            </w:pPr>
            <w:r w:rsidRPr="00183E46">
              <w:rPr>
                <w:rFonts w:ascii="Arial" w:hAnsi="Arial" w:cs="Arial"/>
              </w:rPr>
              <w:t>Patch Management</w:t>
            </w:r>
          </w:p>
        </w:tc>
        <w:tc>
          <w:tcPr>
            <w:tcW w:w="3800" w:type="dxa"/>
            <w:tcMar>
              <w:top w:w="100" w:type="dxa"/>
              <w:left w:w="100" w:type="dxa"/>
              <w:bottom w:w="100" w:type="dxa"/>
              <w:right w:w="100" w:type="dxa"/>
            </w:tcMar>
          </w:tcPr>
          <w:p w14:paraId="7ED2C73A" w14:textId="77777777" w:rsidR="00805A67" w:rsidRPr="00183E46" w:rsidRDefault="00000000">
            <w:pPr>
              <w:rPr>
                <w:rFonts w:ascii="Arial" w:hAnsi="Arial" w:cs="Arial"/>
              </w:rPr>
            </w:pPr>
            <w:r w:rsidRPr="00183E46">
              <w:rPr>
                <w:rFonts w:ascii="Arial" w:hAnsi="Arial" w:cs="Arial"/>
              </w:rPr>
              <w:t>Critical patches applied within 72 hours</w:t>
            </w:r>
          </w:p>
        </w:tc>
        <w:tc>
          <w:tcPr>
            <w:tcW w:w="2700" w:type="dxa"/>
            <w:tcMar>
              <w:top w:w="100" w:type="dxa"/>
              <w:left w:w="100" w:type="dxa"/>
              <w:bottom w:w="100" w:type="dxa"/>
              <w:right w:w="100" w:type="dxa"/>
            </w:tcMar>
          </w:tcPr>
          <w:p w14:paraId="7732009E" w14:textId="77777777" w:rsidR="00805A67" w:rsidRPr="00183E46" w:rsidRDefault="00000000">
            <w:pPr>
              <w:rPr>
                <w:rFonts w:ascii="Arial" w:hAnsi="Arial" w:cs="Arial"/>
              </w:rPr>
            </w:pPr>
            <w:r w:rsidRPr="00183E46">
              <w:rPr>
                <w:rFonts w:ascii="Arial" w:hAnsi="Arial" w:cs="Arial"/>
              </w:rPr>
              <w:t>% patched within SLA</w:t>
            </w:r>
          </w:p>
        </w:tc>
      </w:tr>
      <w:tr w:rsidR="00805A67" w:rsidRPr="00183E46" w14:paraId="1A9239F5" w14:textId="77777777">
        <w:tblPrEx>
          <w:tblCellMar>
            <w:top w:w="0" w:type="dxa"/>
            <w:bottom w:w="0" w:type="dxa"/>
          </w:tblCellMar>
        </w:tblPrEx>
        <w:tc>
          <w:tcPr>
            <w:tcW w:w="2200" w:type="dxa"/>
            <w:tcMar>
              <w:top w:w="100" w:type="dxa"/>
              <w:left w:w="100" w:type="dxa"/>
              <w:bottom w:w="100" w:type="dxa"/>
              <w:right w:w="100" w:type="dxa"/>
            </w:tcMar>
          </w:tcPr>
          <w:p w14:paraId="65842B70" w14:textId="77777777" w:rsidR="00805A67" w:rsidRPr="00183E46" w:rsidRDefault="00000000">
            <w:pPr>
              <w:rPr>
                <w:rFonts w:ascii="Arial" w:hAnsi="Arial" w:cs="Arial"/>
              </w:rPr>
            </w:pPr>
            <w:r w:rsidRPr="00183E46">
              <w:rPr>
                <w:rFonts w:ascii="Arial" w:hAnsi="Arial" w:cs="Arial"/>
              </w:rPr>
              <w:t>Asset Visibility</w:t>
            </w:r>
          </w:p>
        </w:tc>
        <w:tc>
          <w:tcPr>
            <w:tcW w:w="3800" w:type="dxa"/>
            <w:tcMar>
              <w:top w:w="100" w:type="dxa"/>
              <w:left w:w="100" w:type="dxa"/>
              <w:bottom w:w="100" w:type="dxa"/>
              <w:right w:w="100" w:type="dxa"/>
            </w:tcMar>
          </w:tcPr>
          <w:p w14:paraId="1A834E7E" w14:textId="77777777" w:rsidR="00805A67" w:rsidRPr="00183E46" w:rsidRDefault="00000000">
            <w:pPr>
              <w:rPr>
                <w:rFonts w:ascii="Arial" w:hAnsi="Arial" w:cs="Arial"/>
              </w:rPr>
            </w:pPr>
            <w:r w:rsidRPr="00183E46">
              <w:rPr>
                <w:rFonts w:ascii="Arial" w:hAnsi="Arial" w:cs="Arial"/>
              </w:rPr>
              <w:t>Real-time inventory of internet-facing assets</w:t>
            </w:r>
          </w:p>
        </w:tc>
        <w:tc>
          <w:tcPr>
            <w:tcW w:w="2700" w:type="dxa"/>
            <w:tcMar>
              <w:top w:w="100" w:type="dxa"/>
              <w:left w:w="100" w:type="dxa"/>
              <w:bottom w:w="100" w:type="dxa"/>
              <w:right w:w="100" w:type="dxa"/>
            </w:tcMar>
          </w:tcPr>
          <w:p w14:paraId="3A66F358" w14:textId="77777777" w:rsidR="00805A67" w:rsidRPr="00183E46" w:rsidRDefault="00000000">
            <w:pPr>
              <w:rPr>
                <w:rFonts w:ascii="Arial" w:hAnsi="Arial" w:cs="Arial"/>
              </w:rPr>
            </w:pPr>
            <w:r w:rsidRPr="00183E46">
              <w:rPr>
                <w:rFonts w:ascii="Arial" w:hAnsi="Arial" w:cs="Arial"/>
              </w:rPr>
              <w:t>Coverage % of scanned assets</w:t>
            </w:r>
          </w:p>
        </w:tc>
      </w:tr>
      <w:tr w:rsidR="00805A67" w:rsidRPr="00183E46" w14:paraId="340AF927" w14:textId="77777777">
        <w:tblPrEx>
          <w:tblCellMar>
            <w:top w:w="0" w:type="dxa"/>
            <w:bottom w:w="0" w:type="dxa"/>
          </w:tblCellMar>
        </w:tblPrEx>
        <w:tc>
          <w:tcPr>
            <w:tcW w:w="2200" w:type="dxa"/>
            <w:tcMar>
              <w:top w:w="100" w:type="dxa"/>
              <w:left w:w="100" w:type="dxa"/>
              <w:bottom w:w="100" w:type="dxa"/>
              <w:right w:w="100" w:type="dxa"/>
            </w:tcMar>
          </w:tcPr>
          <w:p w14:paraId="76C62E50" w14:textId="77777777" w:rsidR="00805A67" w:rsidRPr="00183E46" w:rsidRDefault="00000000">
            <w:pPr>
              <w:rPr>
                <w:rFonts w:ascii="Arial" w:hAnsi="Arial" w:cs="Arial"/>
              </w:rPr>
            </w:pPr>
            <w:r w:rsidRPr="00183E46">
              <w:rPr>
                <w:rFonts w:ascii="Arial" w:hAnsi="Arial" w:cs="Arial"/>
              </w:rPr>
              <w:t>Secure Development</w:t>
            </w:r>
          </w:p>
        </w:tc>
        <w:tc>
          <w:tcPr>
            <w:tcW w:w="3800" w:type="dxa"/>
            <w:tcMar>
              <w:top w:w="100" w:type="dxa"/>
              <w:left w:w="100" w:type="dxa"/>
              <w:bottom w:w="100" w:type="dxa"/>
              <w:right w:w="100" w:type="dxa"/>
            </w:tcMar>
          </w:tcPr>
          <w:p w14:paraId="2BEBA9C0" w14:textId="77777777" w:rsidR="00805A67" w:rsidRPr="00183E46" w:rsidRDefault="00000000">
            <w:pPr>
              <w:rPr>
                <w:rFonts w:ascii="Arial" w:hAnsi="Arial" w:cs="Arial"/>
              </w:rPr>
            </w:pPr>
            <w:r w:rsidRPr="00183E46">
              <w:rPr>
                <w:rFonts w:ascii="Arial" w:hAnsi="Arial" w:cs="Arial"/>
              </w:rPr>
              <w:t>Dependency scanning at build stage</w:t>
            </w:r>
          </w:p>
        </w:tc>
        <w:tc>
          <w:tcPr>
            <w:tcW w:w="2700" w:type="dxa"/>
            <w:tcMar>
              <w:top w:w="100" w:type="dxa"/>
              <w:left w:w="100" w:type="dxa"/>
              <w:bottom w:w="100" w:type="dxa"/>
              <w:right w:w="100" w:type="dxa"/>
            </w:tcMar>
          </w:tcPr>
          <w:p w14:paraId="0ADBF9CE" w14:textId="77777777" w:rsidR="00805A67" w:rsidRPr="00183E46" w:rsidRDefault="00000000">
            <w:pPr>
              <w:rPr>
                <w:rFonts w:ascii="Arial" w:hAnsi="Arial" w:cs="Arial"/>
              </w:rPr>
            </w:pPr>
            <w:r w:rsidRPr="00183E46">
              <w:rPr>
                <w:rFonts w:ascii="Arial" w:hAnsi="Arial" w:cs="Arial"/>
              </w:rPr>
              <w:t># of known-vulnerable components in production</w:t>
            </w:r>
          </w:p>
        </w:tc>
      </w:tr>
      <w:tr w:rsidR="00805A67" w:rsidRPr="00183E46" w14:paraId="3A877659" w14:textId="77777777">
        <w:tblPrEx>
          <w:tblCellMar>
            <w:top w:w="0" w:type="dxa"/>
            <w:bottom w:w="0" w:type="dxa"/>
          </w:tblCellMar>
        </w:tblPrEx>
        <w:tc>
          <w:tcPr>
            <w:tcW w:w="2200" w:type="dxa"/>
            <w:tcMar>
              <w:top w:w="100" w:type="dxa"/>
              <w:left w:w="100" w:type="dxa"/>
              <w:bottom w:w="100" w:type="dxa"/>
              <w:right w:w="100" w:type="dxa"/>
            </w:tcMar>
          </w:tcPr>
          <w:p w14:paraId="2405122E" w14:textId="77777777" w:rsidR="00805A67" w:rsidRPr="00183E46" w:rsidRDefault="00000000">
            <w:pPr>
              <w:rPr>
                <w:rFonts w:ascii="Arial" w:hAnsi="Arial" w:cs="Arial"/>
              </w:rPr>
            </w:pPr>
            <w:r w:rsidRPr="00183E46">
              <w:rPr>
                <w:rFonts w:ascii="Arial" w:hAnsi="Arial" w:cs="Arial"/>
              </w:rPr>
              <w:t>Data Protection</w:t>
            </w:r>
          </w:p>
        </w:tc>
        <w:tc>
          <w:tcPr>
            <w:tcW w:w="3800" w:type="dxa"/>
            <w:tcMar>
              <w:top w:w="100" w:type="dxa"/>
              <w:left w:w="100" w:type="dxa"/>
              <w:bottom w:w="100" w:type="dxa"/>
              <w:right w:w="100" w:type="dxa"/>
            </w:tcMar>
          </w:tcPr>
          <w:p w14:paraId="71972D59" w14:textId="77777777" w:rsidR="00805A67" w:rsidRPr="00183E46" w:rsidRDefault="00000000">
            <w:pPr>
              <w:rPr>
                <w:rFonts w:ascii="Arial" w:hAnsi="Arial" w:cs="Arial"/>
              </w:rPr>
            </w:pPr>
            <w:r w:rsidRPr="00183E46">
              <w:rPr>
                <w:rFonts w:ascii="Arial" w:hAnsi="Arial" w:cs="Arial"/>
              </w:rPr>
              <w:t>Encryption of sensitive data at rest/in transit</w:t>
            </w:r>
          </w:p>
        </w:tc>
        <w:tc>
          <w:tcPr>
            <w:tcW w:w="2700" w:type="dxa"/>
            <w:tcMar>
              <w:top w:w="100" w:type="dxa"/>
              <w:left w:w="100" w:type="dxa"/>
              <w:bottom w:w="100" w:type="dxa"/>
              <w:right w:w="100" w:type="dxa"/>
            </w:tcMar>
          </w:tcPr>
          <w:p w14:paraId="4FB3A9D7" w14:textId="77777777" w:rsidR="00805A67" w:rsidRPr="00183E46" w:rsidRDefault="00000000">
            <w:pPr>
              <w:rPr>
                <w:rFonts w:ascii="Arial" w:hAnsi="Arial" w:cs="Arial"/>
              </w:rPr>
            </w:pPr>
            <w:r w:rsidRPr="00183E46">
              <w:rPr>
                <w:rFonts w:ascii="Arial" w:hAnsi="Arial" w:cs="Arial"/>
              </w:rPr>
              <w:t>% of sensitive datasets encrypted</w:t>
            </w:r>
          </w:p>
        </w:tc>
      </w:tr>
    </w:tbl>
    <w:p w14:paraId="79D3F49E" w14:textId="77777777" w:rsidR="00805A67" w:rsidRPr="00183E46" w:rsidRDefault="00805A67">
      <w:pPr>
        <w:spacing w:before="300" w:after="200"/>
        <w:rPr>
          <w:rFonts w:ascii="Arial" w:hAnsi="Arial" w:cs="Arial"/>
        </w:rPr>
      </w:pPr>
    </w:p>
    <w:p w14:paraId="535C4BC1" w14:textId="3DD0F634" w:rsidR="00805A67" w:rsidRPr="00183E46" w:rsidRDefault="00000000">
      <w:pPr>
        <w:spacing w:after="200" w:line="276" w:lineRule="auto"/>
        <w:rPr>
          <w:rFonts w:ascii="Arial" w:hAnsi="Arial" w:cs="Arial"/>
        </w:rPr>
      </w:pPr>
      <w:r w:rsidRPr="00183E46">
        <w:rPr>
          <w:rFonts w:ascii="Arial" w:hAnsi="Arial" w:cs="Arial"/>
        </w:rPr>
        <w:t xml:space="preserve">Each policy is designed to be auditable, allowing the CISO to report compliance metrics to the Board as part of routine governance reporting, rather than relying on informal assurance. Structuring these policies around the control domains of ISO/IEC 27001 </w:t>
      </w:r>
      <w:r w:rsidR="002824F3">
        <w:rPr>
          <w:rFonts w:ascii="Arial" w:hAnsi="Arial" w:cs="Arial"/>
        </w:rPr>
        <w:t>-</w:t>
      </w:r>
      <w:r w:rsidRPr="00183E46">
        <w:rPr>
          <w:rFonts w:ascii="Arial" w:hAnsi="Arial" w:cs="Arial"/>
        </w:rPr>
        <w:t xml:space="preserve"> asset management, access control and operational security </w:t>
      </w:r>
      <w:r w:rsidR="002824F3">
        <w:rPr>
          <w:rFonts w:ascii="Arial" w:hAnsi="Arial" w:cs="Arial"/>
        </w:rPr>
        <w:t>-</w:t>
      </w:r>
      <w:r w:rsidRPr="00183E46">
        <w:rPr>
          <w:rFonts w:ascii="Arial" w:hAnsi="Arial" w:cs="Arial"/>
        </w:rPr>
        <w:t xml:space="preserve"> further ensures that the programme aligns with an internationally recognised, certifiable information security management system rather than an internally invented set of controls [15].</w:t>
      </w:r>
    </w:p>
    <w:p w14:paraId="16D31CC8" w14:textId="0BA12AE5" w:rsidR="00805A67" w:rsidRPr="00183E46" w:rsidRDefault="00000000">
      <w:pPr>
        <w:pStyle w:val="Heading2"/>
        <w:spacing w:before="300" w:after="150"/>
        <w:rPr>
          <w:rFonts w:ascii="Arial" w:hAnsi="Arial" w:cs="Arial"/>
        </w:rPr>
      </w:pPr>
      <w:bookmarkStart w:id="11" w:name="_Toc236388717"/>
      <w:r w:rsidRPr="00183E46">
        <w:rPr>
          <w:rFonts w:ascii="Arial" w:hAnsi="Arial" w:cs="Arial"/>
        </w:rPr>
        <w:t>2.3 Governance and Strategic Alignment</w:t>
      </w:r>
      <w:bookmarkEnd w:id="11"/>
      <w:r w:rsidRPr="00183E46">
        <w:rPr>
          <w:rFonts w:ascii="Arial" w:hAnsi="Arial" w:cs="Arial"/>
        </w:rPr>
        <w:t xml:space="preserve"> </w:t>
      </w:r>
    </w:p>
    <w:p w14:paraId="3C03ED30" w14:textId="3742F23B" w:rsidR="00805A67" w:rsidRPr="00183E46" w:rsidRDefault="00000000">
      <w:pPr>
        <w:spacing w:after="200" w:line="276" w:lineRule="auto"/>
        <w:rPr>
          <w:rFonts w:ascii="Arial" w:hAnsi="Arial" w:cs="Arial"/>
        </w:rPr>
      </w:pPr>
      <w:r w:rsidRPr="00183E46">
        <w:rPr>
          <w:rFonts w:ascii="Arial" w:hAnsi="Arial" w:cs="Arial"/>
        </w:rPr>
        <w:lastRenderedPageBreak/>
        <w:t xml:space="preserve">The NIST Cybersecurity Framework 2.0 provides a suitable structure for aligning security strategy with business objectives, since it explicitly incorporates a “Govern” function alongside Identify, Protect, Detect, Respond and Recover </w:t>
      </w:r>
      <w:sdt>
        <w:sdtPr>
          <w:rPr>
            <w:rFonts w:ascii="Arial" w:hAnsi="Arial" w:cs="Arial"/>
          </w:rPr>
          <w:id w:val="-660535220"/>
          <w:citation/>
        </w:sdtPr>
        <w:sdtContent>
          <w:r w:rsidR="002824F3">
            <w:rPr>
              <w:rFonts w:ascii="Arial" w:hAnsi="Arial" w:cs="Arial"/>
            </w:rPr>
            <w:fldChar w:fldCharType="begin"/>
          </w:r>
          <w:r w:rsidR="002824F3">
            <w:rPr>
              <w:rFonts w:ascii="Arial" w:hAnsi="Arial" w:cs="Arial"/>
              <w:lang w:val="en-US"/>
            </w:rPr>
            <w:instrText xml:space="preserve"> CITATION CPa24 \l 1033 </w:instrText>
          </w:r>
          <w:r w:rsidR="002824F3">
            <w:rPr>
              <w:rFonts w:ascii="Arial" w:hAnsi="Arial" w:cs="Arial"/>
            </w:rPr>
            <w:fldChar w:fldCharType="separate"/>
          </w:r>
          <w:r w:rsidR="002824F3" w:rsidRPr="002824F3">
            <w:rPr>
              <w:rFonts w:ascii="Arial" w:hAnsi="Arial" w:cs="Arial"/>
              <w:noProof/>
              <w:lang w:val="en-US"/>
            </w:rPr>
            <w:t>[14]</w:t>
          </w:r>
          <w:r w:rsidR="002824F3">
            <w:rPr>
              <w:rFonts w:ascii="Arial" w:hAnsi="Arial" w:cs="Arial"/>
            </w:rPr>
            <w:fldChar w:fldCharType="end"/>
          </w:r>
        </w:sdtContent>
      </w:sdt>
      <w:r w:rsidRPr="00183E46">
        <w:rPr>
          <w:rFonts w:ascii="Arial" w:hAnsi="Arial" w:cs="Arial"/>
        </w:rPr>
        <w:t>. Applied to Equifax, “Govern” would establish the board-level accountability discussed in Section 2.1; “Identify” would require the asset inventory discussed in Section 2.2; “Protect” would encompass patching and access controls; “Detect” would require continuous monitoring capable of identifying anomalous data exfiltration, which in the actual breach went unnoticed for over two months; “Respond” would define incident escalation procedures; and “Recover” would ensure business continuity and post-incident review. Framing the response strategy around a recognised framework rather than an ad hoc set of controls demonstrates clear linkage between technical security measures and long-term organisational resilience, since each function maps directly to a governance or business continuity objective rather than existing as an isolated technical control.</w:t>
      </w:r>
    </w:p>
    <w:p w14:paraId="7DAF1DAE" w14:textId="77777777" w:rsidR="00805A67" w:rsidRPr="00183E46" w:rsidRDefault="00000000">
      <w:pPr>
        <w:spacing w:before="200" w:after="200"/>
        <w:jc w:val="center"/>
        <w:rPr>
          <w:rFonts w:ascii="Arial" w:hAnsi="Arial" w:cs="Arial"/>
        </w:rPr>
      </w:pPr>
      <w:r w:rsidRPr="00183E46">
        <w:rPr>
          <w:rFonts w:ascii="Arial" w:hAnsi="Arial" w:cs="Arial"/>
          <w:noProof/>
        </w:rPr>
        <w:drawing>
          <wp:inline distT="0" distB="0" distL="0" distR="0" wp14:anchorId="444354D0" wp14:editId="661982CE">
            <wp:extent cx="3238500" cy="3409950"/>
            <wp:effectExtent l="0" t="0" r="0" b="0"/>
            <wp:docPr id="146875906" name="Picture 146875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3238500" cy="3409950"/>
                    </a:xfrm>
                    <a:prstGeom prst="rect">
                      <a:avLst/>
                    </a:prstGeom>
                  </pic:spPr>
                </pic:pic>
              </a:graphicData>
            </a:graphic>
          </wp:inline>
        </w:drawing>
      </w:r>
    </w:p>
    <w:p w14:paraId="421294D8" w14:textId="02BA213F" w:rsidR="00805A67" w:rsidRPr="00183E46" w:rsidRDefault="00000000">
      <w:pPr>
        <w:pStyle w:val="Heading2"/>
        <w:spacing w:before="300" w:after="150"/>
        <w:rPr>
          <w:rFonts w:ascii="Arial" w:hAnsi="Arial" w:cs="Arial"/>
        </w:rPr>
      </w:pPr>
      <w:bookmarkStart w:id="12" w:name="_Toc236388718"/>
      <w:r w:rsidRPr="00183E46">
        <w:rPr>
          <w:rFonts w:ascii="Arial" w:hAnsi="Arial" w:cs="Arial"/>
        </w:rPr>
        <w:t>2.4 Risk Management and Assessment</w:t>
      </w:r>
      <w:bookmarkEnd w:id="12"/>
      <w:r w:rsidRPr="00183E46">
        <w:rPr>
          <w:rFonts w:ascii="Arial" w:hAnsi="Arial" w:cs="Arial"/>
        </w:rPr>
        <w:t xml:space="preserve"> </w:t>
      </w:r>
    </w:p>
    <w:p w14:paraId="5DE50D64" w14:textId="2357128A" w:rsidR="00805A67" w:rsidRPr="00183E46" w:rsidRDefault="00000000">
      <w:pPr>
        <w:spacing w:after="200" w:line="276" w:lineRule="auto"/>
        <w:rPr>
          <w:rFonts w:ascii="Arial" w:hAnsi="Arial" w:cs="Arial"/>
        </w:rPr>
      </w:pPr>
      <w:r w:rsidRPr="00183E46">
        <w:rPr>
          <w:rFonts w:ascii="Arial" w:hAnsi="Arial" w:cs="Arial"/>
        </w:rPr>
        <w:t xml:space="preserve">A high-level risk assessment applied to the Equifax scenario identifies several key vulnerabilities requiring prioritisation, drawing on the findings of the U.S. Government Accountability Office's post-incident review </w:t>
      </w:r>
      <w:sdt>
        <w:sdtPr>
          <w:rPr>
            <w:rFonts w:ascii="Arial" w:hAnsi="Arial" w:cs="Arial"/>
          </w:rPr>
          <w:id w:val="1990818550"/>
          <w:citation/>
        </w:sdtPr>
        <w:sdtContent>
          <w:r w:rsidR="002824F3">
            <w:rPr>
              <w:rFonts w:ascii="Arial" w:hAnsi="Arial" w:cs="Arial"/>
            </w:rPr>
            <w:fldChar w:fldCharType="begin"/>
          </w:r>
          <w:r w:rsidR="002824F3">
            <w:rPr>
              <w:rFonts w:ascii="Arial" w:hAnsi="Arial" w:cs="Arial"/>
              <w:lang w:val="en-US"/>
            </w:rPr>
            <w:instrText xml:space="preserve"> CITATION Dir22 \l 1033 </w:instrText>
          </w:r>
          <w:r w:rsidR="002824F3">
            <w:rPr>
              <w:rFonts w:ascii="Arial" w:hAnsi="Arial" w:cs="Arial"/>
            </w:rPr>
            <w:fldChar w:fldCharType="separate"/>
          </w:r>
          <w:r w:rsidR="002824F3" w:rsidRPr="002824F3">
            <w:rPr>
              <w:rFonts w:ascii="Arial" w:hAnsi="Arial" w:cs="Arial"/>
              <w:noProof/>
              <w:lang w:val="en-US"/>
            </w:rPr>
            <w:t>[10]</w:t>
          </w:r>
          <w:r w:rsidR="002824F3">
            <w:rPr>
              <w:rFonts w:ascii="Arial" w:hAnsi="Arial" w:cs="Arial"/>
            </w:rPr>
            <w:fldChar w:fldCharType="end"/>
          </w:r>
        </w:sdtContent>
      </w:sdt>
      <w:r w:rsidRPr="00183E46">
        <w:rPr>
          <w:rFonts w:ascii="Arial" w:hAnsi="Arial" w:cs="Arial"/>
        </w:rPr>
        <w:t>.</w:t>
      </w:r>
    </w:p>
    <w:tbl>
      <w:tblPr>
        <w:tblW w:w="8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00"/>
        <w:gridCol w:w="1600"/>
        <w:gridCol w:w="1600"/>
        <w:gridCol w:w="1500"/>
      </w:tblGrid>
      <w:tr w:rsidR="00805A67" w:rsidRPr="00183E46" w14:paraId="7B6924CE" w14:textId="77777777">
        <w:tblPrEx>
          <w:tblCellMar>
            <w:top w:w="0" w:type="dxa"/>
            <w:bottom w:w="0" w:type="dxa"/>
          </w:tblCellMar>
        </w:tblPrEx>
        <w:trPr>
          <w:tblHeader/>
        </w:trPr>
        <w:tc>
          <w:tcPr>
            <w:tcW w:w="4000" w:type="dxa"/>
            <w:shd w:val="clear" w:color="auto" w:fill="D9E2F3"/>
            <w:tcMar>
              <w:top w:w="100" w:type="dxa"/>
              <w:left w:w="100" w:type="dxa"/>
              <w:bottom w:w="100" w:type="dxa"/>
              <w:right w:w="100" w:type="dxa"/>
            </w:tcMar>
          </w:tcPr>
          <w:p w14:paraId="373F96E3" w14:textId="77777777" w:rsidR="00805A67" w:rsidRPr="00183E46" w:rsidRDefault="00000000">
            <w:pPr>
              <w:rPr>
                <w:rFonts w:ascii="Arial" w:hAnsi="Arial" w:cs="Arial"/>
              </w:rPr>
            </w:pPr>
            <w:r w:rsidRPr="00183E46">
              <w:rPr>
                <w:rFonts w:ascii="Arial" w:hAnsi="Arial" w:cs="Arial"/>
                <w:b/>
                <w:bCs/>
              </w:rPr>
              <w:t>Risk</w:t>
            </w:r>
          </w:p>
        </w:tc>
        <w:tc>
          <w:tcPr>
            <w:tcW w:w="1600" w:type="dxa"/>
            <w:shd w:val="clear" w:color="auto" w:fill="D9E2F3"/>
            <w:tcMar>
              <w:top w:w="100" w:type="dxa"/>
              <w:left w:w="100" w:type="dxa"/>
              <w:bottom w:w="100" w:type="dxa"/>
              <w:right w:w="100" w:type="dxa"/>
            </w:tcMar>
          </w:tcPr>
          <w:p w14:paraId="1D8C48FA" w14:textId="77777777" w:rsidR="00805A67" w:rsidRPr="00183E46" w:rsidRDefault="00000000">
            <w:pPr>
              <w:rPr>
                <w:rFonts w:ascii="Arial" w:hAnsi="Arial" w:cs="Arial"/>
              </w:rPr>
            </w:pPr>
            <w:r w:rsidRPr="00183E46">
              <w:rPr>
                <w:rFonts w:ascii="Arial" w:hAnsi="Arial" w:cs="Arial"/>
                <w:b/>
                <w:bCs/>
              </w:rPr>
              <w:t>Likelihood</w:t>
            </w:r>
          </w:p>
        </w:tc>
        <w:tc>
          <w:tcPr>
            <w:tcW w:w="1600" w:type="dxa"/>
            <w:shd w:val="clear" w:color="auto" w:fill="D9E2F3"/>
            <w:tcMar>
              <w:top w:w="100" w:type="dxa"/>
              <w:left w:w="100" w:type="dxa"/>
              <w:bottom w:w="100" w:type="dxa"/>
              <w:right w:w="100" w:type="dxa"/>
            </w:tcMar>
          </w:tcPr>
          <w:p w14:paraId="29D84F60" w14:textId="77777777" w:rsidR="00805A67" w:rsidRPr="00183E46" w:rsidRDefault="00000000">
            <w:pPr>
              <w:rPr>
                <w:rFonts w:ascii="Arial" w:hAnsi="Arial" w:cs="Arial"/>
              </w:rPr>
            </w:pPr>
            <w:r w:rsidRPr="00183E46">
              <w:rPr>
                <w:rFonts w:ascii="Arial" w:hAnsi="Arial" w:cs="Arial"/>
                <w:b/>
                <w:bCs/>
              </w:rPr>
              <w:t>Impact</w:t>
            </w:r>
          </w:p>
        </w:tc>
        <w:tc>
          <w:tcPr>
            <w:tcW w:w="1500" w:type="dxa"/>
            <w:shd w:val="clear" w:color="auto" w:fill="D9E2F3"/>
            <w:tcMar>
              <w:top w:w="100" w:type="dxa"/>
              <w:left w:w="100" w:type="dxa"/>
              <w:bottom w:w="100" w:type="dxa"/>
              <w:right w:w="100" w:type="dxa"/>
            </w:tcMar>
          </w:tcPr>
          <w:p w14:paraId="6A69E453" w14:textId="77777777" w:rsidR="00805A67" w:rsidRPr="00183E46" w:rsidRDefault="00000000">
            <w:pPr>
              <w:rPr>
                <w:rFonts w:ascii="Arial" w:hAnsi="Arial" w:cs="Arial"/>
              </w:rPr>
            </w:pPr>
            <w:r w:rsidRPr="00183E46">
              <w:rPr>
                <w:rFonts w:ascii="Arial" w:hAnsi="Arial" w:cs="Arial"/>
                <w:b/>
                <w:bCs/>
              </w:rPr>
              <w:t>Priority</w:t>
            </w:r>
          </w:p>
        </w:tc>
      </w:tr>
      <w:tr w:rsidR="00805A67" w:rsidRPr="00183E46" w14:paraId="6FFD59D7" w14:textId="77777777">
        <w:tblPrEx>
          <w:tblCellMar>
            <w:top w:w="0" w:type="dxa"/>
            <w:bottom w:w="0" w:type="dxa"/>
          </w:tblCellMar>
        </w:tblPrEx>
        <w:tc>
          <w:tcPr>
            <w:tcW w:w="4000" w:type="dxa"/>
            <w:tcMar>
              <w:top w:w="100" w:type="dxa"/>
              <w:left w:w="100" w:type="dxa"/>
              <w:bottom w:w="100" w:type="dxa"/>
              <w:right w:w="100" w:type="dxa"/>
            </w:tcMar>
          </w:tcPr>
          <w:p w14:paraId="0BB5FF2E" w14:textId="77777777" w:rsidR="00805A67" w:rsidRPr="00183E46" w:rsidRDefault="00000000">
            <w:pPr>
              <w:rPr>
                <w:rFonts w:ascii="Arial" w:hAnsi="Arial" w:cs="Arial"/>
              </w:rPr>
            </w:pPr>
            <w:r w:rsidRPr="00183E46">
              <w:rPr>
                <w:rFonts w:ascii="Arial" w:hAnsi="Arial" w:cs="Arial"/>
              </w:rPr>
              <w:t>Unpatched internet-facing vulnerability (Apache Struts)</w:t>
            </w:r>
          </w:p>
        </w:tc>
        <w:tc>
          <w:tcPr>
            <w:tcW w:w="1600" w:type="dxa"/>
            <w:tcMar>
              <w:top w:w="100" w:type="dxa"/>
              <w:left w:w="100" w:type="dxa"/>
              <w:bottom w:w="100" w:type="dxa"/>
              <w:right w:w="100" w:type="dxa"/>
            </w:tcMar>
          </w:tcPr>
          <w:p w14:paraId="600B436D" w14:textId="77777777" w:rsidR="00805A67" w:rsidRPr="00183E46" w:rsidRDefault="00000000">
            <w:pPr>
              <w:rPr>
                <w:rFonts w:ascii="Arial" w:hAnsi="Arial" w:cs="Arial"/>
              </w:rPr>
            </w:pPr>
            <w:r w:rsidRPr="00183E46">
              <w:rPr>
                <w:rFonts w:ascii="Arial" w:hAnsi="Arial" w:cs="Arial"/>
              </w:rPr>
              <w:t>High</w:t>
            </w:r>
          </w:p>
        </w:tc>
        <w:tc>
          <w:tcPr>
            <w:tcW w:w="1600" w:type="dxa"/>
            <w:tcMar>
              <w:top w:w="100" w:type="dxa"/>
              <w:left w:w="100" w:type="dxa"/>
              <w:bottom w:w="100" w:type="dxa"/>
              <w:right w:w="100" w:type="dxa"/>
            </w:tcMar>
          </w:tcPr>
          <w:p w14:paraId="2B26A3E3" w14:textId="77777777" w:rsidR="00805A67" w:rsidRPr="00183E46" w:rsidRDefault="00000000">
            <w:pPr>
              <w:rPr>
                <w:rFonts w:ascii="Arial" w:hAnsi="Arial" w:cs="Arial"/>
              </w:rPr>
            </w:pPr>
            <w:r w:rsidRPr="00183E46">
              <w:rPr>
                <w:rFonts w:ascii="Arial" w:hAnsi="Arial" w:cs="Arial"/>
              </w:rPr>
              <w:t>Critical</w:t>
            </w:r>
          </w:p>
        </w:tc>
        <w:tc>
          <w:tcPr>
            <w:tcW w:w="1500" w:type="dxa"/>
            <w:tcMar>
              <w:top w:w="100" w:type="dxa"/>
              <w:left w:w="100" w:type="dxa"/>
              <w:bottom w:w="100" w:type="dxa"/>
              <w:right w:w="100" w:type="dxa"/>
            </w:tcMar>
          </w:tcPr>
          <w:p w14:paraId="0469F58A" w14:textId="77777777" w:rsidR="00805A67" w:rsidRPr="00183E46" w:rsidRDefault="00000000">
            <w:pPr>
              <w:rPr>
                <w:rFonts w:ascii="Arial" w:hAnsi="Arial" w:cs="Arial"/>
              </w:rPr>
            </w:pPr>
            <w:r w:rsidRPr="00183E46">
              <w:rPr>
                <w:rFonts w:ascii="Arial" w:hAnsi="Arial" w:cs="Arial"/>
              </w:rPr>
              <w:t>1</w:t>
            </w:r>
          </w:p>
        </w:tc>
      </w:tr>
      <w:tr w:rsidR="00805A67" w:rsidRPr="00183E46" w14:paraId="2DF28B94" w14:textId="77777777">
        <w:tblPrEx>
          <w:tblCellMar>
            <w:top w:w="0" w:type="dxa"/>
            <w:bottom w:w="0" w:type="dxa"/>
          </w:tblCellMar>
        </w:tblPrEx>
        <w:tc>
          <w:tcPr>
            <w:tcW w:w="4000" w:type="dxa"/>
            <w:tcMar>
              <w:top w:w="100" w:type="dxa"/>
              <w:left w:w="100" w:type="dxa"/>
              <w:bottom w:w="100" w:type="dxa"/>
              <w:right w:w="100" w:type="dxa"/>
            </w:tcMar>
          </w:tcPr>
          <w:p w14:paraId="656C7B79" w14:textId="77777777" w:rsidR="00805A67" w:rsidRPr="00183E46" w:rsidRDefault="00000000">
            <w:pPr>
              <w:rPr>
                <w:rFonts w:ascii="Arial" w:hAnsi="Arial" w:cs="Arial"/>
              </w:rPr>
            </w:pPr>
            <w:r w:rsidRPr="00183E46">
              <w:rPr>
                <w:rFonts w:ascii="Arial" w:hAnsi="Arial" w:cs="Arial"/>
              </w:rPr>
              <w:t>Lack of network segmentation</w:t>
            </w:r>
          </w:p>
        </w:tc>
        <w:tc>
          <w:tcPr>
            <w:tcW w:w="1600" w:type="dxa"/>
            <w:tcMar>
              <w:top w:w="100" w:type="dxa"/>
              <w:left w:w="100" w:type="dxa"/>
              <w:bottom w:w="100" w:type="dxa"/>
              <w:right w:w="100" w:type="dxa"/>
            </w:tcMar>
          </w:tcPr>
          <w:p w14:paraId="0DC9C03B" w14:textId="77777777" w:rsidR="00805A67" w:rsidRPr="00183E46" w:rsidRDefault="00000000">
            <w:pPr>
              <w:rPr>
                <w:rFonts w:ascii="Arial" w:hAnsi="Arial" w:cs="Arial"/>
              </w:rPr>
            </w:pPr>
            <w:r w:rsidRPr="00183E46">
              <w:rPr>
                <w:rFonts w:ascii="Arial" w:hAnsi="Arial" w:cs="Arial"/>
              </w:rPr>
              <w:t>Medium</w:t>
            </w:r>
          </w:p>
        </w:tc>
        <w:tc>
          <w:tcPr>
            <w:tcW w:w="1600" w:type="dxa"/>
            <w:tcMar>
              <w:top w:w="100" w:type="dxa"/>
              <w:left w:w="100" w:type="dxa"/>
              <w:bottom w:w="100" w:type="dxa"/>
              <w:right w:w="100" w:type="dxa"/>
            </w:tcMar>
          </w:tcPr>
          <w:p w14:paraId="0FE040CC" w14:textId="77777777" w:rsidR="00805A67" w:rsidRPr="00183E46" w:rsidRDefault="00000000">
            <w:pPr>
              <w:rPr>
                <w:rFonts w:ascii="Arial" w:hAnsi="Arial" w:cs="Arial"/>
              </w:rPr>
            </w:pPr>
            <w:r w:rsidRPr="00183E46">
              <w:rPr>
                <w:rFonts w:ascii="Arial" w:hAnsi="Arial" w:cs="Arial"/>
              </w:rPr>
              <w:t>Critical</w:t>
            </w:r>
          </w:p>
        </w:tc>
        <w:tc>
          <w:tcPr>
            <w:tcW w:w="1500" w:type="dxa"/>
            <w:tcMar>
              <w:top w:w="100" w:type="dxa"/>
              <w:left w:w="100" w:type="dxa"/>
              <w:bottom w:w="100" w:type="dxa"/>
              <w:right w:w="100" w:type="dxa"/>
            </w:tcMar>
          </w:tcPr>
          <w:p w14:paraId="29228FC7" w14:textId="77777777" w:rsidR="00805A67" w:rsidRPr="00183E46" w:rsidRDefault="00000000">
            <w:pPr>
              <w:rPr>
                <w:rFonts w:ascii="Arial" w:hAnsi="Arial" w:cs="Arial"/>
              </w:rPr>
            </w:pPr>
            <w:r w:rsidRPr="00183E46">
              <w:rPr>
                <w:rFonts w:ascii="Arial" w:hAnsi="Arial" w:cs="Arial"/>
              </w:rPr>
              <w:t>2</w:t>
            </w:r>
          </w:p>
        </w:tc>
      </w:tr>
      <w:tr w:rsidR="00805A67" w:rsidRPr="00183E46" w14:paraId="0EB2E8C6" w14:textId="77777777">
        <w:tblPrEx>
          <w:tblCellMar>
            <w:top w:w="0" w:type="dxa"/>
            <w:bottom w:w="0" w:type="dxa"/>
          </w:tblCellMar>
        </w:tblPrEx>
        <w:tc>
          <w:tcPr>
            <w:tcW w:w="4000" w:type="dxa"/>
            <w:tcMar>
              <w:top w:w="100" w:type="dxa"/>
              <w:left w:w="100" w:type="dxa"/>
              <w:bottom w:w="100" w:type="dxa"/>
              <w:right w:w="100" w:type="dxa"/>
            </w:tcMar>
          </w:tcPr>
          <w:p w14:paraId="4CE16EC7" w14:textId="77777777" w:rsidR="00805A67" w:rsidRPr="00183E46" w:rsidRDefault="00000000">
            <w:pPr>
              <w:rPr>
                <w:rFonts w:ascii="Arial" w:hAnsi="Arial" w:cs="Arial"/>
              </w:rPr>
            </w:pPr>
            <w:r w:rsidRPr="00183E46">
              <w:rPr>
                <w:rFonts w:ascii="Arial" w:hAnsi="Arial" w:cs="Arial"/>
              </w:rPr>
              <w:t>Expired SSL inspection certificate (delayed detection)</w:t>
            </w:r>
          </w:p>
        </w:tc>
        <w:tc>
          <w:tcPr>
            <w:tcW w:w="1600" w:type="dxa"/>
            <w:tcMar>
              <w:top w:w="100" w:type="dxa"/>
              <w:left w:w="100" w:type="dxa"/>
              <w:bottom w:w="100" w:type="dxa"/>
              <w:right w:w="100" w:type="dxa"/>
            </w:tcMar>
          </w:tcPr>
          <w:p w14:paraId="7F63A31A" w14:textId="77777777" w:rsidR="00805A67" w:rsidRPr="00183E46" w:rsidRDefault="00000000">
            <w:pPr>
              <w:rPr>
                <w:rFonts w:ascii="Arial" w:hAnsi="Arial" w:cs="Arial"/>
              </w:rPr>
            </w:pPr>
            <w:r w:rsidRPr="00183E46">
              <w:rPr>
                <w:rFonts w:ascii="Arial" w:hAnsi="Arial" w:cs="Arial"/>
              </w:rPr>
              <w:t>Medium</w:t>
            </w:r>
          </w:p>
        </w:tc>
        <w:tc>
          <w:tcPr>
            <w:tcW w:w="1600" w:type="dxa"/>
            <w:tcMar>
              <w:top w:w="100" w:type="dxa"/>
              <w:left w:w="100" w:type="dxa"/>
              <w:bottom w:w="100" w:type="dxa"/>
              <w:right w:w="100" w:type="dxa"/>
            </w:tcMar>
          </w:tcPr>
          <w:p w14:paraId="2C752258" w14:textId="77777777" w:rsidR="00805A67" w:rsidRPr="00183E46" w:rsidRDefault="00000000">
            <w:pPr>
              <w:rPr>
                <w:rFonts w:ascii="Arial" w:hAnsi="Arial" w:cs="Arial"/>
              </w:rPr>
            </w:pPr>
            <w:r w:rsidRPr="00183E46">
              <w:rPr>
                <w:rFonts w:ascii="Arial" w:hAnsi="Arial" w:cs="Arial"/>
              </w:rPr>
              <w:t>High</w:t>
            </w:r>
          </w:p>
        </w:tc>
        <w:tc>
          <w:tcPr>
            <w:tcW w:w="1500" w:type="dxa"/>
            <w:tcMar>
              <w:top w:w="100" w:type="dxa"/>
              <w:left w:w="100" w:type="dxa"/>
              <w:bottom w:w="100" w:type="dxa"/>
              <w:right w:w="100" w:type="dxa"/>
            </w:tcMar>
          </w:tcPr>
          <w:p w14:paraId="24B3543A" w14:textId="77777777" w:rsidR="00805A67" w:rsidRPr="00183E46" w:rsidRDefault="00000000">
            <w:pPr>
              <w:rPr>
                <w:rFonts w:ascii="Arial" w:hAnsi="Arial" w:cs="Arial"/>
              </w:rPr>
            </w:pPr>
            <w:r w:rsidRPr="00183E46">
              <w:rPr>
                <w:rFonts w:ascii="Arial" w:hAnsi="Arial" w:cs="Arial"/>
              </w:rPr>
              <w:t>3</w:t>
            </w:r>
          </w:p>
        </w:tc>
      </w:tr>
      <w:tr w:rsidR="00805A67" w:rsidRPr="00183E46" w14:paraId="51DC6349" w14:textId="77777777">
        <w:tblPrEx>
          <w:tblCellMar>
            <w:top w:w="0" w:type="dxa"/>
            <w:bottom w:w="0" w:type="dxa"/>
          </w:tblCellMar>
        </w:tblPrEx>
        <w:tc>
          <w:tcPr>
            <w:tcW w:w="4000" w:type="dxa"/>
            <w:tcMar>
              <w:top w:w="100" w:type="dxa"/>
              <w:left w:w="100" w:type="dxa"/>
              <w:bottom w:w="100" w:type="dxa"/>
              <w:right w:w="100" w:type="dxa"/>
            </w:tcMar>
          </w:tcPr>
          <w:p w14:paraId="0098B426" w14:textId="77777777" w:rsidR="00805A67" w:rsidRPr="00183E46" w:rsidRDefault="00000000">
            <w:pPr>
              <w:rPr>
                <w:rFonts w:ascii="Arial" w:hAnsi="Arial" w:cs="Arial"/>
              </w:rPr>
            </w:pPr>
            <w:r w:rsidRPr="00183E46">
              <w:rPr>
                <w:rFonts w:ascii="Arial" w:hAnsi="Arial" w:cs="Arial"/>
              </w:rPr>
              <w:t>Third-party/supply chain component risk</w:t>
            </w:r>
          </w:p>
        </w:tc>
        <w:tc>
          <w:tcPr>
            <w:tcW w:w="1600" w:type="dxa"/>
            <w:tcMar>
              <w:top w:w="100" w:type="dxa"/>
              <w:left w:w="100" w:type="dxa"/>
              <w:bottom w:w="100" w:type="dxa"/>
              <w:right w:w="100" w:type="dxa"/>
            </w:tcMar>
          </w:tcPr>
          <w:p w14:paraId="7D43BC77" w14:textId="77777777" w:rsidR="00805A67" w:rsidRPr="00183E46" w:rsidRDefault="00000000">
            <w:pPr>
              <w:rPr>
                <w:rFonts w:ascii="Arial" w:hAnsi="Arial" w:cs="Arial"/>
              </w:rPr>
            </w:pPr>
            <w:r w:rsidRPr="00183E46">
              <w:rPr>
                <w:rFonts w:ascii="Arial" w:hAnsi="Arial" w:cs="Arial"/>
              </w:rPr>
              <w:t>Medium</w:t>
            </w:r>
          </w:p>
        </w:tc>
        <w:tc>
          <w:tcPr>
            <w:tcW w:w="1600" w:type="dxa"/>
            <w:tcMar>
              <w:top w:w="100" w:type="dxa"/>
              <w:left w:w="100" w:type="dxa"/>
              <w:bottom w:w="100" w:type="dxa"/>
              <w:right w:w="100" w:type="dxa"/>
            </w:tcMar>
          </w:tcPr>
          <w:p w14:paraId="2AA216F2" w14:textId="77777777" w:rsidR="00805A67" w:rsidRPr="00183E46" w:rsidRDefault="00000000">
            <w:pPr>
              <w:rPr>
                <w:rFonts w:ascii="Arial" w:hAnsi="Arial" w:cs="Arial"/>
              </w:rPr>
            </w:pPr>
            <w:r w:rsidRPr="00183E46">
              <w:rPr>
                <w:rFonts w:ascii="Arial" w:hAnsi="Arial" w:cs="Arial"/>
              </w:rPr>
              <w:t>High</w:t>
            </w:r>
          </w:p>
        </w:tc>
        <w:tc>
          <w:tcPr>
            <w:tcW w:w="1500" w:type="dxa"/>
            <w:tcMar>
              <w:top w:w="100" w:type="dxa"/>
              <w:left w:w="100" w:type="dxa"/>
              <w:bottom w:w="100" w:type="dxa"/>
              <w:right w:w="100" w:type="dxa"/>
            </w:tcMar>
          </w:tcPr>
          <w:p w14:paraId="27570EB8" w14:textId="77777777" w:rsidR="00805A67" w:rsidRPr="00183E46" w:rsidRDefault="00000000">
            <w:pPr>
              <w:rPr>
                <w:rFonts w:ascii="Arial" w:hAnsi="Arial" w:cs="Arial"/>
              </w:rPr>
            </w:pPr>
            <w:r w:rsidRPr="00183E46">
              <w:rPr>
                <w:rFonts w:ascii="Arial" w:hAnsi="Arial" w:cs="Arial"/>
              </w:rPr>
              <w:t>3</w:t>
            </w:r>
          </w:p>
        </w:tc>
      </w:tr>
      <w:tr w:rsidR="00805A67" w:rsidRPr="00183E46" w14:paraId="590BF337" w14:textId="77777777">
        <w:tblPrEx>
          <w:tblCellMar>
            <w:top w:w="0" w:type="dxa"/>
            <w:bottom w:w="0" w:type="dxa"/>
          </w:tblCellMar>
        </w:tblPrEx>
        <w:tc>
          <w:tcPr>
            <w:tcW w:w="4000" w:type="dxa"/>
            <w:tcMar>
              <w:top w:w="100" w:type="dxa"/>
              <w:left w:w="100" w:type="dxa"/>
              <w:bottom w:w="100" w:type="dxa"/>
              <w:right w:w="100" w:type="dxa"/>
            </w:tcMar>
          </w:tcPr>
          <w:p w14:paraId="0ED9DB70" w14:textId="77777777" w:rsidR="00805A67" w:rsidRPr="00183E46" w:rsidRDefault="00000000">
            <w:pPr>
              <w:rPr>
                <w:rFonts w:ascii="Arial" w:hAnsi="Arial" w:cs="Arial"/>
              </w:rPr>
            </w:pPr>
            <w:r w:rsidRPr="00183E46">
              <w:rPr>
                <w:rFonts w:ascii="Arial" w:hAnsi="Arial" w:cs="Arial"/>
              </w:rPr>
              <w:t>Insufficient asset visibility</w:t>
            </w:r>
          </w:p>
        </w:tc>
        <w:tc>
          <w:tcPr>
            <w:tcW w:w="1600" w:type="dxa"/>
            <w:tcMar>
              <w:top w:w="100" w:type="dxa"/>
              <w:left w:w="100" w:type="dxa"/>
              <w:bottom w:w="100" w:type="dxa"/>
              <w:right w:w="100" w:type="dxa"/>
            </w:tcMar>
          </w:tcPr>
          <w:p w14:paraId="56C40B16" w14:textId="77777777" w:rsidR="00805A67" w:rsidRPr="00183E46" w:rsidRDefault="00000000">
            <w:pPr>
              <w:rPr>
                <w:rFonts w:ascii="Arial" w:hAnsi="Arial" w:cs="Arial"/>
              </w:rPr>
            </w:pPr>
            <w:r w:rsidRPr="00183E46">
              <w:rPr>
                <w:rFonts w:ascii="Arial" w:hAnsi="Arial" w:cs="Arial"/>
              </w:rPr>
              <w:t>High</w:t>
            </w:r>
          </w:p>
        </w:tc>
        <w:tc>
          <w:tcPr>
            <w:tcW w:w="1600" w:type="dxa"/>
            <w:tcMar>
              <w:top w:w="100" w:type="dxa"/>
              <w:left w:w="100" w:type="dxa"/>
              <w:bottom w:w="100" w:type="dxa"/>
              <w:right w:w="100" w:type="dxa"/>
            </w:tcMar>
          </w:tcPr>
          <w:p w14:paraId="39EA3C0F" w14:textId="77777777" w:rsidR="00805A67" w:rsidRPr="00183E46" w:rsidRDefault="00000000">
            <w:pPr>
              <w:rPr>
                <w:rFonts w:ascii="Arial" w:hAnsi="Arial" w:cs="Arial"/>
              </w:rPr>
            </w:pPr>
            <w:r w:rsidRPr="00183E46">
              <w:rPr>
                <w:rFonts w:ascii="Arial" w:hAnsi="Arial" w:cs="Arial"/>
              </w:rPr>
              <w:t>Medium</w:t>
            </w:r>
          </w:p>
        </w:tc>
        <w:tc>
          <w:tcPr>
            <w:tcW w:w="1500" w:type="dxa"/>
            <w:tcMar>
              <w:top w:w="100" w:type="dxa"/>
              <w:left w:w="100" w:type="dxa"/>
              <w:bottom w:w="100" w:type="dxa"/>
              <w:right w:w="100" w:type="dxa"/>
            </w:tcMar>
          </w:tcPr>
          <w:p w14:paraId="6A0EE8F5" w14:textId="77777777" w:rsidR="00805A67" w:rsidRPr="00183E46" w:rsidRDefault="00000000">
            <w:pPr>
              <w:rPr>
                <w:rFonts w:ascii="Arial" w:hAnsi="Arial" w:cs="Arial"/>
              </w:rPr>
            </w:pPr>
            <w:r w:rsidRPr="00183E46">
              <w:rPr>
                <w:rFonts w:ascii="Arial" w:hAnsi="Arial" w:cs="Arial"/>
              </w:rPr>
              <w:t>4</w:t>
            </w:r>
          </w:p>
        </w:tc>
      </w:tr>
    </w:tbl>
    <w:p w14:paraId="3A7E7A9E" w14:textId="77777777" w:rsidR="00805A67" w:rsidRPr="00183E46" w:rsidRDefault="00805A67">
      <w:pPr>
        <w:spacing w:before="300" w:after="200"/>
        <w:rPr>
          <w:rFonts w:ascii="Arial" w:hAnsi="Arial" w:cs="Arial"/>
        </w:rPr>
      </w:pPr>
    </w:p>
    <w:p w14:paraId="2132DFFC" w14:textId="77777777" w:rsidR="00805A67" w:rsidRPr="00183E46" w:rsidRDefault="00000000">
      <w:pPr>
        <w:spacing w:before="200" w:after="200"/>
        <w:jc w:val="center"/>
        <w:rPr>
          <w:rFonts w:ascii="Arial" w:hAnsi="Arial" w:cs="Arial"/>
        </w:rPr>
      </w:pPr>
      <w:r w:rsidRPr="00183E46">
        <w:rPr>
          <w:rFonts w:ascii="Arial" w:hAnsi="Arial" w:cs="Arial"/>
          <w:noProof/>
        </w:rPr>
        <w:drawing>
          <wp:inline distT="0" distB="0" distL="0" distR="0" wp14:anchorId="7BBC1178" wp14:editId="78F7135D">
            <wp:extent cx="4000500" cy="3333750"/>
            <wp:effectExtent l="0" t="0" r="0" b="0"/>
            <wp:docPr id="1048185358" name="Picture 1048185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000500" cy="3333750"/>
                    </a:xfrm>
                    <a:prstGeom prst="rect">
                      <a:avLst/>
                    </a:prstGeom>
                  </pic:spPr>
                </pic:pic>
              </a:graphicData>
            </a:graphic>
          </wp:inline>
        </w:drawing>
      </w:r>
    </w:p>
    <w:p w14:paraId="37C77F32" w14:textId="6CE3485B" w:rsidR="00805A67" w:rsidRPr="00183E46" w:rsidRDefault="00000000">
      <w:pPr>
        <w:spacing w:after="200" w:line="276" w:lineRule="auto"/>
        <w:rPr>
          <w:rFonts w:ascii="Arial" w:hAnsi="Arial" w:cs="Arial"/>
        </w:rPr>
      </w:pPr>
      <w:r w:rsidRPr="00183E46">
        <w:rPr>
          <w:rFonts w:ascii="Arial" w:hAnsi="Arial" w:cs="Arial"/>
        </w:rPr>
        <w:t xml:space="preserve">The unpatched, internet-facing vulnerability is prioritised highest because it represents both a high likelihood of exploitation (the vulnerability was publicly disclosed) and critical impact, given direct access to sensitive personal data. Network segmentation weaknesses are ranked second, since although initial compromise required the unpatched vulnerability, the absence of segmentation is what allowed attackers to access 147 million records rather than a contained subset. The expired digital certificate is a further factor identified in the official review: because the certificate had lapsed, the network-monitoring tool responsible for inspecting outbound traffic was unable to detect the exfiltration of data for an extended period </w:t>
      </w:r>
      <w:sdt>
        <w:sdtPr>
          <w:rPr>
            <w:rFonts w:ascii="Arial" w:hAnsi="Arial" w:cs="Arial"/>
          </w:rPr>
          <w:id w:val="353468175"/>
          <w:citation/>
        </w:sdtPr>
        <w:sdtContent>
          <w:r w:rsidR="002824F3">
            <w:rPr>
              <w:rFonts w:ascii="Arial" w:hAnsi="Arial" w:cs="Arial"/>
            </w:rPr>
            <w:fldChar w:fldCharType="begin"/>
          </w:r>
          <w:r w:rsidR="002824F3">
            <w:rPr>
              <w:rFonts w:ascii="Arial" w:hAnsi="Arial" w:cs="Arial"/>
              <w:lang w:val="en-US"/>
            </w:rPr>
            <w:instrText xml:space="preserve"> CITATION USG \l 1033 </w:instrText>
          </w:r>
          <w:r w:rsidR="002824F3">
            <w:rPr>
              <w:rFonts w:ascii="Arial" w:hAnsi="Arial" w:cs="Arial"/>
            </w:rPr>
            <w:fldChar w:fldCharType="separate"/>
          </w:r>
          <w:r w:rsidR="002824F3" w:rsidRPr="002824F3">
            <w:rPr>
              <w:rFonts w:ascii="Arial" w:hAnsi="Arial" w:cs="Arial"/>
              <w:noProof/>
              <w:lang w:val="en-US"/>
            </w:rPr>
            <w:t>[12]</w:t>
          </w:r>
          <w:r w:rsidR="002824F3">
            <w:rPr>
              <w:rFonts w:ascii="Arial" w:hAnsi="Arial" w:cs="Arial"/>
            </w:rPr>
            <w:fldChar w:fldCharType="end"/>
          </w:r>
        </w:sdtContent>
      </w:sdt>
      <w:r w:rsidRPr="00183E46">
        <w:rPr>
          <w:rFonts w:ascii="Arial" w:hAnsi="Arial" w:cs="Arial"/>
        </w:rPr>
        <w:t xml:space="preserve">. Mitigating the segmentation risk specifically is best achieved not merely by adding network zones but by adopting a Zero Trust Architecture in which access to each resource is authenticated and authorised individually regardless of network location, as specified in NIST SP 800-207 </w:t>
      </w:r>
      <w:sdt>
        <w:sdtPr>
          <w:rPr>
            <w:rFonts w:ascii="Arial" w:hAnsi="Arial" w:cs="Arial"/>
          </w:rPr>
          <w:id w:val="-1719266591"/>
          <w:citation/>
        </w:sdtPr>
        <w:sdtContent>
          <w:r w:rsidR="002824F3">
            <w:rPr>
              <w:rFonts w:ascii="Arial" w:hAnsi="Arial" w:cs="Arial"/>
            </w:rPr>
            <w:fldChar w:fldCharType="begin"/>
          </w:r>
          <w:r w:rsidR="002824F3">
            <w:rPr>
              <w:rFonts w:ascii="Arial" w:hAnsi="Arial" w:cs="Arial"/>
              <w:lang w:val="en-US"/>
            </w:rPr>
            <w:instrText xml:space="preserve"> CITATION Int1 \l 1033 </w:instrText>
          </w:r>
          <w:r w:rsidR="002824F3">
            <w:rPr>
              <w:rFonts w:ascii="Arial" w:hAnsi="Arial" w:cs="Arial"/>
            </w:rPr>
            <w:fldChar w:fldCharType="separate"/>
          </w:r>
          <w:r w:rsidR="002824F3" w:rsidRPr="002824F3">
            <w:rPr>
              <w:rFonts w:ascii="Arial" w:hAnsi="Arial" w:cs="Arial"/>
              <w:noProof/>
              <w:lang w:val="en-US"/>
            </w:rPr>
            <w:t>[8]</w:t>
          </w:r>
          <w:r w:rsidR="002824F3">
            <w:rPr>
              <w:rFonts w:ascii="Arial" w:hAnsi="Arial" w:cs="Arial"/>
            </w:rPr>
            <w:fldChar w:fldCharType="end"/>
          </w:r>
        </w:sdtContent>
      </w:sdt>
      <w:r w:rsidRPr="00183E46">
        <w:rPr>
          <w:rFonts w:ascii="Arial" w:hAnsi="Arial" w:cs="Arial"/>
        </w:rPr>
        <w:t xml:space="preserve">; this would have limited an attacker's ability to move from the compromised dispute-portal application to the wider Equifax environment. Lower-priority risks, such as insufficient asset visibility, remain significant but represent contributing rather than root-cause factors. This prioritisation demonstrates that mitigation should focus first on preventing initial compromise, and second on limiting lateral movement should prevention fail </w:t>
      </w:r>
      <w:r w:rsidR="002824F3">
        <w:rPr>
          <w:rFonts w:ascii="Arial" w:hAnsi="Arial" w:cs="Arial"/>
        </w:rPr>
        <w:t>-</w:t>
      </w:r>
      <w:r w:rsidRPr="00183E46">
        <w:rPr>
          <w:rFonts w:ascii="Arial" w:hAnsi="Arial" w:cs="Arial"/>
        </w:rPr>
        <w:t xml:space="preserve"> an approach consistent with defence-in-depth principles</w:t>
      </w:r>
      <w:sdt>
        <w:sdtPr>
          <w:rPr>
            <w:rFonts w:ascii="Arial" w:hAnsi="Arial" w:cs="Arial"/>
          </w:rPr>
          <w:id w:val="1458986947"/>
          <w:citation/>
        </w:sdtPr>
        <w:sdtContent>
          <w:r w:rsidR="002824F3">
            <w:rPr>
              <w:rFonts w:ascii="Arial" w:hAnsi="Arial" w:cs="Arial"/>
            </w:rPr>
            <w:fldChar w:fldCharType="begin"/>
          </w:r>
          <w:r w:rsidR="002824F3">
            <w:rPr>
              <w:rFonts w:ascii="Arial" w:hAnsi="Arial" w:cs="Arial"/>
              <w:lang w:val="en-US"/>
            </w:rPr>
            <w:instrText xml:space="preserve"> CITATION PCi12 \l 1033 </w:instrText>
          </w:r>
          <w:r w:rsidR="002824F3">
            <w:rPr>
              <w:rFonts w:ascii="Arial" w:hAnsi="Arial" w:cs="Arial"/>
            </w:rPr>
            <w:fldChar w:fldCharType="separate"/>
          </w:r>
          <w:r w:rsidR="002824F3">
            <w:rPr>
              <w:rFonts w:ascii="Arial" w:hAnsi="Arial" w:cs="Arial"/>
              <w:noProof/>
              <w:lang w:val="en-US"/>
            </w:rPr>
            <w:t xml:space="preserve"> </w:t>
          </w:r>
          <w:r w:rsidR="002824F3" w:rsidRPr="002824F3">
            <w:rPr>
              <w:rFonts w:ascii="Arial" w:hAnsi="Arial" w:cs="Arial"/>
              <w:noProof/>
              <w:lang w:val="en-US"/>
            </w:rPr>
            <w:t>[15]</w:t>
          </w:r>
          <w:r w:rsidR="002824F3">
            <w:rPr>
              <w:rFonts w:ascii="Arial" w:hAnsi="Arial" w:cs="Arial"/>
            </w:rPr>
            <w:fldChar w:fldCharType="end"/>
          </w:r>
        </w:sdtContent>
      </w:sdt>
      <w:r w:rsidRPr="00183E46">
        <w:rPr>
          <w:rFonts w:ascii="Arial" w:hAnsi="Arial" w:cs="Arial"/>
        </w:rPr>
        <w:t>.</w:t>
      </w:r>
    </w:p>
    <w:p w14:paraId="7B6760ED" w14:textId="7BB746A8" w:rsidR="00805A67" w:rsidRPr="00183E46" w:rsidRDefault="00000000">
      <w:pPr>
        <w:pStyle w:val="Heading2"/>
        <w:spacing w:before="300" w:after="150"/>
        <w:rPr>
          <w:rFonts w:ascii="Arial" w:hAnsi="Arial" w:cs="Arial"/>
        </w:rPr>
      </w:pPr>
      <w:bookmarkStart w:id="13" w:name="_Toc236388719"/>
      <w:r w:rsidRPr="00183E46">
        <w:rPr>
          <w:rFonts w:ascii="Arial" w:hAnsi="Arial" w:cs="Arial"/>
        </w:rPr>
        <w:t>2.5 Compliance, Incident Response and Protection Controls</w:t>
      </w:r>
      <w:bookmarkEnd w:id="13"/>
      <w:r w:rsidRPr="00183E46">
        <w:rPr>
          <w:rFonts w:ascii="Arial" w:hAnsi="Arial" w:cs="Arial"/>
        </w:rPr>
        <w:t xml:space="preserve"> </w:t>
      </w:r>
    </w:p>
    <w:p w14:paraId="47FE540A" w14:textId="21F83376" w:rsidR="00805A67" w:rsidRPr="00183E46" w:rsidRDefault="00000000">
      <w:pPr>
        <w:spacing w:after="200" w:line="276" w:lineRule="auto"/>
        <w:rPr>
          <w:rFonts w:ascii="Arial" w:hAnsi="Arial" w:cs="Arial"/>
        </w:rPr>
      </w:pPr>
      <w:r w:rsidRPr="00183E46">
        <w:rPr>
          <w:rFonts w:ascii="Arial" w:hAnsi="Arial" w:cs="Arial"/>
        </w:rPr>
        <w:t xml:space="preserve">Regulatory alignment requires adherence to breach notification obligations, which vary by jurisdiction but generally require notification within a defined period (for example, 72 hours under GDPR for organisations operating in the EU) once a breach becomes known. Equifax's delayed public disclosure </w:t>
      </w:r>
      <w:r w:rsidR="002824F3">
        <w:rPr>
          <w:rFonts w:ascii="Arial" w:hAnsi="Arial" w:cs="Arial"/>
        </w:rPr>
        <w:t>-</w:t>
      </w:r>
      <w:r w:rsidRPr="00183E46">
        <w:rPr>
          <w:rFonts w:ascii="Arial" w:hAnsi="Arial" w:cs="Arial"/>
        </w:rPr>
        <w:t xml:space="preserve"> several weeks after internal detection </w:t>
      </w:r>
      <w:r w:rsidR="002824F3">
        <w:rPr>
          <w:rFonts w:ascii="Arial" w:hAnsi="Arial" w:cs="Arial"/>
        </w:rPr>
        <w:t>-</w:t>
      </w:r>
      <w:r w:rsidRPr="00183E46">
        <w:rPr>
          <w:rFonts w:ascii="Arial" w:hAnsi="Arial" w:cs="Arial"/>
        </w:rPr>
        <w:t xml:space="preserve"> illustrates the reputational and regulatory consequences of failing to meet such timelines.</w:t>
      </w:r>
    </w:p>
    <w:p w14:paraId="02EAEBDD" w14:textId="20876558" w:rsidR="00805A67" w:rsidRPr="00183E46" w:rsidRDefault="00000000">
      <w:pPr>
        <w:spacing w:after="200" w:line="276" w:lineRule="auto"/>
        <w:rPr>
          <w:rFonts w:ascii="Arial" w:hAnsi="Arial" w:cs="Arial"/>
        </w:rPr>
      </w:pPr>
      <w:r w:rsidRPr="00183E46">
        <w:rPr>
          <w:rFonts w:ascii="Arial" w:hAnsi="Arial" w:cs="Arial"/>
        </w:rPr>
        <w:t xml:space="preserve">An effective incident response and disaster recovery plan should define clear escalation paths from detection through containment, eradication and recovery, following the lifecycle set out in NIST's Computer Security Incident Handling Guide </w:t>
      </w:r>
      <w:sdt>
        <w:sdtPr>
          <w:rPr>
            <w:rFonts w:ascii="Arial" w:hAnsi="Arial" w:cs="Arial"/>
          </w:rPr>
          <w:id w:val="-1216433807"/>
          <w:citation/>
        </w:sdtPr>
        <w:sdtContent>
          <w:r w:rsidR="002824F3">
            <w:rPr>
              <w:rFonts w:ascii="Arial" w:hAnsi="Arial" w:cs="Arial"/>
            </w:rPr>
            <w:fldChar w:fldCharType="begin"/>
          </w:r>
          <w:r w:rsidR="002824F3">
            <w:rPr>
              <w:rFonts w:ascii="Arial" w:hAnsi="Arial" w:cs="Arial"/>
              <w:lang w:val="en-US"/>
            </w:rPr>
            <w:instrText xml:space="preserve"> CITATION Art24 \l 1033 </w:instrText>
          </w:r>
          <w:r w:rsidR="002824F3">
            <w:rPr>
              <w:rFonts w:ascii="Arial" w:hAnsi="Arial" w:cs="Arial"/>
            </w:rPr>
            <w:fldChar w:fldCharType="separate"/>
          </w:r>
          <w:r w:rsidR="002824F3" w:rsidRPr="002824F3">
            <w:rPr>
              <w:rFonts w:ascii="Arial" w:hAnsi="Arial" w:cs="Arial"/>
              <w:noProof/>
              <w:lang w:val="en-US"/>
            </w:rPr>
            <w:t>[7]</w:t>
          </w:r>
          <w:r w:rsidR="002824F3">
            <w:rPr>
              <w:rFonts w:ascii="Arial" w:hAnsi="Arial" w:cs="Arial"/>
            </w:rPr>
            <w:fldChar w:fldCharType="end"/>
          </w:r>
        </w:sdtContent>
      </w:sdt>
      <w:r w:rsidRPr="00183E46">
        <w:rPr>
          <w:rFonts w:ascii="Arial" w:hAnsi="Arial" w:cs="Arial"/>
        </w:rPr>
        <w:t xml:space="preserve">, and supported by pre-established communication protocols for regulators, affected individuals and the Board. Technical safeguards should include Security Information and Event Management (SIEM) for centralised log analysis, Security Orchestration, Automation and Response (SOAR) to automate containment actions once anomalies </w:t>
      </w:r>
      <w:r w:rsidRPr="00183E46">
        <w:rPr>
          <w:rFonts w:ascii="Arial" w:hAnsi="Arial" w:cs="Arial"/>
        </w:rPr>
        <w:lastRenderedPageBreak/>
        <w:t>are detected, and Endpoint Detection and Response (EDR) to identify malicious activity at the device level. Multi-Factor Authentication (MFA) should be enforced across all privileged access, reducing the risk of credential-based lateral movement.</w:t>
      </w:r>
    </w:p>
    <w:p w14:paraId="096723CD" w14:textId="77777777" w:rsidR="00805A67" w:rsidRPr="00183E46" w:rsidRDefault="00000000">
      <w:pPr>
        <w:spacing w:before="200" w:after="200"/>
        <w:jc w:val="center"/>
        <w:rPr>
          <w:rFonts w:ascii="Arial" w:hAnsi="Arial" w:cs="Arial"/>
        </w:rPr>
      </w:pPr>
      <w:r w:rsidRPr="00183E46">
        <w:rPr>
          <w:rFonts w:ascii="Arial" w:hAnsi="Arial" w:cs="Arial"/>
          <w:noProof/>
        </w:rPr>
        <w:drawing>
          <wp:inline distT="0" distB="0" distL="0" distR="0" wp14:anchorId="39AED0D8" wp14:editId="028EC444">
            <wp:extent cx="4762500" cy="1476375"/>
            <wp:effectExtent l="0" t="0" r="0" b="0"/>
            <wp:docPr id="1603861362" name="Picture 1603861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762500" cy="1476375"/>
                    </a:xfrm>
                    <a:prstGeom prst="rect">
                      <a:avLst/>
                    </a:prstGeom>
                  </pic:spPr>
                </pic:pic>
              </a:graphicData>
            </a:graphic>
          </wp:inline>
        </w:drawing>
      </w:r>
    </w:p>
    <w:p w14:paraId="54D530E3" w14:textId="661BEBF3" w:rsidR="00805A67" w:rsidRPr="00183E46" w:rsidRDefault="00000000">
      <w:pPr>
        <w:spacing w:after="200" w:line="276" w:lineRule="auto"/>
        <w:rPr>
          <w:rFonts w:ascii="Arial" w:hAnsi="Arial" w:cs="Arial"/>
        </w:rPr>
      </w:pPr>
      <w:r w:rsidRPr="00183E46">
        <w:rPr>
          <w:rFonts w:ascii="Arial" w:hAnsi="Arial" w:cs="Arial"/>
        </w:rPr>
        <w:t xml:space="preserve">These controls directly address the dwell time failure evident in the Equifax breach, where attackers retained undetected access for approximately 76 days before discovery </w:t>
      </w:r>
      <w:sdt>
        <w:sdtPr>
          <w:rPr>
            <w:rFonts w:ascii="Arial" w:hAnsi="Arial" w:cs="Arial"/>
          </w:rPr>
          <w:id w:val="-500976841"/>
          <w:citation/>
        </w:sdtPr>
        <w:sdtContent>
          <w:r w:rsidR="002824F3">
            <w:rPr>
              <w:rFonts w:ascii="Arial" w:hAnsi="Arial" w:cs="Arial"/>
            </w:rPr>
            <w:fldChar w:fldCharType="begin"/>
          </w:r>
          <w:r w:rsidR="002824F3">
            <w:rPr>
              <w:rFonts w:ascii="Arial" w:hAnsi="Arial" w:cs="Arial"/>
              <w:lang w:val="en-US"/>
            </w:rPr>
            <w:instrText xml:space="preserve"> CITATION Dir22 \l 1033 </w:instrText>
          </w:r>
          <w:r w:rsidR="002824F3">
            <w:rPr>
              <w:rFonts w:ascii="Arial" w:hAnsi="Arial" w:cs="Arial"/>
            </w:rPr>
            <w:fldChar w:fldCharType="separate"/>
          </w:r>
          <w:r w:rsidR="002824F3" w:rsidRPr="002824F3">
            <w:rPr>
              <w:rFonts w:ascii="Arial" w:hAnsi="Arial" w:cs="Arial"/>
              <w:noProof/>
              <w:lang w:val="en-US"/>
            </w:rPr>
            <w:t>[10]</w:t>
          </w:r>
          <w:r w:rsidR="002824F3">
            <w:rPr>
              <w:rFonts w:ascii="Arial" w:hAnsi="Arial" w:cs="Arial"/>
            </w:rPr>
            <w:fldChar w:fldCharType="end"/>
          </w:r>
        </w:sdtContent>
      </w:sdt>
      <w:r w:rsidRPr="00183E46">
        <w:rPr>
          <w:rFonts w:ascii="Arial" w:hAnsi="Arial" w:cs="Arial"/>
        </w:rPr>
        <w:t xml:space="preserve">. Industry-wide benchmarking supports this justification: organisations that contain breaches within roughly 200 days incur substantially lower average costs than those that take longer, and extensive use of automated detection has been shown to shorten breach lifecycles considerably </w:t>
      </w:r>
      <w:sdt>
        <w:sdtPr>
          <w:rPr>
            <w:rFonts w:ascii="Arial" w:hAnsi="Arial" w:cs="Arial"/>
          </w:rPr>
          <w:id w:val="1725641644"/>
          <w:citation/>
        </w:sdtPr>
        <w:sdtContent>
          <w:r w:rsidR="002824F3">
            <w:rPr>
              <w:rFonts w:ascii="Arial" w:hAnsi="Arial" w:cs="Arial"/>
            </w:rPr>
            <w:fldChar w:fldCharType="begin"/>
          </w:r>
          <w:r w:rsidR="002824F3">
            <w:rPr>
              <w:rFonts w:ascii="Arial" w:hAnsi="Arial" w:cs="Arial"/>
              <w:lang w:val="en-US"/>
            </w:rPr>
            <w:instrText xml:space="preserve"> CITATION IBM \l 1033 </w:instrText>
          </w:r>
          <w:r w:rsidR="002824F3">
            <w:rPr>
              <w:rFonts w:ascii="Arial" w:hAnsi="Arial" w:cs="Arial"/>
            </w:rPr>
            <w:fldChar w:fldCharType="separate"/>
          </w:r>
          <w:r w:rsidR="002824F3" w:rsidRPr="002824F3">
            <w:rPr>
              <w:rFonts w:ascii="Arial" w:hAnsi="Arial" w:cs="Arial"/>
              <w:noProof/>
              <w:lang w:val="en-US"/>
            </w:rPr>
            <w:t>[16]</w:t>
          </w:r>
          <w:r w:rsidR="002824F3">
            <w:rPr>
              <w:rFonts w:ascii="Arial" w:hAnsi="Arial" w:cs="Arial"/>
            </w:rPr>
            <w:fldChar w:fldCharType="end"/>
          </w:r>
        </w:sdtContent>
      </w:sdt>
      <w:r w:rsidRPr="00183E46">
        <w:rPr>
          <w:rFonts w:ascii="Arial" w:hAnsi="Arial" w:cs="Arial"/>
        </w:rPr>
        <w:t xml:space="preserve">. Automated monitoring and response capabilities reduce dwell time by enabling detection and containment within hours rather than weeks, while encryption and strong authentication limit the value and accessibility of data even where initial compromise occurs. Justifying these controls in relation to the specific failure points of the Equifax case </w:t>
      </w:r>
      <w:r w:rsidR="002824F3">
        <w:rPr>
          <w:rFonts w:ascii="Arial" w:hAnsi="Arial" w:cs="Arial"/>
        </w:rPr>
        <w:t>-</w:t>
      </w:r>
      <w:r w:rsidRPr="00183E46">
        <w:rPr>
          <w:rFonts w:ascii="Arial" w:hAnsi="Arial" w:cs="Arial"/>
        </w:rPr>
        <w:t xml:space="preserve"> rather than presenting them as generic best practice </w:t>
      </w:r>
      <w:r w:rsidR="002824F3">
        <w:rPr>
          <w:rFonts w:ascii="Arial" w:hAnsi="Arial" w:cs="Arial"/>
        </w:rPr>
        <w:t>-</w:t>
      </w:r>
      <w:r w:rsidRPr="00183E46">
        <w:rPr>
          <w:rFonts w:ascii="Arial" w:hAnsi="Arial" w:cs="Arial"/>
        </w:rPr>
        <w:t xml:space="preserve"> demonstrates that the proposed programme is designed to remediate the actual weaknesses identified, rather than serving as a standardised checklist. In this author's assessment, the most striking aspect of the Equifax case is not that a vulnerability existed </w:t>
      </w:r>
      <w:r w:rsidR="002824F3">
        <w:rPr>
          <w:rFonts w:ascii="Arial" w:hAnsi="Arial" w:cs="Arial"/>
        </w:rPr>
        <w:t>-</w:t>
      </w:r>
      <w:r w:rsidRPr="00183E46">
        <w:rPr>
          <w:rFonts w:ascii="Arial" w:hAnsi="Arial" w:cs="Arial"/>
        </w:rPr>
        <w:t xml:space="preserve"> vulnerabilities are unavoidable in any sufficiently complex system </w:t>
      </w:r>
      <w:r w:rsidR="002824F3">
        <w:rPr>
          <w:rFonts w:ascii="Arial" w:hAnsi="Arial" w:cs="Arial"/>
        </w:rPr>
        <w:t>-</w:t>
      </w:r>
      <w:r w:rsidRPr="00183E46">
        <w:rPr>
          <w:rFonts w:ascii="Arial" w:hAnsi="Arial" w:cs="Arial"/>
        </w:rPr>
        <w:t xml:space="preserve"> but that so many independent controls (patch notification, vulnerability scanning, certificate renewal, network segmentation) failed simultaneously; this suggests that Equifax's weakness was ultimately organisational rather than purely technical, which is precisely why organisational resilience, rather than any single tool, has been treated throughout this report as the more useful benchmark for evaluating a security programme.</w:t>
      </w:r>
    </w:p>
    <w:p w14:paraId="11C154E4" w14:textId="77777777" w:rsidR="00805A67" w:rsidRPr="00183E46" w:rsidRDefault="00805A67">
      <w:pPr>
        <w:pageBreakBefore/>
        <w:rPr>
          <w:rFonts w:ascii="Arial" w:hAnsi="Arial" w:cs="Arial"/>
        </w:rPr>
      </w:pPr>
    </w:p>
    <w:p w14:paraId="40E2709E" w14:textId="77777777" w:rsidR="00805A67" w:rsidRPr="00183E46" w:rsidRDefault="00000000">
      <w:pPr>
        <w:pStyle w:val="Heading1"/>
        <w:spacing w:before="400" w:after="200"/>
        <w:rPr>
          <w:rFonts w:ascii="Arial" w:hAnsi="Arial" w:cs="Arial"/>
        </w:rPr>
      </w:pPr>
      <w:bookmarkStart w:id="14" w:name="_Toc236388720"/>
      <w:r w:rsidRPr="00183E46">
        <w:rPr>
          <w:rFonts w:ascii="Arial" w:hAnsi="Arial" w:cs="Arial"/>
        </w:rPr>
        <w:t>Conclusion</w:t>
      </w:r>
      <w:bookmarkEnd w:id="14"/>
    </w:p>
    <w:p w14:paraId="4A07234E" w14:textId="7134303D" w:rsidR="00805A67" w:rsidRPr="00183E46" w:rsidRDefault="00000000">
      <w:pPr>
        <w:spacing w:after="200" w:line="276" w:lineRule="auto"/>
        <w:rPr>
          <w:rFonts w:ascii="Arial" w:hAnsi="Arial" w:cs="Arial"/>
        </w:rPr>
      </w:pPr>
      <w:r w:rsidRPr="00183E46">
        <w:rPr>
          <w:rFonts w:ascii="Arial" w:hAnsi="Arial" w:cs="Arial"/>
        </w:rPr>
        <w:t xml:space="preserve">This report set out to examine the governance of Artificial Intelligence and Machine Learning systems and to apply the resulting principles to a structured cybersecurity programme for the Equifax data breach. Across both tasks, a single theme has recurred: organisational resilience is produced by governance, accountability and continuous monitoring working together, rather than by any individual technical control operating in isolation. Task 1 demonstrated that AI-specific risks </w:t>
      </w:r>
      <w:r w:rsidR="002824F3">
        <w:rPr>
          <w:rFonts w:ascii="Arial" w:hAnsi="Arial" w:cs="Arial"/>
        </w:rPr>
        <w:t>-</w:t>
      </w:r>
      <w:r w:rsidRPr="00183E46">
        <w:rPr>
          <w:rFonts w:ascii="Arial" w:hAnsi="Arial" w:cs="Arial"/>
        </w:rPr>
        <w:t xml:space="preserve"> poisoning, drift, bias, opacity and supply chain dependency </w:t>
      </w:r>
      <w:r w:rsidR="002824F3">
        <w:rPr>
          <w:rFonts w:ascii="Arial" w:hAnsi="Arial" w:cs="Arial"/>
        </w:rPr>
        <w:t>-</w:t>
      </w:r>
      <w:r w:rsidRPr="00183E46">
        <w:rPr>
          <w:rFonts w:ascii="Arial" w:hAnsi="Arial" w:cs="Arial"/>
        </w:rPr>
        <w:t xml:space="preserve"> cannot be addressed through security measures alone, since each also carries governance, ethical and regulatory dimensions that determine whether an organisation can detect and correct failures before they cause lasting harm. Task 2 demonstrated the same principle in a non-AI context: Equifax possessed patch management processes, vulnerability scanning tools and network monitoring software, yet the breach still occurred because these controls were not embedded within a coherent, accountable governance structure with clear board-level ownership of cybersecurity risk.</w:t>
      </w:r>
    </w:p>
    <w:p w14:paraId="0EE2533C" w14:textId="795B915A" w:rsidR="00805A67" w:rsidRPr="00183E46" w:rsidRDefault="00000000">
      <w:pPr>
        <w:spacing w:after="200" w:line="276" w:lineRule="auto"/>
        <w:rPr>
          <w:rFonts w:ascii="Arial" w:hAnsi="Arial" w:cs="Arial"/>
        </w:rPr>
      </w:pPr>
      <w:r w:rsidRPr="00183E46">
        <w:rPr>
          <w:rFonts w:ascii="Arial" w:hAnsi="Arial" w:cs="Arial"/>
        </w:rPr>
        <w:t xml:space="preserve">Taken together, the two tasks suggest that organisational resilience should be treated as the outcome that governance frameworks are ultimately trying to produce, rather than as a separate objective to be pursued alongside them. A NIST CSF 2.0-aligned programme, an ISO/IEC 42001-based AI management system, and a clearly reporting-lined accountability structure are not resilience in themselves; they are the mechanisms through which resilience is built and sustained over time. In this author's view, the comparative analysis in Section 1.4 remains the most important finding of this report: neither binding regulation nor voluntary standards are sufficient on their own, and organisations that treat AI or cybersecurity governance as a one-off compliance exercise </w:t>
      </w:r>
      <w:r w:rsidR="002824F3">
        <w:rPr>
          <w:rFonts w:ascii="Arial" w:hAnsi="Arial" w:cs="Arial"/>
        </w:rPr>
        <w:t>-</w:t>
      </w:r>
      <w:r w:rsidRPr="00183E46">
        <w:rPr>
          <w:rFonts w:ascii="Arial" w:hAnsi="Arial" w:cs="Arial"/>
        </w:rPr>
        <w:t xml:space="preserve"> satisfied once and then left unreviewed </w:t>
      </w:r>
      <w:r w:rsidR="002824F3">
        <w:rPr>
          <w:rFonts w:ascii="Arial" w:hAnsi="Arial" w:cs="Arial"/>
        </w:rPr>
        <w:t>-</w:t>
      </w:r>
      <w:r w:rsidRPr="00183E46">
        <w:rPr>
          <w:rFonts w:ascii="Arial" w:hAnsi="Arial" w:cs="Arial"/>
        </w:rPr>
        <w:t xml:space="preserve"> are likely to rediscover, in some future incident, the same lesson Equifax learned in 2017.</w:t>
      </w:r>
    </w:p>
    <w:p w14:paraId="1B9FEDDB" w14:textId="708957E9" w:rsidR="00805A67" w:rsidRPr="00183E46" w:rsidRDefault="00000000">
      <w:pPr>
        <w:spacing w:after="200" w:line="276" w:lineRule="auto"/>
        <w:rPr>
          <w:rFonts w:ascii="Arial" w:hAnsi="Arial" w:cs="Arial"/>
        </w:rPr>
      </w:pPr>
      <w:r w:rsidRPr="00183E46">
        <w:rPr>
          <w:rFonts w:ascii="Arial" w:hAnsi="Arial" w:cs="Arial"/>
        </w:rPr>
        <w:t xml:space="preserve">This report has necessarily simplified a complex organisational reality. The proposed accountability structure, policies and risk assessment in Task 2 represent a defensible starting point rather than a complete cybersecurity programme, and a full implementation would require considerably more detail on budgeting, staffing and change management than the word limit permits. Nonetheless, the consistent connection drawn between AI governance principles and the Equifax case supports the central argument of this report: that governance, risk management and compliance are not independent workstreams but interdependent components of a single objective </w:t>
      </w:r>
      <w:r w:rsidR="002824F3">
        <w:rPr>
          <w:rFonts w:ascii="Arial" w:hAnsi="Arial" w:cs="Arial"/>
        </w:rPr>
        <w:t>-</w:t>
      </w:r>
      <w:r w:rsidRPr="00183E46">
        <w:rPr>
          <w:rFonts w:ascii="Arial" w:hAnsi="Arial" w:cs="Arial"/>
        </w:rPr>
        <w:t xml:space="preserve"> building and maintaining organisational resilience in the face of continually evolving technological and regulatory pressures.</w:t>
      </w:r>
    </w:p>
    <w:p w14:paraId="6174A1DB" w14:textId="77777777" w:rsidR="00805A67" w:rsidRPr="00183E46" w:rsidRDefault="00805A67">
      <w:pPr>
        <w:pageBreakBefore/>
        <w:rPr>
          <w:rFonts w:ascii="Arial" w:hAnsi="Arial" w:cs="Arial"/>
        </w:rPr>
      </w:pPr>
    </w:p>
    <w:bookmarkStart w:id="15" w:name="_Toc236388721" w:displacedByCustomXml="next"/>
    <w:sdt>
      <w:sdtPr>
        <w:id w:val="642160588"/>
        <w:docPartObj>
          <w:docPartGallery w:val="Bibliographies"/>
          <w:docPartUnique/>
        </w:docPartObj>
      </w:sdtPr>
      <w:sdtEndPr>
        <w:rPr>
          <w:color w:val="auto"/>
          <w:sz w:val="20"/>
          <w:szCs w:val="20"/>
        </w:rPr>
      </w:sdtEndPr>
      <w:sdtContent>
        <w:p w14:paraId="1F9CB95C" w14:textId="24D17932" w:rsidR="002824F3" w:rsidRDefault="002824F3">
          <w:pPr>
            <w:pStyle w:val="Heading1"/>
          </w:pPr>
          <w:r>
            <w:t>References</w:t>
          </w:r>
          <w:bookmarkEnd w:id="15"/>
        </w:p>
        <w:sdt>
          <w:sdtPr>
            <w:id w:val="-573587230"/>
            <w:bibliography/>
          </w:sdtPr>
          <w:sdtContent>
            <w:p w14:paraId="242881B1" w14:textId="77777777" w:rsidR="002824F3" w:rsidRDefault="002824F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2824F3" w14:paraId="2B39573F" w14:textId="77777777">
                <w:trPr>
                  <w:divId w:val="1267154498"/>
                  <w:tblCellSpacing w:w="15" w:type="dxa"/>
                </w:trPr>
                <w:tc>
                  <w:tcPr>
                    <w:tcW w:w="50" w:type="pct"/>
                    <w:hideMark/>
                  </w:tcPr>
                  <w:p w14:paraId="169FE856" w14:textId="50388A8F" w:rsidR="002824F3" w:rsidRDefault="002824F3">
                    <w:pPr>
                      <w:pStyle w:val="Bibliography"/>
                      <w:rPr>
                        <w:noProof/>
                        <w:sz w:val="24"/>
                        <w:szCs w:val="24"/>
                      </w:rPr>
                    </w:pPr>
                    <w:r>
                      <w:rPr>
                        <w:noProof/>
                      </w:rPr>
                      <w:t xml:space="preserve">[1] </w:t>
                    </w:r>
                  </w:p>
                </w:tc>
                <w:tc>
                  <w:tcPr>
                    <w:tcW w:w="0" w:type="auto"/>
                    <w:hideMark/>
                  </w:tcPr>
                  <w:p w14:paraId="0FA0E9E3" w14:textId="77777777" w:rsidR="002824F3" w:rsidRDefault="002824F3">
                    <w:pPr>
                      <w:pStyle w:val="Bibliography"/>
                      <w:rPr>
                        <w:noProof/>
                      </w:rPr>
                    </w:pPr>
                    <w:r>
                      <w:rPr>
                        <w:noProof/>
                      </w:rPr>
                      <w:t xml:space="preserve">E. Tabassi, E. Tabassi, Artificial Intelligence Risk Management Framework (AI RMF 1.0), 2023. </w:t>
                    </w:r>
                  </w:p>
                </w:tc>
              </w:tr>
              <w:tr w:rsidR="002824F3" w14:paraId="6AE384E5" w14:textId="77777777">
                <w:trPr>
                  <w:divId w:val="1267154498"/>
                  <w:tblCellSpacing w:w="15" w:type="dxa"/>
                </w:trPr>
                <w:tc>
                  <w:tcPr>
                    <w:tcW w:w="50" w:type="pct"/>
                    <w:hideMark/>
                  </w:tcPr>
                  <w:p w14:paraId="51D4E50D" w14:textId="77777777" w:rsidR="002824F3" w:rsidRDefault="002824F3">
                    <w:pPr>
                      <w:pStyle w:val="Bibliography"/>
                      <w:rPr>
                        <w:noProof/>
                      </w:rPr>
                    </w:pPr>
                    <w:r>
                      <w:rPr>
                        <w:noProof/>
                      </w:rPr>
                      <w:t xml:space="preserve">[2] </w:t>
                    </w:r>
                  </w:p>
                </w:tc>
                <w:tc>
                  <w:tcPr>
                    <w:tcW w:w="0" w:type="auto"/>
                    <w:hideMark/>
                  </w:tcPr>
                  <w:p w14:paraId="6F640367" w14:textId="77777777" w:rsidR="002824F3" w:rsidRDefault="002824F3">
                    <w:pPr>
                      <w:pStyle w:val="Bibliography"/>
                      <w:rPr>
                        <w:noProof/>
                      </w:rPr>
                    </w:pPr>
                    <w:r>
                      <w:rPr>
                        <w:noProof/>
                      </w:rPr>
                      <w:t xml:space="preserve">I. O. f. S. a. I. E. Commission, International Organization for Standardization and International Electrotechnical Commission, ISO/IEC 42001:2023 — Information Technology — Artificial Intelligence — Management System, Geneva, 2023. </w:t>
                    </w:r>
                  </w:p>
                </w:tc>
              </w:tr>
              <w:tr w:rsidR="002824F3" w14:paraId="4AFFBFEA" w14:textId="77777777">
                <w:trPr>
                  <w:divId w:val="1267154498"/>
                  <w:tblCellSpacing w:w="15" w:type="dxa"/>
                </w:trPr>
                <w:tc>
                  <w:tcPr>
                    <w:tcW w:w="50" w:type="pct"/>
                    <w:hideMark/>
                  </w:tcPr>
                  <w:p w14:paraId="356E3669" w14:textId="77777777" w:rsidR="002824F3" w:rsidRDefault="002824F3">
                    <w:pPr>
                      <w:pStyle w:val="Bibliography"/>
                      <w:rPr>
                        <w:noProof/>
                      </w:rPr>
                    </w:pPr>
                    <w:r>
                      <w:rPr>
                        <w:noProof/>
                      </w:rPr>
                      <w:t xml:space="preserve">[3] </w:t>
                    </w:r>
                  </w:p>
                </w:tc>
                <w:tc>
                  <w:tcPr>
                    <w:tcW w:w="0" w:type="auto"/>
                    <w:hideMark/>
                  </w:tcPr>
                  <w:p w14:paraId="602A1F4D" w14:textId="77777777" w:rsidR="002824F3" w:rsidRDefault="002824F3">
                    <w:pPr>
                      <w:pStyle w:val="Bibliography"/>
                      <w:rPr>
                        <w:noProof/>
                      </w:rPr>
                    </w:pPr>
                    <w:r>
                      <w:rPr>
                        <w:noProof/>
                      </w:rPr>
                      <w:t>L. C. J. L. a. S. Y. Z. Tian, A comprehensive survey on poisoning attacks and countermeasures in machine learning, 8 ed., 2022, pp. 1-35.</w:t>
                    </w:r>
                  </w:p>
                </w:tc>
              </w:tr>
              <w:tr w:rsidR="002824F3" w14:paraId="15CAF198" w14:textId="77777777">
                <w:trPr>
                  <w:divId w:val="1267154498"/>
                  <w:tblCellSpacing w:w="15" w:type="dxa"/>
                </w:trPr>
                <w:tc>
                  <w:tcPr>
                    <w:tcW w:w="50" w:type="pct"/>
                    <w:hideMark/>
                  </w:tcPr>
                  <w:p w14:paraId="50723FE9" w14:textId="77777777" w:rsidR="002824F3" w:rsidRDefault="002824F3">
                    <w:pPr>
                      <w:pStyle w:val="Bibliography"/>
                      <w:rPr>
                        <w:noProof/>
                      </w:rPr>
                    </w:pPr>
                    <w:r>
                      <w:rPr>
                        <w:noProof/>
                      </w:rPr>
                      <w:t xml:space="preserve">[4] </w:t>
                    </w:r>
                  </w:p>
                </w:tc>
                <w:tc>
                  <w:tcPr>
                    <w:tcW w:w="0" w:type="auto"/>
                    <w:hideMark/>
                  </w:tcPr>
                  <w:p w14:paraId="4A0AA78F" w14:textId="77777777" w:rsidR="002824F3" w:rsidRDefault="002824F3">
                    <w:pPr>
                      <w:pStyle w:val="Bibliography"/>
                      <w:rPr>
                        <w:noProof/>
                      </w:rPr>
                    </w:pPr>
                    <w:r>
                      <w:rPr>
                        <w:noProof/>
                      </w:rPr>
                      <w:t xml:space="preserve">I. Ž. A. B. M. P. a. A. B. J. Gama, J. Gama, I. Žliobaitė, A. Bifet, M. Pechenizkiy, and A. Bouchachia, “A survey on concept drift adaptation,” ACM Comput. Surv. </w:t>
                    </w:r>
                  </w:p>
                </w:tc>
              </w:tr>
              <w:tr w:rsidR="002824F3" w14:paraId="308AC64D" w14:textId="77777777">
                <w:trPr>
                  <w:divId w:val="1267154498"/>
                  <w:tblCellSpacing w:w="15" w:type="dxa"/>
                </w:trPr>
                <w:tc>
                  <w:tcPr>
                    <w:tcW w:w="50" w:type="pct"/>
                    <w:hideMark/>
                  </w:tcPr>
                  <w:p w14:paraId="25A30320" w14:textId="77777777" w:rsidR="002824F3" w:rsidRDefault="002824F3">
                    <w:pPr>
                      <w:pStyle w:val="Bibliography"/>
                      <w:rPr>
                        <w:noProof/>
                      </w:rPr>
                    </w:pPr>
                    <w:r>
                      <w:rPr>
                        <w:noProof/>
                      </w:rPr>
                      <w:t xml:space="preserve">[5] </w:t>
                    </w:r>
                  </w:p>
                </w:tc>
                <w:tc>
                  <w:tcPr>
                    <w:tcW w:w="0" w:type="auto"/>
                    <w:hideMark/>
                  </w:tcPr>
                  <w:p w14:paraId="79BBB139" w14:textId="77777777" w:rsidR="002824F3" w:rsidRDefault="002824F3">
                    <w:pPr>
                      <w:pStyle w:val="Bibliography"/>
                      <w:rPr>
                        <w:noProof/>
                      </w:rPr>
                    </w:pPr>
                    <w:r>
                      <w:rPr>
                        <w:noProof/>
                      </w:rPr>
                      <w:t xml:space="preserve">J. B. a. T. Gebru, Gender shades: Intersectional accuracy disparities in commercial gender classification. </w:t>
                    </w:r>
                  </w:p>
                </w:tc>
              </w:tr>
              <w:tr w:rsidR="002824F3" w14:paraId="1B8EDB81" w14:textId="77777777">
                <w:trPr>
                  <w:divId w:val="1267154498"/>
                  <w:tblCellSpacing w:w="15" w:type="dxa"/>
                </w:trPr>
                <w:tc>
                  <w:tcPr>
                    <w:tcW w:w="50" w:type="pct"/>
                    <w:hideMark/>
                  </w:tcPr>
                  <w:p w14:paraId="56E655B5" w14:textId="77777777" w:rsidR="002824F3" w:rsidRDefault="002824F3">
                    <w:pPr>
                      <w:pStyle w:val="Bibliography"/>
                      <w:rPr>
                        <w:noProof/>
                      </w:rPr>
                    </w:pPr>
                    <w:r>
                      <w:rPr>
                        <w:noProof/>
                      </w:rPr>
                      <w:t xml:space="preserve">[6] </w:t>
                    </w:r>
                  </w:p>
                </w:tc>
                <w:tc>
                  <w:tcPr>
                    <w:tcW w:w="0" w:type="auto"/>
                    <w:hideMark/>
                  </w:tcPr>
                  <w:p w14:paraId="5D72E382" w14:textId="77777777" w:rsidR="002824F3" w:rsidRDefault="002824F3">
                    <w:pPr>
                      <w:pStyle w:val="Bibliography"/>
                      <w:rPr>
                        <w:noProof/>
                      </w:rPr>
                    </w:pPr>
                    <w:r>
                      <w:rPr>
                        <w:noProof/>
                      </w:rPr>
                      <w:t xml:space="preserve">A. A. a. M. Berrada, A. Adadi and M. Berrada, “Peeking inside the black-box: A survey on explainable artificial intelligence (XAI). </w:t>
                    </w:r>
                  </w:p>
                </w:tc>
              </w:tr>
              <w:tr w:rsidR="002824F3" w14:paraId="14D009B4" w14:textId="77777777">
                <w:trPr>
                  <w:divId w:val="1267154498"/>
                  <w:tblCellSpacing w:w="15" w:type="dxa"/>
                </w:trPr>
                <w:tc>
                  <w:tcPr>
                    <w:tcW w:w="50" w:type="pct"/>
                    <w:hideMark/>
                  </w:tcPr>
                  <w:p w14:paraId="52879F35" w14:textId="77777777" w:rsidR="002824F3" w:rsidRDefault="002824F3">
                    <w:pPr>
                      <w:pStyle w:val="Bibliography"/>
                      <w:rPr>
                        <w:noProof/>
                      </w:rPr>
                    </w:pPr>
                    <w:r>
                      <w:rPr>
                        <w:noProof/>
                      </w:rPr>
                      <w:t xml:space="preserve">[7] </w:t>
                    </w:r>
                  </w:p>
                </w:tc>
                <w:tc>
                  <w:tcPr>
                    <w:tcW w:w="0" w:type="auto"/>
                    <w:hideMark/>
                  </w:tcPr>
                  <w:p w14:paraId="37F388B3" w14:textId="77777777" w:rsidR="002824F3" w:rsidRDefault="002824F3">
                    <w:pPr>
                      <w:pStyle w:val="Bibliography"/>
                      <w:rPr>
                        <w:noProof/>
                      </w:rPr>
                    </w:pPr>
                    <w:r>
                      <w:rPr>
                        <w:noProof/>
                      </w:rPr>
                      <w:t xml:space="preserve">A. I. Act, Regulation (EU) 2024/1689 of the European Parliament and of the Council of 13 June 2024 Laying Down Harmonised Rules on Artificial Intelligence, 2024. </w:t>
                    </w:r>
                  </w:p>
                </w:tc>
              </w:tr>
              <w:tr w:rsidR="002824F3" w14:paraId="7E1A65B8" w14:textId="77777777">
                <w:trPr>
                  <w:divId w:val="1267154498"/>
                  <w:tblCellSpacing w:w="15" w:type="dxa"/>
                </w:trPr>
                <w:tc>
                  <w:tcPr>
                    <w:tcW w:w="50" w:type="pct"/>
                    <w:hideMark/>
                  </w:tcPr>
                  <w:p w14:paraId="0C110D98" w14:textId="77777777" w:rsidR="002824F3" w:rsidRDefault="002824F3">
                    <w:pPr>
                      <w:pStyle w:val="Bibliography"/>
                      <w:rPr>
                        <w:noProof/>
                      </w:rPr>
                    </w:pPr>
                    <w:r>
                      <w:rPr>
                        <w:noProof/>
                      </w:rPr>
                      <w:t xml:space="preserve">[8] </w:t>
                    </w:r>
                  </w:p>
                </w:tc>
                <w:tc>
                  <w:tcPr>
                    <w:tcW w:w="0" w:type="auto"/>
                    <w:hideMark/>
                  </w:tcPr>
                  <w:p w14:paraId="05433379" w14:textId="77777777" w:rsidR="002824F3" w:rsidRDefault="002824F3">
                    <w:pPr>
                      <w:pStyle w:val="Bibliography"/>
                      <w:rPr>
                        <w:noProof/>
                      </w:rPr>
                    </w:pPr>
                    <w:r>
                      <w:rPr>
                        <w:noProof/>
                      </w:rPr>
                      <w:t xml:space="preserve">I. O. f. S. a. I. E. Commission, Information Technology — Artificial Intelligence — Management System, ISO,. </w:t>
                    </w:r>
                  </w:p>
                </w:tc>
              </w:tr>
              <w:tr w:rsidR="002824F3" w14:paraId="61615AA7" w14:textId="77777777">
                <w:trPr>
                  <w:divId w:val="1267154498"/>
                  <w:tblCellSpacing w:w="15" w:type="dxa"/>
                </w:trPr>
                <w:tc>
                  <w:tcPr>
                    <w:tcW w:w="50" w:type="pct"/>
                    <w:hideMark/>
                  </w:tcPr>
                  <w:p w14:paraId="55BD4FF5" w14:textId="77777777" w:rsidR="002824F3" w:rsidRDefault="002824F3">
                    <w:pPr>
                      <w:pStyle w:val="Bibliography"/>
                      <w:rPr>
                        <w:noProof/>
                      </w:rPr>
                    </w:pPr>
                    <w:r>
                      <w:rPr>
                        <w:noProof/>
                      </w:rPr>
                      <w:t xml:space="preserve">[9] </w:t>
                    </w:r>
                  </w:p>
                </w:tc>
                <w:tc>
                  <w:tcPr>
                    <w:tcW w:w="0" w:type="auto"/>
                    <w:hideMark/>
                  </w:tcPr>
                  <w:p w14:paraId="5AB15D9E" w14:textId="77777777" w:rsidR="002824F3" w:rsidRDefault="002824F3">
                    <w:pPr>
                      <w:pStyle w:val="Bibliography"/>
                      <w:rPr>
                        <w:noProof/>
                      </w:rPr>
                    </w:pPr>
                    <w:r>
                      <w:rPr>
                        <w:noProof/>
                      </w:rPr>
                      <w:t xml:space="preserve">Regulation (EU) 2022/2554 of the European Parliament and of the Council of 14 December 2022 on Digital Operational Resilience for the Financial Sector (DORA), 2022. </w:t>
                    </w:r>
                  </w:p>
                </w:tc>
              </w:tr>
              <w:tr w:rsidR="002824F3" w14:paraId="0C7A00FB" w14:textId="77777777">
                <w:trPr>
                  <w:divId w:val="1267154498"/>
                  <w:tblCellSpacing w:w="15" w:type="dxa"/>
                </w:trPr>
                <w:tc>
                  <w:tcPr>
                    <w:tcW w:w="50" w:type="pct"/>
                    <w:hideMark/>
                  </w:tcPr>
                  <w:p w14:paraId="6EDF93DA" w14:textId="77777777" w:rsidR="002824F3" w:rsidRDefault="002824F3">
                    <w:pPr>
                      <w:pStyle w:val="Bibliography"/>
                      <w:rPr>
                        <w:noProof/>
                      </w:rPr>
                    </w:pPr>
                    <w:r>
                      <w:rPr>
                        <w:noProof/>
                      </w:rPr>
                      <w:t xml:space="preserve">[10] </w:t>
                    </w:r>
                  </w:p>
                </w:tc>
                <w:tc>
                  <w:tcPr>
                    <w:tcW w:w="0" w:type="auto"/>
                    <w:hideMark/>
                  </w:tcPr>
                  <w:p w14:paraId="12381493" w14:textId="77777777" w:rsidR="002824F3" w:rsidRDefault="002824F3">
                    <w:pPr>
                      <w:pStyle w:val="Bibliography"/>
                      <w:rPr>
                        <w:noProof/>
                      </w:rPr>
                    </w:pPr>
                    <w:r>
                      <w:rPr>
                        <w:noProof/>
                      </w:rPr>
                      <w:t xml:space="preserve">O. J. E. U. Directive (EU) 2022/2555 of the European Parliament and of the Council of 14 December 2022 on Measures for a High Common Level of Cybersecurity Across the Union (NIS2), Directive (EU) 2022/2555 of the European Parliament and of the Council of 14 December 2022 on Measures for a High Common Level of Cybersecurity Across the Union (NIS2), 2022. </w:t>
                    </w:r>
                  </w:p>
                </w:tc>
              </w:tr>
              <w:tr w:rsidR="002824F3" w14:paraId="5F7AC3AC" w14:textId="77777777">
                <w:trPr>
                  <w:divId w:val="1267154498"/>
                  <w:tblCellSpacing w:w="15" w:type="dxa"/>
                </w:trPr>
                <w:tc>
                  <w:tcPr>
                    <w:tcW w:w="50" w:type="pct"/>
                    <w:hideMark/>
                  </w:tcPr>
                  <w:p w14:paraId="3F844BCA" w14:textId="77777777" w:rsidR="002824F3" w:rsidRDefault="002824F3">
                    <w:pPr>
                      <w:pStyle w:val="Bibliography"/>
                      <w:rPr>
                        <w:noProof/>
                      </w:rPr>
                    </w:pPr>
                    <w:r>
                      <w:rPr>
                        <w:noProof/>
                      </w:rPr>
                      <w:t xml:space="preserve">[11] </w:t>
                    </w:r>
                  </w:p>
                </w:tc>
                <w:tc>
                  <w:tcPr>
                    <w:tcW w:w="0" w:type="auto"/>
                    <w:hideMark/>
                  </w:tcPr>
                  <w:p w14:paraId="515C5D79" w14:textId="77777777" w:rsidR="002824F3" w:rsidRDefault="002824F3">
                    <w:pPr>
                      <w:pStyle w:val="Bibliography"/>
                      <w:rPr>
                        <w:noProof/>
                      </w:rPr>
                    </w:pPr>
                    <w:r>
                      <w:rPr>
                        <w:noProof/>
                      </w:rPr>
                      <w:t xml:space="preserve">O. B. S. M. S. Rose, Zero Trust Architecture, 2020. </w:t>
                    </w:r>
                  </w:p>
                </w:tc>
              </w:tr>
              <w:tr w:rsidR="002824F3" w14:paraId="2FFDC08B" w14:textId="77777777">
                <w:trPr>
                  <w:divId w:val="1267154498"/>
                  <w:tblCellSpacing w:w="15" w:type="dxa"/>
                </w:trPr>
                <w:tc>
                  <w:tcPr>
                    <w:tcW w:w="50" w:type="pct"/>
                    <w:hideMark/>
                  </w:tcPr>
                  <w:p w14:paraId="03B179BA" w14:textId="77777777" w:rsidR="002824F3" w:rsidRDefault="002824F3">
                    <w:pPr>
                      <w:pStyle w:val="Bibliography"/>
                      <w:rPr>
                        <w:noProof/>
                      </w:rPr>
                    </w:pPr>
                    <w:r>
                      <w:rPr>
                        <w:noProof/>
                      </w:rPr>
                      <w:t xml:space="preserve">[12] </w:t>
                    </w:r>
                  </w:p>
                </w:tc>
                <w:tc>
                  <w:tcPr>
                    <w:tcW w:w="0" w:type="auto"/>
                    <w:hideMark/>
                  </w:tcPr>
                  <w:p w14:paraId="4A9778AF" w14:textId="77777777" w:rsidR="002824F3" w:rsidRDefault="002824F3">
                    <w:pPr>
                      <w:pStyle w:val="Bibliography"/>
                      <w:rPr>
                        <w:noProof/>
                      </w:rPr>
                    </w:pPr>
                    <w:r>
                      <w:rPr>
                        <w:noProof/>
                      </w:rPr>
                      <w:t xml:space="preserve">D. P. A. T. b. E. a. F. A. i. R. t. t. 2. B. U.S. Government Accountability Office, Rep. GAO-18-559. </w:t>
                    </w:r>
                  </w:p>
                </w:tc>
              </w:tr>
              <w:tr w:rsidR="002824F3" w14:paraId="567ABDD9" w14:textId="77777777">
                <w:trPr>
                  <w:divId w:val="1267154498"/>
                  <w:tblCellSpacing w:w="15" w:type="dxa"/>
                </w:trPr>
                <w:tc>
                  <w:tcPr>
                    <w:tcW w:w="50" w:type="pct"/>
                    <w:hideMark/>
                  </w:tcPr>
                  <w:p w14:paraId="34D06EB6" w14:textId="77777777" w:rsidR="002824F3" w:rsidRDefault="002824F3">
                    <w:pPr>
                      <w:pStyle w:val="Bibliography"/>
                      <w:rPr>
                        <w:noProof/>
                      </w:rPr>
                    </w:pPr>
                    <w:r>
                      <w:rPr>
                        <w:noProof/>
                      </w:rPr>
                      <w:t xml:space="preserve">[13] </w:t>
                    </w:r>
                  </w:p>
                </w:tc>
                <w:tc>
                  <w:tcPr>
                    <w:tcW w:w="0" w:type="auto"/>
                    <w:hideMark/>
                  </w:tcPr>
                  <w:p w14:paraId="3B340A45" w14:textId="77777777" w:rsidR="002824F3" w:rsidRDefault="002824F3">
                    <w:pPr>
                      <w:pStyle w:val="Bibliography"/>
                      <w:rPr>
                        <w:noProof/>
                      </w:rPr>
                    </w:pPr>
                    <w:r>
                      <w:rPr>
                        <w:noProof/>
                      </w:rPr>
                      <w:t xml:space="preserve">C. o. O. a. G. R. U.S. House of Representatives, The Equifax Data Breach, Majority Staff Rep. </w:t>
                    </w:r>
                  </w:p>
                </w:tc>
              </w:tr>
              <w:tr w:rsidR="002824F3" w14:paraId="11CC9128" w14:textId="77777777">
                <w:trPr>
                  <w:divId w:val="1267154498"/>
                  <w:tblCellSpacing w:w="15" w:type="dxa"/>
                </w:trPr>
                <w:tc>
                  <w:tcPr>
                    <w:tcW w:w="50" w:type="pct"/>
                    <w:hideMark/>
                  </w:tcPr>
                  <w:p w14:paraId="3DD2244B" w14:textId="77777777" w:rsidR="002824F3" w:rsidRDefault="002824F3">
                    <w:pPr>
                      <w:pStyle w:val="Bibliography"/>
                      <w:rPr>
                        <w:noProof/>
                      </w:rPr>
                    </w:pPr>
                    <w:r>
                      <w:rPr>
                        <w:noProof/>
                      </w:rPr>
                      <w:t xml:space="preserve">[14] </w:t>
                    </w:r>
                  </w:p>
                </w:tc>
                <w:tc>
                  <w:tcPr>
                    <w:tcW w:w="0" w:type="auto"/>
                    <w:hideMark/>
                  </w:tcPr>
                  <w:p w14:paraId="41C731C1" w14:textId="77777777" w:rsidR="002824F3" w:rsidRDefault="002824F3">
                    <w:pPr>
                      <w:pStyle w:val="Bibliography"/>
                      <w:rPr>
                        <w:noProof/>
                      </w:rPr>
                    </w:pPr>
                    <w:r>
                      <w:rPr>
                        <w:noProof/>
                      </w:rPr>
                      <w:t xml:space="preserve">S. Q. a. K. S. C. Pascoe, The NIST Cybersecurity Framework (CSF) 2.0, 2024. </w:t>
                    </w:r>
                  </w:p>
                </w:tc>
              </w:tr>
              <w:tr w:rsidR="002824F3" w14:paraId="41EF3593" w14:textId="77777777">
                <w:trPr>
                  <w:divId w:val="1267154498"/>
                  <w:tblCellSpacing w:w="15" w:type="dxa"/>
                </w:trPr>
                <w:tc>
                  <w:tcPr>
                    <w:tcW w:w="50" w:type="pct"/>
                    <w:hideMark/>
                  </w:tcPr>
                  <w:p w14:paraId="6FE96F6A" w14:textId="77777777" w:rsidR="002824F3" w:rsidRDefault="002824F3">
                    <w:pPr>
                      <w:pStyle w:val="Bibliography"/>
                      <w:rPr>
                        <w:noProof/>
                      </w:rPr>
                    </w:pPr>
                    <w:r>
                      <w:rPr>
                        <w:noProof/>
                      </w:rPr>
                      <w:t xml:space="preserve">[15] </w:t>
                    </w:r>
                  </w:p>
                </w:tc>
                <w:tc>
                  <w:tcPr>
                    <w:tcW w:w="0" w:type="auto"/>
                    <w:hideMark/>
                  </w:tcPr>
                  <w:p w14:paraId="69642513" w14:textId="77777777" w:rsidR="002824F3" w:rsidRDefault="002824F3">
                    <w:pPr>
                      <w:pStyle w:val="Bibliography"/>
                      <w:rPr>
                        <w:noProof/>
                      </w:rPr>
                    </w:pPr>
                    <w:r>
                      <w:rPr>
                        <w:noProof/>
                      </w:rPr>
                      <w:t xml:space="preserve">T. M. T. G. a. K. S. P. Cichonski, Computer Security Incident Handling Guide, NIST SP 800-61 Rev. 2, 2012. </w:t>
                    </w:r>
                  </w:p>
                </w:tc>
              </w:tr>
              <w:tr w:rsidR="002824F3" w14:paraId="6251EE91" w14:textId="77777777">
                <w:trPr>
                  <w:divId w:val="1267154498"/>
                  <w:tblCellSpacing w:w="15" w:type="dxa"/>
                </w:trPr>
                <w:tc>
                  <w:tcPr>
                    <w:tcW w:w="50" w:type="pct"/>
                    <w:hideMark/>
                  </w:tcPr>
                  <w:p w14:paraId="10E722EB" w14:textId="77777777" w:rsidR="002824F3" w:rsidRDefault="002824F3">
                    <w:pPr>
                      <w:pStyle w:val="Bibliography"/>
                      <w:rPr>
                        <w:noProof/>
                      </w:rPr>
                    </w:pPr>
                    <w:r>
                      <w:rPr>
                        <w:noProof/>
                      </w:rPr>
                      <w:t xml:space="preserve">[16] </w:t>
                    </w:r>
                  </w:p>
                </w:tc>
                <w:tc>
                  <w:tcPr>
                    <w:tcW w:w="0" w:type="auto"/>
                    <w:hideMark/>
                  </w:tcPr>
                  <w:p w14:paraId="0E335509" w14:textId="77777777" w:rsidR="002824F3" w:rsidRDefault="002824F3">
                    <w:pPr>
                      <w:pStyle w:val="Bibliography"/>
                      <w:rPr>
                        <w:noProof/>
                      </w:rPr>
                    </w:pPr>
                    <w:r>
                      <w:rPr>
                        <w:noProof/>
                      </w:rPr>
                      <w:t xml:space="preserve">I. S. a. P. Institute, Cost of a Data Breach Report 2025. </w:t>
                    </w:r>
                  </w:p>
                </w:tc>
              </w:tr>
            </w:tbl>
            <w:p w14:paraId="7C3A28A2" w14:textId="77777777" w:rsidR="002824F3" w:rsidRDefault="002824F3">
              <w:pPr>
                <w:divId w:val="1267154498"/>
                <w:rPr>
                  <w:noProof/>
                </w:rPr>
              </w:pPr>
            </w:p>
            <w:p w14:paraId="5A7FB8CA" w14:textId="2DAEC53D" w:rsidR="002824F3" w:rsidRDefault="002824F3">
              <w:r>
                <w:rPr>
                  <w:b/>
                  <w:bCs/>
                  <w:noProof/>
                </w:rPr>
                <w:fldChar w:fldCharType="end"/>
              </w:r>
            </w:p>
          </w:sdtContent>
        </w:sdt>
      </w:sdtContent>
    </w:sdt>
    <w:p w14:paraId="12BA60AF" w14:textId="5FFE8B3D" w:rsidR="00805A67" w:rsidRPr="00183E46" w:rsidRDefault="00805A67">
      <w:pPr>
        <w:tabs>
          <w:tab w:val="left" w:pos="540"/>
        </w:tabs>
        <w:spacing w:after="160" w:line="264" w:lineRule="auto"/>
        <w:ind w:left="540" w:hanging="540"/>
        <w:rPr>
          <w:rFonts w:ascii="Arial" w:hAnsi="Arial" w:cs="Arial"/>
        </w:rPr>
      </w:pPr>
    </w:p>
    <w:sectPr w:rsidR="00805A67" w:rsidRPr="00183E46">
      <w:headerReference w:type="default" r:id="rId12"/>
      <w:footerReference w:type="default" r:id="rId1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67CAC" w14:textId="77777777" w:rsidR="009A5DC5" w:rsidRDefault="009A5DC5">
      <w:r>
        <w:separator/>
      </w:r>
    </w:p>
  </w:endnote>
  <w:endnote w:type="continuationSeparator" w:id="0">
    <w:p w14:paraId="017D3815" w14:textId="77777777" w:rsidR="009A5DC5" w:rsidRDefault="009A5D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EF9921" w14:textId="77777777" w:rsidR="00805A67"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183E46">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DA56EC" w14:textId="77777777" w:rsidR="009A5DC5" w:rsidRDefault="009A5DC5">
      <w:r>
        <w:separator/>
      </w:r>
    </w:p>
  </w:footnote>
  <w:footnote w:type="continuationSeparator" w:id="0">
    <w:p w14:paraId="6CCDF051" w14:textId="77777777" w:rsidR="009A5DC5" w:rsidRDefault="009A5D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4AC975" w14:textId="6D5B82F8" w:rsidR="00805A67" w:rsidRDefault="00805A67">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51509"/>
    <w:multiLevelType w:val="hybridMultilevel"/>
    <w:tmpl w:val="67744510"/>
    <w:lvl w:ilvl="0" w:tplc="0D109362">
      <w:start w:val="1"/>
      <w:numFmt w:val="bullet"/>
      <w:lvlText w:val="●"/>
      <w:lvlJc w:val="left"/>
      <w:pPr>
        <w:ind w:left="720" w:hanging="360"/>
      </w:pPr>
    </w:lvl>
    <w:lvl w:ilvl="1" w:tplc="B6D0BC70">
      <w:start w:val="1"/>
      <w:numFmt w:val="bullet"/>
      <w:lvlText w:val="○"/>
      <w:lvlJc w:val="left"/>
      <w:pPr>
        <w:ind w:left="1440" w:hanging="360"/>
      </w:pPr>
    </w:lvl>
    <w:lvl w:ilvl="2" w:tplc="BFF469C4">
      <w:start w:val="1"/>
      <w:numFmt w:val="bullet"/>
      <w:lvlText w:val="■"/>
      <w:lvlJc w:val="left"/>
      <w:pPr>
        <w:ind w:left="2160" w:hanging="360"/>
      </w:pPr>
    </w:lvl>
    <w:lvl w:ilvl="3" w:tplc="00F2A95A">
      <w:start w:val="1"/>
      <w:numFmt w:val="bullet"/>
      <w:lvlText w:val="●"/>
      <w:lvlJc w:val="left"/>
      <w:pPr>
        <w:ind w:left="2880" w:hanging="360"/>
      </w:pPr>
    </w:lvl>
    <w:lvl w:ilvl="4" w:tplc="7F3A7228">
      <w:start w:val="1"/>
      <w:numFmt w:val="bullet"/>
      <w:lvlText w:val="○"/>
      <w:lvlJc w:val="left"/>
      <w:pPr>
        <w:ind w:left="3600" w:hanging="360"/>
      </w:pPr>
    </w:lvl>
    <w:lvl w:ilvl="5" w:tplc="E118081A">
      <w:start w:val="1"/>
      <w:numFmt w:val="bullet"/>
      <w:lvlText w:val="■"/>
      <w:lvlJc w:val="left"/>
      <w:pPr>
        <w:ind w:left="4320" w:hanging="360"/>
      </w:pPr>
    </w:lvl>
    <w:lvl w:ilvl="6" w:tplc="4894E622">
      <w:start w:val="1"/>
      <w:numFmt w:val="bullet"/>
      <w:lvlText w:val="●"/>
      <w:lvlJc w:val="left"/>
      <w:pPr>
        <w:ind w:left="5040" w:hanging="360"/>
      </w:pPr>
    </w:lvl>
    <w:lvl w:ilvl="7" w:tplc="4ABEAC80">
      <w:start w:val="1"/>
      <w:numFmt w:val="bullet"/>
      <w:lvlText w:val="●"/>
      <w:lvlJc w:val="left"/>
      <w:pPr>
        <w:ind w:left="5760" w:hanging="360"/>
      </w:pPr>
    </w:lvl>
    <w:lvl w:ilvl="8" w:tplc="5CFCACC6">
      <w:start w:val="1"/>
      <w:numFmt w:val="bullet"/>
      <w:lvlText w:val="●"/>
      <w:lvlJc w:val="left"/>
      <w:pPr>
        <w:ind w:left="6480" w:hanging="360"/>
      </w:pPr>
    </w:lvl>
  </w:abstractNum>
  <w:abstractNum w:abstractNumId="1" w15:restartNumberingAfterBreak="0">
    <w:nsid w:val="14FD71EC"/>
    <w:multiLevelType w:val="hybridMultilevel"/>
    <w:tmpl w:val="947E2844"/>
    <w:lvl w:ilvl="0" w:tplc="39A289F8">
      <w:start w:val="1"/>
      <w:numFmt w:val="bullet"/>
      <w:lvlText w:val="•"/>
      <w:lvlJc w:val="left"/>
      <w:pPr>
        <w:ind w:left="720" w:hanging="360"/>
      </w:pPr>
    </w:lvl>
    <w:lvl w:ilvl="1" w:tplc="58F415D6">
      <w:numFmt w:val="decimal"/>
      <w:lvlText w:val=""/>
      <w:lvlJc w:val="left"/>
    </w:lvl>
    <w:lvl w:ilvl="2" w:tplc="009A580E">
      <w:numFmt w:val="decimal"/>
      <w:lvlText w:val=""/>
      <w:lvlJc w:val="left"/>
    </w:lvl>
    <w:lvl w:ilvl="3" w:tplc="7AA8017E">
      <w:numFmt w:val="decimal"/>
      <w:lvlText w:val=""/>
      <w:lvlJc w:val="left"/>
    </w:lvl>
    <w:lvl w:ilvl="4" w:tplc="BF384EEE">
      <w:numFmt w:val="decimal"/>
      <w:lvlText w:val=""/>
      <w:lvlJc w:val="left"/>
    </w:lvl>
    <w:lvl w:ilvl="5" w:tplc="767E3630">
      <w:numFmt w:val="decimal"/>
      <w:lvlText w:val=""/>
      <w:lvlJc w:val="left"/>
    </w:lvl>
    <w:lvl w:ilvl="6" w:tplc="334A25B4">
      <w:numFmt w:val="decimal"/>
      <w:lvlText w:val=""/>
      <w:lvlJc w:val="left"/>
    </w:lvl>
    <w:lvl w:ilvl="7" w:tplc="BB068FFE">
      <w:numFmt w:val="decimal"/>
      <w:lvlText w:val=""/>
      <w:lvlJc w:val="left"/>
    </w:lvl>
    <w:lvl w:ilvl="8" w:tplc="7E365D20">
      <w:numFmt w:val="decimal"/>
      <w:lvlText w:val=""/>
      <w:lvlJc w:val="left"/>
    </w:lvl>
  </w:abstractNum>
  <w:num w:numId="1" w16cid:durableId="135233715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5A67"/>
    <w:rsid w:val="00183E46"/>
    <w:rsid w:val="002824F3"/>
    <w:rsid w:val="00805A67"/>
    <w:rsid w:val="009A5DC5"/>
    <w:rsid w:val="00E73049"/>
    <w:rsid w:val="00FB1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959A8"/>
  <w15:docId w15:val="{B191FD8C-D143-433D-9074-8F1991A7D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183E46"/>
    <w:pPr>
      <w:tabs>
        <w:tab w:val="center" w:pos="4513"/>
        <w:tab w:val="right" w:pos="9026"/>
      </w:tabs>
    </w:pPr>
  </w:style>
  <w:style w:type="character" w:customStyle="1" w:styleId="HeaderChar">
    <w:name w:val="Header Char"/>
    <w:basedOn w:val="DefaultParagraphFont"/>
    <w:link w:val="Header"/>
    <w:uiPriority w:val="99"/>
    <w:rsid w:val="00183E46"/>
  </w:style>
  <w:style w:type="paragraph" w:styleId="Footer">
    <w:name w:val="footer"/>
    <w:basedOn w:val="Normal"/>
    <w:link w:val="FooterChar"/>
    <w:uiPriority w:val="99"/>
    <w:unhideWhenUsed/>
    <w:rsid w:val="00183E46"/>
    <w:pPr>
      <w:tabs>
        <w:tab w:val="center" w:pos="4513"/>
        <w:tab w:val="right" w:pos="9026"/>
      </w:tabs>
    </w:pPr>
  </w:style>
  <w:style w:type="character" w:customStyle="1" w:styleId="FooterChar">
    <w:name w:val="Footer Char"/>
    <w:basedOn w:val="DefaultParagraphFont"/>
    <w:link w:val="Footer"/>
    <w:uiPriority w:val="99"/>
    <w:rsid w:val="00183E46"/>
  </w:style>
  <w:style w:type="paragraph" w:styleId="TOCHeading">
    <w:name w:val="TOC Heading"/>
    <w:basedOn w:val="Heading1"/>
    <w:next w:val="Normal"/>
    <w:uiPriority w:val="39"/>
    <w:unhideWhenUsed/>
    <w:qFormat/>
    <w:rsid w:val="00183E46"/>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183E46"/>
    <w:pPr>
      <w:spacing w:after="100"/>
    </w:pPr>
  </w:style>
  <w:style w:type="paragraph" w:styleId="TOC2">
    <w:name w:val="toc 2"/>
    <w:basedOn w:val="Normal"/>
    <w:next w:val="Normal"/>
    <w:autoRedefine/>
    <w:uiPriority w:val="39"/>
    <w:unhideWhenUsed/>
    <w:rsid w:val="00183E46"/>
    <w:pPr>
      <w:spacing w:after="100"/>
      <w:ind w:left="200"/>
    </w:pPr>
  </w:style>
  <w:style w:type="character" w:customStyle="1" w:styleId="Heading1Char">
    <w:name w:val="Heading 1 Char"/>
    <w:basedOn w:val="DefaultParagraphFont"/>
    <w:link w:val="Heading1"/>
    <w:uiPriority w:val="9"/>
    <w:rsid w:val="002824F3"/>
    <w:rPr>
      <w:color w:val="2E74B5"/>
      <w:sz w:val="32"/>
      <w:szCs w:val="32"/>
    </w:rPr>
  </w:style>
  <w:style w:type="paragraph" w:styleId="Bibliography">
    <w:name w:val="Bibliography"/>
    <w:basedOn w:val="Normal"/>
    <w:next w:val="Normal"/>
    <w:uiPriority w:val="37"/>
    <w:unhideWhenUsed/>
    <w:rsid w:val="002824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6016">
      <w:bodyDiv w:val="1"/>
      <w:marLeft w:val="0"/>
      <w:marRight w:val="0"/>
      <w:marTop w:val="0"/>
      <w:marBottom w:val="0"/>
      <w:divBdr>
        <w:top w:val="none" w:sz="0" w:space="0" w:color="auto"/>
        <w:left w:val="none" w:sz="0" w:space="0" w:color="auto"/>
        <w:bottom w:val="none" w:sz="0" w:space="0" w:color="auto"/>
        <w:right w:val="none" w:sz="0" w:space="0" w:color="auto"/>
      </w:divBdr>
    </w:div>
    <w:div w:id="29500807">
      <w:bodyDiv w:val="1"/>
      <w:marLeft w:val="0"/>
      <w:marRight w:val="0"/>
      <w:marTop w:val="0"/>
      <w:marBottom w:val="0"/>
      <w:divBdr>
        <w:top w:val="none" w:sz="0" w:space="0" w:color="auto"/>
        <w:left w:val="none" w:sz="0" w:space="0" w:color="auto"/>
        <w:bottom w:val="none" w:sz="0" w:space="0" w:color="auto"/>
        <w:right w:val="none" w:sz="0" w:space="0" w:color="auto"/>
      </w:divBdr>
    </w:div>
    <w:div w:id="38894558">
      <w:bodyDiv w:val="1"/>
      <w:marLeft w:val="0"/>
      <w:marRight w:val="0"/>
      <w:marTop w:val="0"/>
      <w:marBottom w:val="0"/>
      <w:divBdr>
        <w:top w:val="none" w:sz="0" w:space="0" w:color="auto"/>
        <w:left w:val="none" w:sz="0" w:space="0" w:color="auto"/>
        <w:bottom w:val="none" w:sz="0" w:space="0" w:color="auto"/>
        <w:right w:val="none" w:sz="0" w:space="0" w:color="auto"/>
      </w:divBdr>
    </w:div>
    <w:div w:id="39284653">
      <w:bodyDiv w:val="1"/>
      <w:marLeft w:val="0"/>
      <w:marRight w:val="0"/>
      <w:marTop w:val="0"/>
      <w:marBottom w:val="0"/>
      <w:divBdr>
        <w:top w:val="none" w:sz="0" w:space="0" w:color="auto"/>
        <w:left w:val="none" w:sz="0" w:space="0" w:color="auto"/>
        <w:bottom w:val="none" w:sz="0" w:space="0" w:color="auto"/>
        <w:right w:val="none" w:sz="0" w:space="0" w:color="auto"/>
      </w:divBdr>
    </w:div>
    <w:div w:id="64498983">
      <w:bodyDiv w:val="1"/>
      <w:marLeft w:val="0"/>
      <w:marRight w:val="0"/>
      <w:marTop w:val="0"/>
      <w:marBottom w:val="0"/>
      <w:divBdr>
        <w:top w:val="none" w:sz="0" w:space="0" w:color="auto"/>
        <w:left w:val="none" w:sz="0" w:space="0" w:color="auto"/>
        <w:bottom w:val="none" w:sz="0" w:space="0" w:color="auto"/>
        <w:right w:val="none" w:sz="0" w:space="0" w:color="auto"/>
      </w:divBdr>
    </w:div>
    <w:div w:id="69230602">
      <w:bodyDiv w:val="1"/>
      <w:marLeft w:val="0"/>
      <w:marRight w:val="0"/>
      <w:marTop w:val="0"/>
      <w:marBottom w:val="0"/>
      <w:divBdr>
        <w:top w:val="none" w:sz="0" w:space="0" w:color="auto"/>
        <w:left w:val="none" w:sz="0" w:space="0" w:color="auto"/>
        <w:bottom w:val="none" w:sz="0" w:space="0" w:color="auto"/>
        <w:right w:val="none" w:sz="0" w:space="0" w:color="auto"/>
      </w:divBdr>
    </w:div>
    <w:div w:id="102576693">
      <w:bodyDiv w:val="1"/>
      <w:marLeft w:val="0"/>
      <w:marRight w:val="0"/>
      <w:marTop w:val="0"/>
      <w:marBottom w:val="0"/>
      <w:divBdr>
        <w:top w:val="none" w:sz="0" w:space="0" w:color="auto"/>
        <w:left w:val="none" w:sz="0" w:space="0" w:color="auto"/>
        <w:bottom w:val="none" w:sz="0" w:space="0" w:color="auto"/>
        <w:right w:val="none" w:sz="0" w:space="0" w:color="auto"/>
      </w:divBdr>
    </w:div>
    <w:div w:id="107361489">
      <w:bodyDiv w:val="1"/>
      <w:marLeft w:val="0"/>
      <w:marRight w:val="0"/>
      <w:marTop w:val="0"/>
      <w:marBottom w:val="0"/>
      <w:divBdr>
        <w:top w:val="none" w:sz="0" w:space="0" w:color="auto"/>
        <w:left w:val="none" w:sz="0" w:space="0" w:color="auto"/>
        <w:bottom w:val="none" w:sz="0" w:space="0" w:color="auto"/>
        <w:right w:val="none" w:sz="0" w:space="0" w:color="auto"/>
      </w:divBdr>
    </w:div>
    <w:div w:id="153450230">
      <w:bodyDiv w:val="1"/>
      <w:marLeft w:val="0"/>
      <w:marRight w:val="0"/>
      <w:marTop w:val="0"/>
      <w:marBottom w:val="0"/>
      <w:divBdr>
        <w:top w:val="none" w:sz="0" w:space="0" w:color="auto"/>
        <w:left w:val="none" w:sz="0" w:space="0" w:color="auto"/>
        <w:bottom w:val="none" w:sz="0" w:space="0" w:color="auto"/>
        <w:right w:val="none" w:sz="0" w:space="0" w:color="auto"/>
      </w:divBdr>
    </w:div>
    <w:div w:id="178542031">
      <w:bodyDiv w:val="1"/>
      <w:marLeft w:val="0"/>
      <w:marRight w:val="0"/>
      <w:marTop w:val="0"/>
      <w:marBottom w:val="0"/>
      <w:divBdr>
        <w:top w:val="none" w:sz="0" w:space="0" w:color="auto"/>
        <w:left w:val="none" w:sz="0" w:space="0" w:color="auto"/>
        <w:bottom w:val="none" w:sz="0" w:space="0" w:color="auto"/>
        <w:right w:val="none" w:sz="0" w:space="0" w:color="auto"/>
      </w:divBdr>
    </w:div>
    <w:div w:id="208344984">
      <w:bodyDiv w:val="1"/>
      <w:marLeft w:val="0"/>
      <w:marRight w:val="0"/>
      <w:marTop w:val="0"/>
      <w:marBottom w:val="0"/>
      <w:divBdr>
        <w:top w:val="none" w:sz="0" w:space="0" w:color="auto"/>
        <w:left w:val="none" w:sz="0" w:space="0" w:color="auto"/>
        <w:bottom w:val="none" w:sz="0" w:space="0" w:color="auto"/>
        <w:right w:val="none" w:sz="0" w:space="0" w:color="auto"/>
      </w:divBdr>
    </w:div>
    <w:div w:id="218173675">
      <w:bodyDiv w:val="1"/>
      <w:marLeft w:val="0"/>
      <w:marRight w:val="0"/>
      <w:marTop w:val="0"/>
      <w:marBottom w:val="0"/>
      <w:divBdr>
        <w:top w:val="none" w:sz="0" w:space="0" w:color="auto"/>
        <w:left w:val="none" w:sz="0" w:space="0" w:color="auto"/>
        <w:bottom w:val="none" w:sz="0" w:space="0" w:color="auto"/>
        <w:right w:val="none" w:sz="0" w:space="0" w:color="auto"/>
      </w:divBdr>
    </w:div>
    <w:div w:id="245499421">
      <w:bodyDiv w:val="1"/>
      <w:marLeft w:val="0"/>
      <w:marRight w:val="0"/>
      <w:marTop w:val="0"/>
      <w:marBottom w:val="0"/>
      <w:divBdr>
        <w:top w:val="none" w:sz="0" w:space="0" w:color="auto"/>
        <w:left w:val="none" w:sz="0" w:space="0" w:color="auto"/>
        <w:bottom w:val="none" w:sz="0" w:space="0" w:color="auto"/>
        <w:right w:val="none" w:sz="0" w:space="0" w:color="auto"/>
      </w:divBdr>
    </w:div>
    <w:div w:id="247735479">
      <w:bodyDiv w:val="1"/>
      <w:marLeft w:val="0"/>
      <w:marRight w:val="0"/>
      <w:marTop w:val="0"/>
      <w:marBottom w:val="0"/>
      <w:divBdr>
        <w:top w:val="none" w:sz="0" w:space="0" w:color="auto"/>
        <w:left w:val="none" w:sz="0" w:space="0" w:color="auto"/>
        <w:bottom w:val="none" w:sz="0" w:space="0" w:color="auto"/>
        <w:right w:val="none" w:sz="0" w:space="0" w:color="auto"/>
      </w:divBdr>
    </w:div>
    <w:div w:id="255594704">
      <w:bodyDiv w:val="1"/>
      <w:marLeft w:val="0"/>
      <w:marRight w:val="0"/>
      <w:marTop w:val="0"/>
      <w:marBottom w:val="0"/>
      <w:divBdr>
        <w:top w:val="none" w:sz="0" w:space="0" w:color="auto"/>
        <w:left w:val="none" w:sz="0" w:space="0" w:color="auto"/>
        <w:bottom w:val="none" w:sz="0" w:space="0" w:color="auto"/>
        <w:right w:val="none" w:sz="0" w:space="0" w:color="auto"/>
      </w:divBdr>
    </w:div>
    <w:div w:id="258102387">
      <w:bodyDiv w:val="1"/>
      <w:marLeft w:val="0"/>
      <w:marRight w:val="0"/>
      <w:marTop w:val="0"/>
      <w:marBottom w:val="0"/>
      <w:divBdr>
        <w:top w:val="none" w:sz="0" w:space="0" w:color="auto"/>
        <w:left w:val="none" w:sz="0" w:space="0" w:color="auto"/>
        <w:bottom w:val="none" w:sz="0" w:space="0" w:color="auto"/>
        <w:right w:val="none" w:sz="0" w:space="0" w:color="auto"/>
      </w:divBdr>
    </w:div>
    <w:div w:id="260375624">
      <w:bodyDiv w:val="1"/>
      <w:marLeft w:val="0"/>
      <w:marRight w:val="0"/>
      <w:marTop w:val="0"/>
      <w:marBottom w:val="0"/>
      <w:divBdr>
        <w:top w:val="none" w:sz="0" w:space="0" w:color="auto"/>
        <w:left w:val="none" w:sz="0" w:space="0" w:color="auto"/>
        <w:bottom w:val="none" w:sz="0" w:space="0" w:color="auto"/>
        <w:right w:val="none" w:sz="0" w:space="0" w:color="auto"/>
      </w:divBdr>
    </w:div>
    <w:div w:id="262803140">
      <w:bodyDiv w:val="1"/>
      <w:marLeft w:val="0"/>
      <w:marRight w:val="0"/>
      <w:marTop w:val="0"/>
      <w:marBottom w:val="0"/>
      <w:divBdr>
        <w:top w:val="none" w:sz="0" w:space="0" w:color="auto"/>
        <w:left w:val="none" w:sz="0" w:space="0" w:color="auto"/>
        <w:bottom w:val="none" w:sz="0" w:space="0" w:color="auto"/>
        <w:right w:val="none" w:sz="0" w:space="0" w:color="auto"/>
      </w:divBdr>
    </w:div>
    <w:div w:id="276105195">
      <w:bodyDiv w:val="1"/>
      <w:marLeft w:val="0"/>
      <w:marRight w:val="0"/>
      <w:marTop w:val="0"/>
      <w:marBottom w:val="0"/>
      <w:divBdr>
        <w:top w:val="none" w:sz="0" w:space="0" w:color="auto"/>
        <w:left w:val="none" w:sz="0" w:space="0" w:color="auto"/>
        <w:bottom w:val="none" w:sz="0" w:space="0" w:color="auto"/>
        <w:right w:val="none" w:sz="0" w:space="0" w:color="auto"/>
      </w:divBdr>
    </w:div>
    <w:div w:id="294989512">
      <w:bodyDiv w:val="1"/>
      <w:marLeft w:val="0"/>
      <w:marRight w:val="0"/>
      <w:marTop w:val="0"/>
      <w:marBottom w:val="0"/>
      <w:divBdr>
        <w:top w:val="none" w:sz="0" w:space="0" w:color="auto"/>
        <w:left w:val="none" w:sz="0" w:space="0" w:color="auto"/>
        <w:bottom w:val="none" w:sz="0" w:space="0" w:color="auto"/>
        <w:right w:val="none" w:sz="0" w:space="0" w:color="auto"/>
      </w:divBdr>
    </w:div>
    <w:div w:id="297493265">
      <w:bodyDiv w:val="1"/>
      <w:marLeft w:val="0"/>
      <w:marRight w:val="0"/>
      <w:marTop w:val="0"/>
      <w:marBottom w:val="0"/>
      <w:divBdr>
        <w:top w:val="none" w:sz="0" w:space="0" w:color="auto"/>
        <w:left w:val="none" w:sz="0" w:space="0" w:color="auto"/>
        <w:bottom w:val="none" w:sz="0" w:space="0" w:color="auto"/>
        <w:right w:val="none" w:sz="0" w:space="0" w:color="auto"/>
      </w:divBdr>
    </w:div>
    <w:div w:id="299507372">
      <w:bodyDiv w:val="1"/>
      <w:marLeft w:val="0"/>
      <w:marRight w:val="0"/>
      <w:marTop w:val="0"/>
      <w:marBottom w:val="0"/>
      <w:divBdr>
        <w:top w:val="none" w:sz="0" w:space="0" w:color="auto"/>
        <w:left w:val="none" w:sz="0" w:space="0" w:color="auto"/>
        <w:bottom w:val="none" w:sz="0" w:space="0" w:color="auto"/>
        <w:right w:val="none" w:sz="0" w:space="0" w:color="auto"/>
      </w:divBdr>
    </w:div>
    <w:div w:id="300158952">
      <w:bodyDiv w:val="1"/>
      <w:marLeft w:val="0"/>
      <w:marRight w:val="0"/>
      <w:marTop w:val="0"/>
      <w:marBottom w:val="0"/>
      <w:divBdr>
        <w:top w:val="none" w:sz="0" w:space="0" w:color="auto"/>
        <w:left w:val="none" w:sz="0" w:space="0" w:color="auto"/>
        <w:bottom w:val="none" w:sz="0" w:space="0" w:color="auto"/>
        <w:right w:val="none" w:sz="0" w:space="0" w:color="auto"/>
      </w:divBdr>
    </w:div>
    <w:div w:id="308634885">
      <w:bodyDiv w:val="1"/>
      <w:marLeft w:val="0"/>
      <w:marRight w:val="0"/>
      <w:marTop w:val="0"/>
      <w:marBottom w:val="0"/>
      <w:divBdr>
        <w:top w:val="none" w:sz="0" w:space="0" w:color="auto"/>
        <w:left w:val="none" w:sz="0" w:space="0" w:color="auto"/>
        <w:bottom w:val="none" w:sz="0" w:space="0" w:color="auto"/>
        <w:right w:val="none" w:sz="0" w:space="0" w:color="auto"/>
      </w:divBdr>
    </w:div>
    <w:div w:id="313143271">
      <w:bodyDiv w:val="1"/>
      <w:marLeft w:val="0"/>
      <w:marRight w:val="0"/>
      <w:marTop w:val="0"/>
      <w:marBottom w:val="0"/>
      <w:divBdr>
        <w:top w:val="none" w:sz="0" w:space="0" w:color="auto"/>
        <w:left w:val="none" w:sz="0" w:space="0" w:color="auto"/>
        <w:bottom w:val="none" w:sz="0" w:space="0" w:color="auto"/>
        <w:right w:val="none" w:sz="0" w:space="0" w:color="auto"/>
      </w:divBdr>
    </w:div>
    <w:div w:id="321547836">
      <w:bodyDiv w:val="1"/>
      <w:marLeft w:val="0"/>
      <w:marRight w:val="0"/>
      <w:marTop w:val="0"/>
      <w:marBottom w:val="0"/>
      <w:divBdr>
        <w:top w:val="none" w:sz="0" w:space="0" w:color="auto"/>
        <w:left w:val="none" w:sz="0" w:space="0" w:color="auto"/>
        <w:bottom w:val="none" w:sz="0" w:space="0" w:color="auto"/>
        <w:right w:val="none" w:sz="0" w:space="0" w:color="auto"/>
      </w:divBdr>
    </w:div>
    <w:div w:id="335499927">
      <w:bodyDiv w:val="1"/>
      <w:marLeft w:val="0"/>
      <w:marRight w:val="0"/>
      <w:marTop w:val="0"/>
      <w:marBottom w:val="0"/>
      <w:divBdr>
        <w:top w:val="none" w:sz="0" w:space="0" w:color="auto"/>
        <w:left w:val="none" w:sz="0" w:space="0" w:color="auto"/>
        <w:bottom w:val="none" w:sz="0" w:space="0" w:color="auto"/>
        <w:right w:val="none" w:sz="0" w:space="0" w:color="auto"/>
      </w:divBdr>
    </w:div>
    <w:div w:id="350842715">
      <w:bodyDiv w:val="1"/>
      <w:marLeft w:val="0"/>
      <w:marRight w:val="0"/>
      <w:marTop w:val="0"/>
      <w:marBottom w:val="0"/>
      <w:divBdr>
        <w:top w:val="none" w:sz="0" w:space="0" w:color="auto"/>
        <w:left w:val="none" w:sz="0" w:space="0" w:color="auto"/>
        <w:bottom w:val="none" w:sz="0" w:space="0" w:color="auto"/>
        <w:right w:val="none" w:sz="0" w:space="0" w:color="auto"/>
      </w:divBdr>
    </w:div>
    <w:div w:id="354111871">
      <w:bodyDiv w:val="1"/>
      <w:marLeft w:val="0"/>
      <w:marRight w:val="0"/>
      <w:marTop w:val="0"/>
      <w:marBottom w:val="0"/>
      <w:divBdr>
        <w:top w:val="none" w:sz="0" w:space="0" w:color="auto"/>
        <w:left w:val="none" w:sz="0" w:space="0" w:color="auto"/>
        <w:bottom w:val="none" w:sz="0" w:space="0" w:color="auto"/>
        <w:right w:val="none" w:sz="0" w:space="0" w:color="auto"/>
      </w:divBdr>
    </w:div>
    <w:div w:id="377434629">
      <w:bodyDiv w:val="1"/>
      <w:marLeft w:val="0"/>
      <w:marRight w:val="0"/>
      <w:marTop w:val="0"/>
      <w:marBottom w:val="0"/>
      <w:divBdr>
        <w:top w:val="none" w:sz="0" w:space="0" w:color="auto"/>
        <w:left w:val="none" w:sz="0" w:space="0" w:color="auto"/>
        <w:bottom w:val="none" w:sz="0" w:space="0" w:color="auto"/>
        <w:right w:val="none" w:sz="0" w:space="0" w:color="auto"/>
      </w:divBdr>
    </w:div>
    <w:div w:id="380785779">
      <w:bodyDiv w:val="1"/>
      <w:marLeft w:val="0"/>
      <w:marRight w:val="0"/>
      <w:marTop w:val="0"/>
      <w:marBottom w:val="0"/>
      <w:divBdr>
        <w:top w:val="none" w:sz="0" w:space="0" w:color="auto"/>
        <w:left w:val="none" w:sz="0" w:space="0" w:color="auto"/>
        <w:bottom w:val="none" w:sz="0" w:space="0" w:color="auto"/>
        <w:right w:val="none" w:sz="0" w:space="0" w:color="auto"/>
      </w:divBdr>
    </w:div>
    <w:div w:id="384374247">
      <w:bodyDiv w:val="1"/>
      <w:marLeft w:val="0"/>
      <w:marRight w:val="0"/>
      <w:marTop w:val="0"/>
      <w:marBottom w:val="0"/>
      <w:divBdr>
        <w:top w:val="none" w:sz="0" w:space="0" w:color="auto"/>
        <w:left w:val="none" w:sz="0" w:space="0" w:color="auto"/>
        <w:bottom w:val="none" w:sz="0" w:space="0" w:color="auto"/>
        <w:right w:val="none" w:sz="0" w:space="0" w:color="auto"/>
      </w:divBdr>
    </w:div>
    <w:div w:id="391734862">
      <w:bodyDiv w:val="1"/>
      <w:marLeft w:val="0"/>
      <w:marRight w:val="0"/>
      <w:marTop w:val="0"/>
      <w:marBottom w:val="0"/>
      <w:divBdr>
        <w:top w:val="none" w:sz="0" w:space="0" w:color="auto"/>
        <w:left w:val="none" w:sz="0" w:space="0" w:color="auto"/>
        <w:bottom w:val="none" w:sz="0" w:space="0" w:color="auto"/>
        <w:right w:val="none" w:sz="0" w:space="0" w:color="auto"/>
      </w:divBdr>
    </w:div>
    <w:div w:id="402682824">
      <w:bodyDiv w:val="1"/>
      <w:marLeft w:val="0"/>
      <w:marRight w:val="0"/>
      <w:marTop w:val="0"/>
      <w:marBottom w:val="0"/>
      <w:divBdr>
        <w:top w:val="none" w:sz="0" w:space="0" w:color="auto"/>
        <w:left w:val="none" w:sz="0" w:space="0" w:color="auto"/>
        <w:bottom w:val="none" w:sz="0" w:space="0" w:color="auto"/>
        <w:right w:val="none" w:sz="0" w:space="0" w:color="auto"/>
      </w:divBdr>
    </w:div>
    <w:div w:id="418063935">
      <w:bodyDiv w:val="1"/>
      <w:marLeft w:val="0"/>
      <w:marRight w:val="0"/>
      <w:marTop w:val="0"/>
      <w:marBottom w:val="0"/>
      <w:divBdr>
        <w:top w:val="none" w:sz="0" w:space="0" w:color="auto"/>
        <w:left w:val="none" w:sz="0" w:space="0" w:color="auto"/>
        <w:bottom w:val="none" w:sz="0" w:space="0" w:color="auto"/>
        <w:right w:val="none" w:sz="0" w:space="0" w:color="auto"/>
      </w:divBdr>
    </w:div>
    <w:div w:id="447548819">
      <w:bodyDiv w:val="1"/>
      <w:marLeft w:val="0"/>
      <w:marRight w:val="0"/>
      <w:marTop w:val="0"/>
      <w:marBottom w:val="0"/>
      <w:divBdr>
        <w:top w:val="none" w:sz="0" w:space="0" w:color="auto"/>
        <w:left w:val="none" w:sz="0" w:space="0" w:color="auto"/>
        <w:bottom w:val="none" w:sz="0" w:space="0" w:color="auto"/>
        <w:right w:val="none" w:sz="0" w:space="0" w:color="auto"/>
      </w:divBdr>
    </w:div>
    <w:div w:id="449052700">
      <w:bodyDiv w:val="1"/>
      <w:marLeft w:val="0"/>
      <w:marRight w:val="0"/>
      <w:marTop w:val="0"/>
      <w:marBottom w:val="0"/>
      <w:divBdr>
        <w:top w:val="none" w:sz="0" w:space="0" w:color="auto"/>
        <w:left w:val="none" w:sz="0" w:space="0" w:color="auto"/>
        <w:bottom w:val="none" w:sz="0" w:space="0" w:color="auto"/>
        <w:right w:val="none" w:sz="0" w:space="0" w:color="auto"/>
      </w:divBdr>
    </w:div>
    <w:div w:id="480732561">
      <w:bodyDiv w:val="1"/>
      <w:marLeft w:val="0"/>
      <w:marRight w:val="0"/>
      <w:marTop w:val="0"/>
      <w:marBottom w:val="0"/>
      <w:divBdr>
        <w:top w:val="none" w:sz="0" w:space="0" w:color="auto"/>
        <w:left w:val="none" w:sz="0" w:space="0" w:color="auto"/>
        <w:bottom w:val="none" w:sz="0" w:space="0" w:color="auto"/>
        <w:right w:val="none" w:sz="0" w:space="0" w:color="auto"/>
      </w:divBdr>
    </w:div>
    <w:div w:id="492837592">
      <w:bodyDiv w:val="1"/>
      <w:marLeft w:val="0"/>
      <w:marRight w:val="0"/>
      <w:marTop w:val="0"/>
      <w:marBottom w:val="0"/>
      <w:divBdr>
        <w:top w:val="none" w:sz="0" w:space="0" w:color="auto"/>
        <w:left w:val="none" w:sz="0" w:space="0" w:color="auto"/>
        <w:bottom w:val="none" w:sz="0" w:space="0" w:color="auto"/>
        <w:right w:val="none" w:sz="0" w:space="0" w:color="auto"/>
      </w:divBdr>
    </w:div>
    <w:div w:id="493494295">
      <w:bodyDiv w:val="1"/>
      <w:marLeft w:val="0"/>
      <w:marRight w:val="0"/>
      <w:marTop w:val="0"/>
      <w:marBottom w:val="0"/>
      <w:divBdr>
        <w:top w:val="none" w:sz="0" w:space="0" w:color="auto"/>
        <w:left w:val="none" w:sz="0" w:space="0" w:color="auto"/>
        <w:bottom w:val="none" w:sz="0" w:space="0" w:color="auto"/>
        <w:right w:val="none" w:sz="0" w:space="0" w:color="auto"/>
      </w:divBdr>
    </w:div>
    <w:div w:id="503588744">
      <w:bodyDiv w:val="1"/>
      <w:marLeft w:val="0"/>
      <w:marRight w:val="0"/>
      <w:marTop w:val="0"/>
      <w:marBottom w:val="0"/>
      <w:divBdr>
        <w:top w:val="none" w:sz="0" w:space="0" w:color="auto"/>
        <w:left w:val="none" w:sz="0" w:space="0" w:color="auto"/>
        <w:bottom w:val="none" w:sz="0" w:space="0" w:color="auto"/>
        <w:right w:val="none" w:sz="0" w:space="0" w:color="auto"/>
      </w:divBdr>
    </w:div>
    <w:div w:id="506674763">
      <w:bodyDiv w:val="1"/>
      <w:marLeft w:val="0"/>
      <w:marRight w:val="0"/>
      <w:marTop w:val="0"/>
      <w:marBottom w:val="0"/>
      <w:divBdr>
        <w:top w:val="none" w:sz="0" w:space="0" w:color="auto"/>
        <w:left w:val="none" w:sz="0" w:space="0" w:color="auto"/>
        <w:bottom w:val="none" w:sz="0" w:space="0" w:color="auto"/>
        <w:right w:val="none" w:sz="0" w:space="0" w:color="auto"/>
      </w:divBdr>
    </w:div>
    <w:div w:id="522325940">
      <w:bodyDiv w:val="1"/>
      <w:marLeft w:val="0"/>
      <w:marRight w:val="0"/>
      <w:marTop w:val="0"/>
      <w:marBottom w:val="0"/>
      <w:divBdr>
        <w:top w:val="none" w:sz="0" w:space="0" w:color="auto"/>
        <w:left w:val="none" w:sz="0" w:space="0" w:color="auto"/>
        <w:bottom w:val="none" w:sz="0" w:space="0" w:color="auto"/>
        <w:right w:val="none" w:sz="0" w:space="0" w:color="auto"/>
      </w:divBdr>
    </w:div>
    <w:div w:id="523135330">
      <w:bodyDiv w:val="1"/>
      <w:marLeft w:val="0"/>
      <w:marRight w:val="0"/>
      <w:marTop w:val="0"/>
      <w:marBottom w:val="0"/>
      <w:divBdr>
        <w:top w:val="none" w:sz="0" w:space="0" w:color="auto"/>
        <w:left w:val="none" w:sz="0" w:space="0" w:color="auto"/>
        <w:bottom w:val="none" w:sz="0" w:space="0" w:color="auto"/>
        <w:right w:val="none" w:sz="0" w:space="0" w:color="auto"/>
      </w:divBdr>
    </w:div>
    <w:div w:id="523597544">
      <w:bodyDiv w:val="1"/>
      <w:marLeft w:val="0"/>
      <w:marRight w:val="0"/>
      <w:marTop w:val="0"/>
      <w:marBottom w:val="0"/>
      <w:divBdr>
        <w:top w:val="none" w:sz="0" w:space="0" w:color="auto"/>
        <w:left w:val="none" w:sz="0" w:space="0" w:color="auto"/>
        <w:bottom w:val="none" w:sz="0" w:space="0" w:color="auto"/>
        <w:right w:val="none" w:sz="0" w:space="0" w:color="auto"/>
      </w:divBdr>
    </w:div>
    <w:div w:id="525827603">
      <w:bodyDiv w:val="1"/>
      <w:marLeft w:val="0"/>
      <w:marRight w:val="0"/>
      <w:marTop w:val="0"/>
      <w:marBottom w:val="0"/>
      <w:divBdr>
        <w:top w:val="none" w:sz="0" w:space="0" w:color="auto"/>
        <w:left w:val="none" w:sz="0" w:space="0" w:color="auto"/>
        <w:bottom w:val="none" w:sz="0" w:space="0" w:color="auto"/>
        <w:right w:val="none" w:sz="0" w:space="0" w:color="auto"/>
      </w:divBdr>
    </w:div>
    <w:div w:id="542837241">
      <w:bodyDiv w:val="1"/>
      <w:marLeft w:val="0"/>
      <w:marRight w:val="0"/>
      <w:marTop w:val="0"/>
      <w:marBottom w:val="0"/>
      <w:divBdr>
        <w:top w:val="none" w:sz="0" w:space="0" w:color="auto"/>
        <w:left w:val="none" w:sz="0" w:space="0" w:color="auto"/>
        <w:bottom w:val="none" w:sz="0" w:space="0" w:color="auto"/>
        <w:right w:val="none" w:sz="0" w:space="0" w:color="auto"/>
      </w:divBdr>
    </w:div>
    <w:div w:id="567229893">
      <w:bodyDiv w:val="1"/>
      <w:marLeft w:val="0"/>
      <w:marRight w:val="0"/>
      <w:marTop w:val="0"/>
      <w:marBottom w:val="0"/>
      <w:divBdr>
        <w:top w:val="none" w:sz="0" w:space="0" w:color="auto"/>
        <w:left w:val="none" w:sz="0" w:space="0" w:color="auto"/>
        <w:bottom w:val="none" w:sz="0" w:space="0" w:color="auto"/>
        <w:right w:val="none" w:sz="0" w:space="0" w:color="auto"/>
      </w:divBdr>
    </w:div>
    <w:div w:id="595208265">
      <w:bodyDiv w:val="1"/>
      <w:marLeft w:val="0"/>
      <w:marRight w:val="0"/>
      <w:marTop w:val="0"/>
      <w:marBottom w:val="0"/>
      <w:divBdr>
        <w:top w:val="none" w:sz="0" w:space="0" w:color="auto"/>
        <w:left w:val="none" w:sz="0" w:space="0" w:color="auto"/>
        <w:bottom w:val="none" w:sz="0" w:space="0" w:color="auto"/>
        <w:right w:val="none" w:sz="0" w:space="0" w:color="auto"/>
      </w:divBdr>
    </w:div>
    <w:div w:id="609238273">
      <w:bodyDiv w:val="1"/>
      <w:marLeft w:val="0"/>
      <w:marRight w:val="0"/>
      <w:marTop w:val="0"/>
      <w:marBottom w:val="0"/>
      <w:divBdr>
        <w:top w:val="none" w:sz="0" w:space="0" w:color="auto"/>
        <w:left w:val="none" w:sz="0" w:space="0" w:color="auto"/>
        <w:bottom w:val="none" w:sz="0" w:space="0" w:color="auto"/>
        <w:right w:val="none" w:sz="0" w:space="0" w:color="auto"/>
      </w:divBdr>
    </w:div>
    <w:div w:id="609623814">
      <w:bodyDiv w:val="1"/>
      <w:marLeft w:val="0"/>
      <w:marRight w:val="0"/>
      <w:marTop w:val="0"/>
      <w:marBottom w:val="0"/>
      <w:divBdr>
        <w:top w:val="none" w:sz="0" w:space="0" w:color="auto"/>
        <w:left w:val="none" w:sz="0" w:space="0" w:color="auto"/>
        <w:bottom w:val="none" w:sz="0" w:space="0" w:color="auto"/>
        <w:right w:val="none" w:sz="0" w:space="0" w:color="auto"/>
      </w:divBdr>
    </w:div>
    <w:div w:id="630287525">
      <w:bodyDiv w:val="1"/>
      <w:marLeft w:val="0"/>
      <w:marRight w:val="0"/>
      <w:marTop w:val="0"/>
      <w:marBottom w:val="0"/>
      <w:divBdr>
        <w:top w:val="none" w:sz="0" w:space="0" w:color="auto"/>
        <w:left w:val="none" w:sz="0" w:space="0" w:color="auto"/>
        <w:bottom w:val="none" w:sz="0" w:space="0" w:color="auto"/>
        <w:right w:val="none" w:sz="0" w:space="0" w:color="auto"/>
      </w:divBdr>
    </w:div>
    <w:div w:id="644433441">
      <w:bodyDiv w:val="1"/>
      <w:marLeft w:val="0"/>
      <w:marRight w:val="0"/>
      <w:marTop w:val="0"/>
      <w:marBottom w:val="0"/>
      <w:divBdr>
        <w:top w:val="none" w:sz="0" w:space="0" w:color="auto"/>
        <w:left w:val="none" w:sz="0" w:space="0" w:color="auto"/>
        <w:bottom w:val="none" w:sz="0" w:space="0" w:color="auto"/>
        <w:right w:val="none" w:sz="0" w:space="0" w:color="auto"/>
      </w:divBdr>
    </w:div>
    <w:div w:id="664818938">
      <w:bodyDiv w:val="1"/>
      <w:marLeft w:val="0"/>
      <w:marRight w:val="0"/>
      <w:marTop w:val="0"/>
      <w:marBottom w:val="0"/>
      <w:divBdr>
        <w:top w:val="none" w:sz="0" w:space="0" w:color="auto"/>
        <w:left w:val="none" w:sz="0" w:space="0" w:color="auto"/>
        <w:bottom w:val="none" w:sz="0" w:space="0" w:color="auto"/>
        <w:right w:val="none" w:sz="0" w:space="0" w:color="auto"/>
      </w:divBdr>
    </w:div>
    <w:div w:id="667904447">
      <w:bodyDiv w:val="1"/>
      <w:marLeft w:val="0"/>
      <w:marRight w:val="0"/>
      <w:marTop w:val="0"/>
      <w:marBottom w:val="0"/>
      <w:divBdr>
        <w:top w:val="none" w:sz="0" w:space="0" w:color="auto"/>
        <w:left w:val="none" w:sz="0" w:space="0" w:color="auto"/>
        <w:bottom w:val="none" w:sz="0" w:space="0" w:color="auto"/>
        <w:right w:val="none" w:sz="0" w:space="0" w:color="auto"/>
      </w:divBdr>
    </w:div>
    <w:div w:id="709959885">
      <w:bodyDiv w:val="1"/>
      <w:marLeft w:val="0"/>
      <w:marRight w:val="0"/>
      <w:marTop w:val="0"/>
      <w:marBottom w:val="0"/>
      <w:divBdr>
        <w:top w:val="none" w:sz="0" w:space="0" w:color="auto"/>
        <w:left w:val="none" w:sz="0" w:space="0" w:color="auto"/>
        <w:bottom w:val="none" w:sz="0" w:space="0" w:color="auto"/>
        <w:right w:val="none" w:sz="0" w:space="0" w:color="auto"/>
      </w:divBdr>
    </w:div>
    <w:div w:id="722101149">
      <w:bodyDiv w:val="1"/>
      <w:marLeft w:val="0"/>
      <w:marRight w:val="0"/>
      <w:marTop w:val="0"/>
      <w:marBottom w:val="0"/>
      <w:divBdr>
        <w:top w:val="none" w:sz="0" w:space="0" w:color="auto"/>
        <w:left w:val="none" w:sz="0" w:space="0" w:color="auto"/>
        <w:bottom w:val="none" w:sz="0" w:space="0" w:color="auto"/>
        <w:right w:val="none" w:sz="0" w:space="0" w:color="auto"/>
      </w:divBdr>
    </w:div>
    <w:div w:id="747653624">
      <w:bodyDiv w:val="1"/>
      <w:marLeft w:val="0"/>
      <w:marRight w:val="0"/>
      <w:marTop w:val="0"/>
      <w:marBottom w:val="0"/>
      <w:divBdr>
        <w:top w:val="none" w:sz="0" w:space="0" w:color="auto"/>
        <w:left w:val="none" w:sz="0" w:space="0" w:color="auto"/>
        <w:bottom w:val="none" w:sz="0" w:space="0" w:color="auto"/>
        <w:right w:val="none" w:sz="0" w:space="0" w:color="auto"/>
      </w:divBdr>
    </w:div>
    <w:div w:id="757677850">
      <w:bodyDiv w:val="1"/>
      <w:marLeft w:val="0"/>
      <w:marRight w:val="0"/>
      <w:marTop w:val="0"/>
      <w:marBottom w:val="0"/>
      <w:divBdr>
        <w:top w:val="none" w:sz="0" w:space="0" w:color="auto"/>
        <w:left w:val="none" w:sz="0" w:space="0" w:color="auto"/>
        <w:bottom w:val="none" w:sz="0" w:space="0" w:color="auto"/>
        <w:right w:val="none" w:sz="0" w:space="0" w:color="auto"/>
      </w:divBdr>
    </w:div>
    <w:div w:id="771247872">
      <w:bodyDiv w:val="1"/>
      <w:marLeft w:val="0"/>
      <w:marRight w:val="0"/>
      <w:marTop w:val="0"/>
      <w:marBottom w:val="0"/>
      <w:divBdr>
        <w:top w:val="none" w:sz="0" w:space="0" w:color="auto"/>
        <w:left w:val="none" w:sz="0" w:space="0" w:color="auto"/>
        <w:bottom w:val="none" w:sz="0" w:space="0" w:color="auto"/>
        <w:right w:val="none" w:sz="0" w:space="0" w:color="auto"/>
      </w:divBdr>
    </w:div>
    <w:div w:id="772941280">
      <w:bodyDiv w:val="1"/>
      <w:marLeft w:val="0"/>
      <w:marRight w:val="0"/>
      <w:marTop w:val="0"/>
      <w:marBottom w:val="0"/>
      <w:divBdr>
        <w:top w:val="none" w:sz="0" w:space="0" w:color="auto"/>
        <w:left w:val="none" w:sz="0" w:space="0" w:color="auto"/>
        <w:bottom w:val="none" w:sz="0" w:space="0" w:color="auto"/>
        <w:right w:val="none" w:sz="0" w:space="0" w:color="auto"/>
      </w:divBdr>
    </w:div>
    <w:div w:id="779255262">
      <w:bodyDiv w:val="1"/>
      <w:marLeft w:val="0"/>
      <w:marRight w:val="0"/>
      <w:marTop w:val="0"/>
      <w:marBottom w:val="0"/>
      <w:divBdr>
        <w:top w:val="none" w:sz="0" w:space="0" w:color="auto"/>
        <w:left w:val="none" w:sz="0" w:space="0" w:color="auto"/>
        <w:bottom w:val="none" w:sz="0" w:space="0" w:color="auto"/>
        <w:right w:val="none" w:sz="0" w:space="0" w:color="auto"/>
      </w:divBdr>
    </w:div>
    <w:div w:id="790592976">
      <w:bodyDiv w:val="1"/>
      <w:marLeft w:val="0"/>
      <w:marRight w:val="0"/>
      <w:marTop w:val="0"/>
      <w:marBottom w:val="0"/>
      <w:divBdr>
        <w:top w:val="none" w:sz="0" w:space="0" w:color="auto"/>
        <w:left w:val="none" w:sz="0" w:space="0" w:color="auto"/>
        <w:bottom w:val="none" w:sz="0" w:space="0" w:color="auto"/>
        <w:right w:val="none" w:sz="0" w:space="0" w:color="auto"/>
      </w:divBdr>
    </w:div>
    <w:div w:id="795413366">
      <w:bodyDiv w:val="1"/>
      <w:marLeft w:val="0"/>
      <w:marRight w:val="0"/>
      <w:marTop w:val="0"/>
      <w:marBottom w:val="0"/>
      <w:divBdr>
        <w:top w:val="none" w:sz="0" w:space="0" w:color="auto"/>
        <w:left w:val="none" w:sz="0" w:space="0" w:color="auto"/>
        <w:bottom w:val="none" w:sz="0" w:space="0" w:color="auto"/>
        <w:right w:val="none" w:sz="0" w:space="0" w:color="auto"/>
      </w:divBdr>
    </w:div>
    <w:div w:id="796607342">
      <w:bodyDiv w:val="1"/>
      <w:marLeft w:val="0"/>
      <w:marRight w:val="0"/>
      <w:marTop w:val="0"/>
      <w:marBottom w:val="0"/>
      <w:divBdr>
        <w:top w:val="none" w:sz="0" w:space="0" w:color="auto"/>
        <w:left w:val="none" w:sz="0" w:space="0" w:color="auto"/>
        <w:bottom w:val="none" w:sz="0" w:space="0" w:color="auto"/>
        <w:right w:val="none" w:sz="0" w:space="0" w:color="auto"/>
      </w:divBdr>
    </w:div>
    <w:div w:id="808593692">
      <w:bodyDiv w:val="1"/>
      <w:marLeft w:val="0"/>
      <w:marRight w:val="0"/>
      <w:marTop w:val="0"/>
      <w:marBottom w:val="0"/>
      <w:divBdr>
        <w:top w:val="none" w:sz="0" w:space="0" w:color="auto"/>
        <w:left w:val="none" w:sz="0" w:space="0" w:color="auto"/>
        <w:bottom w:val="none" w:sz="0" w:space="0" w:color="auto"/>
        <w:right w:val="none" w:sz="0" w:space="0" w:color="auto"/>
      </w:divBdr>
    </w:div>
    <w:div w:id="834079071">
      <w:bodyDiv w:val="1"/>
      <w:marLeft w:val="0"/>
      <w:marRight w:val="0"/>
      <w:marTop w:val="0"/>
      <w:marBottom w:val="0"/>
      <w:divBdr>
        <w:top w:val="none" w:sz="0" w:space="0" w:color="auto"/>
        <w:left w:val="none" w:sz="0" w:space="0" w:color="auto"/>
        <w:bottom w:val="none" w:sz="0" w:space="0" w:color="auto"/>
        <w:right w:val="none" w:sz="0" w:space="0" w:color="auto"/>
      </w:divBdr>
    </w:div>
    <w:div w:id="850025413">
      <w:bodyDiv w:val="1"/>
      <w:marLeft w:val="0"/>
      <w:marRight w:val="0"/>
      <w:marTop w:val="0"/>
      <w:marBottom w:val="0"/>
      <w:divBdr>
        <w:top w:val="none" w:sz="0" w:space="0" w:color="auto"/>
        <w:left w:val="none" w:sz="0" w:space="0" w:color="auto"/>
        <w:bottom w:val="none" w:sz="0" w:space="0" w:color="auto"/>
        <w:right w:val="none" w:sz="0" w:space="0" w:color="auto"/>
      </w:divBdr>
    </w:div>
    <w:div w:id="855926774">
      <w:bodyDiv w:val="1"/>
      <w:marLeft w:val="0"/>
      <w:marRight w:val="0"/>
      <w:marTop w:val="0"/>
      <w:marBottom w:val="0"/>
      <w:divBdr>
        <w:top w:val="none" w:sz="0" w:space="0" w:color="auto"/>
        <w:left w:val="none" w:sz="0" w:space="0" w:color="auto"/>
        <w:bottom w:val="none" w:sz="0" w:space="0" w:color="auto"/>
        <w:right w:val="none" w:sz="0" w:space="0" w:color="auto"/>
      </w:divBdr>
    </w:div>
    <w:div w:id="881289510">
      <w:bodyDiv w:val="1"/>
      <w:marLeft w:val="0"/>
      <w:marRight w:val="0"/>
      <w:marTop w:val="0"/>
      <w:marBottom w:val="0"/>
      <w:divBdr>
        <w:top w:val="none" w:sz="0" w:space="0" w:color="auto"/>
        <w:left w:val="none" w:sz="0" w:space="0" w:color="auto"/>
        <w:bottom w:val="none" w:sz="0" w:space="0" w:color="auto"/>
        <w:right w:val="none" w:sz="0" w:space="0" w:color="auto"/>
      </w:divBdr>
    </w:div>
    <w:div w:id="887842130">
      <w:bodyDiv w:val="1"/>
      <w:marLeft w:val="0"/>
      <w:marRight w:val="0"/>
      <w:marTop w:val="0"/>
      <w:marBottom w:val="0"/>
      <w:divBdr>
        <w:top w:val="none" w:sz="0" w:space="0" w:color="auto"/>
        <w:left w:val="none" w:sz="0" w:space="0" w:color="auto"/>
        <w:bottom w:val="none" w:sz="0" w:space="0" w:color="auto"/>
        <w:right w:val="none" w:sz="0" w:space="0" w:color="auto"/>
      </w:divBdr>
    </w:div>
    <w:div w:id="895432818">
      <w:bodyDiv w:val="1"/>
      <w:marLeft w:val="0"/>
      <w:marRight w:val="0"/>
      <w:marTop w:val="0"/>
      <w:marBottom w:val="0"/>
      <w:divBdr>
        <w:top w:val="none" w:sz="0" w:space="0" w:color="auto"/>
        <w:left w:val="none" w:sz="0" w:space="0" w:color="auto"/>
        <w:bottom w:val="none" w:sz="0" w:space="0" w:color="auto"/>
        <w:right w:val="none" w:sz="0" w:space="0" w:color="auto"/>
      </w:divBdr>
    </w:div>
    <w:div w:id="897932191">
      <w:bodyDiv w:val="1"/>
      <w:marLeft w:val="0"/>
      <w:marRight w:val="0"/>
      <w:marTop w:val="0"/>
      <w:marBottom w:val="0"/>
      <w:divBdr>
        <w:top w:val="none" w:sz="0" w:space="0" w:color="auto"/>
        <w:left w:val="none" w:sz="0" w:space="0" w:color="auto"/>
        <w:bottom w:val="none" w:sz="0" w:space="0" w:color="auto"/>
        <w:right w:val="none" w:sz="0" w:space="0" w:color="auto"/>
      </w:divBdr>
    </w:div>
    <w:div w:id="906889254">
      <w:bodyDiv w:val="1"/>
      <w:marLeft w:val="0"/>
      <w:marRight w:val="0"/>
      <w:marTop w:val="0"/>
      <w:marBottom w:val="0"/>
      <w:divBdr>
        <w:top w:val="none" w:sz="0" w:space="0" w:color="auto"/>
        <w:left w:val="none" w:sz="0" w:space="0" w:color="auto"/>
        <w:bottom w:val="none" w:sz="0" w:space="0" w:color="auto"/>
        <w:right w:val="none" w:sz="0" w:space="0" w:color="auto"/>
      </w:divBdr>
    </w:div>
    <w:div w:id="923420840">
      <w:bodyDiv w:val="1"/>
      <w:marLeft w:val="0"/>
      <w:marRight w:val="0"/>
      <w:marTop w:val="0"/>
      <w:marBottom w:val="0"/>
      <w:divBdr>
        <w:top w:val="none" w:sz="0" w:space="0" w:color="auto"/>
        <w:left w:val="none" w:sz="0" w:space="0" w:color="auto"/>
        <w:bottom w:val="none" w:sz="0" w:space="0" w:color="auto"/>
        <w:right w:val="none" w:sz="0" w:space="0" w:color="auto"/>
      </w:divBdr>
    </w:div>
    <w:div w:id="923878245">
      <w:bodyDiv w:val="1"/>
      <w:marLeft w:val="0"/>
      <w:marRight w:val="0"/>
      <w:marTop w:val="0"/>
      <w:marBottom w:val="0"/>
      <w:divBdr>
        <w:top w:val="none" w:sz="0" w:space="0" w:color="auto"/>
        <w:left w:val="none" w:sz="0" w:space="0" w:color="auto"/>
        <w:bottom w:val="none" w:sz="0" w:space="0" w:color="auto"/>
        <w:right w:val="none" w:sz="0" w:space="0" w:color="auto"/>
      </w:divBdr>
    </w:div>
    <w:div w:id="926883865">
      <w:bodyDiv w:val="1"/>
      <w:marLeft w:val="0"/>
      <w:marRight w:val="0"/>
      <w:marTop w:val="0"/>
      <w:marBottom w:val="0"/>
      <w:divBdr>
        <w:top w:val="none" w:sz="0" w:space="0" w:color="auto"/>
        <w:left w:val="none" w:sz="0" w:space="0" w:color="auto"/>
        <w:bottom w:val="none" w:sz="0" w:space="0" w:color="auto"/>
        <w:right w:val="none" w:sz="0" w:space="0" w:color="auto"/>
      </w:divBdr>
    </w:div>
    <w:div w:id="935479289">
      <w:bodyDiv w:val="1"/>
      <w:marLeft w:val="0"/>
      <w:marRight w:val="0"/>
      <w:marTop w:val="0"/>
      <w:marBottom w:val="0"/>
      <w:divBdr>
        <w:top w:val="none" w:sz="0" w:space="0" w:color="auto"/>
        <w:left w:val="none" w:sz="0" w:space="0" w:color="auto"/>
        <w:bottom w:val="none" w:sz="0" w:space="0" w:color="auto"/>
        <w:right w:val="none" w:sz="0" w:space="0" w:color="auto"/>
      </w:divBdr>
    </w:div>
    <w:div w:id="935820930">
      <w:bodyDiv w:val="1"/>
      <w:marLeft w:val="0"/>
      <w:marRight w:val="0"/>
      <w:marTop w:val="0"/>
      <w:marBottom w:val="0"/>
      <w:divBdr>
        <w:top w:val="none" w:sz="0" w:space="0" w:color="auto"/>
        <w:left w:val="none" w:sz="0" w:space="0" w:color="auto"/>
        <w:bottom w:val="none" w:sz="0" w:space="0" w:color="auto"/>
        <w:right w:val="none" w:sz="0" w:space="0" w:color="auto"/>
      </w:divBdr>
    </w:div>
    <w:div w:id="938177310">
      <w:bodyDiv w:val="1"/>
      <w:marLeft w:val="0"/>
      <w:marRight w:val="0"/>
      <w:marTop w:val="0"/>
      <w:marBottom w:val="0"/>
      <w:divBdr>
        <w:top w:val="none" w:sz="0" w:space="0" w:color="auto"/>
        <w:left w:val="none" w:sz="0" w:space="0" w:color="auto"/>
        <w:bottom w:val="none" w:sz="0" w:space="0" w:color="auto"/>
        <w:right w:val="none" w:sz="0" w:space="0" w:color="auto"/>
      </w:divBdr>
    </w:div>
    <w:div w:id="948971225">
      <w:bodyDiv w:val="1"/>
      <w:marLeft w:val="0"/>
      <w:marRight w:val="0"/>
      <w:marTop w:val="0"/>
      <w:marBottom w:val="0"/>
      <w:divBdr>
        <w:top w:val="none" w:sz="0" w:space="0" w:color="auto"/>
        <w:left w:val="none" w:sz="0" w:space="0" w:color="auto"/>
        <w:bottom w:val="none" w:sz="0" w:space="0" w:color="auto"/>
        <w:right w:val="none" w:sz="0" w:space="0" w:color="auto"/>
      </w:divBdr>
    </w:div>
    <w:div w:id="955671412">
      <w:bodyDiv w:val="1"/>
      <w:marLeft w:val="0"/>
      <w:marRight w:val="0"/>
      <w:marTop w:val="0"/>
      <w:marBottom w:val="0"/>
      <w:divBdr>
        <w:top w:val="none" w:sz="0" w:space="0" w:color="auto"/>
        <w:left w:val="none" w:sz="0" w:space="0" w:color="auto"/>
        <w:bottom w:val="none" w:sz="0" w:space="0" w:color="auto"/>
        <w:right w:val="none" w:sz="0" w:space="0" w:color="auto"/>
      </w:divBdr>
    </w:div>
    <w:div w:id="987856091">
      <w:bodyDiv w:val="1"/>
      <w:marLeft w:val="0"/>
      <w:marRight w:val="0"/>
      <w:marTop w:val="0"/>
      <w:marBottom w:val="0"/>
      <w:divBdr>
        <w:top w:val="none" w:sz="0" w:space="0" w:color="auto"/>
        <w:left w:val="none" w:sz="0" w:space="0" w:color="auto"/>
        <w:bottom w:val="none" w:sz="0" w:space="0" w:color="auto"/>
        <w:right w:val="none" w:sz="0" w:space="0" w:color="auto"/>
      </w:divBdr>
    </w:div>
    <w:div w:id="989602051">
      <w:bodyDiv w:val="1"/>
      <w:marLeft w:val="0"/>
      <w:marRight w:val="0"/>
      <w:marTop w:val="0"/>
      <w:marBottom w:val="0"/>
      <w:divBdr>
        <w:top w:val="none" w:sz="0" w:space="0" w:color="auto"/>
        <w:left w:val="none" w:sz="0" w:space="0" w:color="auto"/>
        <w:bottom w:val="none" w:sz="0" w:space="0" w:color="auto"/>
        <w:right w:val="none" w:sz="0" w:space="0" w:color="auto"/>
      </w:divBdr>
    </w:div>
    <w:div w:id="995064968">
      <w:bodyDiv w:val="1"/>
      <w:marLeft w:val="0"/>
      <w:marRight w:val="0"/>
      <w:marTop w:val="0"/>
      <w:marBottom w:val="0"/>
      <w:divBdr>
        <w:top w:val="none" w:sz="0" w:space="0" w:color="auto"/>
        <w:left w:val="none" w:sz="0" w:space="0" w:color="auto"/>
        <w:bottom w:val="none" w:sz="0" w:space="0" w:color="auto"/>
        <w:right w:val="none" w:sz="0" w:space="0" w:color="auto"/>
      </w:divBdr>
    </w:div>
    <w:div w:id="1007058023">
      <w:bodyDiv w:val="1"/>
      <w:marLeft w:val="0"/>
      <w:marRight w:val="0"/>
      <w:marTop w:val="0"/>
      <w:marBottom w:val="0"/>
      <w:divBdr>
        <w:top w:val="none" w:sz="0" w:space="0" w:color="auto"/>
        <w:left w:val="none" w:sz="0" w:space="0" w:color="auto"/>
        <w:bottom w:val="none" w:sz="0" w:space="0" w:color="auto"/>
        <w:right w:val="none" w:sz="0" w:space="0" w:color="auto"/>
      </w:divBdr>
    </w:div>
    <w:div w:id="1024404355">
      <w:bodyDiv w:val="1"/>
      <w:marLeft w:val="0"/>
      <w:marRight w:val="0"/>
      <w:marTop w:val="0"/>
      <w:marBottom w:val="0"/>
      <w:divBdr>
        <w:top w:val="none" w:sz="0" w:space="0" w:color="auto"/>
        <w:left w:val="none" w:sz="0" w:space="0" w:color="auto"/>
        <w:bottom w:val="none" w:sz="0" w:space="0" w:color="auto"/>
        <w:right w:val="none" w:sz="0" w:space="0" w:color="auto"/>
      </w:divBdr>
    </w:div>
    <w:div w:id="1026522971">
      <w:bodyDiv w:val="1"/>
      <w:marLeft w:val="0"/>
      <w:marRight w:val="0"/>
      <w:marTop w:val="0"/>
      <w:marBottom w:val="0"/>
      <w:divBdr>
        <w:top w:val="none" w:sz="0" w:space="0" w:color="auto"/>
        <w:left w:val="none" w:sz="0" w:space="0" w:color="auto"/>
        <w:bottom w:val="none" w:sz="0" w:space="0" w:color="auto"/>
        <w:right w:val="none" w:sz="0" w:space="0" w:color="auto"/>
      </w:divBdr>
    </w:div>
    <w:div w:id="1041858171">
      <w:bodyDiv w:val="1"/>
      <w:marLeft w:val="0"/>
      <w:marRight w:val="0"/>
      <w:marTop w:val="0"/>
      <w:marBottom w:val="0"/>
      <w:divBdr>
        <w:top w:val="none" w:sz="0" w:space="0" w:color="auto"/>
        <w:left w:val="none" w:sz="0" w:space="0" w:color="auto"/>
        <w:bottom w:val="none" w:sz="0" w:space="0" w:color="auto"/>
        <w:right w:val="none" w:sz="0" w:space="0" w:color="auto"/>
      </w:divBdr>
    </w:div>
    <w:div w:id="1042824215">
      <w:bodyDiv w:val="1"/>
      <w:marLeft w:val="0"/>
      <w:marRight w:val="0"/>
      <w:marTop w:val="0"/>
      <w:marBottom w:val="0"/>
      <w:divBdr>
        <w:top w:val="none" w:sz="0" w:space="0" w:color="auto"/>
        <w:left w:val="none" w:sz="0" w:space="0" w:color="auto"/>
        <w:bottom w:val="none" w:sz="0" w:space="0" w:color="auto"/>
        <w:right w:val="none" w:sz="0" w:space="0" w:color="auto"/>
      </w:divBdr>
    </w:div>
    <w:div w:id="1043094654">
      <w:bodyDiv w:val="1"/>
      <w:marLeft w:val="0"/>
      <w:marRight w:val="0"/>
      <w:marTop w:val="0"/>
      <w:marBottom w:val="0"/>
      <w:divBdr>
        <w:top w:val="none" w:sz="0" w:space="0" w:color="auto"/>
        <w:left w:val="none" w:sz="0" w:space="0" w:color="auto"/>
        <w:bottom w:val="none" w:sz="0" w:space="0" w:color="auto"/>
        <w:right w:val="none" w:sz="0" w:space="0" w:color="auto"/>
      </w:divBdr>
    </w:div>
    <w:div w:id="1044867253">
      <w:bodyDiv w:val="1"/>
      <w:marLeft w:val="0"/>
      <w:marRight w:val="0"/>
      <w:marTop w:val="0"/>
      <w:marBottom w:val="0"/>
      <w:divBdr>
        <w:top w:val="none" w:sz="0" w:space="0" w:color="auto"/>
        <w:left w:val="none" w:sz="0" w:space="0" w:color="auto"/>
        <w:bottom w:val="none" w:sz="0" w:space="0" w:color="auto"/>
        <w:right w:val="none" w:sz="0" w:space="0" w:color="auto"/>
      </w:divBdr>
    </w:div>
    <w:div w:id="1057436740">
      <w:bodyDiv w:val="1"/>
      <w:marLeft w:val="0"/>
      <w:marRight w:val="0"/>
      <w:marTop w:val="0"/>
      <w:marBottom w:val="0"/>
      <w:divBdr>
        <w:top w:val="none" w:sz="0" w:space="0" w:color="auto"/>
        <w:left w:val="none" w:sz="0" w:space="0" w:color="auto"/>
        <w:bottom w:val="none" w:sz="0" w:space="0" w:color="auto"/>
        <w:right w:val="none" w:sz="0" w:space="0" w:color="auto"/>
      </w:divBdr>
    </w:div>
    <w:div w:id="1059520716">
      <w:bodyDiv w:val="1"/>
      <w:marLeft w:val="0"/>
      <w:marRight w:val="0"/>
      <w:marTop w:val="0"/>
      <w:marBottom w:val="0"/>
      <w:divBdr>
        <w:top w:val="none" w:sz="0" w:space="0" w:color="auto"/>
        <w:left w:val="none" w:sz="0" w:space="0" w:color="auto"/>
        <w:bottom w:val="none" w:sz="0" w:space="0" w:color="auto"/>
        <w:right w:val="none" w:sz="0" w:space="0" w:color="auto"/>
      </w:divBdr>
    </w:div>
    <w:div w:id="1060590405">
      <w:bodyDiv w:val="1"/>
      <w:marLeft w:val="0"/>
      <w:marRight w:val="0"/>
      <w:marTop w:val="0"/>
      <w:marBottom w:val="0"/>
      <w:divBdr>
        <w:top w:val="none" w:sz="0" w:space="0" w:color="auto"/>
        <w:left w:val="none" w:sz="0" w:space="0" w:color="auto"/>
        <w:bottom w:val="none" w:sz="0" w:space="0" w:color="auto"/>
        <w:right w:val="none" w:sz="0" w:space="0" w:color="auto"/>
      </w:divBdr>
    </w:div>
    <w:div w:id="1060903638">
      <w:bodyDiv w:val="1"/>
      <w:marLeft w:val="0"/>
      <w:marRight w:val="0"/>
      <w:marTop w:val="0"/>
      <w:marBottom w:val="0"/>
      <w:divBdr>
        <w:top w:val="none" w:sz="0" w:space="0" w:color="auto"/>
        <w:left w:val="none" w:sz="0" w:space="0" w:color="auto"/>
        <w:bottom w:val="none" w:sz="0" w:space="0" w:color="auto"/>
        <w:right w:val="none" w:sz="0" w:space="0" w:color="auto"/>
      </w:divBdr>
    </w:div>
    <w:div w:id="1062101957">
      <w:bodyDiv w:val="1"/>
      <w:marLeft w:val="0"/>
      <w:marRight w:val="0"/>
      <w:marTop w:val="0"/>
      <w:marBottom w:val="0"/>
      <w:divBdr>
        <w:top w:val="none" w:sz="0" w:space="0" w:color="auto"/>
        <w:left w:val="none" w:sz="0" w:space="0" w:color="auto"/>
        <w:bottom w:val="none" w:sz="0" w:space="0" w:color="auto"/>
        <w:right w:val="none" w:sz="0" w:space="0" w:color="auto"/>
      </w:divBdr>
    </w:div>
    <w:div w:id="1062826268">
      <w:bodyDiv w:val="1"/>
      <w:marLeft w:val="0"/>
      <w:marRight w:val="0"/>
      <w:marTop w:val="0"/>
      <w:marBottom w:val="0"/>
      <w:divBdr>
        <w:top w:val="none" w:sz="0" w:space="0" w:color="auto"/>
        <w:left w:val="none" w:sz="0" w:space="0" w:color="auto"/>
        <w:bottom w:val="none" w:sz="0" w:space="0" w:color="auto"/>
        <w:right w:val="none" w:sz="0" w:space="0" w:color="auto"/>
      </w:divBdr>
    </w:div>
    <w:div w:id="1094126051">
      <w:bodyDiv w:val="1"/>
      <w:marLeft w:val="0"/>
      <w:marRight w:val="0"/>
      <w:marTop w:val="0"/>
      <w:marBottom w:val="0"/>
      <w:divBdr>
        <w:top w:val="none" w:sz="0" w:space="0" w:color="auto"/>
        <w:left w:val="none" w:sz="0" w:space="0" w:color="auto"/>
        <w:bottom w:val="none" w:sz="0" w:space="0" w:color="auto"/>
        <w:right w:val="none" w:sz="0" w:space="0" w:color="auto"/>
      </w:divBdr>
    </w:div>
    <w:div w:id="1095172650">
      <w:bodyDiv w:val="1"/>
      <w:marLeft w:val="0"/>
      <w:marRight w:val="0"/>
      <w:marTop w:val="0"/>
      <w:marBottom w:val="0"/>
      <w:divBdr>
        <w:top w:val="none" w:sz="0" w:space="0" w:color="auto"/>
        <w:left w:val="none" w:sz="0" w:space="0" w:color="auto"/>
        <w:bottom w:val="none" w:sz="0" w:space="0" w:color="auto"/>
        <w:right w:val="none" w:sz="0" w:space="0" w:color="auto"/>
      </w:divBdr>
    </w:div>
    <w:div w:id="1131903329">
      <w:bodyDiv w:val="1"/>
      <w:marLeft w:val="0"/>
      <w:marRight w:val="0"/>
      <w:marTop w:val="0"/>
      <w:marBottom w:val="0"/>
      <w:divBdr>
        <w:top w:val="none" w:sz="0" w:space="0" w:color="auto"/>
        <w:left w:val="none" w:sz="0" w:space="0" w:color="auto"/>
        <w:bottom w:val="none" w:sz="0" w:space="0" w:color="auto"/>
        <w:right w:val="none" w:sz="0" w:space="0" w:color="auto"/>
      </w:divBdr>
    </w:div>
    <w:div w:id="1136413459">
      <w:bodyDiv w:val="1"/>
      <w:marLeft w:val="0"/>
      <w:marRight w:val="0"/>
      <w:marTop w:val="0"/>
      <w:marBottom w:val="0"/>
      <w:divBdr>
        <w:top w:val="none" w:sz="0" w:space="0" w:color="auto"/>
        <w:left w:val="none" w:sz="0" w:space="0" w:color="auto"/>
        <w:bottom w:val="none" w:sz="0" w:space="0" w:color="auto"/>
        <w:right w:val="none" w:sz="0" w:space="0" w:color="auto"/>
      </w:divBdr>
    </w:div>
    <w:div w:id="1140147032">
      <w:bodyDiv w:val="1"/>
      <w:marLeft w:val="0"/>
      <w:marRight w:val="0"/>
      <w:marTop w:val="0"/>
      <w:marBottom w:val="0"/>
      <w:divBdr>
        <w:top w:val="none" w:sz="0" w:space="0" w:color="auto"/>
        <w:left w:val="none" w:sz="0" w:space="0" w:color="auto"/>
        <w:bottom w:val="none" w:sz="0" w:space="0" w:color="auto"/>
        <w:right w:val="none" w:sz="0" w:space="0" w:color="auto"/>
      </w:divBdr>
    </w:div>
    <w:div w:id="1141463003">
      <w:bodyDiv w:val="1"/>
      <w:marLeft w:val="0"/>
      <w:marRight w:val="0"/>
      <w:marTop w:val="0"/>
      <w:marBottom w:val="0"/>
      <w:divBdr>
        <w:top w:val="none" w:sz="0" w:space="0" w:color="auto"/>
        <w:left w:val="none" w:sz="0" w:space="0" w:color="auto"/>
        <w:bottom w:val="none" w:sz="0" w:space="0" w:color="auto"/>
        <w:right w:val="none" w:sz="0" w:space="0" w:color="auto"/>
      </w:divBdr>
    </w:div>
    <w:div w:id="1167092087">
      <w:bodyDiv w:val="1"/>
      <w:marLeft w:val="0"/>
      <w:marRight w:val="0"/>
      <w:marTop w:val="0"/>
      <w:marBottom w:val="0"/>
      <w:divBdr>
        <w:top w:val="none" w:sz="0" w:space="0" w:color="auto"/>
        <w:left w:val="none" w:sz="0" w:space="0" w:color="auto"/>
        <w:bottom w:val="none" w:sz="0" w:space="0" w:color="auto"/>
        <w:right w:val="none" w:sz="0" w:space="0" w:color="auto"/>
      </w:divBdr>
    </w:div>
    <w:div w:id="1181236347">
      <w:bodyDiv w:val="1"/>
      <w:marLeft w:val="0"/>
      <w:marRight w:val="0"/>
      <w:marTop w:val="0"/>
      <w:marBottom w:val="0"/>
      <w:divBdr>
        <w:top w:val="none" w:sz="0" w:space="0" w:color="auto"/>
        <w:left w:val="none" w:sz="0" w:space="0" w:color="auto"/>
        <w:bottom w:val="none" w:sz="0" w:space="0" w:color="auto"/>
        <w:right w:val="none" w:sz="0" w:space="0" w:color="auto"/>
      </w:divBdr>
    </w:div>
    <w:div w:id="1195120365">
      <w:bodyDiv w:val="1"/>
      <w:marLeft w:val="0"/>
      <w:marRight w:val="0"/>
      <w:marTop w:val="0"/>
      <w:marBottom w:val="0"/>
      <w:divBdr>
        <w:top w:val="none" w:sz="0" w:space="0" w:color="auto"/>
        <w:left w:val="none" w:sz="0" w:space="0" w:color="auto"/>
        <w:bottom w:val="none" w:sz="0" w:space="0" w:color="auto"/>
        <w:right w:val="none" w:sz="0" w:space="0" w:color="auto"/>
      </w:divBdr>
    </w:div>
    <w:div w:id="1212424575">
      <w:bodyDiv w:val="1"/>
      <w:marLeft w:val="0"/>
      <w:marRight w:val="0"/>
      <w:marTop w:val="0"/>
      <w:marBottom w:val="0"/>
      <w:divBdr>
        <w:top w:val="none" w:sz="0" w:space="0" w:color="auto"/>
        <w:left w:val="none" w:sz="0" w:space="0" w:color="auto"/>
        <w:bottom w:val="none" w:sz="0" w:space="0" w:color="auto"/>
        <w:right w:val="none" w:sz="0" w:space="0" w:color="auto"/>
      </w:divBdr>
    </w:div>
    <w:div w:id="1214655374">
      <w:bodyDiv w:val="1"/>
      <w:marLeft w:val="0"/>
      <w:marRight w:val="0"/>
      <w:marTop w:val="0"/>
      <w:marBottom w:val="0"/>
      <w:divBdr>
        <w:top w:val="none" w:sz="0" w:space="0" w:color="auto"/>
        <w:left w:val="none" w:sz="0" w:space="0" w:color="auto"/>
        <w:bottom w:val="none" w:sz="0" w:space="0" w:color="auto"/>
        <w:right w:val="none" w:sz="0" w:space="0" w:color="auto"/>
      </w:divBdr>
    </w:div>
    <w:div w:id="1227767282">
      <w:bodyDiv w:val="1"/>
      <w:marLeft w:val="0"/>
      <w:marRight w:val="0"/>
      <w:marTop w:val="0"/>
      <w:marBottom w:val="0"/>
      <w:divBdr>
        <w:top w:val="none" w:sz="0" w:space="0" w:color="auto"/>
        <w:left w:val="none" w:sz="0" w:space="0" w:color="auto"/>
        <w:bottom w:val="none" w:sz="0" w:space="0" w:color="auto"/>
        <w:right w:val="none" w:sz="0" w:space="0" w:color="auto"/>
      </w:divBdr>
    </w:div>
    <w:div w:id="1244414464">
      <w:bodyDiv w:val="1"/>
      <w:marLeft w:val="0"/>
      <w:marRight w:val="0"/>
      <w:marTop w:val="0"/>
      <w:marBottom w:val="0"/>
      <w:divBdr>
        <w:top w:val="none" w:sz="0" w:space="0" w:color="auto"/>
        <w:left w:val="none" w:sz="0" w:space="0" w:color="auto"/>
        <w:bottom w:val="none" w:sz="0" w:space="0" w:color="auto"/>
        <w:right w:val="none" w:sz="0" w:space="0" w:color="auto"/>
      </w:divBdr>
    </w:div>
    <w:div w:id="1252930909">
      <w:bodyDiv w:val="1"/>
      <w:marLeft w:val="0"/>
      <w:marRight w:val="0"/>
      <w:marTop w:val="0"/>
      <w:marBottom w:val="0"/>
      <w:divBdr>
        <w:top w:val="none" w:sz="0" w:space="0" w:color="auto"/>
        <w:left w:val="none" w:sz="0" w:space="0" w:color="auto"/>
        <w:bottom w:val="none" w:sz="0" w:space="0" w:color="auto"/>
        <w:right w:val="none" w:sz="0" w:space="0" w:color="auto"/>
      </w:divBdr>
    </w:div>
    <w:div w:id="1264680092">
      <w:bodyDiv w:val="1"/>
      <w:marLeft w:val="0"/>
      <w:marRight w:val="0"/>
      <w:marTop w:val="0"/>
      <w:marBottom w:val="0"/>
      <w:divBdr>
        <w:top w:val="none" w:sz="0" w:space="0" w:color="auto"/>
        <w:left w:val="none" w:sz="0" w:space="0" w:color="auto"/>
        <w:bottom w:val="none" w:sz="0" w:space="0" w:color="auto"/>
        <w:right w:val="none" w:sz="0" w:space="0" w:color="auto"/>
      </w:divBdr>
    </w:div>
    <w:div w:id="1266622213">
      <w:bodyDiv w:val="1"/>
      <w:marLeft w:val="0"/>
      <w:marRight w:val="0"/>
      <w:marTop w:val="0"/>
      <w:marBottom w:val="0"/>
      <w:divBdr>
        <w:top w:val="none" w:sz="0" w:space="0" w:color="auto"/>
        <w:left w:val="none" w:sz="0" w:space="0" w:color="auto"/>
        <w:bottom w:val="none" w:sz="0" w:space="0" w:color="auto"/>
        <w:right w:val="none" w:sz="0" w:space="0" w:color="auto"/>
      </w:divBdr>
    </w:div>
    <w:div w:id="1267075803">
      <w:bodyDiv w:val="1"/>
      <w:marLeft w:val="0"/>
      <w:marRight w:val="0"/>
      <w:marTop w:val="0"/>
      <w:marBottom w:val="0"/>
      <w:divBdr>
        <w:top w:val="none" w:sz="0" w:space="0" w:color="auto"/>
        <w:left w:val="none" w:sz="0" w:space="0" w:color="auto"/>
        <w:bottom w:val="none" w:sz="0" w:space="0" w:color="auto"/>
        <w:right w:val="none" w:sz="0" w:space="0" w:color="auto"/>
      </w:divBdr>
    </w:div>
    <w:div w:id="1267154498">
      <w:bodyDiv w:val="1"/>
      <w:marLeft w:val="0"/>
      <w:marRight w:val="0"/>
      <w:marTop w:val="0"/>
      <w:marBottom w:val="0"/>
      <w:divBdr>
        <w:top w:val="none" w:sz="0" w:space="0" w:color="auto"/>
        <w:left w:val="none" w:sz="0" w:space="0" w:color="auto"/>
        <w:bottom w:val="none" w:sz="0" w:space="0" w:color="auto"/>
        <w:right w:val="none" w:sz="0" w:space="0" w:color="auto"/>
      </w:divBdr>
    </w:div>
    <w:div w:id="1281693094">
      <w:bodyDiv w:val="1"/>
      <w:marLeft w:val="0"/>
      <w:marRight w:val="0"/>
      <w:marTop w:val="0"/>
      <w:marBottom w:val="0"/>
      <w:divBdr>
        <w:top w:val="none" w:sz="0" w:space="0" w:color="auto"/>
        <w:left w:val="none" w:sz="0" w:space="0" w:color="auto"/>
        <w:bottom w:val="none" w:sz="0" w:space="0" w:color="auto"/>
        <w:right w:val="none" w:sz="0" w:space="0" w:color="auto"/>
      </w:divBdr>
    </w:div>
    <w:div w:id="1298295832">
      <w:bodyDiv w:val="1"/>
      <w:marLeft w:val="0"/>
      <w:marRight w:val="0"/>
      <w:marTop w:val="0"/>
      <w:marBottom w:val="0"/>
      <w:divBdr>
        <w:top w:val="none" w:sz="0" w:space="0" w:color="auto"/>
        <w:left w:val="none" w:sz="0" w:space="0" w:color="auto"/>
        <w:bottom w:val="none" w:sz="0" w:space="0" w:color="auto"/>
        <w:right w:val="none" w:sz="0" w:space="0" w:color="auto"/>
      </w:divBdr>
    </w:div>
    <w:div w:id="1303535346">
      <w:bodyDiv w:val="1"/>
      <w:marLeft w:val="0"/>
      <w:marRight w:val="0"/>
      <w:marTop w:val="0"/>
      <w:marBottom w:val="0"/>
      <w:divBdr>
        <w:top w:val="none" w:sz="0" w:space="0" w:color="auto"/>
        <w:left w:val="none" w:sz="0" w:space="0" w:color="auto"/>
        <w:bottom w:val="none" w:sz="0" w:space="0" w:color="auto"/>
        <w:right w:val="none" w:sz="0" w:space="0" w:color="auto"/>
      </w:divBdr>
    </w:div>
    <w:div w:id="1321083867">
      <w:bodyDiv w:val="1"/>
      <w:marLeft w:val="0"/>
      <w:marRight w:val="0"/>
      <w:marTop w:val="0"/>
      <w:marBottom w:val="0"/>
      <w:divBdr>
        <w:top w:val="none" w:sz="0" w:space="0" w:color="auto"/>
        <w:left w:val="none" w:sz="0" w:space="0" w:color="auto"/>
        <w:bottom w:val="none" w:sz="0" w:space="0" w:color="auto"/>
        <w:right w:val="none" w:sz="0" w:space="0" w:color="auto"/>
      </w:divBdr>
    </w:div>
    <w:div w:id="1325353295">
      <w:bodyDiv w:val="1"/>
      <w:marLeft w:val="0"/>
      <w:marRight w:val="0"/>
      <w:marTop w:val="0"/>
      <w:marBottom w:val="0"/>
      <w:divBdr>
        <w:top w:val="none" w:sz="0" w:space="0" w:color="auto"/>
        <w:left w:val="none" w:sz="0" w:space="0" w:color="auto"/>
        <w:bottom w:val="none" w:sz="0" w:space="0" w:color="auto"/>
        <w:right w:val="none" w:sz="0" w:space="0" w:color="auto"/>
      </w:divBdr>
    </w:div>
    <w:div w:id="1331182609">
      <w:bodyDiv w:val="1"/>
      <w:marLeft w:val="0"/>
      <w:marRight w:val="0"/>
      <w:marTop w:val="0"/>
      <w:marBottom w:val="0"/>
      <w:divBdr>
        <w:top w:val="none" w:sz="0" w:space="0" w:color="auto"/>
        <w:left w:val="none" w:sz="0" w:space="0" w:color="auto"/>
        <w:bottom w:val="none" w:sz="0" w:space="0" w:color="auto"/>
        <w:right w:val="none" w:sz="0" w:space="0" w:color="auto"/>
      </w:divBdr>
    </w:div>
    <w:div w:id="1336301627">
      <w:bodyDiv w:val="1"/>
      <w:marLeft w:val="0"/>
      <w:marRight w:val="0"/>
      <w:marTop w:val="0"/>
      <w:marBottom w:val="0"/>
      <w:divBdr>
        <w:top w:val="none" w:sz="0" w:space="0" w:color="auto"/>
        <w:left w:val="none" w:sz="0" w:space="0" w:color="auto"/>
        <w:bottom w:val="none" w:sz="0" w:space="0" w:color="auto"/>
        <w:right w:val="none" w:sz="0" w:space="0" w:color="auto"/>
      </w:divBdr>
    </w:div>
    <w:div w:id="1338465158">
      <w:bodyDiv w:val="1"/>
      <w:marLeft w:val="0"/>
      <w:marRight w:val="0"/>
      <w:marTop w:val="0"/>
      <w:marBottom w:val="0"/>
      <w:divBdr>
        <w:top w:val="none" w:sz="0" w:space="0" w:color="auto"/>
        <w:left w:val="none" w:sz="0" w:space="0" w:color="auto"/>
        <w:bottom w:val="none" w:sz="0" w:space="0" w:color="auto"/>
        <w:right w:val="none" w:sz="0" w:space="0" w:color="auto"/>
      </w:divBdr>
    </w:div>
    <w:div w:id="1362633026">
      <w:bodyDiv w:val="1"/>
      <w:marLeft w:val="0"/>
      <w:marRight w:val="0"/>
      <w:marTop w:val="0"/>
      <w:marBottom w:val="0"/>
      <w:divBdr>
        <w:top w:val="none" w:sz="0" w:space="0" w:color="auto"/>
        <w:left w:val="none" w:sz="0" w:space="0" w:color="auto"/>
        <w:bottom w:val="none" w:sz="0" w:space="0" w:color="auto"/>
        <w:right w:val="none" w:sz="0" w:space="0" w:color="auto"/>
      </w:divBdr>
    </w:div>
    <w:div w:id="1376806659">
      <w:bodyDiv w:val="1"/>
      <w:marLeft w:val="0"/>
      <w:marRight w:val="0"/>
      <w:marTop w:val="0"/>
      <w:marBottom w:val="0"/>
      <w:divBdr>
        <w:top w:val="none" w:sz="0" w:space="0" w:color="auto"/>
        <w:left w:val="none" w:sz="0" w:space="0" w:color="auto"/>
        <w:bottom w:val="none" w:sz="0" w:space="0" w:color="auto"/>
        <w:right w:val="none" w:sz="0" w:space="0" w:color="auto"/>
      </w:divBdr>
    </w:div>
    <w:div w:id="1403067220">
      <w:bodyDiv w:val="1"/>
      <w:marLeft w:val="0"/>
      <w:marRight w:val="0"/>
      <w:marTop w:val="0"/>
      <w:marBottom w:val="0"/>
      <w:divBdr>
        <w:top w:val="none" w:sz="0" w:space="0" w:color="auto"/>
        <w:left w:val="none" w:sz="0" w:space="0" w:color="auto"/>
        <w:bottom w:val="none" w:sz="0" w:space="0" w:color="auto"/>
        <w:right w:val="none" w:sz="0" w:space="0" w:color="auto"/>
      </w:divBdr>
    </w:div>
    <w:div w:id="1409964479">
      <w:bodyDiv w:val="1"/>
      <w:marLeft w:val="0"/>
      <w:marRight w:val="0"/>
      <w:marTop w:val="0"/>
      <w:marBottom w:val="0"/>
      <w:divBdr>
        <w:top w:val="none" w:sz="0" w:space="0" w:color="auto"/>
        <w:left w:val="none" w:sz="0" w:space="0" w:color="auto"/>
        <w:bottom w:val="none" w:sz="0" w:space="0" w:color="auto"/>
        <w:right w:val="none" w:sz="0" w:space="0" w:color="auto"/>
      </w:divBdr>
    </w:div>
    <w:div w:id="1461148354">
      <w:bodyDiv w:val="1"/>
      <w:marLeft w:val="0"/>
      <w:marRight w:val="0"/>
      <w:marTop w:val="0"/>
      <w:marBottom w:val="0"/>
      <w:divBdr>
        <w:top w:val="none" w:sz="0" w:space="0" w:color="auto"/>
        <w:left w:val="none" w:sz="0" w:space="0" w:color="auto"/>
        <w:bottom w:val="none" w:sz="0" w:space="0" w:color="auto"/>
        <w:right w:val="none" w:sz="0" w:space="0" w:color="auto"/>
      </w:divBdr>
    </w:div>
    <w:div w:id="1462310590">
      <w:bodyDiv w:val="1"/>
      <w:marLeft w:val="0"/>
      <w:marRight w:val="0"/>
      <w:marTop w:val="0"/>
      <w:marBottom w:val="0"/>
      <w:divBdr>
        <w:top w:val="none" w:sz="0" w:space="0" w:color="auto"/>
        <w:left w:val="none" w:sz="0" w:space="0" w:color="auto"/>
        <w:bottom w:val="none" w:sz="0" w:space="0" w:color="auto"/>
        <w:right w:val="none" w:sz="0" w:space="0" w:color="auto"/>
      </w:divBdr>
    </w:div>
    <w:div w:id="1476608235">
      <w:bodyDiv w:val="1"/>
      <w:marLeft w:val="0"/>
      <w:marRight w:val="0"/>
      <w:marTop w:val="0"/>
      <w:marBottom w:val="0"/>
      <w:divBdr>
        <w:top w:val="none" w:sz="0" w:space="0" w:color="auto"/>
        <w:left w:val="none" w:sz="0" w:space="0" w:color="auto"/>
        <w:bottom w:val="none" w:sz="0" w:space="0" w:color="auto"/>
        <w:right w:val="none" w:sz="0" w:space="0" w:color="auto"/>
      </w:divBdr>
    </w:div>
    <w:div w:id="1498230237">
      <w:bodyDiv w:val="1"/>
      <w:marLeft w:val="0"/>
      <w:marRight w:val="0"/>
      <w:marTop w:val="0"/>
      <w:marBottom w:val="0"/>
      <w:divBdr>
        <w:top w:val="none" w:sz="0" w:space="0" w:color="auto"/>
        <w:left w:val="none" w:sz="0" w:space="0" w:color="auto"/>
        <w:bottom w:val="none" w:sz="0" w:space="0" w:color="auto"/>
        <w:right w:val="none" w:sz="0" w:space="0" w:color="auto"/>
      </w:divBdr>
    </w:div>
    <w:div w:id="1537354550">
      <w:bodyDiv w:val="1"/>
      <w:marLeft w:val="0"/>
      <w:marRight w:val="0"/>
      <w:marTop w:val="0"/>
      <w:marBottom w:val="0"/>
      <w:divBdr>
        <w:top w:val="none" w:sz="0" w:space="0" w:color="auto"/>
        <w:left w:val="none" w:sz="0" w:space="0" w:color="auto"/>
        <w:bottom w:val="none" w:sz="0" w:space="0" w:color="auto"/>
        <w:right w:val="none" w:sz="0" w:space="0" w:color="auto"/>
      </w:divBdr>
    </w:div>
    <w:div w:id="1546016852">
      <w:bodyDiv w:val="1"/>
      <w:marLeft w:val="0"/>
      <w:marRight w:val="0"/>
      <w:marTop w:val="0"/>
      <w:marBottom w:val="0"/>
      <w:divBdr>
        <w:top w:val="none" w:sz="0" w:space="0" w:color="auto"/>
        <w:left w:val="none" w:sz="0" w:space="0" w:color="auto"/>
        <w:bottom w:val="none" w:sz="0" w:space="0" w:color="auto"/>
        <w:right w:val="none" w:sz="0" w:space="0" w:color="auto"/>
      </w:divBdr>
    </w:div>
    <w:div w:id="1557735779">
      <w:bodyDiv w:val="1"/>
      <w:marLeft w:val="0"/>
      <w:marRight w:val="0"/>
      <w:marTop w:val="0"/>
      <w:marBottom w:val="0"/>
      <w:divBdr>
        <w:top w:val="none" w:sz="0" w:space="0" w:color="auto"/>
        <w:left w:val="none" w:sz="0" w:space="0" w:color="auto"/>
        <w:bottom w:val="none" w:sz="0" w:space="0" w:color="auto"/>
        <w:right w:val="none" w:sz="0" w:space="0" w:color="auto"/>
      </w:divBdr>
    </w:div>
    <w:div w:id="1572689282">
      <w:bodyDiv w:val="1"/>
      <w:marLeft w:val="0"/>
      <w:marRight w:val="0"/>
      <w:marTop w:val="0"/>
      <w:marBottom w:val="0"/>
      <w:divBdr>
        <w:top w:val="none" w:sz="0" w:space="0" w:color="auto"/>
        <w:left w:val="none" w:sz="0" w:space="0" w:color="auto"/>
        <w:bottom w:val="none" w:sz="0" w:space="0" w:color="auto"/>
        <w:right w:val="none" w:sz="0" w:space="0" w:color="auto"/>
      </w:divBdr>
    </w:div>
    <w:div w:id="1594584259">
      <w:bodyDiv w:val="1"/>
      <w:marLeft w:val="0"/>
      <w:marRight w:val="0"/>
      <w:marTop w:val="0"/>
      <w:marBottom w:val="0"/>
      <w:divBdr>
        <w:top w:val="none" w:sz="0" w:space="0" w:color="auto"/>
        <w:left w:val="none" w:sz="0" w:space="0" w:color="auto"/>
        <w:bottom w:val="none" w:sz="0" w:space="0" w:color="auto"/>
        <w:right w:val="none" w:sz="0" w:space="0" w:color="auto"/>
      </w:divBdr>
    </w:div>
    <w:div w:id="1597055084">
      <w:bodyDiv w:val="1"/>
      <w:marLeft w:val="0"/>
      <w:marRight w:val="0"/>
      <w:marTop w:val="0"/>
      <w:marBottom w:val="0"/>
      <w:divBdr>
        <w:top w:val="none" w:sz="0" w:space="0" w:color="auto"/>
        <w:left w:val="none" w:sz="0" w:space="0" w:color="auto"/>
        <w:bottom w:val="none" w:sz="0" w:space="0" w:color="auto"/>
        <w:right w:val="none" w:sz="0" w:space="0" w:color="auto"/>
      </w:divBdr>
    </w:div>
    <w:div w:id="1598251608">
      <w:bodyDiv w:val="1"/>
      <w:marLeft w:val="0"/>
      <w:marRight w:val="0"/>
      <w:marTop w:val="0"/>
      <w:marBottom w:val="0"/>
      <w:divBdr>
        <w:top w:val="none" w:sz="0" w:space="0" w:color="auto"/>
        <w:left w:val="none" w:sz="0" w:space="0" w:color="auto"/>
        <w:bottom w:val="none" w:sz="0" w:space="0" w:color="auto"/>
        <w:right w:val="none" w:sz="0" w:space="0" w:color="auto"/>
      </w:divBdr>
    </w:div>
    <w:div w:id="1602302594">
      <w:bodyDiv w:val="1"/>
      <w:marLeft w:val="0"/>
      <w:marRight w:val="0"/>
      <w:marTop w:val="0"/>
      <w:marBottom w:val="0"/>
      <w:divBdr>
        <w:top w:val="none" w:sz="0" w:space="0" w:color="auto"/>
        <w:left w:val="none" w:sz="0" w:space="0" w:color="auto"/>
        <w:bottom w:val="none" w:sz="0" w:space="0" w:color="auto"/>
        <w:right w:val="none" w:sz="0" w:space="0" w:color="auto"/>
      </w:divBdr>
    </w:div>
    <w:div w:id="1613395398">
      <w:bodyDiv w:val="1"/>
      <w:marLeft w:val="0"/>
      <w:marRight w:val="0"/>
      <w:marTop w:val="0"/>
      <w:marBottom w:val="0"/>
      <w:divBdr>
        <w:top w:val="none" w:sz="0" w:space="0" w:color="auto"/>
        <w:left w:val="none" w:sz="0" w:space="0" w:color="auto"/>
        <w:bottom w:val="none" w:sz="0" w:space="0" w:color="auto"/>
        <w:right w:val="none" w:sz="0" w:space="0" w:color="auto"/>
      </w:divBdr>
    </w:div>
    <w:div w:id="1617636677">
      <w:bodyDiv w:val="1"/>
      <w:marLeft w:val="0"/>
      <w:marRight w:val="0"/>
      <w:marTop w:val="0"/>
      <w:marBottom w:val="0"/>
      <w:divBdr>
        <w:top w:val="none" w:sz="0" w:space="0" w:color="auto"/>
        <w:left w:val="none" w:sz="0" w:space="0" w:color="auto"/>
        <w:bottom w:val="none" w:sz="0" w:space="0" w:color="auto"/>
        <w:right w:val="none" w:sz="0" w:space="0" w:color="auto"/>
      </w:divBdr>
    </w:div>
    <w:div w:id="1621183016">
      <w:bodyDiv w:val="1"/>
      <w:marLeft w:val="0"/>
      <w:marRight w:val="0"/>
      <w:marTop w:val="0"/>
      <w:marBottom w:val="0"/>
      <w:divBdr>
        <w:top w:val="none" w:sz="0" w:space="0" w:color="auto"/>
        <w:left w:val="none" w:sz="0" w:space="0" w:color="auto"/>
        <w:bottom w:val="none" w:sz="0" w:space="0" w:color="auto"/>
        <w:right w:val="none" w:sz="0" w:space="0" w:color="auto"/>
      </w:divBdr>
    </w:div>
    <w:div w:id="1646398870">
      <w:bodyDiv w:val="1"/>
      <w:marLeft w:val="0"/>
      <w:marRight w:val="0"/>
      <w:marTop w:val="0"/>
      <w:marBottom w:val="0"/>
      <w:divBdr>
        <w:top w:val="none" w:sz="0" w:space="0" w:color="auto"/>
        <w:left w:val="none" w:sz="0" w:space="0" w:color="auto"/>
        <w:bottom w:val="none" w:sz="0" w:space="0" w:color="auto"/>
        <w:right w:val="none" w:sz="0" w:space="0" w:color="auto"/>
      </w:divBdr>
    </w:div>
    <w:div w:id="1665009596">
      <w:bodyDiv w:val="1"/>
      <w:marLeft w:val="0"/>
      <w:marRight w:val="0"/>
      <w:marTop w:val="0"/>
      <w:marBottom w:val="0"/>
      <w:divBdr>
        <w:top w:val="none" w:sz="0" w:space="0" w:color="auto"/>
        <w:left w:val="none" w:sz="0" w:space="0" w:color="auto"/>
        <w:bottom w:val="none" w:sz="0" w:space="0" w:color="auto"/>
        <w:right w:val="none" w:sz="0" w:space="0" w:color="auto"/>
      </w:divBdr>
    </w:div>
    <w:div w:id="1667172177">
      <w:bodyDiv w:val="1"/>
      <w:marLeft w:val="0"/>
      <w:marRight w:val="0"/>
      <w:marTop w:val="0"/>
      <w:marBottom w:val="0"/>
      <w:divBdr>
        <w:top w:val="none" w:sz="0" w:space="0" w:color="auto"/>
        <w:left w:val="none" w:sz="0" w:space="0" w:color="auto"/>
        <w:bottom w:val="none" w:sz="0" w:space="0" w:color="auto"/>
        <w:right w:val="none" w:sz="0" w:space="0" w:color="auto"/>
      </w:divBdr>
    </w:div>
    <w:div w:id="1668899269">
      <w:bodyDiv w:val="1"/>
      <w:marLeft w:val="0"/>
      <w:marRight w:val="0"/>
      <w:marTop w:val="0"/>
      <w:marBottom w:val="0"/>
      <w:divBdr>
        <w:top w:val="none" w:sz="0" w:space="0" w:color="auto"/>
        <w:left w:val="none" w:sz="0" w:space="0" w:color="auto"/>
        <w:bottom w:val="none" w:sz="0" w:space="0" w:color="auto"/>
        <w:right w:val="none" w:sz="0" w:space="0" w:color="auto"/>
      </w:divBdr>
    </w:div>
    <w:div w:id="1679842735">
      <w:bodyDiv w:val="1"/>
      <w:marLeft w:val="0"/>
      <w:marRight w:val="0"/>
      <w:marTop w:val="0"/>
      <w:marBottom w:val="0"/>
      <w:divBdr>
        <w:top w:val="none" w:sz="0" w:space="0" w:color="auto"/>
        <w:left w:val="none" w:sz="0" w:space="0" w:color="auto"/>
        <w:bottom w:val="none" w:sz="0" w:space="0" w:color="auto"/>
        <w:right w:val="none" w:sz="0" w:space="0" w:color="auto"/>
      </w:divBdr>
    </w:div>
    <w:div w:id="1685551945">
      <w:bodyDiv w:val="1"/>
      <w:marLeft w:val="0"/>
      <w:marRight w:val="0"/>
      <w:marTop w:val="0"/>
      <w:marBottom w:val="0"/>
      <w:divBdr>
        <w:top w:val="none" w:sz="0" w:space="0" w:color="auto"/>
        <w:left w:val="none" w:sz="0" w:space="0" w:color="auto"/>
        <w:bottom w:val="none" w:sz="0" w:space="0" w:color="auto"/>
        <w:right w:val="none" w:sz="0" w:space="0" w:color="auto"/>
      </w:divBdr>
    </w:div>
    <w:div w:id="1687248887">
      <w:bodyDiv w:val="1"/>
      <w:marLeft w:val="0"/>
      <w:marRight w:val="0"/>
      <w:marTop w:val="0"/>
      <w:marBottom w:val="0"/>
      <w:divBdr>
        <w:top w:val="none" w:sz="0" w:space="0" w:color="auto"/>
        <w:left w:val="none" w:sz="0" w:space="0" w:color="auto"/>
        <w:bottom w:val="none" w:sz="0" w:space="0" w:color="auto"/>
        <w:right w:val="none" w:sz="0" w:space="0" w:color="auto"/>
      </w:divBdr>
    </w:div>
    <w:div w:id="1693142494">
      <w:bodyDiv w:val="1"/>
      <w:marLeft w:val="0"/>
      <w:marRight w:val="0"/>
      <w:marTop w:val="0"/>
      <w:marBottom w:val="0"/>
      <w:divBdr>
        <w:top w:val="none" w:sz="0" w:space="0" w:color="auto"/>
        <w:left w:val="none" w:sz="0" w:space="0" w:color="auto"/>
        <w:bottom w:val="none" w:sz="0" w:space="0" w:color="auto"/>
        <w:right w:val="none" w:sz="0" w:space="0" w:color="auto"/>
      </w:divBdr>
    </w:div>
    <w:div w:id="1714384196">
      <w:bodyDiv w:val="1"/>
      <w:marLeft w:val="0"/>
      <w:marRight w:val="0"/>
      <w:marTop w:val="0"/>
      <w:marBottom w:val="0"/>
      <w:divBdr>
        <w:top w:val="none" w:sz="0" w:space="0" w:color="auto"/>
        <w:left w:val="none" w:sz="0" w:space="0" w:color="auto"/>
        <w:bottom w:val="none" w:sz="0" w:space="0" w:color="auto"/>
        <w:right w:val="none" w:sz="0" w:space="0" w:color="auto"/>
      </w:divBdr>
    </w:div>
    <w:div w:id="1728532909">
      <w:bodyDiv w:val="1"/>
      <w:marLeft w:val="0"/>
      <w:marRight w:val="0"/>
      <w:marTop w:val="0"/>
      <w:marBottom w:val="0"/>
      <w:divBdr>
        <w:top w:val="none" w:sz="0" w:space="0" w:color="auto"/>
        <w:left w:val="none" w:sz="0" w:space="0" w:color="auto"/>
        <w:bottom w:val="none" w:sz="0" w:space="0" w:color="auto"/>
        <w:right w:val="none" w:sz="0" w:space="0" w:color="auto"/>
      </w:divBdr>
    </w:div>
    <w:div w:id="1731802592">
      <w:bodyDiv w:val="1"/>
      <w:marLeft w:val="0"/>
      <w:marRight w:val="0"/>
      <w:marTop w:val="0"/>
      <w:marBottom w:val="0"/>
      <w:divBdr>
        <w:top w:val="none" w:sz="0" w:space="0" w:color="auto"/>
        <w:left w:val="none" w:sz="0" w:space="0" w:color="auto"/>
        <w:bottom w:val="none" w:sz="0" w:space="0" w:color="auto"/>
        <w:right w:val="none" w:sz="0" w:space="0" w:color="auto"/>
      </w:divBdr>
    </w:div>
    <w:div w:id="1734548729">
      <w:bodyDiv w:val="1"/>
      <w:marLeft w:val="0"/>
      <w:marRight w:val="0"/>
      <w:marTop w:val="0"/>
      <w:marBottom w:val="0"/>
      <w:divBdr>
        <w:top w:val="none" w:sz="0" w:space="0" w:color="auto"/>
        <w:left w:val="none" w:sz="0" w:space="0" w:color="auto"/>
        <w:bottom w:val="none" w:sz="0" w:space="0" w:color="auto"/>
        <w:right w:val="none" w:sz="0" w:space="0" w:color="auto"/>
      </w:divBdr>
    </w:div>
    <w:div w:id="1745299172">
      <w:bodyDiv w:val="1"/>
      <w:marLeft w:val="0"/>
      <w:marRight w:val="0"/>
      <w:marTop w:val="0"/>
      <w:marBottom w:val="0"/>
      <w:divBdr>
        <w:top w:val="none" w:sz="0" w:space="0" w:color="auto"/>
        <w:left w:val="none" w:sz="0" w:space="0" w:color="auto"/>
        <w:bottom w:val="none" w:sz="0" w:space="0" w:color="auto"/>
        <w:right w:val="none" w:sz="0" w:space="0" w:color="auto"/>
      </w:divBdr>
    </w:div>
    <w:div w:id="1746757440">
      <w:bodyDiv w:val="1"/>
      <w:marLeft w:val="0"/>
      <w:marRight w:val="0"/>
      <w:marTop w:val="0"/>
      <w:marBottom w:val="0"/>
      <w:divBdr>
        <w:top w:val="none" w:sz="0" w:space="0" w:color="auto"/>
        <w:left w:val="none" w:sz="0" w:space="0" w:color="auto"/>
        <w:bottom w:val="none" w:sz="0" w:space="0" w:color="auto"/>
        <w:right w:val="none" w:sz="0" w:space="0" w:color="auto"/>
      </w:divBdr>
    </w:div>
    <w:div w:id="1748503592">
      <w:bodyDiv w:val="1"/>
      <w:marLeft w:val="0"/>
      <w:marRight w:val="0"/>
      <w:marTop w:val="0"/>
      <w:marBottom w:val="0"/>
      <w:divBdr>
        <w:top w:val="none" w:sz="0" w:space="0" w:color="auto"/>
        <w:left w:val="none" w:sz="0" w:space="0" w:color="auto"/>
        <w:bottom w:val="none" w:sz="0" w:space="0" w:color="auto"/>
        <w:right w:val="none" w:sz="0" w:space="0" w:color="auto"/>
      </w:divBdr>
    </w:div>
    <w:div w:id="1785539721">
      <w:bodyDiv w:val="1"/>
      <w:marLeft w:val="0"/>
      <w:marRight w:val="0"/>
      <w:marTop w:val="0"/>
      <w:marBottom w:val="0"/>
      <w:divBdr>
        <w:top w:val="none" w:sz="0" w:space="0" w:color="auto"/>
        <w:left w:val="none" w:sz="0" w:space="0" w:color="auto"/>
        <w:bottom w:val="none" w:sz="0" w:space="0" w:color="auto"/>
        <w:right w:val="none" w:sz="0" w:space="0" w:color="auto"/>
      </w:divBdr>
    </w:div>
    <w:div w:id="1788545817">
      <w:bodyDiv w:val="1"/>
      <w:marLeft w:val="0"/>
      <w:marRight w:val="0"/>
      <w:marTop w:val="0"/>
      <w:marBottom w:val="0"/>
      <w:divBdr>
        <w:top w:val="none" w:sz="0" w:space="0" w:color="auto"/>
        <w:left w:val="none" w:sz="0" w:space="0" w:color="auto"/>
        <w:bottom w:val="none" w:sz="0" w:space="0" w:color="auto"/>
        <w:right w:val="none" w:sz="0" w:space="0" w:color="auto"/>
      </w:divBdr>
    </w:div>
    <w:div w:id="1794320734">
      <w:bodyDiv w:val="1"/>
      <w:marLeft w:val="0"/>
      <w:marRight w:val="0"/>
      <w:marTop w:val="0"/>
      <w:marBottom w:val="0"/>
      <w:divBdr>
        <w:top w:val="none" w:sz="0" w:space="0" w:color="auto"/>
        <w:left w:val="none" w:sz="0" w:space="0" w:color="auto"/>
        <w:bottom w:val="none" w:sz="0" w:space="0" w:color="auto"/>
        <w:right w:val="none" w:sz="0" w:space="0" w:color="auto"/>
      </w:divBdr>
    </w:div>
    <w:div w:id="1801531726">
      <w:bodyDiv w:val="1"/>
      <w:marLeft w:val="0"/>
      <w:marRight w:val="0"/>
      <w:marTop w:val="0"/>
      <w:marBottom w:val="0"/>
      <w:divBdr>
        <w:top w:val="none" w:sz="0" w:space="0" w:color="auto"/>
        <w:left w:val="none" w:sz="0" w:space="0" w:color="auto"/>
        <w:bottom w:val="none" w:sz="0" w:space="0" w:color="auto"/>
        <w:right w:val="none" w:sz="0" w:space="0" w:color="auto"/>
      </w:divBdr>
    </w:div>
    <w:div w:id="1802651364">
      <w:bodyDiv w:val="1"/>
      <w:marLeft w:val="0"/>
      <w:marRight w:val="0"/>
      <w:marTop w:val="0"/>
      <w:marBottom w:val="0"/>
      <w:divBdr>
        <w:top w:val="none" w:sz="0" w:space="0" w:color="auto"/>
        <w:left w:val="none" w:sz="0" w:space="0" w:color="auto"/>
        <w:bottom w:val="none" w:sz="0" w:space="0" w:color="auto"/>
        <w:right w:val="none" w:sz="0" w:space="0" w:color="auto"/>
      </w:divBdr>
    </w:div>
    <w:div w:id="1809084213">
      <w:bodyDiv w:val="1"/>
      <w:marLeft w:val="0"/>
      <w:marRight w:val="0"/>
      <w:marTop w:val="0"/>
      <w:marBottom w:val="0"/>
      <w:divBdr>
        <w:top w:val="none" w:sz="0" w:space="0" w:color="auto"/>
        <w:left w:val="none" w:sz="0" w:space="0" w:color="auto"/>
        <w:bottom w:val="none" w:sz="0" w:space="0" w:color="auto"/>
        <w:right w:val="none" w:sz="0" w:space="0" w:color="auto"/>
      </w:divBdr>
    </w:div>
    <w:div w:id="1816799719">
      <w:bodyDiv w:val="1"/>
      <w:marLeft w:val="0"/>
      <w:marRight w:val="0"/>
      <w:marTop w:val="0"/>
      <w:marBottom w:val="0"/>
      <w:divBdr>
        <w:top w:val="none" w:sz="0" w:space="0" w:color="auto"/>
        <w:left w:val="none" w:sz="0" w:space="0" w:color="auto"/>
        <w:bottom w:val="none" w:sz="0" w:space="0" w:color="auto"/>
        <w:right w:val="none" w:sz="0" w:space="0" w:color="auto"/>
      </w:divBdr>
    </w:div>
    <w:div w:id="1829057728">
      <w:bodyDiv w:val="1"/>
      <w:marLeft w:val="0"/>
      <w:marRight w:val="0"/>
      <w:marTop w:val="0"/>
      <w:marBottom w:val="0"/>
      <w:divBdr>
        <w:top w:val="none" w:sz="0" w:space="0" w:color="auto"/>
        <w:left w:val="none" w:sz="0" w:space="0" w:color="auto"/>
        <w:bottom w:val="none" w:sz="0" w:space="0" w:color="auto"/>
        <w:right w:val="none" w:sz="0" w:space="0" w:color="auto"/>
      </w:divBdr>
    </w:div>
    <w:div w:id="1845978342">
      <w:bodyDiv w:val="1"/>
      <w:marLeft w:val="0"/>
      <w:marRight w:val="0"/>
      <w:marTop w:val="0"/>
      <w:marBottom w:val="0"/>
      <w:divBdr>
        <w:top w:val="none" w:sz="0" w:space="0" w:color="auto"/>
        <w:left w:val="none" w:sz="0" w:space="0" w:color="auto"/>
        <w:bottom w:val="none" w:sz="0" w:space="0" w:color="auto"/>
        <w:right w:val="none" w:sz="0" w:space="0" w:color="auto"/>
      </w:divBdr>
    </w:div>
    <w:div w:id="1867596031">
      <w:bodyDiv w:val="1"/>
      <w:marLeft w:val="0"/>
      <w:marRight w:val="0"/>
      <w:marTop w:val="0"/>
      <w:marBottom w:val="0"/>
      <w:divBdr>
        <w:top w:val="none" w:sz="0" w:space="0" w:color="auto"/>
        <w:left w:val="none" w:sz="0" w:space="0" w:color="auto"/>
        <w:bottom w:val="none" w:sz="0" w:space="0" w:color="auto"/>
        <w:right w:val="none" w:sz="0" w:space="0" w:color="auto"/>
      </w:divBdr>
    </w:div>
    <w:div w:id="1885211996">
      <w:bodyDiv w:val="1"/>
      <w:marLeft w:val="0"/>
      <w:marRight w:val="0"/>
      <w:marTop w:val="0"/>
      <w:marBottom w:val="0"/>
      <w:divBdr>
        <w:top w:val="none" w:sz="0" w:space="0" w:color="auto"/>
        <w:left w:val="none" w:sz="0" w:space="0" w:color="auto"/>
        <w:bottom w:val="none" w:sz="0" w:space="0" w:color="auto"/>
        <w:right w:val="none" w:sz="0" w:space="0" w:color="auto"/>
      </w:divBdr>
    </w:div>
    <w:div w:id="1890146869">
      <w:bodyDiv w:val="1"/>
      <w:marLeft w:val="0"/>
      <w:marRight w:val="0"/>
      <w:marTop w:val="0"/>
      <w:marBottom w:val="0"/>
      <w:divBdr>
        <w:top w:val="none" w:sz="0" w:space="0" w:color="auto"/>
        <w:left w:val="none" w:sz="0" w:space="0" w:color="auto"/>
        <w:bottom w:val="none" w:sz="0" w:space="0" w:color="auto"/>
        <w:right w:val="none" w:sz="0" w:space="0" w:color="auto"/>
      </w:divBdr>
    </w:div>
    <w:div w:id="1893733083">
      <w:bodyDiv w:val="1"/>
      <w:marLeft w:val="0"/>
      <w:marRight w:val="0"/>
      <w:marTop w:val="0"/>
      <w:marBottom w:val="0"/>
      <w:divBdr>
        <w:top w:val="none" w:sz="0" w:space="0" w:color="auto"/>
        <w:left w:val="none" w:sz="0" w:space="0" w:color="auto"/>
        <w:bottom w:val="none" w:sz="0" w:space="0" w:color="auto"/>
        <w:right w:val="none" w:sz="0" w:space="0" w:color="auto"/>
      </w:divBdr>
    </w:div>
    <w:div w:id="1901860099">
      <w:bodyDiv w:val="1"/>
      <w:marLeft w:val="0"/>
      <w:marRight w:val="0"/>
      <w:marTop w:val="0"/>
      <w:marBottom w:val="0"/>
      <w:divBdr>
        <w:top w:val="none" w:sz="0" w:space="0" w:color="auto"/>
        <w:left w:val="none" w:sz="0" w:space="0" w:color="auto"/>
        <w:bottom w:val="none" w:sz="0" w:space="0" w:color="auto"/>
        <w:right w:val="none" w:sz="0" w:space="0" w:color="auto"/>
      </w:divBdr>
    </w:div>
    <w:div w:id="1907375689">
      <w:bodyDiv w:val="1"/>
      <w:marLeft w:val="0"/>
      <w:marRight w:val="0"/>
      <w:marTop w:val="0"/>
      <w:marBottom w:val="0"/>
      <w:divBdr>
        <w:top w:val="none" w:sz="0" w:space="0" w:color="auto"/>
        <w:left w:val="none" w:sz="0" w:space="0" w:color="auto"/>
        <w:bottom w:val="none" w:sz="0" w:space="0" w:color="auto"/>
        <w:right w:val="none" w:sz="0" w:space="0" w:color="auto"/>
      </w:divBdr>
    </w:div>
    <w:div w:id="1911188980">
      <w:bodyDiv w:val="1"/>
      <w:marLeft w:val="0"/>
      <w:marRight w:val="0"/>
      <w:marTop w:val="0"/>
      <w:marBottom w:val="0"/>
      <w:divBdr>
        <w:top w:val="none" w:sz="0" w:space="0" w:color="auto"/>
        <w:left w:val="none" w:sz="0" w:space="0" w:color="auto"/>
        <w:bottom w:val="none" w:sz="0" w:space="0" w:color="auto"/>
        <w:right w:val="none" w:sz="0" w:space="0" w:color="auto"/>
      </w:divBdr>
    </w:div>
    <w:div w:id="1952204718">
      <w:bodyDiv w:val="1"/>
      <w:marLeft w:val="0"/>
      <w:marRight w:val="0"/>
      <w:marTop w:val="0"/>
      <w:marBottom w:val="0"/>
      <w:divBdr>
        <w:top w:val="none" w:sz="0" w:space="0" w:color="auto"/>
        <w:left w:val="none" w:sz="0" w:space="0" w:color="auto"/>
        <w:bottom w:val="none" w:sz="0" w:space="0" w:color="auto"/>
        <w:right w:val="none" w:sz="0" w:space="0" w:color="auto"/>
      </w:divBdr>
    </w:div>
    <w:div w:id="1958367250">
      <w:bodyDiv w:val="1"/>
      <w:marLeft w:val="0"/>
      <w:marRight w:val="0"/>
      <w:marTop w:val="0"/>
      <w:marBottom w:val="0"/>
      <w:divBdr>
        <w:top w:val="none" w:sz="0" w:space="0" w:color="auto"/>
        <w:left w:val="none" w:sz="0" w:space="0" w:color="auto"/>
        <w:bottom w:val="none" w:sz="0" w:space="0" w:color="auto"/>
        <w:right w:val="none" w:sz="0" w:space="0" w:color="auto"/>
      </w:divBdr>
    </w:div>
    <w:div w:id="1959749493">
      <w:bodyDiv w:val="1"/>
      <w:marLeft w:val="0"/>
      <w:marRight w:val="0"/>
      <w:marTop w:val="0"/>
      <w:marBottom w:val="0"/>
      <w:divBdr>
        <w:top w:val="none" w:sz="0" w:space="0" w:color="auto"/>
        <w:left w:val="none" w:sz="0" w:space="0" w:color="auto"/>
        <w:bottom w:val="none" w:sz="0" w:space="0" w:color="auto"/>
        <w:right w:val="none" w:sz="0" w:space="0" w:color="auto"/>
      </w:divBdr>
    </w:div>
    <w:div w:id="1970015007">
      <w:bodyDiv w:val="1"/>
      <w:marLeft w:val="0"/>
      <w:marRight w:val="0"/>
      <w:marTop w:val="0"/>
      <w:marBottom w:val="0"/>
      <w:divBdr>
        <w:top w:val="none" w:sz="0" w:space="0" w:color="auto"/>
        <w:left w:val="none" w:sz="0" w:space="0" w:color="auto"/>
        <w:bottom w:val="none" w:sz="0" w:space="0" w:color="auto"/>
        <w:right w:val="none" w:sz="0" w:space="0" w:color="auto"/>
      </w:divBdr>
    </w:div>
    <w:div w:id="1976442901">
      <w:bodyDiv w:val="1"/>
      <w:marLeft w:val="0"/>
      <w:marRight w:val="0"/>
      <w:marTop w:val="0"/>
      <w:marBottom w:val="0"/>
      <w:divBdr>
        <w:top w:val="none" w:sz="0" w:space="0" w:color="auto"/>
        <w:left w:val="none" w:sz="0" w:space="0" w:color="auto"/>
        <w:bottom w:val="none" w:sz="0" w:space="0" w:color="auto"/>
        <w:right w:val="none" w:sz="0" w:space="0" w:color="auto"/>
      </w:divBdr>
    </w:div>
    <w:div w:id="1978340100">
      <w:bodyDiv w:val="1"/>
      <w:marLeft w:val="0"/>
      <w:marRight w:val="0"/>
      <w:marTop w:val="0"/>
      <w:marBottom w:val="0"/>
      <w:divBdr>
        <w:top w:val="none" w:sz="0" w:space="0" w:color="auto"/>
        <w:left w:val="none" w:sz="0" w:space="0" w:color="auto"/>
        <w:bottom w:val="none" w:sz="0" w:space="0" w:color="auto"/>
        <w:right w:val="none" w:sz="0" w:space="0" w:color="auto"/>
      </w:divBdr>
    </w:div>
    <w:div w:id="1988044853">
      <w:bodyDiv w:val="1"/>
      <w:marLeft w:val="0"/>
      <w:marRight w:val="0"/>
      <w:marTop w:val="0"/>
      <w:marBottom w:val="0"/>
      <w:divBdr>
        <w:top w:val="none" w:sz="0" w:space="0" w:color="auto"/>
        <w:left w:val="none" w:sz="0" w:space="0" w:color="auto"/>
        <w:bottom w:val="none" w:sz="0" w:space="0" w:color="auto"/>
        <w:right w:val="none" w:sz="0" w:space="0" w:color="auto"/>
      </w:divBdr>
    </w:div>
    <w:div w:id="2005234591">
      <w:bodyDiv w:val="1"/>
      <w:marLeft w:val="0"/>
      <w:marRight w:val="0"/>
      <w:marTop w:val="0"/>
      <w:marBottom w:val="0"/>
      <w:divBdr>
        <w:top w:val="none" w:sz="0" w:space="0" w:color="auto"/>
        <w:left w:val="none" w:sz="0" w:space="0" w:color="auto"/>
        <w:bottom w:val="none" w:sz="0" w:space="0" w:color="auto"/>
        <w:right w:val="none" w:sz="0" w:space="0" w:color="auto"/>
      </w:divBdr>
    </w:div>
    <w:div w:id="2006276487">
      <w:bodyDiv w:val="1"/>
      <w:marLeft w:val="0"/>
      <w:marRight w:val="0"/>
      <w:marTop w:val="0"/>
      <w:marBottom w:val="0"/>
      <w:divBdr>
        <w:top w:val="none" w:sz="0" w:space="0" w:color="auto"/>
        <w:left w:val="none" w:sz="0" w:space="0" w:color="auto"/>
        <w:bottom w:val="none" w:sz="0" w:space="0" w:color="auto"/>
        <w:right w:val="none" w:sz="0" w:space="0" w:color="auto"/>
      </w:divBdr>
    </w:div>
    <w:div w:id="2022469709">
      <w:bodyDiv w:val="1"/>
      <w:marLeft w:val="0"/>
      <w:marRight w:val="0"/>
      <w:marTop w:val="0"/>
      <w:marBottom w:val="0"/>
      <w:divBdr>
        <w:top w:val="none" w:sz="0" w:space="0" w:color="auto"/>
        <w:left w:val="none" w:sz="0" w:space="0" w:color="auto"/>
        <w:bottom w:val="none" w:sz="0" w:space="0" w:color="auto"/>
        <w:right w:val="none" w:sz="0" w:space="0" w:color="auto"/>
      </w:divBdr>
    </w:div>
    <w:div w:id="2025547653">
      <w:bodyDiv w:val="1"/>
      <w:marLeft w:val="0"/>
      <w:marRight w:val="0"/>
      <w:marTop w:val="0"/>
      <w:marBottom w:val="0"/>
      <w:divBdr>
        <w:top w:val="none" w:sz="0" w:space="0" w:color="auto"/>
        <w:left w:val="none" w:sz="0" w:space="0" w:color="auto"/>
        <w:bottom w:val="none" w:sz="0" w:space="0" w:color="auto"/>
        <w:right w:val="none" w:sz="0" w:space="0" w:color="auto"/>
      </w:divBdr>
    </w:div>
    <w:div w:id="2036423519">
      <w:bodyDiv w:val="1"/>
      <w:marLeft w:val="0"/>
      <w:marRight w:val="0"/>
      <w:marTop w:val="0"/>
      <w:marBottom w:val="0"/>
      <w:divBdr>
        <w:top w:val="none" w:sz="0" w:space="0" w:color="auto"/>
        <w:left w:val="none" w:sz="0" w:space="0" w:color="auto"/>
        <w:bottom w:val="none" w:sz="0" w:space="0" w:color="auto"/>
        <w:right w:val="none" w:sz="0" w:space="0" w:color="auto"/>
      </w:divBdr>
    </w:div>
    <w:div w:id="2038505986">
      <w:bodyDiv w:val="1"/>
      <w:marLeft w:val="0"/>
      <w:marRight w:val="0"/>
      <w:marTop w:val="0"/>
      <w:marBottom w:val="0"/>
      <w:divBdr>
        <w:top w:val="none" w:sz="0" w:space="0" w:color="auto"/>
        <w:left w:val="none" w:sz="0" w:space="0" w:color="auto"/>
        <w:bottom w:val="none" w:sz="0" w:space="0" w:color="auto"/>
        <w:right w:val="none" w:sz="0" w:space="0" w:color="auto"/>
      </w:divBdr>
    </w:div>
    <w:div w:id="2078360949">
      <w:bodyDiv w:val="1"/>
      <w:marLeft w:val="0"/>
      <w:marRight w:val="0"/>
      <w:marTop w:val="0"/>
      <w:marBottom w:val="0"/>
      <w:divBdr>
        <w:top w:val="none" w:sz="0" w:space="0" w:color="auto"/>
        <w:left w:val="none" w:sz="0" w:space="0" w:color="auto"/>
        <w:bottom w:val="none" w:sz="0" w:space="0" w:color="auto"/>
        <w:right w:val="none" w:sz="0" w:space="0" w:color="auto"/>
      </w:divBdr>
    </w:div>
    <w:div w:id="2086758552">
      <w:bodyDiv w:val="1"/>
      <w:marLeft w:val="0"/>
      <w:marRight w:val="0"/>
      <w:marTop w:val="0"/>
      <w:marBottom w:val="0"/>
      <w:divBdr>
        <w:top w:val="none" w:sz="0" w:space="0" w:color="auto"/>
        <w:left w:val="none" w:sz="0" w:space="0" w:color="auto"/>
        <w:bottom w:val="none" w:sz="0" w:space="0" w:color="auto"/>
        <w:right w:val="none" w:sz="0" w:space="0" w:color="auto"/>
      </w:divBdr>
    </w:div>
    <w:div w:id="2109231797">
      <w:bodyDiv w:val="1"/>
      <w:marLeft w:val="0"/>
      <w:marRight w:val="0"/>
      <w:marTop w:val="0"/>
      <w:marBottom w:val="0"/>
      <w:divBdr>
        <w:top w:val="none" w:sz="0" w:space="0" w:color="auto"/>
        <w:left w:val="none" w:sz="0" w:space="0" w:color="auto"/>
        <w:bottom w:val="none" w:sz="0" w:space="0" w:color="auto"/>
        <w:right w:val="none" w:sz="0" w:space="0" w:color="auto"/>
      </w:divBdr>
    </w:div>
    <w:div w:id="2130583057">
      <w:bodyDiv w:val="1"/>
      <w:marLeft w:val="0"/>
      <w:marRight w:val="0"/>
      <w:marTop w:val="0"/>
      <w:marBottom w:val="0"/>
      <w:divBdr>
        <w:top w:val="none" w:sz="0" w:space="0" w:color="auto"/>
        <w:left w:val="none" w:sz="0" w:space="0" w:color="auto"/>
        <w:bottom w:val="none" w:sz="0" w:space="0" w:color="auto"/>
        <w:right w:val="none" w:sz="0" w:space="0" w:color="auto"/>
      </w:divBdr>
    </w:div>
    <w:div w:id="21439567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Com23</b:Tag>
    <b:SourceType>Book</b:SourceType>
    <b:Guid>{2D6E71BD-570B-45C7-BC58-461F061F4469}</b:Guid>
    <b:Author>
      <b:Author>
        <b:NameList>
          <b:Person>
            <b:Last>Commission</b:Last>
            <b:First>International</b:First>
            <b:Middle>Organization for Standardization and International Electrotechnical</b:Middle>
          </b:Person>
        </b:NameList>
      </b:Author>
    </b:Author>
    <b:Title>International Organization for Standardization and International Electrotechnical Commission, ISO/IEC 42001:2023 — Information Technology — Artificial Intelligence — Management System</b:Title>
    <b:Year>2023</b:Year>
    <b:City>Geneva</b:City>
    <b:YearAccessed>2026</b:YearAccessed>
    <b:MonthAccessed>7</b:MonthAccessed>
    <b:DayAccessed>20</b:DayAccessed>
    <b:URL>, Geneva, Switzerland, Dec. 2023. [Online]. Available: </b:URL>
    <b:RefOrder>2</b:RefOrder>
  </b:Source>
  <b:Source>
    <b:Tag>ETa23</b:Tag>
    <b:SourceType>Book</b:SourceType>
    <b:Guid>{1B2AABA0-D8B9-40EF-A9D1-D59786BB98BB}</b:Guid>
    <b:Author>
      <b:Author>
        <b:NameList>
          <b:Person>
            <b:Last>Tabassi</b:Last>
            <b:First>E.</b:First>
          </b:Person>
        </b:NameList>
      </b:Author>
    </b:Author>
    <b:Title> E. Tabassi, Artificial Intelligence Risk Management Framework (AI RMF 1.0)</b:Title>
    <b:Year>2023</b:Year>
    <b:RefOrder>1</b:RefOrder>
  </b:Source>
  <b:Source>
    <b:Tag>ZTi22</b:Tag>
    <b:SourceType>Book</b:SourceType>
    <b:Guid>{F119C637-58F7-4218-854E-54813F122E3B}</b:Guid>
    <b:Author>
      <b:Author>
        <b:NameList>
          <b:Person>
            <b:Last>Z. Tian</b:Last>
            <b:First>L.</b:First>
            <b:Middle>Cui, J. Liang, and S. Yu</b:Middle>
          </b:Person>
        </b:NameList>
      </b:Author>
    </b:Author>
    <b:Title>A comprehensive survey on poisoning attacks and countermeasures in machine learning</b:Title>
    <b:Year>2022</b:Year>
    <b:Pages>1-35</b:Pages>
    <b:Edition>8</b:Edition>
    <b:RefOrder>3</b:RefOrder>
  </b:Source>
  <b:Source>
    <b:Tag>JGa</b:Tag>
    <b:SourceType>Book</b:SourceType>
    <b:Guid>{D38EFAB3-C331-457B-9DCF-35BA82F679E7}</b:Guid>
    <b:Author>
      <b:Author>
        <b:NameList>
          <b:Person>
            <b:Last>J. Gama</b:Last>
            <b:First>I.</b:First>
            <b:Middle>Žliobaitė, A. Bifet, M. Pechenizkiy, and A. Bouchachia</b:Middle>
          </b:Person>
        </b:NameList>
      </b:Author>
    </b:Author>
    <b:Title>J. Gama, I. Žliobaitė, A. Bifet, M. Pechenizkiy, and A. Bouchachia, “A survey on concept drift adaptation,” ACM Comput. Surv</b:Title>
    <b:RefOrder>4</b:RefOrder>
  </b:Source>
  <b:Source>
    <b:Tag>JBu</b:Tag>
    <b:SourceType>Book</b:SourceType>
    <b:Guid>{23C03EFA-1FFB-4463-A8F5-D10A769E1A7C}</b:Guid>
    <b:Author>
      <b:Author>
        <b:NameList>
          <b:Person>
            <b:Last>Gebru</b:Last>
            <b:First>J.</b:First>
            <b:Middle>Buolamwini and T.</b:Middle>
          </b:Person>
        </b:NameList>
      </b:Author>
    </b:Author>
    <b:Title>Gender shades: Intersectional accuracy disparities in commercial gender classification</b:Title>
    <b:RefOrder>5</b:RefOrder>
  </b:Source>
  <b:Source>
    <b:Tag>AAd</b:Tag>
    <b:SourceType>Book</b:SourceType>
    <b:Guid>{98B905CF-5121-4758-AF28-E337214F893C}</b:Guid>
    <b:Author>
      <b:Author>
        <b:NameList>
          <b:Person>
            <b:Last>Berrada</b:Last>
            <b:First>A.</b:First>
            <b:Middle>Adadi and M.</b:Middle>
          </b:Person>
        </b:NameList>
      </b:Author>
    </b:Author>
    <b:Title>A. Adadi and M. Berrada, “Peeking inside the black-box: A survey on explainable artificial intelligence (XAI)</b:Title>
    <b:RefOrder>6</b:RefOrder>
  </b:Source>
  <b:Source>
    <b:Tag>Art24</b:Tag>
    <b:SourceType>Book</b:SourceType>
    <b:Guid>{5BA567ED-4CB7-4A95-AB08-F177E2591F08}</b:Guid>
    <b:Author>
      <b:Author>
        <b:NameList>
          <b:Person>
            <b:Last>Act</b:Last>
            <b:First>Artificial</b:First>
            <b:Middle>Intelligence</b:Middle>
          </b:Person>
        </b:NameList>
      </b:Author>
    </b:Author>
    <b:Title>Regulation (EU) 2024/1689 of the European Parliament and of the Council of 13 June 2024 Laying Down Harmonised Rules on Artificial Intelligence</b:Title>
    <b:Year>2024</b:Year>
    <b:RefOrder>7</b:RefOrder>
  </b:Source>
  <b:Source>
    <b:Tag>Int1</b:Tag>
    <b:SourceType>Book</b:SourceType>
    <b:Guid>{C46DE31F-21BE-4C74-97FE-D7E6EE1C788A}</b:Guid>
    <b:Author>
      <b:Author>
        <b:NameList>
          <b:Person>
            <b:Last>Commission</b:Last>
            <b:First>International</b:First>
            <b:Middle>Organization for Standardization and International Electrotechnical</b:Middle>
          </b:Person>
        </b:NameList>
      </b:Author>
    </b:Author>
    <b:Title> Information Technology — Artificial Intelligence — Management System, ISO,</b:Title>
    <b:RefOrder>8</b:RefOrder>
  </b:Source>
  <b:Source>
    <b:Tag>Reg22</b:Tag>
    <b:SourceType>Book</b:SourceType>
    <b:Guid>{AF102275-45BB-4D88-9669-6556A89E02CC}</b:Guid>
    <b:Title> Regulation (EU) 2022/2554 of the European Parliament and of the Council of 14 December 2022 on Digital Operational Resilience for the Financial Sector (DORA)</b:Title>
    <b:Year>2022</b:Year>
    <b:RefOrder>9</b:RefOrder>
  </b:Source>
  <b:Source>
    <b:Tag>Dir22</b:Tag>
    <b:SourceType>Book</b:SourceType>
    <b:Guid>{D78A5701-E213-4681-836C-54F9CC9AC70D}</b:Guid>
    <b:Author>
      <b:Author>
        <b:NameList>
          <b:Person>
            <b:Last>Directive (EU) 2022/2555 of the European Parliament and of the Council of 14 December 2022 on Measures for a High Common Level of Cybersecurity Across the Union (NIS2)</b:Last>
            <b:First>Off.</b:First>
            <b:Middle>J. Eur. Union</b:Middle>
          </b:Person>
        </b:NameList>
      </b:Author>
    </b:Author>
    <b:Title>Directive (EU) 2022/2555 of the European Parliament and of the Council of 14 December 2022 on Measures for a High Common Level of Cybersecurity Across the Union (NIS2)</b:Title>
    <b:Year>2022</b:Year>
    <b:RefOrder>10</b:RefOrder>
  </b:Source>
  <b:Source>
    <b:Tag>USG</b:Tag>
    <b:SourceType>Book</b:SourceType>
    <b:Guid>{6E26D813-6E18-42C8-A65B-43A6931ECF70}</b:Guid>
    <b:Author>
      <b:Author>
        <b:NameList>
          <b:Person>
            <b:Last>U.S. Government Accountability Office</b:Last>
            <b:First>Data</b:First>
            <b:Middle>Protection: Actions Taken by Equifax and Federal Agencies in Response to the 2017 Breach</b:Middle>
          </b:Person>
        </b:NameList>
      </b:Author>
    </b:Author>
    <b:Title>Rep. GAO-18-559</b:Title>
    <b:RefOrder>12</b:RefOrder>
  </b:Source>
  <b:Source>
    <b:Tag>USH</b:Tag>
    <b:SourceType>Book</b:SourceType>
    <b:Guid>{0130EDFD-8E83-42A1-83A0-8C2E295A4141}</b:Guid>
    <b:Author>
      <b:Author>
        <b:NameList>
          <b:Person>
            <b:Last>U.S. House of Representatives</b:Last>
            <b:First>Committee</b:First>
            <b:Middle>on Oversight and Government Reform</b:Middle>
          </b:Person>
        </b:NameList>
      </b:Author>
    </b:Author>
    <b:Title>The Equifax Data Breach, Majority Staff Rep</b:Title>
    <b:RefOrder>13</b:RefOrder>
  </b:Source>
  <b:Source>
    <b:Tag>IBM</b:Tag>
    <b:SourceType>Book</b:SourceType>
    <b:Guid>{2C054CAE-C56A-47C7-B3EC-DC1D14F44209}</b:Guid>
    <b:Author>
      <b:Author>
        <b:NameList>
          <b:Person>
            <b:Last>Institute</b:Last>
            <b:First>IBM</b:First>
            <b:Middle>Security and Ponemon</b:Middle>
          </b:Person>
        </b:NameList>
      </b:Author>
    </b:Author>
    <b:Title>Cost of a Data Breach Report 2025</b:Title>
    <b:RefOrder>16</b:RefOrder>
  </b:Source>
  <b:Source>
    <b:Tag>SRo201</b:Tag>
    <b:SourceType>Book</b:SourceType>
    <b:Guid>{AD0D061B-644D-4EE5-9F74-CB9F97868C81}</b:Guid>
    <b:Author>
      <b:Author>
        <b:NameList>
          <b:Person>
            <b:Last>S. Rose</b:Last>
            <b:First>O.</b:First>
            <b:Middle>Borchert, S. Mitchell</b:Middle>
          </b:Person>
        </b:NameList>
      </b:Author>
    </b:Author>
    <b:Title>Zero Trust Architecture</b:Title>
    <b:Year>2020</b:Year>
    <b:RefOrder>11</b:RefOrder>
  </b:Source>
  <b:Source>
    <b:Tag>CPa24</b:Tag>
    <b:SourceType>Book</b:SourceType>
    <b:Guid>{CF1D2B9F-2C1B-40C9-84BC-54EDDA0B93FC}</b:Guid>
    <b:Author>
      <b:Author>
        <b:NameList>
          <b:Person>
            <b:Last>C. Pascoe</b:Last>
            <b:First>S.</b:First>
            <b:Middle>Quinn, and K. Scarfone</b:Middle>
          </b:Person>
        </b:NameList>
      </b:Author>
    </b:Author>
    <b:Title>The NIST Cybersecurity Framework (CSF) 2.0</b:Title>
    <b:Year>2024</b:Year>
    <b:RefOrder>14</b:RefOrder>
  </b:Source>
  <b:Source>
    <b:Tag>PCi12</b:Tag>
    <b:SourceType>Book</b:SourceType>
    <b:Guid>{48E73F47-C839-4007-BFA9-33E7B2248395}</b:Guid>
    <b:Author>
      <b:Author>
        <b:NameList>
          <b:Person>
            <b:Last>P. Cichonski</b:Last>
            <b:First>T.</b:First>
            <b:Middle>Millar, T. Grance, and K. Scarfone</b:Middle>
          </b:Person>
        </b:NameList>
      </b:Author>
    </b:Author>
    <b:Title>Computer Security Incident Handling Guide, NIST SP 800-61 Rev. 2</b:Title>
    <b:Year>2012</b:Year>
    <b:RefOrder>15</b:RefOrder>
  </b:Source>
</b:Sources>
</file>

<file path=customXml/itemProps1.xml><?xml version="1.0" encoding="utf-8"?>
<ds:datastoreItem xmlns:ds="http://schemas.openxmlformats.org/officeDocument/2006/customXml" ds:itemID="{148ABC3B-514A-4CE4-AA35-8CE86C39E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15</Pages>
  <Words>5637</Words>
  <Characters>32135</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Rehina Zinovieva (2425418)</cp:lastModifiedBy>
  <cp:revision>2</cp:revision>
  <dcterms:created xsi:type="dcterms:W3CDTF">2026-07-31T09:04:00Z</dcterms:created>
  <dcterms:modified xsi:type="dcterms:W3CDTF">2026-07-31T10:12:00Z</dcterms:modified>
</cp:coreProperties>
</file>