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335CB" w14:textId="49B495D4" w:rsidR="001C134F" w:rsidRDefault="001C134F" w:rsidP="001C134F">
      <w:pPr>
        <w:spacing w:after="160" w:line="259" w:lineRule="auto"/>
        <w:rPr>
          <w:rFonts w:ascii="Arial" w:eastAsia="Times New Roman" w:hAnsi="Arial" w:cs="Arial"/>
          <w:lang w:val="en-GB" w:eastAsia="en-GB"/>
        </w:rPr>
      </w:pPr>
      <w:r>
        <w:rPr>
          <w:rFonts w:ascii="Arial" w:eastAsia="Times New Roman" w:hAnsi="Arial" w:cs="Arial"/>
          <w:b/>
          <w:bCs/>
          <w:lang w:val="en-GB" w:eastAsia="en-GB"/>
        </w:rPr>
        <w:t>Name:</w:t>
      </w:r>
      <w:r>
        <w:rPr>
          <w:rFonts w:ascii="Arial" w:eastAsia="Times New Roman" w:hAnsi="Arial" w:cs="Arial"/>
          <w:lang w:val="en-GB" w:eastAsia="en-GB"/>
        </w:rPr>
        <w:t xml:space="preserve"> Robert Costley</w:t>
      </w:r>
    </w:p>
    <w:p w14:paraId="2FE4B045" w14:textId="7D3124B3" w:rsidR="001C134F" w:rsidRPr="001C134F" w:rsidRDefault="001C134F" w:rsidP="001C134F">
      <w:pPr>
        <w:spacing w:after="160" w:line="259" w:lineRule="auto"/>
        <w:rPr>
          <w:rFonts w:ascii="Arial" w:eastAsia="Times New Roman" w:hAnsi="Arial" w:cs="Arial"/>
          <w:lang w:val="en-GB" w:eastAsia="en-GB"/>
        </w:rPr>
      </w:pPr>
      <w:r>
        <w:rPr>
          <w:rFonts w:ascii="Arial" w:eastAsia="Times New Roman" w:hAnsi="Arial" w:cs="Arial"/>
          <w:b/>
          <w:bCs/>
          <w:lang w:val="en-GB" w:eastAsia="en-GB"/>
        </w:rPr>
        <w:t xml:space="preserve">Student No: </w:t>
      </w:r>
      <w:r>
        <w:rPr>
          <w:rFonts w:ascii="Arial" w:eastAsia="Times New Roman" w:hAnsi="Arial" w:cs="Arial"/>
          <w:lang w:val="en-GB" w:eastAsia="en-GB"/>
        </w:rPr>
        <w:t>2024038</w:t>
      </w:r>
    </w:p>
    <w:p w14:paraId="46FB9DEA" w14:textId="77777777" w:rsidR="001C134F" w:rsidRDefault="001C134F" w:rsidP="001C134F">
      <w:pPr>
        <w:spacing w:after="160" w:line="259" w:lineRule="auto"/>
        <w:rPr>
          <w:rFonts w:ascii="Arial" w:eastAsia="Times New Roman" w:hAnsi="Arial" w:cs="Arial"/>
          <w:b/>
          <w:bCs/>
          <w:lang w:val="en-GB" w:eastAsia="en-GB"/>
        </w:rPr>
      </w:pPr>
    </w:p>
    <w:p w14:paraId="3A60F6A6" w14:textId="77777777" w:rsidR="001C134F" w:rsidRDefault="001C134F" w:rsidP="001C134F">
      <w:pPr>
        <w:spacing w:after="160" w:line="259" w:lineRule="auto"/>
        <w:rPr>
          <w:rFonts w:ascii="Arial" w:eastAsia="Times New Roman" w:hAnsi="Arial" w:cs="Arial"/>
          <w:b/>
          <w:bCs/>
          <w:lang w:val="en-GB" w:eastAsia="en-GB"/>
        </w:rPr>
      </w:pPr>
    </w:p>
    <w:p w14:paraId="3E20EF12" w14:textId="3DE5F7D2" w:rsidR="001C134F" w:rsidRPr="001C134F" w:rsidRDefault="001C134F" w:rsidP="001C134F">
      <w:pPr>
        <w:spacing w:after="160" w:line="259" w:lineRule="auto"/>
        <w:rPr>
          <w:rFonts w:ascii="Arial" w:eastAsia="Times New Roman" w:hAnsi="Arial" w:cs="Arial"/>
          <w:lang w:val="en-GB" w:eastAsia="en-GB"/>
        </w:rPr>
      </w:pPr>
      <w:r w:rsidRPr="001C134F">
        <w:rPr>
          <w:rFonts w:ascii="Arial" w:eastAsia="Times New Roman" w:hAnsi="Arial" w:cs="Arial"/>
          <w:b/>
          <w:bCs/>
          <w:lang w:val="en-GB" w:eastAsia="en-GB"/>
        </w:rPr>
        <w:t>Essay one title:</w:t>
      </w:r>
    </w:p>
    <w:p w14:paraId="10804C80" w14:textId="77777777" w:rsidR="001C134F" w:rsidRPr="001C134F" w:rsidRDefault="001C134F" w:rsidP="001C134F">
      <w:pPr>
        <w:spacing w:after="160" w:line="259" w:lineRule="auto"/>
        <w:rPr>
          <w:rFonts w:ascii="Arial" w:eastAsia="Times New Roman" w:hAnsi="Arial" w:cs="Arial"/>
          <w:lang w:val="en-GB" w:eastAsia="en-GB"/>
        </w:rPr>
      </w:pPr>
      <w:r w:rsidRPr="001C134F">
        <w:rPr>
          <w:rFonts w:ascii="Arial" w:eastAsia="Times New Roman" w:hAnsi="Arial" w:cs="Arial"/>
          <w:lang w:val="en-GB" w:eastAsia="en-GB"/>
        </w:rPr>
        <w:t>Analyse the role of independent bodies (i.e., IOPC/HMICFRS) in holding the police accountable to those they serve. (1000 words)</w:t>
      </w:r>
    </w:p>
    <w:p w14:paraId="25037E81"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Policing organisations, governmental and local authorities are trusted by the public to provide equal, fair, reliable and honest services. The very existence of organisations such as these depends on public perception, trust and accountability for their actions that can be scrutinised via external, non-compromised investigative bodies.</w:t>
      </w:r>
    </w:p>
    <w:p w14:paraId="1218D097"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There have been a multitude of police, governmental and other public service failings in the past which show that although lessons have been learned, standards need to be kept to a high degree. </w:t>
      </w:r>
    </w:p>
    <w:p w14:paraId="5D06ED65"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For example, The IOPC (Independent Office for Police Conduct) examines all areas of policing and are not just a reactive means to an end for one off complaint’s which can be made by the public, as they request statistics from the police and also gain statistics through their own investigative method’s. </w:t>
      </w:r>
    </w:p>
    <w:p w14:paraId="6DCE32E6"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The IOPC investigations can range from death’s in police custody, corruption, domestic abuse, stalking and harassment, discrimination etc. </w:t>
      </w:r>
    </w:p>
    <w:p w14:paraId="1A83A163"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Powers of investigation were bolstered for the IOPC after their re-branding in 2018 from the IPCC and they were given stronger powers through the “Policing and Crime Act 2017”. One of these powers is explained by the IOPC as, “</w:t>
      </w:r>
      <w:r w:rsidRPr="001C134F">
        <w:rPr>
          <w:rFonts w:ascii="Arial" w:eastAsia="Calibri" w:hAnsi="Arial" w:cs="Arial"/>
          <w:color w:val="4A4A4A"/>
          <w:shd w:val="clear" w:color="auto" w:fill="FAFAFA"/>
          <w:lang w:val="en-GB"/>
        </w:rPr>
        <w:t>giving the IOPC the final decision, without the need to direct forces to undertake </w:t>
      </w:r>
      <w:r w:rsidRPr="001C134F">
        <w:rPr>
          <w:rFonts w:ascii="Arial" w:eastAsia="Calibri" w:hAnsi="Arial" w:cs="Arial"/>
          <w:color w:val="4A4A4A"/>
          <w:bdr w:val="none" w:sz="0" w:space="0" w:color="auto" w:frame="1"/>
          <w:shd w:val="clear" w:color="auto" w:fill="FAFAFA"/>
          <w:lang w:val="en-GB"/>
        </w:rPr>
        <w:t>misconduct</w:t>
      </w:r>
      <w:r w:rsidRPr="001C134F">
        <w:rPr>
          <w:rFonts w:ascii="Arial" w:eastAsia="Calibri" w:hAnsi="Arial" w:cs="Arial"/>
          <w:color w:val="4A4A4A"/>
          <w:shd w:val="clear" w:color="auto" w:fill="FAFAFA"/>
          <w:lang w:val="en-GB"/>
        </w:rPr>
        <w:t> hearings” (IOPC, 2020).</w:t>
      </w:r>
      <w:r w:rsidRPr="001C134F">
        <w:rPr>
          <w:rFonts w:ascii="Arial" w:eastAsia="Times New Roman" w:hAnsi="Arial" w:cs="Arial"/>
          <w:lang w:val="en-GB" w:eastAsia="en-GB"/>
        </w:rPr>
        <w:t xml:space="preserve"> This ensures there is no “sweeping under the carpet” of any organisational misconduct or an internal investigation that could be hindered by in-organisational ignorance, these failings must be recorded and dealt with in an open and transparent manner. </w:t>
      </w:r>
    </w:p>
    <w:p w14:paraId="46D301F2"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The question of who polices the police is one that has been made by citizens across the world in all cultures. Incident’s as tragic as they are, such as the death of George Floyd as a result of police brutality in the U.S., to event’s closer to home involving The Lynette White murder in the Cardiff dock’s area, have paved the way for investigations from external bodies such as the IOPC to better the service to the public and hold accountable the police to their actions. </w:t>
      </w:r>
    </w:p>
    <w:p w14:paraId="27FE767C"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Richard </w:t>
      </w:r>
      <w:proofErr w:type="spellStart"/>
      <w:r w:rsidRPr="001C134F">
        <w:rPr>
          <w:rFonts w:ascii="Arial" w:eastAsia="Times New Roman" w:hAnsi="Arial" w:cs="Arial"/>
          <w:lang w:val="en-GB" w:eastAsia="en-GB"/>
        </w:rPr>
        <w:t>Horwell</w:t>
      </w:r>
      <w:proofErr w:type="spellEnd"/>
      <w:r w:rsidRPr="001C134F">
        <w:rPr>
          <w:rFonts w:ascii="Arial" w:eastAsia="Times New Roman" w:hAnsi="Arial" w:cs="Arial"/>
          <w:lang w:val="en-GB" w:eastAsia="en-GB"/>
        </w:rPr>
        <w:t xml:space="preserve"> QC independently investigated the trial of R v </w:t>
      </w:r>
      <w:proofErr w:type="spellStart"/>
      <w:r w:rsidRPr="001C134F">
        <w:rPr>
          <w:rFonts w:ascii="Arial" w:eastAsia="Times New Roman" w:hAnsi="Arial" w:cs="Arial"/>
          <w:lang w:val="en-GB" w:eastAsia="en-GB"/>
        </w:rPr>
        <w:t>Moucher</w:t>
      </w:r>
      <w:proofErr w:type="spellEnd"/>
      <w:r w:rsidRPr="001C134F">
        <w:rPr>
          <w:rFonts w:ascii="Arial" w:eastAsia="Times New Roman" w:hAnsi="Arial" w:cs="Arial"/>
          <w:lang w:val="en-GB" w:eastAsia="en-GB"/>
        </w:rPr>
        <w:t xml:space="preserve"> that succeeded the wrongful convictions of the three men convicted for the murder of Lynette White. This case eventually collapsed leading to 13 police officers being exonerated for misconduct. </w:t>
      </w:r>
      <w:proofErr w:type="spellStart"/>
      <w:r w:rsidRPr="001C134F">
        <w:rPr>
          <w:rFonts w:ascii="Arial" w:eastAsia="Times New Roman" w:hAnsi="Arial" w:cs="Arial"/>
          <w:lang w:val="en-GB" w:eastAsia="en-GB"/>
        </w:rPr>
        <w:t>Horwell</w:t>
      </w:r>
      <w:proofErr w:type="spellEnd"/>
      <w:r w:rsidRPr="001C134F">
        <w:rPr>
          <w:rFonts w:ascii="Arial" w:eastAsia="Times New Roman" w:hAnsi="Arial" w:cs="Arial"/>
          <w:lang w:val="en-GB" w:eastAsia="en-GB"/>
        </w:rPr>
        <w:t xml:space="preserve"> a leading expert in criminal law made seventeen recommendations to the police and Crown Prosecution Service (CPS) after his report highlighted errors by the CPS during the trial, errors such as destroying documentation, </w:t>
      </w:r>
    </w:p>
    <w:p w14:paraId="68143728" w14:textId="77777777" w:rsidR="001C134F" w:rsidRPr="001C134F" w:rsidRDefault="001C134F" w:rsidP="001C134F">
      <w:pPr>
        <w:overflowPunct w:val="0"/>
        <w:autoSpaceDE w:val="0"/>
        <w:autoSpaceDN w:val="0"/>
        <w:adjustRightInd w:val="0"/>
        <w:spacing w:before="240"/>
        <w:ind w:left="720"/>
        <w:textAlignment w:val="baseline"/>
        <w:rPr>
          <w:rFonts w:ascii="Arial" w:eastAsia="Times New Roman" w:hAnsi="Arial" w:cs="Arial"/>
          <w:lang w:val="en-GB" w:eastAsia="en-GB"/>
        </w:rPr>
      </w:pPr>
      <w:r w:rsidRPr="001C134F">
        <w:rPr>
          <w:rFonts w:ascii="Arial" w:eastAsia="Times New Roman" w:hAnsi="Arial" w:cs="Arial"/>
          <w:lang w:val="en-GB" w:eastAsia="en-GB"/>
        </w:rPr>
        <w:lastRenderedPageBreak/>
        <w:t>“The investigation has revealed that the prosecution team was responsible for numerous serious failures including the shredding of an important document. This resulted in the police officer defendants walking free and not even having to defend their actions in court” (Gold Jennings Solicitors, 2017).</w:t>
      </w:r>
    </w:p>
    <w:p w14:paraId="6A94D7A4"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Public knowledge of these wrong doings and subsequent report from </w:t>
      </w:r>
      <w:proofErr w:type="spellStart"/>
      <w:r w:rsidRPr="001C134F">
        <w:rPr>
          <w:rFonts w:ascii="Arial" w:eastAsia="Times New Roman" w:hAnsi="Arial" w:cs="Arial"/>
          <w:lang w:val="en-GB" w:eastAsia="en-GB"/>
        </w:rPr>
        <w:t>Horwell</w:t>
      </w:r>
      <w:proofErr w:type="spellEnd"/>
      <w:r w:rsidRPr="001C134F">
        <w:rPr>
          <w:rFonts w:ascii="Arial" w:eastAsia="Times New Roman" w:hAnsi="Arial" w:cs="Arial"/>
          <w:lang w:val="en-GB" w:eastAsia="en-GB"/>
        </w:rPr>
        <w:t xml:space="preserve"> has put necessary pressure on the police and CPS to review their practices of disclosure and process and in turn give independent bodies like the IOPC a platform and standard in which to examine and hold the police and CPS accountable for malpractice. </w:t>
      </w:r>
    </w:p>
    <w:p w14:paraId="6B218DCF"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Leveson’s Enquiry 2011/12 exposed a plethora of behaviours of misconduct from high ranking officer’s in the Metropolitan Police, involving inappropriate relationships with these high-ranking officers and newspaper platforms. More importantly the role these newspaper platforms had in hacking certain individuals phone calls and other private information. </w:t>
      </w:r>
    </w:p>
    <w:p w14:paraId="014A393C"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Two Senior Police Officers were paraded before a committee to give their account of the investigation of the inquiry and their involvement in it, the general consensus of the public and peers was not a positive one, and subsequent findings of police involvement and wrongdoing were quite rightfully open for the public to see. </w:t>
      </w:r>
    </w:p>
    <w:p w14:paraId="1782702A"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These actions involved expensive dining with publishers and owners of newspapers which damaged the image of the police as an independent investigatory organisation and the credibility of how information was ascertained by the police, or in turn if the police were investigating the actions of the press with integrity at all. Public trust was shattered, but this led to tighter regulatory powers being implemented by the Press Complaints Commission. </w:t>
      </w:r>
    </w:p>
    <w:p w14:paraId="0215CC09"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Again, it is not always the actions of officers that is scrutinised but the image or perception that they portray, the public feel it more important not what is said or done by the police but how it makes them feel in a lasting sense. </w:t>
      </w:r>
    </w:p>
    <w:p w14:paraId="19412CE8" w14:textId="77777777" w:rsidR="001C134F" w:rsidRPr="001C134F" w:rsidRDefault="001C134F" w:rsidP="001C134F">
      <w:pPr>
        <w:overflowPunct w:val="0"/>
        <w:autoSpaceDE w:val="0"/>
        <w:autoSpaceDN w:val="0"/>
        <w:adjustRightInd w:val="0"/>
        <w:spacing w:before="240"/>
        <w:ind w:left="72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“When people view the police as appropriate, proper and just—i.e. they acknowledge that the institution has a valid claim to power—they feel a corresponding obligation to obey officers”, (Tyler 2006).  </w:t>
      </w:r>
    </w:p>
    <w:p w14:paraId="746481E1"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Tyler’s quote echo’s the need of independent organisations such as the HMICFRS (Her Majesty’s Inspectorate of Constabulary and Fire &amp; Rescue Services), it is an independent body that publishes its findings to the public so that they can see for themselves with absolute transparency how their local force compares to others, and in what area’s they may need to improve on. </w:t>
      </w:r>
    </w:p>
    <w:p w14:paraId="4ED799C6"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The fact this organisation was formed 160 years ago is proof that the post </w:t>
      </w:r>
      <w:proofErr w:type="spellStart"/>
      <w:r w:rsidRPr="001C134F">
        <w:rPr>
          <w:rFonts w:ascii="Arial" w:eastAsia="Times New Roman" w:hAnsi="Arial" w:cs="Arial"/>
          <w:lang w:val="en-GB" w:eastAsia="en-GB"/>
        </w:rPr>
        <w:t>Peelian</w:t>
      </w:r>
      <w:proofErr w:type="spellEnd"/>
      <w:r w:rsidRPr="001C134F">
        <w:rPr>
          <w:rFonts w:ascii="Arial" w:eastAsia="Times New Roman" w:hAnsi="Arial" w:cs="Arial"/>
          <w:lang w:val="en-GB" w:eastAsia="en-GB"/>
        </w:rPr>
        <w:t xml:space="preserve"> days of policing, although with its own code of conduct, needed governance from an outside source independently to allow the police to hold validity in the public sphere.  </w:t>
      </w:r>
    </w:p>
    <w:p w14:paraId="40331AEB"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Self-entitlement has been the source of many issues of police corruption from in-house lobbying, sexual misconduct, expenses scandals and criminal activity.  The college of Policing has reported these finding’s in an explorative study;</w:t>
      </w:r>
    </w:p>
    <w:p w14:paraId="039C88FC" w14:textId="77777777" w:rsidR="001C134F" w:rsidRPr="001C134F" w:rsidRDefault="001C134F" w:rsidP="001C134F">
      <w:pPr>
        <w:overflowPunct w:val="0"/>
        <w:autoSpaceDE w:val="0"/>
        <w:autoSpaceDN w:val="0"/>
        <w:adjustRightInd w:val="0"/>
        <w:spacing w:before="240"/>
        <w:ind w:left="72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“Policing depends for its effectiveness on public confidence, consent and cooperation, and when cases of misconduct involving chief officers come to public attention it is </w:t>
      </w:r>
      <w:r w:rsidRPr="001C134F">
        <w:rPr>
          <w:rFonts w:ascii="Arial" w:eastAsia="Times New Roman" w:hAnsi="Arial" w:cs="Arial"/>
          <w:lang w:val="en-GB" w:eastAsia="en-GB"/>
        </w:rPr>
        <w:lastRenderedPageBreak/>
        <w:t>perhaps inevitable that these heighten public concerns about the integrity of the police”, (G. Hales, 2015).</w:t>
      </w:r>
    </w:p>
    <w:p w14:paraId="273FD655" w14:textId="77777777" w:rsidR="001C134F" w:rsidRPr="001C134F" w:rsidRDefault="001C134F" w:rsidP="001C134F">
      <w:pPr>
        <w:overflowPunct w:val="0"/>
        <w:autoSpaceDE w:val="0"/>
        <w:autoSpaceDN w:val="0"/>
        <w:adjustRightInd w:val="0"/>
        <w:spacing w:before="240"/>
        <w:textAlignment w:val="baseline"/>
        <w:rPr>
          <w:rFonts w:ascii="Arial" w:eastAsia="Times New Roman" w:hAnsi="Arial" w:cs="Arial"/>
          <w:lang w:val="en-GB" w:eastAsia="en-GB"/>
        </w:rPr>
      </w:pPr>
      <w:r w:rsidRPr="001C134F">
        <w:rPr>
          <w:rFonts w:ascii="Arial" w:eastAsia="Times New Roman" w:hAnsi="Arial" w:cs="Arial"/>
          <w:lang w:val="en-GB" w:eastAsia="en-GB"/>
        </w:rPr>
        <w:t xml:space="preserve">It is important that young police officers are aware of the past mistakes made by Senior and officers at Constable level, reports published by G. Hales for the College of policing like this recognise signs of misconduct and if it wasn’t for Independent bodies such as the IOPC etc. Then there would be no lessons learnt for the police and way for the police to evolve to serve the public effectively with honesty and integrity. </w:t>
      </w:r>
    </w:p>
    <w:p w14:paraId="223AFFA6" w14:textId="483E7C36" w:rsidR="00A9204E" w:rsidRDefault="00A9204E"/>
    <w:p w14:paraId="203001A8" w14:textId="6CBC3BEE" w:rsidR="00800376" w:rsidRDefault="00800376"/>
    <w:p w14:paraId="0C54189E" w14:textId="11412251" w:rsidR="00800376" w:rsidRDefault="00800376"/>
    <w:p w14:paraId="0ACE4AC1" w14:textId="271692F9" w:rsidR="00800376" w:rsidRDefault="00800376"/>
    <w:p w14:paraId="4F4317EE"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b/>
          <w:bCs/>
          <w:lang w:val="en-GB" w:eastAsia="en-GB"/>
        </w:rPr>
        <w:t>Essay two title:</w:t>
      </w:r>
      <w:r w:rsidRPr="00800376">
        <w:rPr>
          <w:rFonts w:ascii="Arial" w:eastAsia="Times New Roman" w:hAnsi="Arial" w:cs="Arial"/>
          <w:lang w:val="en-GB" w:eastAsia="en-GB"/>
        </w:rPr>
        <w:t xml:space="preserve"> </w:t>
      </w:r>
    </w:p>
    <w:p w14:paraId="5BF9F2A1"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Examine the ethical dimension of ‘real time’ operational decisions. (1000 words)</w:t>
      </w:r>
    </w:p>
    <w:p w14:paraId="1EDDFD48"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Ethical choices are the centre of everything we do as police officer’s, not only does it reside at the heart of our decision-making model, but it is a fundamental requirement of what is needed for a person to consider themselves suitable for the position of Constable.</w:t>
      </w:r>
    </w:p>
    <w:p w14:paraId="454A711F"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This is why in operational policing from the position of a probationer Constable to the role of Chief Constable, the National Decision Model (NDM) is a measuring stick, guide and template to which the most Senior and young in service can be guided and abide by, revolving around the code of ethics in policing and focusing on Intelligence, risk/safety and working strategy, powers/policy, options/contingencies and taking action to then review.  </w:t>
      </w:r>
    </w:p>
    <w:p w14:paraId="53E2946B"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I have accused the NDM in the past of taking away ethics or emotion as it is it is effectively a list to follow that is perfect for people who have no attachment to an incident, however, this is flawed as human emotion will inevitably take some standing in decision making, neuroscientist Antonio </w:t>
      </w:r>
      <w:proofErr w:type="spellStart"/>
      <w:r w:rsidRPr="00800376">
        <w:rPr>
          <w:rFonts w:ascii="Arial" w:eastAsia="Times New Roman" w:hAnsi="Arial" w:cs="Arial"/>
          <w:lang w:val="en-GB" w:eastAsia="en-GB"/>
        </w:rPr>
        <w:t>Domasio</w:t>
      </w:r>
      <w:proofErr w:type="spellEnd"/>
      <w:r w:rsidRPr="00800376">
        <w:rPr>
          <w:rFonts w:ascii="Arial" w:eastAsia="Times New Roman" w:hAnsi="Arial" w:cs="Arial"/>
          <w:lang w:val="en-GB" w:eastAsia="en-GB"/>
        </w:rPr>
        <w:t xml:space="preserve"> discovered this whilst studying patients that had damaged the part of their brain controlling emotion, </w:t>
      </w:r>
    </w:p>
    <w:p w14:paraId="3664A4C3" w14:textId="15A4ECE6" w:rsidR="00800376" w:rsidRPr="00800376" w:rsidRDefault="00800376" w:rsidP="00800376">
      <w:pPr>
        <w:overflowPunct w:val="0"/>
        <w:autoSpaceDE w:val="0"/>
        <w:autoSpaceDN w:val="0"/>
        <w:adjustRightInd w:val="0"/>
        <w:spacing w:before="240"/>
        <w:ind w:left="72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“Consider neuroscientist Antonio Damasio’s famous patient “Elliot,” a businessman who lost part of his brain’s frontal lobe while having surgery to remove a </w:t>
      </w:r>
      <w:r w:rsidR="006A269D" w:rsidRPr="00800376">
        <w:rPr>
          <w:rFonts w:ascii="Arial" w:eastAsia="Times New Roman" w:hAnsi="Arial" w:cs="Arial"/>
          <w:lang w:val="en-GB" w:eastAsia="en-GB"/>
        </w:rPr>
        <w:t>tumour</w:t>
      </w:r>
      <w:r w:rsidRPr="00800376">
        <w:rPr>
          <w:rFonts w:ascii="Arial" w:eastAsia="Times New Roman" w:hAnsi="Arial" w:cs="Arial"/>
          <w:lang w:val="en-GB" w:eastAsia="en-GB"/>
        </w:rPr>
        <w:t>. After the surgery Elliot still had a very high IQ, but he was incapable of making decisions and was totally disengaged with the world”, (A.</w:t>
      </w:r>
      <w:r w:rsidR="006A269D">
        <w:rPr>
          <w:rFonts w:ascii="Arial" w:eastAsia="Times New Roman" w:hAnsi="Arial" w:cs="Arial"/>
          <w:lang w:val="en-GB" w:eastAsia="en-GB"/>
        </w:rPr>
        <w:t xml:space="preserve"> </w:t>
      </w:r>
      <w:proofErr w:type="spellStart"/>
      <w:r w:rsidRPr="00800376">
        <w:rPr>
          <w:rFonts w:ascii="Arial" w:eastAsia="Times New Roman" w:hAnsi="Arial" w:cs="Arial"/>
          <w:lang w:val="en-GB" w:eastAsia="en-GB"/>
        </w:rPr>
        <w:t>Domasio</w:t>
      </w:r>
      <w:proofErr w:type="spellEnd"/>
      <w:r w:rsidRPr="00800376">
        <w:rPr>
          <w:rFonts w:ascii="Arial" w:eastAsia="Times New Roman" w:hAnsi="Arial" w:cs="Arial"/>
          <w:lang w:val="en-GB" w:eastAsia="en-GB"/>
        </w:rPr>
        <w:t xml:space="preserve"> 1994 as cited by Virginia Hughes 2014).</w:t>
      </w:r>
    </w:p>
    <w:p w14:paraId="4E11A927"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and although we may follow the NDM step by step, individually we may come to differing conclusions as a result of these emotions. This is mainly down to time constraints. </w:t>
      </w:r>
    </w:p>
    <w:p w14:paraId="16930E9E"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However, even though there are frameworks to assist in decision-making it is human nature to implement a certain level of a person’s own thinking of a situation. This can be broken down into three ways, rational, Intuition and cognitive bias. Cognitive Bias affects us all and is when a person has a pre-judged idea in their mind what an outcome is going to be or, in a police officer’s mind, maybe how an offender/victim/witness is involved or may react.</w:t>
      </w:r>
    </w:p>
    <w:p w14:paraId="22A487E3"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Cognitive Bias is human nature to that effect and is inescapable regardless of any NDM or other frameworks as Charlotte Ruhl explains, “A cognitive bias is a subconscious error in thinking that leads you to misinterpret information from the world around you”, (Charlotte Ruhl 2021). This </w:t>
      </w:r>
      <w:r w:rsidRPr="00800376">
        <w:rPr>
          <w:rFonts w:ascii="Arial" w:eastAsia="Times New Roman" w:hAnsi="Arial" w:cs="Arial"/>
          <w:lang w:val="en-GB" w:eastAsia="en-GB"/>
        </w:rPr>
        <w:lastRenderedPageBreak/>
        <w:t xml:space="preserve">thinking can be problematic in operational decision’s as it has a certain “Halo Effect”, meaning one person has a targeted decision in their mind whilst not considering the thoughts of others. </w:t>
      </w:r>
    </w:p>
    <w:p w14:paraId="1CFDC3B1"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Real time operational decisions need to be made quickly and Intuition gained from experience and acquired knowledge over a period of a person’s career can be invaluable. The need for this in policing/emergency services is paramount, however, having said that this type of decision making can also be similar but not identical to cognitive bias as you may be thinking with a pre-disposed idea of how an incident should be handled due to past experiences, whereas cognitive you may be looking for confirmation that your opinion is correct.</w:t>
      </w:r>
    </w:p>
    <w:p w14:paraId="4E4927EE"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Intuition can be described as a person’s “sixth sense” or in a police officer’s officers’ terms as time and experience will tell them that something isn’t quite right and needs investigating further e.g. suspicious behaviour on a dark street corner, “Our findings show that intuition’s role in first-response occurs in two differing but complementary ways: “recognition-based intuition” and “intuition-based inquiry”, (C. Akinci &amp; E. Sadler-Smith 2019). </w:t>
      </w:r>
    </w:p>
    <w:p w14:paraId="678DAC00"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This type of operational decision making can have positive results in a stop and search situation but in turn be negative for public relations if it turns out that your intuitive or “gut” instinct is wrong.</w:t>
      </w:r>
    </w:p>
    <w:p w14:paraId="410C7456"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Now with logic at the forefront of decision making it may seem like the best option as you would be gathering all the information and intelligence, covering all options and considering every eventuality. This in an ideal world where time is not of the essence is achievable, unfortunately not so for ‘real time’ policing which paired with frameworks such as the NDM rely on an officer’s other skills like Intuition and in severe cases of time constraint and a lack of input from others a cognitive bias, </w:t>
      </w:r>
    </w:p>
    <w:p w14:paraId="15D7D625" w14:textId="77777777" w:rsidR="00800376" w:rsidRPr="00800376" w:rsidRDefault="00800376" w:rsidP="00800376">
      <w:pPr>
        <w:overflowPunct w:val="0"/>
        <w:autoSpaceDE w:val="0"/>
        <w:autoSpaceDN w:val="0"/>
        <w:adjustRightInd w:val="0"/>
        <w:spacing w:before="240"/>
        <w:ind w:left="720"/>
        <w:textAlignment w:val="baseline"/>
        <w:rPr>
          <w:rFonts w:ascii="Arial" w:eastAsia="Times New Roman" w:hAnsi="Arial" w:cs="Arial"/>
          <w:lang w:val="en-GB" w:eastAsia="en-GB"/>
        </w:rPr>
      </w:pPr>
      <w:r w:rsidRPr="00800376">
        <w:rPr>
          <w:rFonts w:ascii="Arial" w:eastAsia="Times New Roman" w:hAnsi="Arial" w:cs="Arial"/>
          <w:lang w:val="en-GB" w:eastAsia="en-GB"/>
        </w:rPr>
        <w:t>“when compared to a critical incident (e.g., a terrorist attack), in which less time can be allocated for law enforcement to gather all of the details before taking action. In these different types of situations, the amount of time available impacts whether risk assessments can effectively be made using an analytical versus intuitive approach”, (</w:t>
      </w:r>
      <w:bookmarkStart w:id="0" w:name="_Hlk95222668"/>
      <w:r w:rsidRPr="00800376">
        <w:rPr>
          <w:rFonts w:ascii="Arial" w:eastAsia="Times New Roman" w:hAnsi="Arial" w:cs="Arial"/>
          <w:lang w:val="en-GB" w:eastAsia="en-GB"/>
        </w:rPr>
        <w:t xml:space="preserve">N. Shortland, L. Thompson &amp; L. Alison </w:t>
      </w:r>
      <w:bookmarkEnd w:id="0"/>
      <w:r w:rsidRPr="00800376">
        <w:rPr>
          <w:rFonts w:ascii="Arial" w:eastAsia="Times New Roman" w:hAnsi="Arial" w:cs="Arial"/>
          <w:lang w:val="en-GB" w:eastAsia="en-GB"/>
        </w:rPr>
        <w:t xml:space="preserve">2020). </w:t>
      </w:r>
    </w:p>
    <w:p w14:paraId="143F072F"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Decisions need to be made professionally and quickly in real time environments.</w:t>
      </w:r>
    </w:p>
    <w:p w14:paraId="51036353"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Real time decisions majority of the time although not exclusively present an element of risk, none are bigger than the decision to take a life whilst carrying out your duties, especially when there is a terrorist threat. This was the case when armed response officers fatally shot Jean Charles De Menezes in London after mistaken identity.</w:t>
      </w:r>
    </w:p>
    <w:p w14:paraId="0A064B69" w14:textId="0B56137A"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A strange paradigm is drawn in this occasion as armed police officers have effectively got to act on the decisions of a higher command, this is a strategic platform of decision making, one that ultimately a higher-ranking official makes from gathering intelligence then you must act on that order. One can’t help but feel that the lines are skewed somewhat as the decision maker is not the person making the final decision or pulling the trigger. Prof. William Starbuck explained, “Decision’ implies the end of deliberation and the beginning of action”, (W. H Starbuck 1989, as cited by Leigh Buchanan and Andrew O’Connell 2006).</w:t>
      </w:r>
    </w:p>
    <w:p w14:paraId="2E87AFF8"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 xml:space="preserve">Although following this quote the decision maker is not physically the person </w:t>
      </w:r>
      <w:proofErr w:type="gramStart"/>
      <w:r w:rsidRPr="00800376">
        <w:rPr>
          <w:rFonts w:ascii="Arial" w:eastAsia="Times New Roman" w:hAnsi="Arial" w:cs="Arial"/>
          <w:lang w:val="en-GB" w:eastAsia="en-GB"/>
        </w:rPr>
        <w:t>taking action</w:t>
      </w:r>
      <w:proofErr w:type="gramEnd"/>
      <w:r w:rsidRPr="00800376">
        <w:rPr>
          <w:rFonts w:ascii="Arial" w:eastAsia="Times New Roman" w:hAnsi="Arial" w:cs="Arial"/>
          <w:lang w:val="en-GB" w:eastAsia="en-GB"/>
        </w:rPr>
        <w:t xml:space="preserve"> and the action taker (firearms officer) must act on a Gold Command’s decision with his own emotion, </w:t>
      </w:r>
      <w:r w:rsidRPr="00800376">
        <w:rPr>
          <w:rFonts w:ascii="Arial" w:eastAsia="Times New Roman" w:hAnsi="Arial" w:cs="Arial"/>
          <w:lang w:val="en-GB" w:eastAsia="en-GB"/>
        </w:rPr>
        <w:lastRenderedPageBreak/>
        <w:t>skill and judgment. The risk to the public tipped the scales of the fatal decision and De Menezes demise.</w:t>
      </w:r>
    </w:p>
    <w:p w14:paraId="2676991C"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r w:rsidRPr="00800376">
        <w:rPr>
          <w:rFonts w:ascii="Arial" w:eastAsia="Times New Roman" w:hAnsi="Arial" w:cs="Arial"/>
          <w:lang w:val="en-GB" w:eastAsia="en-GB"/>
        </w:rPr>
        <w:t>Decision in real time is all about risk, time and information.</w:t>
      </w:r>
    </w:p>
    <w:p w14:paraId="2EDC7CBF"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p>
    <w:p w14:paraId="5BAA805B"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p>
    <w:p w14:paraId="370AFC26" w14:textId="77777777" w:rsidR="00800376" w:rsidRPr="00800376" w:rsidRDefault="00800376" w:rsidP="00800376">
      <w:pPr>
        <w:overflowPunct w:val="0"/>
        <w:autoSpaceDE w:val="0"/>
        <w:autoSpaceDN w:val="0"/>
        <w:adjustRightInd w:val="0"/>
        <w:spacing w:before="240"/>
        <w:textAlignment w:val="baseline"/>
        <w:rPr>
          <w:rFonts w:ascii="Arial" w:eastAsia="Times New Roman" w:hAnsi="Arial" w:cs="Arial"/>
          <w:lang w:val="en-GB" w:eastAsia="en-GB"/>
        </w:rPr>
      </w:pPr>
    </w:p>
    <w:p w14:paraId="0FECF543" w14:textId="77777777" w:rsidR="0095560E" w:rsidRPr="0095560E" w:rsidRDefault="0095560E" w:rsidP="0095560E">
      <w:pPr>
        <w:spacing w:after="160" w:line="259" w:lineRule="auto"/>
        <w:rPr>
          <w:rFonts w:ascii="Arial" w:eastAsia="Times New Roman" w:hAnsi="Arial" w:cs="Arial"/>
          <w:b/>
          <w:bCs/>
          <w:lang w:val="en-GB" w:eastAsia="en-GB"/>
        </w:rPr>
      </w:pPr>
      <w:r w:rsidRPr="0095560E">
        <w:rPr>
          <w:rFonts w:ascii="Arial" w:eastAsia="Times New Roman" w:hAnsi="Arial" w:cs="Arial"/>
          <w:b/>
          <w:bCs/>
          <w:lang w:val="en-GB" w:eastAsia="en-GB"/>
        </w:rPr>
        <w:t xml:space="preserve">Essay three title: </w:t>
      </w:r>
    </w:p>
    <w:p w14:paraId="1089D838"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Assess the impact of organisational justice on police agency. (1000 words)</w:t>
      </w:r>
    </w:p>
    <w:p w14:paraId="13389DC2" w14:textId="77777777" w:rsidR="0095560E" w:rsidRPr="0095560E" w:rsidRDefault="0095560E" w:rsidP="0095560E">
      <w:pPr>
        <w:spacing w:after="160" w:line="259" w:lineRule="auto"/>
        <w:rPr>
          <w:rFonts w:ascii="Arial" w:eastAsia="Times New Roman" w:hAnsi="Arial" w:cs="Arial"/>
          <w:lang w:val="en-GB" w:eastAsia="en-GB"/>
        </w:rPr>
      </w:pPr>
    </w:p>
    <w:p w14:paraId="7E08E4E7"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The key to positive motivation in the police is through organisational justice. This is the idea that a workforce treated fairly and respectfully will operate positively and therefore give back to the community and organisation it serves in a constructive manner.</w:t>
      </w:r>
    </w:p>
    <w:p w14:paraId="3642726C"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The police as an organisation need to outline via procedure and policy how information is used and divided reasonably for the just cause of the organisation and public interest and not just in a hierarchal sense.</w:t>
      </w:r>
    </w:p>
    <w:p w14:paraId="2E2C607E"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Greenberg (1987) was the first to coin organisational justice not just in a policing sense but in general organisations. His idea was based around the fairness and equality in organisations to promote a balanced workforce that felt valued in how they were treated and in turn produced positive results for their respective organisations. </w:t>
      </w:r>
    </w:p>
    <w:p w14:paraId="777E91A5"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It is noted that the police historically is run in this fashion of rank and file, but as the public and the police become more intertwined and the police more accountable for its actions, it is important that officers are reassured that they will be using the information they receive for the good of serving the public. Also, that they are justified in-case there is any public backlash. </w:t>
      </w:r>
    </w:p>
    <w:p w14:paraId="4DA658E8"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There are four categories that can sum up ‘Organisational Justice’, these are; Procedural Justice, Interpersonal Justice, Distributive Justice and Informational Justice. </w:t>
      </w:r>
    </w:p>
    <w:p w14:paraId="01ADA0C4"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Bradford and Quinton (2014) researched that Procedural Justice can be enhanced using the tools that law and police policy have provided us with, for example; the National decision-making model, police code of conduct, custody procedure, Crown Prosecution Service advice etc. gives officers a guideline and doesn’t blur the lines between officer discretion and professional procedure. This I believe, will give officers the confidence to carry out their duties, ‘Yet, it is important that this discretion is regulated by organisational rules, the law and wider ethical and social values’, (Bradford and Quinton 2014). </w:t>
      </w:r>
    </w:p>
    <w:p w14:paraId="7CFD2291"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Bringing me to my next piece of the quarter of organisational justice (Distributive Justice). The workforce or officers have to feel valued in what they do and feel that the police service is giving them a fair share in the return for their services to the public and the job, and there equality in what they do day to day in an officers respective role e.g. a police constable compared to a police inspector, or somebody with longer service. </w:t>
      </w:r>
    </w:p>
    <w:p w14:paraId="16240AB1"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lastRenderedPageBreak/>
        <w:t xml:space="preserve">This also refers to the public perception of how justice is carried out in a distributive factor whereby schemes are brought in by the police to aid the public or assist a police officer in their duties to justify the way they carry out their duties. This is examined by Thomas </w:t>
      </w:r>
      <w:proofErr w:type="spellStart"/>
      <w:r w:rsidRPr="0095560E">
        <w:rPr>
          <w:rFonts w:ascii="Arial" w:eastAsia="Times New Roman" w:hAnsi="Arial" w:cs="Arial"/>
          <w:lang w:val="en-GB" w:eastAsia="en-GB"/>
        </w:rPr>
        <w:t>Mrozla</w:t>
      </w:r>
      <w:proofErr w:type="spellEnd"/>
      <w:r w:rsidRPr="0095560E">
        <w:rPr>
          <w:rFonts w:ascii="Arial" w:eastAsia="Times New Roman" w:hAnsi="Arial" w:cs="Arial"/>
          <w:lang w:val="en-GB" w:eastAsia="en-GB"/>
        </w:rPr>
        <w:t xml:space="preserve"> (2021) and his study on body worn camera’s worn by the police service. </w:t>
      </w:r>
      <w:proofErr w:type="spellStart"/>
      <w:r w:rsidRPr="0095560E">
        <w:rPr>
          <w:rFonts w:ascii="Arial" w:eastAsia="Times New Roman" w:hAnsi="Arial" w:cs="Arial"/>
          <w:lang w:val="en-GB" w:eastAsia="en-GB"/>
        </w:rPr>
        <w:t>Mrozla</w:t>
      </w:r>
      <w:proofErr w:type="spellEnd"/>
      <w:r w:rsidRPr="0095560E">
        <w:rPr>
          <w:rFonts w:ascii="Arial" w:eastAsia="Times New Roman" w:hAnsi="Arial" w:cs="Arial"/>
          <w:lang w:val="en-GB" w:eastAsia="en-GB"/>
        </w:rPr>
        <w:t xml:space="preserve"> (2021) concluded that if the public felt there was distributive injustice such as towards a minority or in a certain area, then that section of public was more likely to support the idea of body worn cameras. ‘Those who perceived distributive injustice were more likely to agree that the police should adopt body-worn cameras’, (</w:t>
      </w:r>
      <w:proofErr w:type="spellStart"/>
      <w:r w:rsidRPr="0095560E">
        <w:rPr>
          <w:rFonts w:ascii="Arial" w:eastAsia="Times New Roman" w:hAnsi="Arial" w:cs="Arial"/>
          <w:lang w:val="en-GB" w:eastAsia="en-GB"/>
        </w:rPr>
        <w:t>Mrozla</w:t>
      </w:r>
      <w:proofErr w:type="spellEnd"/>
      <w:r w:rsidRPr="0095560E">
        <w:rPr>
          <w:rFonts w:ascii="Arial" w:eastAsia="Times New Roman" w:hAnsi="Arial" w:cs="Arial"/>
          <w:lang w:val="en-GB" w:eastAsia="en-GB"/>
        </w:rPr>
        <w:t xml:space="preserve"> 2021). </w:t>
      </w:r>
    </w:p>
    <w:p w14:paraId="7FBAF5FF" w14:textId="77777777" w:rsidR="0095560E" w:rsidRPr="0095560E" w:rsidRDefault="0095560E" w:rsidP="0095560E">
      <w:pPr>
        <w:spacing w:after="160" w:line="259" w:lineRule="auto"/>
        <w:rPr>
          <w:rFonts w:ascii="Arial" w:eastAsia="Times New Roman" w:hAnsi="Arial" w:cs="Arial"/>
          <w:lang w:val="en-GB" w:eastAsia="en-GB"/>
        </w:rPr>
      </w:pPr>
      <w:proofErr w:type="spellStart"/>
      <w:r w:rsidRPr="0095560E">
        <w:rPr>
          <w:rFonts w:ascii="Arial" w:eastAsia="Times New Roman" w:hAnsi="Arial" w:cs="Arial"/>
          <w:lang w:val="en-GB" w:eastAsia="en-GB"/>
        </w:rPr>
        <w:t>Mrozla’s</w:t>
      </w:r>
      <w:proofErr w:type="spellEnd"/>
      <w:r w:rsidRPr="0095560E">
        <w:rPr>
          <w:rFonts w:ascii="Arial" w:eastAsia="Times New Roman" w:hAnsi="Arial" w:cs="Arial"/>
          <w:lang w:val="en-GB" w:eastAsia="en-GB"/>
        </w:rPr>
        <w:t xml:space="preserve"> (2021) researched suggested that these perceived distributive injustices by the public against the police would favour body worn camera’s as this would in turn be used to better train police for any procedural failures or prove to the public that duties were carried out to the letter of the law in a just manner. This is an example of positive organisational justice on police agency.</w:t>
      </w:r>
    </w:p>
    <w:p w14:paraId="427C45B3" w14:textId="1F161B9C"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The Interpersonal justice segment of organisational justice can be characterised as a </w:t>
      </w:r>
      <w:r w:rsidR="006A269D" w:rsidRPr="0095560E">
        <w:rPr>
          <w:rFonts w:ascii="Arial" w:eastAsia="Times New Roman" w:hAnsi="Arial" w:cs="Arial"/>
          <w:lang w:val="en-GB" w:eastAsia="en-GB"/>
        </w:rPr>
        <w:t>person’s</w:t>
      </w:r>
      <w:r w:rsidRPr="0095560E">
        <w:rPr>
          <w:rFonts w:ascii="Arial" w:eastAsia="Times New Roman" w:hAnsi="Arial" w:cs="Arial"/>
          <w:lang w:val="en-GB" w:eastAsia="en-GB"/>
        </w:rPr>
        <w:t xml:space="preserve"> respect and trust for hierarchy or supervisors and that a police officer or any member of staff can see that although there is a ranking system, that their </w:t>
      </w:r>
      <w:r w:rsidR="006A269D" w:rsidRPr="0095560E">
        <w:rPr>
          <w:rFonts w:ascii="Arial" w:eastAsia="Times New Roman" w:hAnsi="Arial" w:cs="Arial"/>
          <w:lang w:val="en-GB" w:eastAsia="en-GB"/>
        </w:rPr>
        <w:t>ideas</w:t>
      </w:r>
      <w:r w:rsidRPr="0095560E">
        <w:rPr>
          <w:rFonts w:ascii="Arial" w:eastAsia="Times New Roman" w:hAnsi="Arial" w:cs="Arial"/>
          <w:lang w:val="en-GB" w:eastAsia="en-GB"/>
        </w:rPr>
        <w:t xml:space="preserve"> and thoughts will be considered in a one on one situation or a congregation of their peers. </w:t>
      </w:r>
    </w:p>
    <w:p w14:paraId="348ACCDA"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A study by </w:t>
      </w:r>
      <w:proofErr w:type="spellStart"/>
      <w:r w:rsidRPr="0095560E">
        <w:rPr>
          <w:rFonts w:ascii="Arial" w:eastAsia="Times New Roman" w:hAnsi="Arial" w:cs="Arial"/>
          <w:lang w:val="en-GB" w:eastAsia="en-GB"/>
        </w:rPr>
        <w:t>Cropanzano</w:t>
      </w:r>
      <w:proofErr w:type="spellEnd"/>
      <w:r w:rsidRPr="0095560E">
        <w:rPr>
          <w:rFonts w:ascii="Arial" w:eastAsia="Times New Roman" w:hAnsi="Arial" w:cs="Arial"/>
          <w:lang w:val="en-GB" w:eastAsia="en-GB"/>
        </w:rPr>
        <w:t xml:space="preserve"> and Ambrose (2001) suggest this very point of being recognised for what you’ve put into an organisation such as the police and reaping the reward of said recognition, will have a positive effect on an employee’s workload and their want to achieve a higher standard of work. This will also help keep numbers up in a workforce as employee’s are more likely to stay within an organisation and not leave out of frustration.</w:t>
      </w:r>
    </w:p>
    <w:p w14:paraId="4BE1A574"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I conclude that Organisational Justice is imperative to the police as an organisation in the fact that it keeps the trust within the workforce and there supervising officers, the trust between the public and the police as I have discussed with the study by </w:t>
      </w:r>
      <w:proofErr w:type="spellStart"/>
      <w:r w:rsidRPr="0095560E">
        <w:rPr>
          <w:rFonts w:ascii="Arial" w:eastAsia="Times New Roman" w:hAnsi="Arial" w:cs="Arial"/>
          <w:lang w:val="en-GB" w:eastAsia="en-GB"/>
        </w:rPr>
        <w:t>Mrozla</w:t>
      </w:r>
      <w:proofErr w:type="spellEnd"/>
      <w:r w:rsidRPr="0095560E">
        <w:rPr>
          <w:rFonts w:ascii="Arial" w:eastAsia="Times New Roman" w:hAnsi="Arial" w:cs="Arial"/>
          <w:lang w:val="en-GB" w:eastAsia="en-GB"/>
        </w:rPr>
        <w:t xml:space="preserve"> (2021) of the effectiveness of police officers wearing body worn cameras. It is fundamental for the workforce to believe it is valued especially for a police service, as officers routinely subject themselves to stressful environments and situations which require monitoring by supervisors. </w:t>
      </w:r>
    </w:p>
    <w:p w14:paraId="2A954050"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If an officers or group of officers feel underappreciated or mis-represented then the standard of work whether it be consciously or unconsciously will start to decline. On the other side of the coin a supervisor must recognise failures in officers and ask themselves if there is an underlying reason as to the reason of these failures, if it is home life, work overload, or mismanagement etc. </w:t>
      </w:r>
    </w:p>
    <w:p w14:paraId="3AD1097D" w14:textId="77777777" w:rsidR="0095560E" w:rsidRP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 xml:space="preserve">A report by Mary Elliott-Davies &amp; Dr Jonathan </w:t>
      </w:r>
      <w:proofErr w:type="spellStart"/>
      <w:r w:rsidRPr="0095560E">
        <w:rPr>
          <w:rFonts w:ascii="Arial" w:eastAsia="Times New Roman" w:hAnsi="Arial" w:cs="Arial"/>
          <w:lang w:val="en-GB" w:eastAsia="en-GB"/>
        </w:rPr>
        <w:t>Houdmont</w:t>
      </w:r>
      <w:proofErr w:type="spellEnd"/>
      <w:r w:rsidRPr="0095560E">
        <w:rPr>
          <w:rFonts w:ascii="Arial" w:eastAsia="Times New Roman" w:hAnsi="Arial" w:cs="Arial"/>
          <w:lang w:val="en-GB" w:eastAsia="en-GB"/>
        </w:rPr>
        <w:t xml:space="preserve"> (2017) for the Police Federation of England and Wales in 2016 found that a high percentage of police officers, (61 percent) favoured Interpersonal/Interactional justice more than any other and saw that a balanced work and life was imperative to morale. </w:t>
      </w:r>
    </w:p>
    <w:p w14:paraId="0065E4BE" w14:textId="3DD68B81" w:rsidR="0095560E" w:rsidRDefault="0095560E" w:rsidP="0095560E">
      <w:pPr>
        <w:spacing w:after="160" w:line="259" w:lineRule="auto"/>
        <w:rPr>
          <w:rFonts w:ascii="Arial" w:eastAsia="Times New Roman" w:hAnsi="Arial" w:cs="Arial"/>
          <w:lang w:val="en-GB" w:eastAsia="en-GB"/>
        </w:rPr>
      </w:pPr>
      <w:r w:rsidRPr="0095560E">
        <w:rPr>
          <w:rFonts w:ascii="Arial" w:eastAsia="Times New Roman" w:hAnsi="Arial" w:cs="Arial"/>
          <w:lang w:val="en-GB" w:eastAsia="en-GB"/>
        </w:rPr>
        <w:t>The study also found that this 61 percent margin was double that of the armed forces. I understand there are deeper elements to these findings such as socio-economic struggles and lack of funding within the emergency services but, this again is a job like no other, where incidents are magnified to an extent that organisational justice needs to benefit workforce and the public in order for justification of procedure, work relationships, hierarchal structure, fairness and equality. Organisational justice in policing is a necessary measure.</w:t>
      </w:r>
    </w:p>
    <w:p w14:paraId="6AB2B2CC" w14:textId="64821B44" w:rsidR="005A1194" w:rsidRDefault="005A1194" w:rsidP="0095560E">
      <w:pPr>
        <w:spacing w:after="160" w:line="259" w:lineRule="auto"/>
        <w:rPr>
          <w:rFonts w:ascii="Arial" w:eastAsia="Times New Roman" w:hAnsi="Arial" w:cs="Arial"/>
          <w:lang w:val="en-GB" w:eastAsia="en-GB"/>
        </w:rPr>
      </w:pPr>
    </w:p>
    <w:p w14:paraId="5BD8BA5B" w14:textId="77777777" w:rsidR="005A1194" w:rsidRPr="005A1194" w:rsidRDefault="005A1194" w:rsidP="005A1194">
      <w:pPr>
        <w:overflowPunct w:val="0"/>
        <w:autoSpaceDE w:val="0"/>
        <w:autoSpaceDN w:val="0"/>
        <w:adjustRightInd w:val="0"/>
        <w:spacing w:before="240"/>
        <w:textAlignment w:val="baseline"/>
        <w:rPr>
          <w:rFonts w:ascii="Arial" w:eastAsia="Times New Roman" w:hAnsi="Arial" w:cs="Arial"/>
          <w:lang w:val="en-GB" w:eastAsia="en-GB"/>
        </w:rPr>
      </w:pPr>
      <w:r w:rsidRPr="005A1194">
        <w:rPr>
          <w:rFonts w:ascii="Arial" w:eastAsia="Times New Roman" w:hAnsi="Arial" w:cs="Arial"/>
          <w:b/>
          <w:bCs/>
          <w:lang w:val="en-GB" w:eastAsia="en-GB"/>
        </w:rPr>
        <w:t>Essay four title:</w:t>
      </w:r>
      <w:r w:rsidRPr="005A1194">
        <w:rPr>
          <w:rFonts w:ascii="Arial" w:eastAsia="Times New Roman" w:hAnsi="Arial" w:cs="Arial"/>
          <w:lang w:val="en-GB" w:eastAsia="en-GB"/>
        </w:rPr>
        <w:t xml:space="preserve"> </w:t>
      </w:r>
    </w:p>
    <w:p w14:paraId="24722933" w14:textId="77777777" w:rsidR="005A1194" w:rsidRPr="005A1194" w:rsidRDefault="005A1194" w:rsidP="005A1194">
      <w:pPr>
        <w:overflowPunct w:val="0"/>
        <w:autoSpaceDE w:val="0"/>
        <w:autoSpaceDN w:val="0"/>
        <w:adjustRightInd w:val="0"/>
        <w:spacing w:before="240"/>
        <w:textAlignment w:val="baseline"/>
        <w:rPr>
          <w:rFonts w:ascii="Arial" w:eastAsia="Times New Roman" w:hAnsi="Arial" w:cs="Arial"/>
          <w:i/>
          <w:iCs/>
          <w:lang w:val="en-GB" w:eastAsia="en-GB"/>
        </w:rPr>
      </w:pPr>
      <w:r w:rsidRPr="005A1194">
        <w:rPr>
          <w:rFonts w:ascii="Arial" w:eastAsia="Times New Roman" w:hAnsi="Arial" w:cs="Arial"/>
          <w:lang w:val="en-GB" w:eastAsia="en-GB"/>
        </w:rPr>
        <w:t>Analyse potential links between serious and organised crime and public protection issues (1000 words)</w:t>
      </w:r>
    </w:p>
    <w:p w14:paraId="4AA351D5" w14:textId="77777777" w:rsidR="005A1194" w:rsidRPr="005A1194" w:rsidRDefault="005A1194" w:rsidP="005A1194">
      <w:pPr>
        <w:ind w:left="426"/>
        <w:jc w:val="center"/>
        <w:rPr>
          <w:rFonts w:ascii="Arial" w:eastAsia="Times New Roman" w:hAnsi="Arial" w:cs="Arial"/>
          <w:b/>
          <w:sz w:val="24"/>
          <w:szCs w:val="24"/>
          <w:lang w:val="en-GB" w:eastAsia="en-GB"/>
        </w:rPr>
      </w:pPr>
    </w:p>
    <w:p w14:paraId="76873D14" w14:textId="77777777" w:rsidR="005A1194" w:rsidRPr="005A1194" w:rsidRDefault="005A1194" w:rsidP="005A1194">
      <w:pPr>
        <w:ind w:left="426"/>
        <w:jc w:val="center"/>
        <w:rPr>
          <w:rFonts w:ascii="Arial" w:eastAsia="Times New Roman" w:hAnsi="Arial" w:cs="Arial"/>
          <w:b/>
          <w:sz w:val="24"/>
          <w:szCs w:val="24"/>
          <w:lang w:val="en-GB" w:eastAsia="en-GB"/>
        </w:rPr>
      </w:pPr>
    </w:p>
    <w:p w14:paraId="3D3F2D44"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Serious organised crime gangs (SOCG’s) and their ability to exploit, coerce and abuse their victims goes hand in hand with public protection issues for a number of minorities or groups of individuals ranging from but not exclusively to, children, vulnerable adults, disabled, the elderly etc. </w:t>
      </w:r>
    </w:p>
    <w:p w14:paraId="3BB84D10" w14:textId="77777777" w:rsidR="005A1194" w:rsidRPr="005A1194" w:rsidRDefault="005A1194" w:rsidP="005A1194">
      <w:pPr>
        <w:rPr>
          <w:rFonts w:ascii="Arial" w:eastAsia="Times New Roman" w:hAnsi="Arial" w:cs="Arial"/>
          <w:bCs/>
          <w:lang w:val="en-GB" w:eastAsia="en-GB"/>
        </w:rPr>
      </w:pPr>
    </w:p>
    <w:p w14:paraId="287143F8"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SOCG’s operate on a vast scale across many policing areas within the UK, often described as “county lines” which can make it very difficult to locate all the individuals who are being subjected to serious harm physically and mentally and exposed to human trafficking and modern slavery, as a person can be being exploited a long distance either from where the source of the crime is taking place or from where they live being away from friends and family. </w:t>
      </w:r>
    </w:p>
    <w:p w14:paraId="1C493CD0" w14:textId="77777777" w:rsidR="005A1194" w:rsidRPr="005A1194" w:rsidRDefault="005A1194" w:rsidP="005A1194">
      <w:pPr>
        <w:rPr>
          <w:rFonts w:ascii="Arial" w:eastAsia="Times New Roman" w:hAnsi="Arial" w:cs="Arial"/>
          <w:bCs/>
          <w:lang w:val="en-GB" w:eastAsia="en-GB"/>
        </w:rPr>
      </w:pPr>
    </w:p>
    <w:p w14:paraId="40AEC87C" w14:textId="77777777" w:rsidR="005A1194" w:rsidRPr="005A1194" w:rsidRDefault="005A1194" w:rsidP="005A1194">
      <w:pPr>
        <w:ind w:left="720"/>
        <w:rPr>
          <w:rFonts w:ascii="Arial" w:eastAsia="Times New Roman" w:hAnsi="Arial" w:cs="Arial"/>
          <w:bCs/>
          <w:lang w:val="en-GB" w:eastAsia="en-GB"/>
        </w:rPr>
      </w:pPr>
      <w:r w:rsidRPr="005A1194">
        <w:rPr>
          <w:rFonts w:ascii="Arial" w:eastAsia="Times New Roman" w:hAnsi="Arial" w:cs="Arial"/>
          <w:bCs/>
          <w:lang w:val="en-GB" w:eastAsia="en-GB"/>
        </w:rPr>
        <w:t>‘The Government’s Serious Violence Strategy (2018) identified strong links between increases in violence and the exploitation of children and vulnerable adults by criminal drug dealers operating county lines’, (HMICFRS, 2020).</w:t>
      </w:r>
    </w:p>
    <w:p w14:paraId="0C4E1D7C" w14:textId="77777777" w:rsidR="005A1194" w:rsidRPr="005A1194" w:rsidRDefault="005A1194" w:rsidP="005A1194">
      <w:pPr>
        <w:rPr>
          <w:rFonts w:ascii="Arial" w:eastAsia="Times New Roman" w:hAnsi="Arial" w:cs="Arial"/>
          <w:bCs/>
          <w:lang w:val="en-GB" w:eastAsia="en-GB"/>
        </w:rPr>
      </w:pPr>
    </w:p>
    <w:p w14:paraId="2BCDC8C2"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This can also happen closer to home whereby a vulnerable person can have </w:t>
      </w:r>
      <w:proofErr w:type="spellStart"/>
      <w:r w:rsidRPr="005A1194">
        <w:rPr>
          <w:rFonts w:ascii="Arial" w:eastAsia="Times New Roman" w:hAnsi="Arial" w:cs="Arial"/>
          <w:bCs/>
          <w:lang w:val="en-GB" w:eastAsia="en-GB"/>
        </w:rPr>
        <w:t>there</w:t>
      </w:r>
      <w:proofErr w:type="spellEnd"/>
      <w:r w:rsidRPr="005A1194">
        <w:rPr>
          <w:rFonts w:ascii="Arial" w:eastAsia="Times New Roman" w:hAnsi="Arial" w:cs="Arial"/>
          <w:bCs/>
          <w:lang w:val="en-GB" w:eastAsia="en-GB"/>
        </w:rPr>
        <w:t xml:space="preserve"> home and life infiltrated by an organised gang in a process known as “cuckooing”, where a vulnerable person either lets an OCG into their home willingly under the pretence that the abusers are friendly or maybe that the vulnerable person doesn’t have the mental capacity to make this decision, or it is moved into by force and they are subjected to abuse and the fear that they will have no one else to turn to. This house is then used for criminal gain, drugs, prostitution etc. </w:t>
      </w:r>
    </w:p>
    <w:p w14:paraId="109B827C" w14:textId="77777777" w:rsidR="005A1194" w:rsidRPr="005A1194" w:rsidRDefault="005A1194" w:rsidP="005A1194">
      <w:pPr>
        <w:rPr>
          <w:rFonts w:ascii="Arial" w:eastAsia="Times New Roman" w:hAnsi="Arial" w:cs="Arial"/>
          <w:bCs/>
          <w:lang w:val="en-GB" w:eastAsia="en-GB"/>
        </w:rPr>
      </w:pPr>
    </w:p>
    <w:p w14:paraId="38E997E1" w14:textId="77777777" w:rsidR="005A1194" w:rsidRPr="005A1194" w:rsidRDefault="005A1194" w:rsidP="005A1194">
      <w:pPr>
        <w:ind w:left="720"/>
        <w:rPr>
          <w:rFonts w:ascii="Arial" w:eastAsia="Times New Roman" w:hAnsi="Arial" w:cs="Arial"/>
          <w:bCs/>
          <w:lang w:val="en-GB" w:eastAsia="en-GB"/>
        </w:rPr>
      </w:pPr>
      <w:r w:rsidRPr="005A1194">
        <w:rPr>
          <w:rFonts w:ascii="Arial" w:eastAsia="Times New Roman" w:hAnsi="Arial" w:cs="Arial"/>
          <w:bCs/>
          <w:lang w:val="en-GB" w:eastAsia="en-GB"/>
        </w:rPr>
        <w:t>‘Organised criminal groups are increasingly targeting vulnerable people and taking over their homes to use them as a distribution point for illicit drugs. The tactic is known as ‘cuckooing’, after the bird that invades nests, with victims left with little choice but to cooperate’, (Local Government Association, 2015).</w:t>
      </w:r>
    </w:p>
    <w:p w14:paraId="74745B7E" w14:textId="77777777" w:rsidR="005A1194" w:rsidRPr="005A1194" w:rsidRDefault="005A1194" w:rsidP="005A1194">
      <w:pPr>
        <w:ind w:left="720"/>
        <w:rPr>
          <w:rFonts w:ascii="Arial" w:eastAsia="Times New Roman" w:hAnsi="Arial" w:cs="Arial"/>
          <w:bCs/>
          <w:lang w:val="en-GB" w:eastAsia="en-GB"/>
        </w:rPr>
      </w:pPr>
    </w:p>
    <w:p w14:paraId="2EE6D8ED"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A problem for public protection in the UK is the ability for police to work with partner agencies such as MAPPA (Multi Agency Public Protection Arrangement) or councils and charities and be able to identify what risks to what individuals are being carried out, and by whom. Police need to take away the source of the criminality from the top in order for safeguarding to be filtered down through the lower levels of victims of OCG’s, whilst then ensuring that the risk to vulnerable victims of OCG’s is mitigated and can’t be repeated later down the line. </w:t>
      </w:r>
    </w:p>
    <w:p w14:paraId="691CC227" w14:textId="77777777" w:rsidR="005A1194" w:rsidRPr="005A1194" w:rsidRDefault="005A1194" w:rsidP="005A1194">
      <w:pPr>
        <w:rPr>
          <w:rFonts w:ascii="Arial" w:eastAsia="Times New Roman" w:hAnsi="Arial" w:cs="Arial"/>
          <w:bCs/>
          <w:lang w:val="en-GB" w:eastAsia="en-GB"/>
        </w:rPr>
      </w:pPr>
    </w:p>
    <w:p w14:paraId="0F514C01"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MAPPA was arranged in conjunction with the Criminal Justice Act 2003 and included the probation service, prison service and relevant agencies such as the health board and children’s/adult social care trusts to identify individuals capable of committing serious harm to the vulnerable and public, ‘the primary aim of MAPPA was identified as ‘public protection’, achieved through inter-agency risk assessment and risk management’ (Home Office online report, 2007).</w:t>
      </w:r>
    </w:p>
    <w:p w14:paraId="3CDD832D" w14:textId="77777777" w:rsidR="005A1194" w:rsidRPr="005A1194" w:rsidRDefault="005A1194" w:rsidP="005A1194">
      <w:pPr>
        <w:rPr>
          <w:rFonts w:ascii="Arial" w:eastAsia="Times New Roman" w:hAnsi="Arial" w:cs="Arial"/>
          <w:bCs/>
          <w:lang w:val="en-GB" w:eastAsia="en-GB"/>
        </w:rPr>
      </w:pPr>
    </w:p>
    <w:p w14:paraId="18FE33C3"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These pre-decided “arrangements” as it says in the MAPPA title were organised in such a fashion that categorises risk to the public from violent sex offenders in three stages, ranging </w:t>
      </w:r>
      <w:r w:rsidRPr="005A1194">
        <w:rPr>
          <w:rFonts w:ascii="Arial" w:eastAsia="Times New Roman" w:hAnsi="Arial" w:cs="Arial"/>
          <w:bCs/>
          <w:lang w:val="en-GB" w:eastAsia="en-GB"/>
        </w:rPr>
        <w:lastRenderedPageBreak/>
        <w:t>from category 1 up through 2, then to 3.  As these categories progress, they have a number of more stringent methods to control risk to the public and require multi-agency collaboration to compile action plans for these most dangerous individuals.</w:t>
      </w:r>
    </w:p>
    <w:p w14:paraId="6B146E38" w14:textId="77777777" w:rsidR="005A1194" w:rsidRPr="005A1194" w:rsidRDefault="005A1194" w:rsidP="005A1194">
      <w:pPr>
        <w:rPr>
          <w:rFonts w:ascii="Arial" w:eastAsia="Times New Roman" w:hAnsi="Arial" w:cs="Arial"/>
          <w:bCs/>
          <w:lang w:val="en-GB" w:eastAsia="en-GB"/>
        </w:rPr>
      </w:pPr>
    </w:p>
    <w:p w14:paraId="09D544E5"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But of course, lack of funding, staffing and research into social struggles is another side of the coin in the fight against SOCG’s ability to gain a foot hold in communities. The less understood communities are and the lack of identity of future vulnerable victims and chance for a pre-emptive strike if you will to safeguard them from any predatory criminal activity is a link in the chain connecting SOCG’s and public protection. </w:t>
      </w:r>
    </w:p>
    <w:p w14:paraId="55C0C40E" w14:textId="77777777" w:rsidR="005A1194" w:rsidRPr="005A1194" w:rsidRDefault="005A1194" w:rsidP="005A1194">
      <w:pPr>
        <w:rPr>
          <w:rFonts w:ascii="Arial" w:eastAsia="Times New Roman" w:hAnsi="Arial" w:cs="Arial"/>
          <w:bCs/>
          <w:lang w:val="en-GB" w:eastAsia="en-GB"/>
        </w:rPr>
      </w:pPr>
    </w:p>
    <w:p w14:paraId="5F2E3622"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For example, if the police deal with a victim say a single parent who is alcohol or drug dependent and his /her children are exposed to this behaviour, this must be recognised and accurately and professionally delegated to assist partner agencies in identifying what help and substance abuse programme is required to help them and their children through the correct public protection procedure via partner agencies. </w:t>
      </w:r>
    </w:p>
    <w:p w14:paraId="0ADFA985" w14:textId="77777777" w:rsidR="005A1194" w:rsidRPr="005A1194" w:rsidRDefault="005A1194" w:rsidP="005A1194">
      <w:pPr>
        <w:rPr>
          <w:rFonts w:ascii="Arial" w:eastAsia="Times New Roman" w:hAnsi="Arial" w:cs="Arial"/>
          <w:bCs/>
          <w:lang w:val="en-GB" w:eastAsia="en-GB"/>
        </w:rPr>
      </w:pPr>
    </w:p>
    <w:p w14:paraId="41770DC3" w14:textId="77777777" w:rsidR="005A1194" w:rsidRPr="005A1194" w:rsidRDefault="005A1194" w:rsidP="005A1194">
      <w:pPr>
        <w:ind w:left="720"/>
        <w:rPr>
          <w:rFonts w:ascii="Arial" w:eastAsia="Times New Roman" w:hAnsi="Arial" w:cs="Arial"/>
          <w:bCs/>
          <w:lang w:val="en-GB" w:eastAsia="en-GB"/>
        </w:rPr>
      </w:pPr>
      <w:r w:rsidRPr="005A1194">
        <w:rPr>
          <w:rFonts w:ascii="Arial" w:eastAsia="Times New Roman" w:hAnsi="Arial" w:cs="Arial"/>
          <w:bCs/>
          <w:lang w:val="en-GB" w:eastAsia="en-GB"/>
        </w:rPr>
        <w:t>“Effective safeguarding cannot be achieved without organisations working collaboratively to ensure the safety of the adult at risk is prioritised”, proportionate information sharing may be required to prevent harm to the adult at risk or to others and can facilitate preventative or early intervention approaches”, (Education Authority, 2015).</w:t>
      </w:r>
    </w:p>
    <w:p w14:paraId="0F57BF65" w14:textId="77777777" w:rsidR="005A1194" w:rsidRPr="005A1194" w:rsidRDefault="005A1194" w:rsidP="005A1194">
      <w:pPr>
        <w:ind w:left="720"/>
        <w:rPr>
          <w:rFonts w:ascii="Arial" w:eastAsia="Times New Roman" w:hAnsi="Arial" w:cs="Arial"/>
          <w:bCs/>
          <w:lang w:val="en-GB" w:eastAsia="en-GB"/>
        </w:rPr>
      </w:pPr>
    </w:p>
    <w:p w14:paraId="34563918"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This will in theory negate the need for them to rely on predatory gangs that will at first offer these substances and then use this leverage for either a property invasion or for the victim to act as a courier or holder of controlled substances. Another element is the need to safeguard these children at an early age if exposed to levels of neglect, violence or child sexual exploitation. </w:t>
      </w:r>
    </w:p>
    <w:p w14:paraId="6AD9186C" w14:textId="77777777" w:rsidR="005A1194" w:rsidRPr="005A1194" w:rsidRDefault="005A1194" w:rsidP="005A1194">
      <w:pPr>
        <w:rPr>
          <w:rFonts w:ascii="Arial" w:eastAsia="Times New Roman" w:hAnsi="Arial" w:cs="Arial"/>
          <w:bCs/>
          <w:lang w:val="en-GB" w:eastAsia="en-GB"/>
        </w:rPr>
      </w:pPr>
    </w:p>
    <w:p w14:paraId="258AC4BF"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Drug diversion schemes can be put into place through police intervention and then in conjunction with parental and child interaction, the earlier this prevention, the more likely the child to benefit from police and partner agency aid. </w:t>
      </w:r>
    </w:p>
    <w:p w14:paraId="57AAA13C" w14:textId="77777777" w:rsidR="005A1194" w:rsidRPr="005A1194" w:rsidRDefault="005A1194" w:rsidP="005A1194">
      <w:pPr>
        <w:rPr>
          <w:rFonts w:ascii="Arial" w:eastAsia="Times New Roman" w:hAnsi="Arial" w:cs="Arial"/>
          <w:bCs/>
          <w:lang w:val="en-GB" w:eastAsia="en-GB"/>
        </w:rPr>
      </w:pPr>
    </w:p>
    <w:p w14:paraId="47F8706F"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The correct procedure by police officers to investigate CAD log history of public protection notice reports sent previously will give an officer an insight into the past and present vulnerabilities. A PPN should be carried out especially when a young person is an offender, using PNC and niche, known associates can be viewed or added to a profile.   </w:t>
      </w:r>
    </w:p>
    <w:p w14:paraId="20FE32E9" w14:textId="77777777" w:rsidR="005A1194" w:rsidRPr="005A1194" w:rsidRDefault="005A1194" w:rsidP="005A1194">
      <w:pPr>
        <w:rPr>
          <w:rFonts w:ascii="Arial" w:eastAsia="Times New Roman" w:hAnsi="Arial" w:cs="Arial"/>
          <w:bCs/>
          <w:lang w:val="en-GB" w:eastAsia="en-GB"/>
        </w:rPr>
      </w:pPr>
    </w:p>
    <w:p w14:paraId="52F3CD4A"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To finalise the importance of how public protection must be thought of from every aspect of the community, police misconduct and sexual offences committed by police officers although in the minority is a major starting point. </w:t>
      </w:r>
    </w:p>
    <w:p w14:paraId="6E177602" w14:textId="77777777" w:rsidR="005A1194" w:rsidRPr="005A1194" w:rsidRDefault="005A1194" w:rsidP="005A1194">
      <w:pPr>
        <w:rPr>
          <w:rFonts w:ascii="Arial" w:eastAsia="Times New Roman" w:hAnsi="Arial" w:cs="Arial"/>
          <w:bCs/>
          <w:lang w:val="en-GB" w:eastAsia="en-GB"/>
        </w:rPr>
      </w:pPr>
    </w:p>
    <w:p w14:paraId="15171AAC"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 xml:space="preserve">The vetting process was brought in nationally in 2006 across all forces in England and Wales and revised through the college of policing in 2017 for new recruits and existing employees. </w:t>
      </w:r>
    </w:p>
    <w:p w14:paraId="3266FA59" w14:textId="77777777" w:rsidR="005A1194" w:rsidRPr="005A1194" w:rsidRDefault="005A1194" w:rsidP="005A1194">
      <w:pPr>
        <w:rPr>
          <w:rFonts w:ascii="Arial" w:eastAsia="Times New Roman" w:hAnsi="Arial" w:cs="Arial"/>
          <w:bCs/>
          <w:lang w:val="en-GB" w:eastAsia="en-GB"/>
        </w:rPr>
      </w:pPr>
    </w:p>
    <w:p w14:paraId="339EF536" w14:textId="77777777" w:rsidR="005A1194" w:rsidRPr="005A1194" w:rsidRDefault="005A1194" w:rsidP="005A1194">
      <w:pPr>
        <w:rPr>
          <w:rFonts w:ascii="Arial" w:eastAsia="Times New Roman" w:hAnsi="Arial" w:cs="Arial"/>
          <w:bCs/>
          <w:lang w:val="en-GB" w:eastAsia="en-GB"/>
        </w:rPr>
      </w:pPr>
      <w:r w:rsidRPr="005A1194">
        <w:rPr>
          <w:rFonts w:ascii="Arial" w:eastAsia="Times New Roman" w:hAnsi="Arial" w:cs="Arial"/>
          <w:bCs/>
          <w:lang w:val="en-GB" w:eastAsia="en-GB"/>
        </w:rPr>
        <w:t>External agencies should talk with victims that are trained to identify the signs of sexual misconduct by authorities and in cases where staff may have thoughts that a colleague is acting improper, information must be gathered between organisations to identify any threat from an officer. “To stop sexual exploitation, the workforce needs to be aware of the type of behaviour used to groom, manipulate and abuse vulnerable people”. (HMICFRS, 2019).</w:t>
      </w:r>
    </w:p>
    <w:p w14:paraId="7431DA07" w14:textId="77777777" w:rsidR="005A1194" w:rsidRPr="005A1194" w:rsidRDefault="005A1194" w:rsidP="005A1194">
      <w:pPr>
        <w:rPr>
          <w:rFonts w:ascii="Arial" w:eastAsia="Times New Roman" w:hAnsi="Arial" w:cs="Arial"/>
          <w:bCs/>
          <w:lang w:val="en-GB" w:eastAsia="en-GB"/>
        </w:rPr>
      </w:pPr>
    </w:p>
    <w:p w14:paraId="37862E56" w14:textId="77777777" w:rsidR="005A1194" w:rsidRPr="005A1194" w:rsidRDefault="005A1194" w:rsidP="005A1194">
      <w:pPr>
        <w:rPr>
          <w:rFonts w:ascii="Arial" w:eastAsia="Times New Roman" w:hAnsi="Arial" w:cs="Arial"/>
          <w:bCs/>
          <w:lang w:val="en-GB" w:eastAsia="en-GB"/>
        </w:rPr>
      </w:pPr>
    </w:p>
    <w:p w14:paraId="5466892F" w14:textId="6A4BD38A" w:rsidR="00D50DF8" w:rsidRPr="00B3743F" w:rsidRDefault="00D50DF8" w:rsidP="00B3743F">
      <w:pPr>
        <w:rPr>
          <w:rFonts w:ascii="Arial" w:eastAsia="Times New Roman" w:hAnsi="Arial" w:cs="Arial"/>
          <w:bCs/>
          <w:lang w:val="en-GB" w:eastAsia="en-GB"/>
        </w:rPr>
      </w:pPr>
    </w:p>
    <w:p w14:paraId="4E9FCDC8" w14:textId="2F1A9911" w:rsidR="007F5CBC" w:rsidRPr="007F5CBC" w:rsidRDefault="007F5CBC" w:rsidP="007F5CBC">
      <w:pPr>
        <w:overflowPunct w:val="0"/>
        <w:autoSpaceDE w:val="0"/>
        <w:autoSpaceDN w:val="0"/>
        <w:adjustRightInd w:val="0"/>
        <w:spacing w:before="240"/>
        <w:jc w:val="center"/>
        <w:textAlignment w:val="baseline"/>
        <w:rPr>
          <w:rFonts w:ascii="Arial" w:eastAsia="Times New Roman" w:hAnsi="Arial" w:cs="Arial"/>
          <w:b/>
          <w:bCs/>
          <w:u w:val="single"/>
          <w:lang w:val="en-GB" w:eastAsia="en-GB"/>
        </w:rPr>
      </w:pPr>
      <w:r w:rsidRPr="007F5CBC">
        <w:rPr>
          <w:rFonts w:ascii="Arial" w:eastAsia="Times New Roman" w:hAnsi="Arial" w:cs="Arial"/>
          <w:b/>
          <w:bCs/>
          <w:u w:val="single"/>
          <w:lang w:val="en-GB" w:eastAsia="en-GB"/>
        </w:rPr>
        <w:lastRenderedPageBreak/>
        <w:t>Bibliography</w:t>
      </w:r>
    </w:p>
    <w:p w14:paraId="7FF57E6C" w14:textId="77777777" w:rsidR="007F5CBC" w:rsidRDefault="007F5CBC" w:rsidP="00BD1B8C">
      <w:pPr>
        <w:overflowPunct w:val="0"/>
        <w:autoSpaceDE w:val="0"/>
        <w:autoSpaceDN w:val="0"/>
        <w:adjustRightInd w:val="0"/>
        <w:spacing w:before="240"/>
        <w:textAlignment w:val="baseline"/>
        <w:rPr>
          <w:rFonts w:ascii="Arial" w:eastAsia="Times New Roman" w:hAnsi="Arial" w:cs="Arial"/>
          <w:lang w:val="en-GB" w:eastAsia="en-GB"/>
        </w:rPr>
      </w:pPr>
    </w:p>
    <w:p w14:paraId="7CA9A544" w14:textId="79FF34F6"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 xml:space="preserve">A. </w:t>
      </w:r>
      <w:proofErr w:type="spellStart"/>
      <w:r w:rsidRPr="00BD1B8C">
        <w:rPr>
          <w:rFonts w:ascii="Arial" w:eastAsia="Times New Roman" w:hAnsi="Arial" w:cs="Arial"/>
          <w:lang w:val="en-GB" w:eastAsia="en-GB"/>
        </w:rPr>
        <w:t>Domasio</w:t>
      </w:r>
      <w:proofErr w:type="spellEnd"/>
      <w:r w:rsidRPr="00BD1B8C">
        <w:rPr>
          <w:rFonts w:ascii="Arial" w:eastAsia="Times New Roman" w:hAnsi="Arial" w:cs="Arial"/>
          <w:lang w:val="en-GB" w:eastAsia="en-GB"/>
        </w:rPr>
        <w:t xml:space="preserve"> 1994</w:t>
      </w:r>
      <w:r>
        <w:rPr>
          <w:rFonts w:ascii="Arial" w:eastAsia="Times New Roman" w:hAnsi="Arial" w:cs="Arial"/>
          <w:lang w:val="en-GB" w:eastAsia="en-GB"/>
        </w:rPr>
        <w:t xml:space="preserve">, </w:t>
      </w:r>
      <w:r w:rsidRPr="00BD1B8C">
        <w:rPr>
          <w:rFonts w:ascii="Arial" w:eastAsia="Times New Roman" w:hAnsi="Arial" w:cs="Arial"/>
          <w:lang w:val="en-GB" w:eastAsia="en-GB"/>
        </w:rPr>
        <w:t>Descartes Error, cited by,</w:t>
      </w:r>
      <w:r>
        <w:rPr>
          <w:rFonts w:ascii="Arial" w:eastAsia="Times New Roman" w:hAnsi="Arial" w:cs="Arial"/>
          <w:lang w:val="en-GB" w:eastAsia="en-GB"/>
        </w:rPr>
        <w:t xml:space="preserve"> Virginia Hughes 2014,</w:t>
      </w:r>
      <w:r w:rsidRPr="00BD1B8C">
        <w:rPr>
          <w:rFonts w:ascii="Arial" w:eastAsia="Times New Roman" w:hAnsi="Arial" w:cs="Arial"/>
          <w:lang w:val="en-GB" w:eastAsia="en-GB"/>
        </w:rPr>
        <w:t xml:space="preserve"> Emotion Is Not the Enemy of Reason</w:t>
      </w:r>
      <w:r>
        <w:rPr>
          <w:rFonts w:ascii="Arial" w:eastAsia="Times New Roman" w:hAnsi="Arial" w:cs="Arial"/>
          <w:lang w:val="en-GB" w:eastAsia="en-GB"/>
        </w:rPr>
        <w:t>: National Geographic</w:t>
      </w:r>
      <w:r w:rsidRPr="00BD1B8C">
        <w:rPr>
          <w:rFonts w:ascii="Arial" w:eastAsia="Times New Roman" w:hAnsi="Arial" w:cs="Arial"/>
          <w:lang w:val="en-GB" w:eastAsia="en-GB"/>
        </w:rPr>
        <w:t xml:space="preserve">, </w:t>
      </w:r>
      <w:hyperlink r:id="rId10" w:history="1">
        <w:r w:rsidRPr="00BD1B8C">
          <w:rPr>
            <w:rFonts w:ascii="Arial" w:eastAsia="Times New Roman" w:hAnsi="Arial" w:cs="Arial"/>
            <w:color w:val="0563C1"/>
            <w:u w:val="single"/>
            <w:lang w:val="en-GB" w:eastAsia="en-GB"/>
          </w:rPr>
          <w:t>https://www.nationalgeographic.com/science/article/emotion-is-not-the-enemy-of-reason</w:t>
        </w:r>
      </w:hyperlink>
    </w:p>
    <w:p w14:paraId="13360FB3" w14:textId="369902AC" w:rsidR="00D50DF8" w:rsidRDefault="00234E79" w:rsidP="00B3743F">
      <w:pPr>
        <w:rPr>
          <w:rFonts w:ascii="Arial" w:eastAsia="Calibri" w:hAnsi="Arial" w:cs="Arial"/>
          <w:lang w:val="en-GB"/>
        </w:rPr>
      </w:pPr>
      <w:r>
        <w:rPr>
          <w:rFonts w:ascii="Arial" w:eastAsia="Calibri" w:hAnsi="Arial" w:cs="Arial"/>
          <w:lang w:val="en-GB"/>
        </w:rPr>
        <w:t>(</w:t>
      </w:r>
      <w:r w:rsidR="00D50DF8" w:rsidRPr="00172887">
        <w:rPr>
          <w:rFonts w:ascii="Arial" w:eastAsia="Calibri" w:hAnsi="Arial" w:cs="Arial"/>
          <w:lang w:val="en-GB"/>
        </w:rPr>
        <w:t>Accessed: 0</w:t>
      </w:r>
      <w:r>
        <w:rPr>
          <w:rFonts w:ascii="Arial" w:eastAsia="Calibri" w:hAnsi="Arial" w:cs="Arial"/>
          <w:lang w:val="en-GB"/>
        </w:rPr>
        <w:t>2 March</w:t>
      </w:r>
      <w:r w:rsidR="00D50DF8" w:rsidRPr="00172887">
        <w:rPr>
          <w:rFonts w:ascii="Arial" w:eastAsia="Calibri" w:hAnsi="Arial" w:cs="Arial"/>
          <w:lang w:val="en-GB"/>
        </w:rPr>
        <w:t xml:space="preserve"> 2022)</w:t>
      </w:r>
    </w:p>
    <w:p w14:paraId="74BD1936" w14:textId="157D23FB" w:rsidR="005821D9" w:rsidRDefault="005821D9" w:rsidP="00B3743F">
      <w:pPr>
        <w:rPr>
          <w:rFonts w:ascii="Arial" w:eastAsia="Calibri" w:hAnsi="Arial" w:cs="Arial"/>
          <w:lang w:val="en-GB"/>
        </w:rPr>
      </w:pPr>
    </w:p>
    <w:p w14:paraId="7CDA154B" w14:textId="77777777" w:rsidR="005821D9" w:rsidRPr="00B3743F" w:rsidRDefault="005821D9" w:rsidP="00B3743F">
      <w:pPr>
        <w:rPr>
          <w:rFonts w:ascii="Arial" w:eastAsia="Calibri" w:hAnsi="Arial" w:cs="Arial"/>
          <w:lang w:val="en-GB"/>
        </w:rPr>
      </w:pPr>
    </w:p>
    <w:p w14:paraId="1C051262" w14:textId="5049CC87" w:rsidR="00D50DF8" w:rsidRDefault="00D50DF8" w:rsidP="00B3743F">
      <w:pPr>
        <w:spacing w:after="160" w:line="259" w:lineRule="auto"/>
        <w:rPr>
          <w:rFonts w:ascii="Arial" w:eastAsia="Times New Roman" w:hAnsi="Arial" w:cs="Arial"/>
          <w:color w:val="0563C1"/>
          <w:u w:val="single"/>
          <w:lang w:val="en-GB" w:eastAsia="en-GB"/>
        </w:rPr>
      </w:pPr>
      <w:r w:rsidRPr="00B3743F">
        <w:rPr>
          <w:rFonts w:ascii="Arial" w:eastAsia="Times New Roman" w:hAnsi="Arial" w:cs="Arial"/>
          <w:lang w:val="en-GB" w:eastAsia="en-GB"/>
        </w:rPr>
        <w:t xml:space="preserve">Bradford &amp; Quinton 2014, Self-legitimacy, police culture and support for democratic policing in an English Constabulary: University of Oxford Centre for Criminology, </w:t>
      </w:r>
      <w:hyperlink r:id="rId11" w:history="1">
        <w:r w:rsidRPr="00B3743F">
          <w:rPr>
            <w:rFonts w:ascii="Arial" w:eastAsia="Times New Roman" w:hAnsi="Arial" w:cs="Arial"/>
            <w:color w:val="0563C1"/>
            <w:u w:val="single"/>
            <w:lang w:val="en-GB" w:eastAsia="en-GB"/>
          </w:rPr>
          <w:t>https://discovery.ucl.ac.uk/id/eprint/10088278/1/Self%20legitimacy%2C%20police%20culture%20and%20support%20for%20democratic%20policing.pdf</w:t>
        </w:r>
      </w:hyperlink>
    </w:p>
    <w:p w14:paraId="3A383E25" w14:textId="2459CD09" w:rsidR="007F5CBC" w:rsidRPr="007F5CBC" w:rsidRDefault="007F5CBC" w:rsidP="00B3743F">
      <w:pPr>
        <w:spacing w:after="160" w:line="259" w:lineRule="auto"/>
        <w:rPr>
          <w:rFonts w:ascii="Arial" w:eastAsia="Times New Roman" w:hAnsi="Arial" w:cs="Arial"/>
          <w:lang w:val="en-GB" w:eastAsia="en-GB"/>
        </w:rPr>
      </w:pPr>
      <w:r w:rsidRPr="007F5CBC">
        <w:rPr>
          <w:rFonts w:ascii="Arial" w:eastAsia="Times New Roman" w:hAnsi="Arial" w:cs="Arial"/>
          <w:lang w:val="en-GB" w:eastAsia="en-GB"/>
        </w:rPr>
        <w:t>(Accessed: 31 March 2022)</w:t>
      </w:r>
    </w:p>
    <w:p w14:paraId="3ED29DAB" w14:textId="77777777" w:rsidR="005821D9" w:rsidRPr="00B3743F" w:rsidRDefault="005821D9" w:rsidP="00B3743F">
      <w:pPr>
        <w:spacing w:after="160" w:line="259" w:lineRule="auto"/>
        <w:rPr>
          <w:rFonts w:ascii="Arial" w:eastAsia="Times New Roman" w:hAnsi="Arial" w:cs="Arial"/>
          <w:lang w:val="en-GB" w:eastAsia="en-GB"/>
        </w:rPr>
      </w:pPr>
    </w:p>
    <w:p w14:paraId="099EF09A" w14:textId="3F409E8A"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C. Akinci &amp; E. Sadler-Smith 2019,  ‘If something doesn’t look right, go find out why’: how intuitive decision making is accomplished in police first-response</w:t>
      </w:r>
      <w:bookmarkStart w:id="1" w:name="_Hlk102646349"/>
      <w:r w:rsidRPr="00BD1B8C">
        <w:rPr>
          <w:rFonts w:ascii="Arial" w:eastAsia="Times New Roman" w:hAnsi="Arial" w:cs="Arial"/>
          <w:lang w:val="en-GB" w:eastAsia="en-GB"/>
        </w:rPr>
        <w:t xml:space="preserve">, </w:t>
      </w:r>
      <w:bookmarkEnd w:id="1"/>
      <w:r w:rsidRPr="00BD1B8C">
        <w:rPr>
          <w:rFonts w:ascii="Calibri" w:eastAsia="Calibri" w:hAnsi="Calibri" w:cs="Times New Roman"/>
          <w:lang w:val="en-GB"/>
        </w:rPr>
        <w:fldChar w:fldCharType="begin"/>
      </w:r>
      <w:r w:rsidRPr="00BD1B8C">
        <w:rPr>
          <w:rFonts w:ascii="Calibri" w:eastAsia="Calibri" w:hAnsi="Calibri" w:cs="Times New Roman"/>
          <w:lang w:val="en-GB"/>
        </w:rPr>
        <w:instrText xml:space="preserve"> HYPERLINK "https://www.tandfonline.com/doi/abs/10.1080/1359432X.2019.1681402?journalCode=pewo20" </w:instrText>
      </w:r>
      <w:r w:rsidRPr="00BD1B8C">
        <w:rPr>
          <w:rFonts w:ascii="Calibri" w:eastAsia="Calibri" w:hAnsi="Calibri" w:cs="Times New Roman"/>
          <w:lang w:val="en-GB"/>
        </w:rPr>
        <w:fldChar w:fldCharType="separate"/>
      </w:r>
      <w:r w:rsidRPr="00BD1B8C">
        <w:rPr>
          <w:rFonts w:ascii="Arial" w:eastAsia="Times New Roman" w:hAnsi="Arial" w:cs="Arial"/>
          <w:color w:val="0563C1"/>
          <w:u w:val="single"/>
          <w:lang w:val="en-GB" w:eastAsia="en-GB"/>
        </w:rPr>
        <w:t>https://www.tandfonline.com/doi/abs/10.1080/1359432X.2019.1681402?journalCode=pewo20</w:t>
      </w:r>
      <w:r w:rsidRPr="00BD1B8C">
        <w:rPr>
          <w:rFonts w:ascii="Arial" w:eastAsia="Times New Roman" w:hAnsi="Arial" w:cs="Arial"/>
          <w:color w:val="0563C1"/>
          <w:u w:val="single"/>
          <w:lang w:val="en-GB" w:eastAsia="en-GB"/>
        </w:rPr>
        <w:fldChar w:fldCharType="end"/>
      </w:r>
    </w:p>
    <w:p w14:paraId="2D0EF072" w14:textId="2FEA73F0" w:rsidR="00234E79" w:rsidRPr="00234E79" w:rsidRDefault="00234E79" w:rsidP="00BD1B8C">
      <w:pPr>
        <w:overflowPunct w:val="0"/>
        <w:autoSpaceDE w:val="0"/>
        <w:autoSpaceDN w:val="0"/>
        <w:adjustRightInd w:val="0"/>
        <w:spacing w:before="240"/>
        <w:textAlignment w:val="baseline"/>
        <w:rPr>
          <w:rFonts w:ascii="Arial" w:eastAsia="Times New Roman" w:hAnsi="Arial" w:cs="Arial"/>
          <w:lang w:val="en-GB" w:eastAsia="en-GB"/>
        </w:rPr>
      </w:pPr>
      <w:r w:rsidRPr="00234E79">
        <w:rPr>
          <w:rFonts w:ascii="Arial" w:eastAsia="Times New Roman" w:hAnsi="Arial" w:cs="Arial"/>
          <w:lang w:val="en-GB" w:eastAsia="en-GB"/>
        </w:rPr>
        <w:t>(Accessed: 03 March 2022)</w:t>
      </w:r>
    </w:p>
    <w:p w14:paraId="1F62ABD4" w14:textId="77777777" w:rsidR="005821D9" w:rsidRDefault="005821D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318103DC" w14:textId="330B78C6"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Charlotte Ruhl 2021</w:t>
      </w:r>
      <w:r>
        <w:rPr>
          <w:rFonts w:ascii="Arial" w:eastAsia="Times New Roman" w:hAnsi="Arial" w:cs="Arial"/>
          <w:lang w:val="en-GB" w:eastAsia="en-GB"/>
        </w:rPr>
        <w:t xml:space="preserve">, </w:t>
      </w:r>
      <w:r w:rsidRPr="00BD1B8C">
        <w:rPr>
          <w:rFonts w:ascii="Arial" w:eastAsia="Times New Roman" w:hAnsi="Arial" w:cs="Arial"/>
          <w:lang w:val="en-GB" w:eastAsia="en-GB"/>
        </w:rPr>
        <w:t xml:space="preserve">What Is Cognitive Bias?, </w:t>
      </w:r>
      <w:hyperlink r:id="rId12" w:history="1">
        <w:r w:rsidRPr="00BD1B8C">
          <w:rPr>
            <w:rFonts w:ascii="Arial" w:eastAsia="Times New Roman" w:hAnsi="Arial" w:cs="Arial"/>
            <w:color w:val="0563C1"/>
            <w:u w:val="single"/>
            <w:lang w:val="en-GB" w:eastAsia="en-GB"/>
          </w:rPr>
          <w:t>https://www.simplypsychology.org/cognitive-bias.html</w:t>
        </w:r>
      </w:hyperlink>
    </w:p>
    <w:p w14:paraId="5A24FFF2" w14:textId="30937FC3" w:rsidR="00234E79" w:rsidRPr="00234E79" w:rsidRDefault="00234E79" w:rsidP="00BD1B8C">
      <w:pPr>
        <w:overflowPunct w:val="0"/>
        <w:autoSpaceDE w:val="0"/>
        <w:autoSpaceDN w:val="0"/>
        <w:adjustRightInd w:val="0"/>
        <w:spacing w:before="240"/>
        <w:textAlignment w:val="baseline"/>
        <w:rPr>
          <w:rFonts w:ascii="Arial" w:eastAsia="Times New Roman" w:hAnsi="Arial" w:cs="Arial"/>
          <w:lang w:val="en-GB" w:eastAsia="en-GB"/>
        </w:rPr>
      </w:pPr>
      <w:r w:rsidRPr="00234E79">
        <w:rPr>
          <w:rFonts w:ascii="Arial" w:eastAsia="Times New Roman" w:hAnsi="Arial" w:cs="Arial"/>
          <w:lang w:val="en-GB" w:eastAsia="en-GB"/>
        </w:rPr>
        <w:t>(Accessed: 03 March 2022)</w:t>
      </w:r>
    </w:p>
    <w:p w14:paraId="1236B947" w14:textId="77777777" w:rsidR="005821D9" w:rsidRDefault="005821D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3D7DE670" w14:textId="241B8CCA" w:rsidR="00D50DF8" w:rsidRDefault="00D50DF8" w:rsidP="00B3743F">
      <w:pPr>
        <w:spacing w:after="160" w:line="259" w:lineRule="auto"/>
        <w:rPr>
          <w:rFonts w:ascii="Arial" w:eastAsia="Times New Roman" w:hAnsi="Arial" w:cs="Arial"/>
          <w:color w:val="0563C1"/>
          <w:u w:val="single"/>
          <w:lang w:val="en-GB" w:eastAsia="en-GB"/>
        </w:rPr>
      </w:pPr>
      <w:r w:rsidRPr="00B3743F">
        <w:rPr>
          <w:rFonts w:ascii="Arial" w:eastAsia="Times New Roman" w:hAnsi="Arial" w:cs="Arial"/>
          <w:lang w:val="en-GB" w:eastAsia="en-GB"/>
        </w:rPr>
        <w:t xml:space="preserve">Elliott-Davies. M &amp; Dr Jonathan </w:t>
      </w:r>
      <w:proofErr w:type="spellStart"/>
      <w:r w:rsidRPr="00B3743F">
        <w:rPr>
          <w:rFonts w:ascii="Arial" w:eastAsia="Times New Roman" w:hAnsi="Arial" w:cs="Arial"/>
          <w:lang w:val="en-GB" w:eastAsia="en-GB"/>
        </w:rPr>
        <w:t>Houdmont</w:t>
      </w:r>
      <w:proofErr w:type="spellEnd"/>
      <w:r w:rsidRPr="00B3743F">
        <w:rPr>
          <w:rFonts w:ascii="Arial" w:eastAsia="Times New Roman" w:hAnsi="Arial" w:cs="Arial"/>
          <w:lang w:val="en-GB" w:eastAsia="en-GB"/>
        </w:rPr>
        <w:t xml:space="preserve"> 2017, Officer Demand, Capacity and Welfare Survey: Descriptive Statistics Summary Report attitude and evaluation measures, P.4, 2.1 – 2.2  </w:t>
      </w:r>
      <w:hyperlink r:id="rId13" w:history="1">
        <w:r w:rsidRPr="00B3743F">
          <w:rPr>
            <w:rFonts w:ascii="Arial" w:eastAsia="Times New Roman" w:hAnsi="Arial" w:cs="Arial"/>
            <w:color w:val="0563C1"/>
            <w:u w:val="single"/>
            <w:lang w:val="en-GB" w:eastAsia="en-GB"/>
          </w:rPr>
          <w:t>https://www.polfed.org/media/14073/welfaresurveyattitudesandevaluation-summaryreport-25-01-2017-v1.pdf</w:t>
        </w:r>
      </w:hyperlink>
    </w:p>
    <w:p w14:paraId="71A68363" w14:textId="27EF2C55" w:rsidR="007F5CBC" w:rsidRPr="007F5CBC" w:rsidRDefault="007F5CBC" w:rsidP="00B3743F">
      <w:pPr>
        <w:spacing w:after="160" w:line="259" w:lineRule="auto"/>
        <w:rPr>
          <w:rFonts w:ascii="Arial" w:eastAsia="Times New Roman" w:hAnsi="Arial" w:cs="Arial"/>
          <w:lang w:val="en-GB" w:eastAsia="en-GB"/>
        </w:rPr>
      </w:pPr>
      <w:r w:rsidRPr="007F5CBC">
        <w:rPr>
          <w:rFonts w:ascii="Arial" w:eastAsia="Times New Roman" w:hAnsi="Arial" w:cs="Arial"/>
          <w:lang w:val="en-GB" w:eastAsia="en-GB"/>
        </w:rPr>
        <w:t>(Accessed: 31 March 2022)</w:t>
      </w:r>
    </w:p>
    <w:p w14:paraId="3D53B2E7" w14:textId="4F032979" w:rsidR="005821D9" w:rsidRDefault="005821D9" w:rsidP="00B3743F">
      <w:pPr>
        <w:spacing w:after="160" w:line="259" w:lineRule="auto"/>
        <w:rPr>
          <w:rFonts w:ascii="Arial" w:eastAsia="Times New Roman" w:hAnsi="Arial" w:cs="Arial"/>
          <w:color w:val="0563C1"/>
          <w:u w:val="single"/>
          <w:lang w:val="en-GB" w:eastAsia="en-GB"/>
        </w:rPr>
      </w:pPr>
    </w:p>
    <w:p w14:paraId="21FE3686" w14:textId="1D8471C0" w:rsidR="00D50DF8" w:rsidRDefault="00D50DF8" w:rsidP="00B3743F">
      <w:pPr>
        <w:spacing w:after="160" w:line="259" w:lineRule="auto"/>
        <w:rPr>
          <w:rFonts w:ascii="Arial" w:eastAsia="Times New Roman" w:hAnsi="Arial" w:cs="Arial"/>
          <w:color w:val="0563C1"/>
          <w:u w:val="single"/>
          <w:lang w:val="en-GB" w:eastAsia="en-GB"/>
        </w:rPr>
      </w:pPr>
      <w:r w:rsidRPr="00B3743F">
        <w:rPr>
          <w:rFonts w:ascii="Arial" w:eastAsia="Times New Roman" w:hAnsi="Arial" w:cs="Arial"/>
          <w:lang w:val="en-GB" w:eastAsia="en-GB"/>
        </w:rPr>
        <w:t xml:space="preserve">Greenberg 1987, A Taxonomy of Organizational Justice Theories: Academy of Management Review, </w:t>
      </w:r>
      <w:hyperlink r:id="rId14" w:history="1">
        <w:r w:rsidRPr="00B3743F">
          <w:rPr>
            <w:rFonts w:ascii="Arial" w:eastAsia="Times New Roman" w:hAnsi="Arial" w:cs="Arial"/>
            <w:color w:val="0563C1"/>
            <w:u w:val="single"/>
            <w:lang w:val="en-GB" w:eastAsia="en-GB"/>
          </w:rPr>
          <w:t>https://web.mit.edu/curhan/www/docs/Articles/15341_Readings/Justice/Greenberg_1987_A_taxonomy_of_org_justice_theories.pdf</w:t>
        </w:r>
      </w:hyperlink>
    </w:p>
    <w:p w14:paraId="7D0CA76A" w14:textId="35F6E4D3" w:rsidR="007F5CBC" w:rsidRPr="007F5CBC" w:rsidRDefault="007F5CBC" w:rsidP="00B3743F">
      <w:pPr>
        <w:spacing w:after="160" w:line="259" w:lineRule="auto"/>
        <w:rPr>
          <w:rFonts w:ascii="Arial" w:eastAsia="Times New Roman" w:hAnsi="Arial" w:cs="Arial"/>
          <w:lang w:val="en-GB" w:eastAsia="en-GB"/>
        </w:rPr>
      </w:pPr>
      <w:r w:rsidRPr="007F5CBC">
        <w:rPr>
          <w:rFonts w:ascii="Arial" w:eastAsia="Times New Roman" w:hAnsi="Arial" w:cs="Arial"/>
          <w:lang w:val="en-GB" w:eastAsia="en-GB"/>
        </w:rPr>
        <w:t>(Accessed: 31 March 2022)</w:t>
      </w:r>
    </w:p>
    <w:p w14:paraId="0431FE79" w14:textId="77777777" w:rsidR="005821D9" w:rsidRPr="00B3743F" w:rsidRDefault="005821D9" w:rsidP="00B3743F">
      <w:pPr>
        <w:spacing w:after="160" w:line="259" w:lineRule="auto"/>
        <w:rPr>
          <w:rFonts w:ascii="Arial" w:eastAsia="Times New Roman" w:hAnsi="Arial" w:cs="Arial"/>
          <w:lang w:val="en-GB" w:eastAsia="en-GB"/>
        </w:rPr>
      </w:pPr>
    </w:p>
    <w:p w14:paraId="307E725F" w14:textId="2766B970"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lastRenderedPageBreak/>
        <w:t xml:space="preserve">Hales. G 2015, Chief officer misconduct in policing: An exploratory study, </w:t>
      </w:r>
      <w:hyperlink r:id="rId15" w:history="1">
        <w:r w:rsidRPr="00BD1B8C">
          <w:rPr>
            <w:rFonts w:ascii="Arial" w:eastAsia="Times New Roman" w:hAnsi="Arial" w:cs="Arial"/>
            <w:color w:val="0563C1"/>
            <w:u w:val="single"/>
            <w:lang w:val="en-GB" w:eastAsia="en-GB"/>
          </w:rPr>
          <w:t>https://whatworks.college.police.uk/Research/Documents/150317_Chief_officer_misconduct_FINAL_%20REPORT.pdf</w:t>
        </w:r>
      </w:hyperlink>
    </w:p>
    <w:p w14:paraId="5AFE1B95" w14:textId="735D9702" w:rsidR="005821D9" w:rsidRPr="005821D9" w:rsidRDefault="005821D9" w:rsidP="005821D9">
      <w:pPr>
        <w:overflowPunct w:val="0"/>
        <w:autoSpaceDE w:val="0"/>
        <w:autoSpaceDN w:val="0"/>
        <w:adjustRightInd w:val="0"/>
        <w:spacing w:before="240"/>
        <w:textAlignment w:val="baseline"/>
        <w:rPr>
          <w:rFonts w:ascii="Arial" w:eastAsia="Times New Roman" w:hAnsi="Arial" w:cs="Arial"/>
          <w:lang w:val="en-GB" w:eastAsia="en-GB"/>
        </w:rPr>
      </w:pPr>
      <w:r w:rsidRPr="005821D9">
        <w:rPr>
          <w:rFonts w:ascii="Arial" w:eastAsia="Times New Roman" w:hAnsi="Arial" w:cs="Arial"/>
          <w:lang w:val="en-GB" w:eastAsia="en-GB"/>
        </w:rPr>
        <w:t xml:space="preserve">(Accessed </w:t>
      </w:r>
      <w:r>
        <w:rPr>
          <w:rFonts w:ascii="Arial" w:eastAsia="Times New Roman" w:hAnsi="Arial" w:cs="Arial"/>
          <w:lang w:val="en-GB" w:eastAsia="en-GB"/>
        </w:rPr>
        <w:t>22 February</w:t>
      </w:r>
      <w:r w:rsidRPr="005821D9">
        <w:rPr>
          <w:rFonts w:ascii="Arial" w:eastAsia="Times New Roman" w:hAnsi="Arial" w:cs="Arial"/>
          <w:lang w:val="en-GB" w:eastAsia="en-GB"/>
        </w:rPr>
        <w:t xml:space="preserve"> 2022)</w:t>
      </w:r>
    </w:p>
    <w:p w14:paraId="2AE4B3DD" w14:textId="77777777" w:rsidR="005821D9" w:rsidRDefault="005821D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7DF6691F" w14:textId="023E6B4D" w:rsidR="00D50DF8" w:rsidRDefault="00D50DF8" w:rsidP="00B3743F">
      <w:pPr>
        <w:rPr>
          <w:rFonts w:ascii="Arial" w:eastAsia="Times New Roman" w:hAnsi="Arial" w:cs="Arial"/>
          <w:bCs/>
          <w:color w:val="0563C1"/>
          <w:u w:val="single"/>
          <w:lang w:val="en-GB" w:eastAsia="en-GB"/>
        </w:rPr>
      </w:pPr>
      <w:r w:rsidRPr="00B3743F">
        <w:rPr>
          <w:rFonts w:ascii="Arial" w:eastAsia="Times New Roman" w:hAnsi="Arial" w:cs="Arial"/>
          <w:bCs/>
          <w:lang w:val="en-GB" w:eastAsia="en-GB"/>
        </w:rPr>
        <w:t xml:space="preserve">HMICFRS 2020, Both sides of the coin: The police and National Crime Agency’s response to vulnerable people in ‘county lines’ drug offending, </w:t>
      </w:r>
      <w:hyperlink r:id="rId16" w:history="1">
        <w:r w:rsidRPr="00B3743F">
          <w:rPr>
            <w:rFonts w:ascii="Arial" w:eastAsia="Times New Roman" w:hAnsi="Arial" w:cs="Arial"/>
            <w:bCs/>
            <w:color w:val="0563C1"/>
            <w:u w:val="single"/>
            <w:lang w:val="en-GB" w:eastAsia="en-GB"/>
          </w:rPr>
          <w:t>https://www.justiceinspectorates.gov.uk/hmicfrs/wp-content/uploads/both-sides-of-the-coin-police-nca-response-vulnerable-people-county-lines-drug-offending.pdf</w:t>
        </w:r>
      </w:hyperlink>
    </w:p>
    <w:p w14:paraId="2FA7084B" w14:textId="35F5FC3E" w:rsidR="00234E79" w:rsidRDefault="00234E79" w:rsidP="00B3743F">
      <w:pPr>
        <w:rPr>
          <w:rFonts w:ascii="Arial" w:eastAsia="Times New Roman" w:hAnsi="Arial" w:cs="Arial"/>
          <w:bCs/>
          <w:color w:val="0563C1"/>
          <w:u w:val="single"/>
          <w:lang w:val="en-GB" w:eastAsia="en-GB"/>
        </w:rPr>
      </w:pPr>
    </w:p>
    <w:p w14:paraId="38DA9C95" w14:textId="42452A01" w:rsidR="00234E79" w:rsidRPr="00234E79" w:rsidRDefault="00234E79" w:rsidP="00B3743F">
      <w:pPr>
        <w:rPr>
          <w:rFonts w:ascii="Arial" w:eastAsia="Times New Roman" w:hAnsi="Arial" w:cs="Arial"/>
          <w:bCs/>
          <w:lang w:val="en-GB" w:eastAsia="en-GB"/>
        </w:rPr>
      </w:pPr>
      <w:r w:rsidRPr="00234E79">
        <w:rPr>
          <w:rFonts w:ascii="Arial" w:eastAsia="Times New Roman" w:hAnsi="Arial" w:cs="Arial"/>
          <w:bCs/>
          <w:lang w:val="en-GB" w:eastAsia="en-GB"/>
        </w:rPr>
        <w:t>(Accessed: 26 April 2022)</w:t>
      </w:r>
    </w:p>
    <w:p w14:paraId="467064E5" w14:textId="77777777" w:rsidR="005821D9" w:rsidRDefault="005821D9" w:rsidP="00B3743F">
      <w:pPr>
        <w:rPr>
          <w:rFonts w:ascii="Arial" w:eastAsia="Times New Roman" w:hAnsi="Arial" w:cs="Arial"/>
          <w:bCs/>
          <w:color w:val="0563C1"/>
          <w:u w:val="single"/>
          <w:lang w:val="en-GB" w:eastAsia="en-GB"/>
        </w:rPr>
      </w:pPr>
    </w:p>
    <w:p w14:paraId="7B817E13" w14:textId="77777777" w:rsidR="007F5CBC" w:rsidRDefault="007F5CBC" w:rsidP="00BD1B8C">
      <w:pPr>
        <w:overflowPunct w:val="0"/>
        <w:autoSpaceDE w:val="0"/>
        <w:autoSpaceDN w:val="0"/>
        <w:adjustRightInd w:val="0"/>
        <w:spacing w:before="240"/>
        <w:textAlignment w:val="baseline"/>
        <w:rPr>
          <w:rFonts w:ascii="Arial" w:eastAsia="Times New Roman" w:hAnsi="Arial" w:cs="Arial"/>
          <w:lang w:val="en-GB" w:eastAsia="en-GB"/>
        </w:rPr>
      </w:pPr>
    </w:p>
    <w:p w14:paraId="712BB675" w14:textId="2A6EE630"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Pr>
          <w:rFonts w:ascii="Arial" w:eastAsia="Times New Roman" w:hAnsi="Arial" w:cs="Arial"/>
          <w:lang w:val="en-GB" w:eastAsia="en-GB"/>
        </w:rPr>
        <w:t xml:space="preserve">IOPC, 2020, </w:t>
      </w:r>
      <w:r w:rsidRPr="00BD1B8C">
        <w:rPr>
          <w:rFonts w:ascii="Arial" w:eastAsia="Times New Roman" w:hAnsi="Arial" w:cs="Arial"/>
          <w:lang w:val="en-GB" w:eastAsia="en-GB"/>
        </w:rPr>
        <w:t xml:space="preserve">The wider police complaints system, </w:t>
      </w:r>
      <w:hyperlink r:id="rId17" w:history="1">
        <w:r w:rsidRPr="00BD1B8C">
          <w:rPr>
            <w:rFonts w:ascii="Arial" w:eastAsia="Times New Roman" w:hAnsi="Arial" w:cs="Arial"/>
            <w:color w:val="0563C1"/>
            <w:u w:val="single"/>
            <w:lang w:val="en-GB" w:eastAsia="en-GB"/>
          </w:rPr>
          <w:t>https://policeconduct.gov.uk/becoming-iopc</w:t>
        </w:r>
      </w:hyperlink>
    </w:p>
    <w:p w14:paraId="3DC80CB2" w14:textId="54655AB6" w:rsidR="005821D9" w:rsidRPr="005821D9" w:rsidRDefault="005821D9" w:rsidP="00BD1B8C">
      <w:pPr>
        <w:overflowPunct w:val="0"/>
        <w:autoSpaceDE w:val="0"/>
        <w:autoSpaceDN w:val="0"/>
        <w:adjustRightInd w:val="0"/>
        <w:spacing w:before="240"/>
        <w:textAlignment w:val="baseline"/>
        <w:rPr>
          <w:rFonts w:ascii="Arial" w:eastAsia="Times New Roman" w:hAnsi="Arial" w:cs="Arial"/>
          <w:lang w:val="en-GB" w:eastAsia="en-GB"/>
        </w:rPr>
      </w:pPr>
      <w:r w:rsidRPr="005821D9">
        <w:rPr>
          <w:rFonts w:ascii="Arial" w:eastAsia="Times New Roman" w:hAnsi="Arial" w:cs="Arial"/>
          <w:lang w:val="en-GB" w:eastAsia="en-GB"/>
        </w:rPr>
        <w:t>(Accessed: 22 February 2022)</w:t>
      </w:r>
    </w:p>
    <w:p w14:paraId="7B0B7A87" w14:textId="77777777" w:rsidR="005821D9" w:rsidRPr="00BD1B8C" w:rsidRDefault="005821D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5DE02A62" w14:textId="77777777" w:rsidR="007F5CBC" w:rsidRDefault="007F5CBC" w:rsidP="00B3743F">
      <w:pPr>
        <w:rPr>
          <w:rFonts w:ascii="Arial" w:eastAsia="Times New Roman" w:hAnsi="Arial" w:cs="Arial"/>
          <w:bCs/>
          <w:lang w:val="en-GB" w:eastAsia="en-GB"/>
        </w:rPr>
      </w:pPr>
    </w:p>
    <w:p w14:paraId="35038B6F" w14:textId="31CE9969" w:rsidR="00D50DF8" w:rsidRDefault="00D50DF8" w:rsidP="00B3743F">
      <w:pPr>
        <w:rPr>
          <w:rFonts w:ascii="Arial" w:eastAsia="Times New Roman" w:hAnsi="Arial" w:cs="Arial"/>
          <w:bCs/>
          <w:color w:val="0563C1"/>
          <w:u w:val="single"/>
          <w:lang w:val="en-GB" w:eastAsia="en-GB"/>
        </w:rPr>
      </w:pPr>
      <w:r w:rsidRPr="00B3743F">
        <w:rPr>
          <w:rFonts w:ascii="Arial" w:eastAsia="Times New Roman" w:hAnsi="Arial" w:cs="Arial"/>
          <w:bCs/>
          <w:lang w:val="en-GB" w:eastAsia="en-GB"/>
        </w:rPr>
        <w:t xml:space="preserve">Jason Wood, Hazel </w:t>
      </w:r>
      <w:proofErr w:type="spellStart"/>
      <w:r w:rsidRPr="00B3743F">
        <w:rPr>
          <w:rFonts w:ascii="Arial" w:eastAsia="Times New Roman" w:hAnsi="Arial" w:cs="Arial"/>
          <w:bCs/>
          <w:lang w:val="en-GB" w:eastAsia="en-GB"/>
        </w:rPr>
        <w:t>Kemshall</w:t>
      </w:r>
      <w:proofErr w:type="spellEnd"/>
      <w:r w:rsidRPr="00B3743F">
        <w:rPr>
          <w:rFonts w:ascii="Arial" w:eastAsia="Times New Roman" w:hAnsi="Arial" w:cs="Arial"/>
          <w:bCs/>
          <w:lang w:val="en-GB" w:eastAsia="en-GB"/>
        </w:rPr>
        <w:t xml:space="preserve">, Mike Maguire, Kirsty Hudson, Gill Mackenzie 2007, The operation and experience of Multi-Agency Public Protection Arrangements (MAPPA): Home Office Online Report 12/07,  </w:t>
      </w:r>
      <w:hyperlink r:id="rId18" w:history="1">
        <w:r w:rsidRPr="00B3743F">
          <w:rPr>
            <w:rFonts w:ascii="Arial" w:eastAsia="Times New Roman" w:hAnsi="Arial" w:cs="Arial"/>
            <w:bCs/>
            <w:color w:val="0563C1"/>
            <w:u w:val="single"/>
            <w:lang w:val="en-GB" w:eastAsia="en-GB"/>
          </w:rPr>
          <w:t>https://www.dmu.ac.uk/documents/health-and-life-sciences-documents/research/rdsolr1207.pdf</w:t>
        </w:r>
      </w:hyperlink>
      <w:r w:rsidRPr="00B3743F">
        <w:rPr>
          <w:rFonts w:ascii="Arial" w:eastAsia="Times New Roman" w:hAnsi="Arial" w:cs="Arial"/>
          <w:bCs/>
          <w:color w:val="0563C1"/>
          <w:u w:val="single"/>
          <w:lang w:val="en-GB" w:eastAsia="en-GB"/>
        </w:rPr>
        <w:t xml:space="preserve"> </w:t>
      </w:r>
    </w:p>
    <w:p w14:paraId="031C6B04" w14:textId="74423AE9" w:rsidR="00234E79" w:rsidRDefault="00234E79" w:rsidP="00B3743F">
      <w:pPr>
        <w:rPr>
          <w:rFonts w:ascii="Arial" w:eastAsia="Times New Roman" w:hAnsi="Arial" w:cs="Arial"/>
          <w:bCs/>
          <w:color w:val="0563C1"/>
          <w:u w:val="single"/>
          <w:lang w:val="en-GB" w:eastAsia="en-GB"/>
        </w:rPr>
      </w:pPr>
    </w:p>
    <w:p w14:paraId="2BDB0146" w14:textId="6350440E" w:rsidR="00234E79" w:rsidRPr="00234E79" w:rsidRDefault="00234E79" w:rsidP="00B3743F">
      <w:pPr>
        <w:rPr>
          <w:rFonts w:ascii="Arial" w:eastAsia="Times New Roman" w:hAnsi="Arial" w:cs="Arial"/>
          <w:bCs/>
          <w:lang w:val="en-GB" w:eastAsia="en-GB"/>
        </w:rPr>
      </w:pPr>
      <w:r w:rsidRPr="00234E79">
        <w:rPr>
          <w:rFonts w:ascii="Arial" w:eastAsia="Times New Roman" w:hAnsi="Arial" w:cs="Arial"/>
          <w:bCs/>
          <w:lang w:val="en-GB" w:eastAsia="en-GB"/>
        </w:rPr>
        <w:t>(Accessed: 26 April 2022)</w:t>
      </w:r>
    </w:p>
    <w:p w14:paraId="1042C87F" w14:textId="6D12694E" w:rsidR="005821D9" w:rsidRDefault="005821D9" w:rsidP="00B3743F">
      <w:pPr>
        <w:rPr>
          <w:rFonts w:ascii="Arial" w:eastAsia="Times New Roman" w:hAnsi="Arial" w:cs="Arial"/>
          <w:bCs/>
          <w:color w:val="0563C1"/>
          <w:u w:val="single"/>
          <w:lang w:val="en-GB" w:eastAsia="en-GB"/>
        </w:rPr>
      </w:pPr>
    </w:p>
    <w:p w14:paraId="765EC5E0" w14:textId="77777777" w:rsidR="005821D9" w:rsidRDefault="005821D9" w:rsidP="00B3743F">
      <w:pPr>
        <w:rPr>
          <w:rFonts w:ascii="Arial" w:eastAsia="Times New Roman" w:hAnsi="Arial" w:cs="Arial"/>
          <w:bCs/>
          <w:color w:val="0563C1"/>
          <w:u w:val="single"/>
          <w:lang w:val="en-GB" w:eastAsia="en-GB"/>
        </w:rPr>
      </w:pPr>
    </w:p>
    <w:p w14:paraId="1663099C" w14:textId="77777777" w:rsidR="007F5CBC" w:rsidRDefault="007F5CBC" w:rsidP="00B3743F">
      <w:pPr>
        <w:rPr>
          <w:rFonts w:ascii="Arial" w:eastAsia="Times New Roman" w:hAnsi="Arial" w:cs="Arial"/>
          <w:bCs/>
          <w:lang w:val="en-GB" w:eastAsia="en-GB"/>
        </w:rPr>
      </w:pPr>
    </w:p>
    <w:p w14:paraId="6408EE93" w14:textId="7BC6D840" w:rsidR="00D50DF8" w:rsidRDefault="00D50DF8" w:rsidP="00B3743F">
      <w:pPr>
        <w:rPr>
          <w:rFonts w:ascii="Arial" w:eastAsia="Times New Roman" w:hAnsi="Arial" w:cs="Arial"/>
          <w:bCs/>
          <w:color w:val="0563C1"/>
          <w:u w:val="single"/>
          <w:lang w:val="en-GB" w:eastAsia="en-GB"/>
        </w:rPr>
      </w:pPr>
      <w:r w:rsidRPr="00B3743F">
        <w:rPr>
          <w:rFonts w:ascii="Arial" w:eastAsia="Times New Roman" w:hAnsi="Arial" w:cs="Arial"/>
          <w:bCs/>
          <w:lang w:val="en-GB" w:eastAsia="en-GB"/>
        </w:rPr>
        <w:t>Local government association</w:t>
      </w:r>
      <w:r>
        <w:rPr>
          <w:rFonts w:ascii="Arial" w:eastAsia="Times New Roman" w:hAnsi="Arial" w:cs="Arial"/>
          <w:bCs/>
          <w:lang w:val="en-GB" w:eastAsia="en-GB"/>
        </w:rPr>
        <w:t xml:space="preserve"> </w:t>
      </w:r>
      <w:r w:rsidRPr="00B3743F">
        <w:rPr>
          <w:rFonts w:ascii="Arial" w:eastAsia="Times New Roman" w:hAnsi="Arial" w:cs="Arial"/>
          <w:bCs/>
          <w:lang w:val="en-GB" w:eastAsia="en-GB"/>
        </w:rPr>
        <w:t xml:space="preserve">2015, Tackling serious and organised crime a local response: Gov.UK </w:t>
      </w:r>
      <w:hyperlink r:id="rId19" w:history="1">
        <w:r w:rsidRPr="00B3743F">
          <w:rPr>
            <w:rFonts w:ascii="Arial" w:eastAsia="Times New Roman" w:hAnsi="Arial" w:cs="Arial"/>
            <w:bCs/>
            <w:color w:val="0563C1"/>
            <w:u w:val="single"/>
            <w:lang w:val="en-GB" w:eastAsia="en-GB"/>
          </w:rPr>
          <w:t>https://www.local.gov.uk/sites/default/files/documents/tackling-serious-and-orga-</w:t>
        </w:r>
        <w:r w:rsidRPr="00B3743F">
          <w:rPr>
            <w:rFonts w:ascii="Arial" w:eastAsia="Times New Roman" w:hAnsi="Arial" w:cs="Arial"/>
            <w:bCs/>
            <w:color w:val="0563C1"/>
            <w:u w:val="single"/>
            <w:lang w:val="en-GB" w:eastAsia="en-GB"/>
          </w:rPr>
          <w:t>44a.pdf</w:t>
        </w:r>
      </w:hyperlink>
    </w:p>
    <w:p w14:paraId="0F6081F0" w14:textId="0465851F" w:rsidR="00234E79" w:rsidRDefault="00234E79" w:rsidP="00B3743F">
      <w:pPr>
        <w:rPr>
          <w:rFonts w:ascii="Arial" w:eastAsia="Times New Roman" w:hAnsi="Arial" w:cs="Arial"/>
          <w:bCs/>
          <w:color w:val="0563C1"/>
          <w:u w:val="single"/>
          <w:lang w:val="en-GB" w:eastAsia="en-GB"/>
        </w:rPr>
      </w:pPr>
    </w:p>
    <w:p w14:paraId="45B09AD4" w14:textId="3E5B6D81" w:rsidR="00234E79" w:rsidRPr="00234E79" w:rsidRDefault="00234E79" w:rsidP="00B3743F">
      <w:pPr>
        <w:rPr>
          <w:rFonts w:ascii="Arial" w:eastAsia="Times New Roman" w:hAnsi="Arial" w:cs="Arial"/>
          <w:bCs/>
          <w:lang w:val="en-GB" w:eastAsia="en-GB"/>
        </w:rPr>
      </w:pPr>
      <w:r w:rsidRPr="00234E79">
        <w:rPr>
          <w:rFonts w:ascii="Arial" w:eastAsia="Times New Roman" w:hAnsi="Arial" w:cs="Arial"/>
          <w:bCs/>
          <w:lang w:val="en-GB" w:eastAsia="en-GB"/>
        </w:rPr>
        <w:t>(Accessed: 26 April 2022)</w:t>
      </w:r>
    </w:p>
    <w:p w14:paraId="7D063D58" w14:textId="736C5B1E" w:rsidR="005821D9" w:rsidRDefault="005821D9" w:rsidP="00B3743F">
      <w:pPr>
        <w:rPr>
          <w:rFonts w:ascii="Arial" w:eastAsia="Times New Roman" w:hAnsi="Arial" w:cs="Arial"/>
          <w:bCs/>
          <w:color w:val="0563C1"/>
          <w:u w:val="single"/>
          <w:lang w:val="en-GB" w:eastAsia="en-GB"/>
        </w:rPr>
      </w:pPr>
    </w:p>
    <w:p w14:paraId="1EF07B5F" w14:textId="77777777" w:rsidR="005821D9" w:rsidRDefault="005821D9" w:rsidP="00B3743F">
      <w:pPr>
        <w:rPr>
          <w:rFonts w:ascii="Arial" w:eastAsia="Times New Roman" w:hAnsi="Arial" w:cs="Arial"/>
          <w:bCs/>
          <w:color w:val="0563C1"/>
          <w:u w:val="single"/>
          <w:lang w:val="en-GB" w:eastAsia="en-GB"/>
        </w:rPr>
      </w:pPr>
    </w:p>
    <w:p w14:paraId="3E1EEF5A" w14:textId="77777777" w:rsidR="007F5CBC" w:rsidRDefault="007F5CBC" w:rsidP="00B3743F">
      <w:pPr>
        <w:spacing w:after="160" w:line="259" w:lineRule="auto"/>
        <w:rPr>
          <w:rFonts w:ascii="Arial" w:eastAsia="Times New Roman" w:hAnsi="Arial" w:cs="Arial"/>
          <w:lang w:val="en-GB" w:eastAsia="en-GB"/>
        </w:rPr>
      </w:pPr>
    </w:p>
    <w:p w14:paraId="45B561A8" w14:textId="707470F9" w:rsidR="00D50DF8" w:rsidRDefault="00D50DF8" w:rsidP="00B3743F">
      <w:pPr>
        <w:spacing w:after="160" w:line="259" w:lineRule="auto"/>
        <w:rPr>
          <w:rFonts w:ascii="Arial" w:eastAsia="Times New Roman" w:hAnsi="Arial" w:cs="Arial"/>
          <w:color w:val="0563C1"/>
          <w:u w:val="single"/>
          <w:lang w:val="en-GB" w:eastAsia="en-GB"/>
        </w:rPr>
      </w:pPr>
      <w:proofErr w:type="spellStart"/>
      <w:r w:rsidRPr="00B3743F">
        <w:rPr>
          <w:rFonts w:ascii="Arial" w:eastAsia="Times New Roman" w:hAnsi="Arial" w:cs="Arial"/>
          <w:lang w:val="en-GB" w:eastAsia="en-GB"/>
        </w:rPr>
        <w:t>Mrozla</w:t>
      </w:r>
      <w:proofErr w:type="spellEnd"/>
      <w:r w:rsidRPr="00B3743F">
        <w:rPr>
          <w:rFonts w:ascii="Arial" w:eastAsia="Times New Roman" w:hAnsi="Arial" w:cs="Arial"/>
          <w:lang w:val="en-GB" w:eastAsia="en-GB"/>
        </w:rPr>
        <w:t xml:space="preserve"> 2021, Procedural and distributive justice: Effects on attitudes toward body-worn cameras, </w:t>
      </w:r>
      <w:hyperlink r:id="rId20" w:history="1">
        <w:r w:rsidRPr="00B3743F">
          <w:rPr>
            <w:rFonts w:ascii="Arial" w:eastAsia="Times New Roman" w:hAnsi="Arial" w:cs="Arial"/>
            <w:color w:val="0563C1"/>
            <w:u w:val="single"/>
            <w:lang w:val="en-GB" w:eastAsia="en-GB"/>
          </w:rPr>
          <w:t>https://journals.sagepub.com/doi/abs/10.1177/14613557211026937</w:t>
        </w:r>
      </w:hyperlink>
    </w:p>
    <w:p w14:paraId="526D102A" w14:textId="12BDD446" w:rsidR="007F5CBC" w:rsidRPr="00B3743F" w:rsidRDefault="007F5CBC" w:rsidP="00B3743F">
      <w:pPr>
        <w:spacing w:after="160" w:line="259" w:lineRule="auto"/>
        <w:rPr>
          <w:rFonts w:ascii="Arial" w:eastAsia="Times New Roman" w:hAnsi="Arial" w:cs="Arial"/>
          <w:lang w:val="en-GB" w:eastAsia="en-GB"/>
        </w:rPr>
      </w:pPr>
      <w:r w:rsidRPr="007F5CBC">
        <w:rPr>
          <w:rFonts w:ascii="Arial" w:eastAsia="Times New Roman" w:hAnsi="Arial" w:cs="Arial"/>
          <w:lang w:val="en-GB" w:eastAsia="en-GB"/>
        </w:rPr>
        <w:t>(Accessed: 31 March 2022)</w:t>
      </w:r>
    </w:p>
    <w:p w14:paraId="6F5C36A5" w14:textId="77777777" w:rsidR="007F5CBC" w:rsidRDefault="007F5CBC" w:rsidP="00BD1B8C">
      <w:pPr>
        <w:overflowPunct w:val="0"/>
        <w:autoSpaceDE w:val="0"/>
        <w:autoSpaceDN w:val="0"/>
        <w:adjustRightInd w:val="0"/>
        <w:spacing w:before="240"/>
        <w:textAlignment w:val="baseline"/>
        <w:rPr>
          <w:rFonts w:ascii="Arial" w:eastAsia="Times New Roman" w:hAnsi="Arial" w:cs="Arial"/>
          <w:lang w:val="en-GB" w:eastAsia="en-GB"/>
        </w:rPr>
      </w:pPr>
    </w:p>
    <w:p w14:paraId="1765816F" w14:textId="77777777" w:rsidR="007F5CBC" w:rsidRDefault="007F5CBC" w:rsidP="00BD1B8C">
      <w:pPr>
        <w:overflowPunct w:val="0"/>
        <w:autoSpaceDE w:val="0"/>
        <w:autoSpaceDN w:val="0"/>
        <w:adjustRightInd w:val="0"/>
        <w:spacing w:before="240"/>
        <w:textAlignment w:val="baseline"/>
        <w:rPr>
          <w:rFonts w:ascii="Arial" w:eastAsia="Times New Roman" w:hAnsi="Arial" w:cs="Arial"/>
          <w:lang w:val="en-GB" w:eastAsia="en-GB"/>
        </w:rPr>
      </w:pPr>
    </w:p>
    <w:p w14:paraId="5A704538" w14:textId="42BAE810"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bookmarkStart w:id="2" w:name="_GoBack"/>
      <w:bookmarkEnd w:id="2"/>
      <w:r w:rsidRPr="00BD1B8C">
        <w:rPr>
          <w:rFonts w:ascii="Arial" w:eastAsia="Times New Roman" w:hAnsi="Arial" w:cs="Arial"/>
          <w:lang w:val="en-GB" w:eastAsia="en-GB"/>
        </w:rPr>
        <w:lastRenderedPageBreak/>
        <w:t>N. Shortland, L. Thompson &amp; L. Alison 2020, Police Perfection: Examining the Effect of Trait Maximization on Police Decision-Making</w:t>
      </w:r>
      <w:bookmarkStart w:id="3" w:name="_Hlk102646293"/>
      <w:r w:rsidRPr="00BD1B8C">
        <w:rPr>
          <w:rFonts w:ascii="Arial" w:eastAsia="Times New Roman" w:hAnsi="Arial" w:cs="Arial"/>
          <w:lang w:val="en-GB" w:eastAsia="en-GB"/>
        </w:rPr>
        <w:t xml:space="preserve">, </w:t>
      </w:r>
      <w:bookmarkEnd w:id="3"/>
      <w:r w:rsidRPr="00BD1B8C">
        <w:rPr>
          <w:rFonts w:ascii="Calibri" w:eastAsia="Calibri" w:hAnsi="Calibri" w:cs="Times New Roman"/>
          <w:lang w:val="en-GB"/>
        </w:rPr>
        <w:fldChar w:fldCharType="begin"/>
      </w:r>
      <w:r w:rsidRPr="00BD1B8C">
        <w:rPr>
          <w:rFonts w:ascii="Calibri" w:eastAsia="Calibri" w:hAnsi="Calibri" w:cs="Times New Roman"/>
          <w:lang w:val="en-GB"/>
        </w:rPr>
        <w:instrText xml:space="preserve"> HYPERLINK "https://www.frontiersin.org/articles/10.3389/fpsyg.2020.01817/full" </w:instrText>
      </w:r>
      <w:r w:rsidRPr="00BD1B8C">
        <w:rPr>
          <w:rFonts w:ascii="Calibri" w:eastAsia="Calibri" w:hAnsi="Calibri" w:cs="Times New Roman"/>
          <w:lang w:val="en-GB"/>
        </w:rPr>
        <w:fldChar w:fldCharType="separate"/>
      </w:r>
      <w:r w:rsidRPr="00BD1B8C">
        <w:rPr>
          <w:rFonts w:ascii="Arial" w:eastAsia="Times New Roman" w:hAnsi="Arial" w:cs="Arial"/>
          <w:color w:val="0563C1"/>
          <w:u w:val="single"/>
          <w:lang w:val="en-GB" w:eastAsia="en-GB"/>
        </w:rPr>
        <w:t>https://www.frontiersin.org/articles/10.3389/fpsyg.2020.01817/full</w:t>
      </w:r>
      <w:r w:rsidRPr="00BD1B8C">
        <w:rPr>
          <w:rFonts w:ascii="Arial" w:eastAsia="Times New Roman" w:hAnsi="Arial" w:cs="Arial"/>
          <w:color w:val="0563C1"/>
          <w:u w:val="single"/>
          <w:lang w:val="en-GB" w:eastAsia="en-GB"/>
        </w:rPr>
        <w:fldChar w:fldCharType="end"/>
      </w:r>
    </w:p>
    <w:p w14:paraId="3B02364A" w14:textId="0FA1B285" w:rsidR="00234E79" w:rsidRPr="00234E79" w:rsidRDefault="00234E79" w:rsidP="00BD1B8C">
      <w:pPr>
        <w:overflowPunct w:val="0"/>
        <w:autoSpaceDE w:val="0"/>
        <w:autoSpaceDN w:val="0"/>
        <w:adjustRightInd w:val="0"/>
        <w:spacing w:before="240"/>
        <w:textAlignment w:val="baseline"/>
        <w:rPr>
          <w:rFonts w:ascii="Arial" w:eastAsia="Times New Roman" w:hAnsi="Arial" w:cs="Arial"/>
          <w:lang w:val="en-GB" w:eastAsia="en-GB"/>
        </w:rPr>
      </w:pPr>
      <w:r w:rsidRPr="00234E79">
        <w:rPr>
          <w:rFonts w:ascii="Arial" w:eastAsia="Times New Roman" w:hAnsi="Arial" w:cs="Arial"/>
          <w:lang w:val="en-GB" w:eastAsia="en-GB"/>
        </w:rPr>
        <w:t>(Accessed: 03 March 2022)</w:t>
      </w:r>
    </w:p>
    <w:p w14:paraId="40986FF2" w14:textId="77777777" w:rsidR="00234E79" w:rsidRDefault="00234E7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201C515C" w14:textId="494A407A"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 xml:space="preserve">Policing and Crime Act 2017: Legislation.gov.uk, </w:t>
      </w:r>
      <w:hyperlink r:id="rId21" w:history="1">
        <w:r w:rsidRPr="00BD1B8C">
          <w:rPr>
            <w:rFonts w:ascii="Arial" w:eastAsia="Times New Roman" w:hAnsi="Arial" w:cs="Arial"/>
            <w:color w:val="0563C1"/>
            <w:u w:val="single"/>
            <w:lang w:val="en-GB" w:eastAsia="en-GB"/>
          </w:rPr>
          <w:t>https://www.legislation.gov.uk/ukpga/2017/3/contents/enacted</w:t>
        </w:r>
      </w:hyperlink>
    </w:p>
    <w:p w14:paraId="70C78B4F" w14:textId="4BAD89D5" w:rsidR="005821D9" w:rsidRPr="005821D9" w:rsidRDefault="005821D9" w:rsidP="00BD1B8C">
      <w:pPr>
        <w:overflowPunct w:val="0"/>
        <w:autoSpaceDE w:val="0"/>
        <w:autoSpaceDN w:val="0"/>
        <w:adjustRightInd w:val="0"/>
        <w:spacing w:before="240"/>
        <w:textAlignment w:val="baseline"/>
        <w:rPr>
          <w:rFonts w:ascii="Arial" w:eastAsia="Times New Roman" w:hAnsi="Arial" w:cs="Arial"/>
          <w:lang w:val="en-GB" w:eastAsia="en-GB"/>
        </w:rPr>
      </w:pPr>
      <w:r w:rsidRPr="005821D9">
        <w:rPr>
          <w:rFonts w:ascii="Arial" w:eastAsia="Times New Roman" w:hAnsi="Arial" w:cs="Arial"/>
          <w:lang w:val="en-GB" w:eastAsia="en-GB"/>
        </w:rPr>
        <w:t xml:space="preserve">(Accessed: </w:t>
      </w:r>
      <w:r>
        <w:rPr>
          <w:rFonts w:ascii="Arial" w:eastAsia="Times New Roman" w:hAnsi="Arial" w:cs="Arial"/>
          <w:lang w:val="en-GB" w:eastAsia="en-GB"/>
        </w:rPr>
        <w:t>22 February</w:t>
      </w:r>
      <w:r w:rsidRPr="005821D9">
        <w:rPr>
          <w:rFonts w:ascii="Arial" w:eastAsia="Times New Roman" w:hAnsi="Arial" w:cs="Arial"/>
          <w:lang w:val="en-GB" w:eastAsia="en-GB"/>
        </w:rPr>
        <w:t xml:space="preserve"> 2022)</w:t>
      </w:r>
    </w:p>
    <w:p w14:paraId="493649D2" w14:textId="77777777" w:rsidR="007F5CBC" w:rsidRDefault="007F5CBC" w:rsidP="00BD1B8C">
      <w:pPr>
        <w:overflowPunct w:val="0"/>
        <w:autoSpaceDE w:val="0"/>
        <w:autoSpaceDN w:val="0"/>
        <w:adjustRightInd w:val="0"/>
        <w:spacing w:before="240"/>
        <w:textAlignment w:val="baseline"/>
        <w:rPr>
          <w:rFonts w:ascii="Arial" w:eastAsia="Times New Roman" w:hAnsi="Arial" w:cs="Arial"/>
          <w:lang w:val="en-GB" w:eastAsia="en-GB"/>
        </w:rPr>
      </w:pPr>
    </w:p>
    <w:p w14:paraId="7969EBFE" w14:textId="43D122F1"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 xml:space="preserve">R v </w:t>
      </w:r>
      <w:proofErr w:type="spellStart"/>
      <w:r w:rsidRPr="00BD1B8C">
        <w:rPr>
          <w:rFonts w:ascii="Arial" w:eastAsia="Times New Roman" w:hAnsi="Arial" w:cs="Arial"/>
          <w:lang w:val="en-GB" w:eastAsia="en-GB"/>
        </w:rPr>
        <w:t>Mouncher</w:t>
      </w:r>
      <w:proofErr w:type="spellEnd"/>
      <w:r>
        <w:rPr>
          <w:rFonts w:ascii="Arial" w:eastAsia="Times New Roman" w:hAnsi="Arial" w:cs="Arial"/>
          <w:lang w:val="en-GB" w:eastAsia="en-GB"/>
        </w:rPr>
        <w:t xml:space="preserve"> 2017,</w:t>
      </w:r>
      <w:r w:rsidRPr="00BD1B8C">
        <w:rPr>
          <w:rFonts w:ascii="Arial" w:eastAsia="Times New Roman" w:hAnsi="Arial" w:cs="Arial"/>
          <w:lang w:val="en-GB" w:eastAsia="en-GB"/>
        </w:rPr>
        <w:t xml:space="preserve"> Prosecution of 13 police officers embarrassment on a national scale</w:t>
      </w:r>
      <w:r>
        <w:rPr>
          <w:rFonts w:ascii="Arial" w:eastAsia="Times New Roman" w:hAnsi="Arial" w:cs="Arial"/>
          <w:lang w:val="en-GB" w:eastAsia="en-GB"/>
        </w:rPr>
        <w:t>:</w:t>
      </w:r>
      <w:r w:rsidRPr="00BD1B8C">
        <w:rPr>
          <w:rFonts w:ascii="Arial" w:eastAsia="Times New Roman" w:hAnsi="Arial" w:cs="Arial"/>
          <w:lang w:val="en-GB" w:eastAsia="en-GB"/>
        </w:rPr>
        <w:t xml:space="preserve"> independent </w:t>
      </w:r>
      <w:proofErr w:type="spellStart"/>
      <w:r w:rsidRPr="00BD1B8C">
        <w:rPr>
          <w:rFonts w:ascii="Arial" w:eastAsia="Times New Roman" w:hAnsi="Arial" w:cs="Arial"/>
          <w:lang w:val="en-GB" w:eastAsia="en-GB"/>
        </w:rPr>
        <w:t>Horwell</w:t>
      </w:r>
      <w:proofErr w:type="spellEnd"/>
      <w:r w:rsidRPr="00BD1B8C">
        <w:rPr>
          <w:rFonts w:ascii="Arial" w:eastAsia="Times New Roman" w:hAnsi="Arial" w:cs="Arial"/>
          <w:lang w:val="en-GB" w:eastAsia="en-GB"/>
        </w:rPr>
        <w:t xml:space="preserve"> Report, Gold Jennings Solicitors, 2017, </w:t>
      </w:r>
      <w:hyperlink r:id="rId22" w:history="1">
        <w:r w:rsidRPr="00BD1B8C">
          <w:rPr>
            <w:rFonts w:ascii="Arial" w:eastAsia="Times New Roman" w:hAnsi="Arial" w:cs="Arial"/>
            <w:color w:val="0563C1"/>
            <w:u w:val="single"/>
            <w:lang w:val="en-GB" w:eastAsia="en-GB"/>
          </w:rPr>
          <w:t>http://www.matthewgold.co.uk/1022-2/</w:t>
        </w:r>
      </w:hyperlink>
    </w:p>
    <w:p w14:paraId="1C84A425" w14:textId="6EF56358" w:rsidR="005821D9" w:rsidRPr="005821D9" w:rsidRDefault="005821D9" w:rsidP="00BD1B8C">
      <w:pPr>
        <w:overflowPunct w:val="0"/>
        <w:autoSpaceDE w:val="0"/>
        <w:autoSpaceDN w:val="0"/>
        <w:adjustRightInd w:val="0"/>
        <w:spacing w:before="240"/>
        <w:textAlignment w:val="baseline"/>
        <w:rPr>
          <w:rFonts w:ascii="Arial" w:eastAsia="Times New Roman" w:hAnsi="Arial" w:cs="Arial"/>
          <w:color w:val="0563C1"/>
          <w:lang w:val="en-GB" w:eastAsia="en-GB"/>
        </w:rPr>
      </w:pPr>
      <w:r w:rsidRPr="005821D9">
        <w:rPr>
          <w:rFonts w:ascii="Arial" w:eastAsia="Times New Roman" w:hAnsi="Arial" w:cs="Arial"/>
          <w:lang w:val="en-GB" w:eastAsia="en-GB"/>
        </w:rPr>
        <w:t>(Accessed: 22 February 2022)</w:t>
      </w:r>
    </w:p>
    <w:p w14:paraId="5710CDC3" w14:textId="77777777" w:rsidR="005821D9" w:rsidRPr="00BD1B8C" w:rsidRDefault="005821D9" w:rsidP="00BD1B8C">
      <w:pPr>
        <w:overflowPunct w:val="0"/>
        <w:autoSpaceDE w:val="0"/>
        <w:autoSpaceDN w:val="0"/>
        <w:adjustRightInd w:val="0"/>
        <w:spacing w:before="240"/>
        <w:textAlignment w:val="baseline"/>
        <w:rPr>
          <w:rFonts w:ascii="Arial" w:eastAsia="Times New Roman" w:hAnsi="Arial" w:cs="Arial"/>
          <w:lang w:val="en-GB" w:eastAsia="en-GB"/>
        </w:rPr>
      </w:pPr>
    </w:p>
    <w:p w14:paraId="6F8F6A9A" w14:textId="3FA94B2E" w:rsidR="00D50DF8" w:rsidRDefault="00D50DF8" w:rsidP="00B3743F">
      <w:pPr>
        <w:spacing w:after="160" w:line="259" w:lineRule="auto"/>
        <w:rPr>
          <w:rFonts w:ascii="Arial" w:eastAsia="Times New Roman" w:hAnsi="Arial" w:cs="Arial"/>
          <w:color w:val="0563C1"/>
          <w:u w:val="single"/>
          <w:lang w:val="en-GB" w:eastAsia="en-GB"/>
        </w:rPr>
      </w:pPr>
      <w:r w:rsidRPr="00B3743F">
        <w:rPr>
          <w:rFonts w:ascii="Arial" w:eastAsia="Times New Roman" w:hAnsi="Arial" w:cs="Arial"/>
          <w:lang w:val="en-GB" w:eastAsia="en-GB"/>
        </w:rPr>
        <w:t xml:space="preserve">R. </w:t>
      </w:r>
      <w:proofErr w:type="spellStart"/>
      <w:r w:rsidRPr="00B3743F">
        <w:rPr>
          <w:rFonts w:ascii="Arial" w:eastAsia="Times New Roman" w:hAnsi="Arial" w:cs="Arial"/>
          <w:lang w:val="en-GB" w:eastAsia="en-GB"/>
        </w:rPr>
        <w:t>Cropanzano</w:t>
      </w:r>
      <w:proofErr w:type="spellEnd"/>
      <w:r w:rsidRPr="00B3743F">
        <w:rPr>
          <w:rFonts w:ascii="Arial" w:eastAsia="Times New Roman" w:hAnsi="Arial" w:cs="Arial"/>
          <w:lang w:val="en-GB" w:eastAsia="en-GB"/>
        </w:rPr>
        <w:t xml:space="preserve">, M.L. Ambrose 2001,Procedural and distributive justice are more similar than you think: a monistic perspective and a research agenda, </w:t>
      </w:r>
      <w:hyperlink r:id="rId23" w:anchor="v=onepage&amp;q&amp;f=false" w:history="1">
        <w:r w:rsidRPr="00B3743F">
          <w:rPr>
            <w:rFonts w:ascii="Arial" w:eastAsia="Times New Roman" w:hAnsi="Arial" w:cs="Arial"/>
            <w:color w:val="0563C1"/>
            <w:u w:val="single"/>
            <w:lang w:val="en-GB" w:eastAsia="en-GB"/>
          </w:rPr>
          <w:t>https://books.google.co.uk/books?hl=en&amp;lr=&amp;id=KQU_nqwIJv4C&amp;oi=fnd&amp;pg=PA119&amp;ots=v83OrNuvNp&amp;sig=WyOIUyiEtUPKbA2lZ4d6qp7igFQ&amp;redir_esc=y#v=onepage&amp;q&amp;f=false</w:t>
        </w:r>
      </w:hyperlink>
    </w:p>
    <w:p w14:paraId="5CB60BA3" w14:textId="7231C53A" w:rsidR="007F5CBC" w:rsidRPr="007F5CBC" w:rsidRDefault="007F5CBC" w:rsidP="00B3743F">
      <w:pPr>
        <w:spacing w:after="160" w:line="259" w:lineRule="auto"/>
        <w:rPr>
          <w:rFonts w:ascii="Arial" w:eastAsia="Times New Roman" w:hAnsi="Arial" w:cs="Arial"/>
          <w:lang w:val="en-GB" w:eastAsia="en-GB"/>
        </w:rPr>
      </w:pPr>
      <w:r w:rsidRPr="007F5CBC">
        <w:rPr>
          <w:rFonts w:ascii="Arial" w:eastAsia="Times New Roman" w:hAnsi="Arial" w:cs="Arial"/>
          <w:lang w:val="en-GB" w:eastAsia="en-GB"/>
        </w:rPr>
        <w:t>(Accessed: 31 March 2022)</w:t>
      </w:r>
    </w:p>
    <w:p w14:paraId="0B8393A3" w14:textId="77777777" w:rsidR="005821D9" w:rsidRPr="00B3743F" w:rsidRDefault="005821D9" w:rsidP="00B3743F">
      <w:pPr>
        <w:spacing w:after="160" w:line="259" w:lineRule="auto"/>
        <w:rPr>
          <w:rFonts w:ascii="Arial" w:eastAsia="Times New Roman" w:hAnsi="Arial" w:cs="Arial"/>
          <w:lang w:val="en-GB" w:eastAsia="en-GB"/>
        </w:rPr>
      </w:pPr>
    </w:p>
    <w:p w14:paraId="6BF9958C" w14:textId="6DB86C6B"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Pr>
          <w:rFonts w:ascii="Arial" w:eastAsia="Times New Roman" w:hAnsi="Arial" w:cs="Arial"/>
          <w:lang w:val="en-GB" w:eastAsia="en-GB"/>
        </w:rPr>
        <w:t xml:space="preserve">Tyler 2006, </w:t>
      </w:r>
      <w:r w:rsidRPr="00BD1B8C">
        <w:rPr>
          <w:rFonts w:ascii="Arial" w:eastAsia="Times New Roman" w:hAnsi="Arial" w:cs="Arial"/>
          <w:lang w:val="en-GB" w:eastAsia="en-GB"/>
        </w:rPr>
        <w:t>Psychological perspectives on legitimacy and legitimation,</w:t>
      </w:r>
      <w:hyperlink r:id="rId24" w:history="1">
        <w:r w:rsidRPr="00BD1B8C">
          <w:rPr>
            <w:rFonts w:ascii="Arial" w:eastAsia="Times New Roman" w:hAnsi="Arial" w:cs="Arial"/>
            <w:color w:val="0563C1"/>
            <w:u w:val="single"/>
            <w:lang w:val="en-GB" w:eastAsia="en-GB"/>
          </w:rPr>
          <w:t>https://scholar.google.com/scholar_lookup?title=Psychological%20perspectives%20on%20legitimacy%20and%20legitimation&amp;journal=Annual%20Review%20of%20Psychology&amp;volume=57&amp;pages=375-400&amp;publication_year=2006&amp;author=Tyler%2CTR</w:t>
        </w:r>
      </w:hyperlink>
    </w:p>
    <w:p w14:paraId="57244440" w14:textId="32BEBCEE" w:rsidR="005821D9" w:rsidRPr="005821D9" w:rsidRDefault="005821D9" w:rsidP="00BD1B8C">
      <w:pPr>
        <w:overflowPunct w:val="0"/>
        <w:autoSpaceDE w:val="0"/>
        <w:autoSpaceDN w:val="0"/>
        <w:adjustRightInd w:val="0"/>
        <w:spacing w:before="240"/>
        <w:textAlignment w:val="baseline"/>
        <w:rPr>
          <w:rFonts w:ascii="Arial" w:eastAsia="Times New Roman" w:hAnsi="Arial" w:cs="Arial"/>
          <w:lang w:val="en-GB" w:eastAsia="en-GB"/>
        </w:rPr>
      </w:pPr>
      <w:r w:rsidRPr="005821D9">
        <w:rPr>
          <w:rFonts w:ascii="Arial" w:eastAsia="Times New Roman" w:hAnsi="Arial" w:cs="Arial"/>
          <w:lang w:val="en-GB" w:eastAsia="en-GB"/>
        </w:rPr>
        <w:t xml:space="preserve">(Accessed: </w:t>
      </w:r>
      <w:r>
        <w:rPr>
          <w:rFonts w:ascii="Arial" w:eastAsia="Times New Roman" w:hAnsi="Arial" w:cs="Arial"/>
          <w:lang w:val="en-GB" w:eastAsia="en-GB"/>
        </w:rPr>
        <w:t>22</w:t>
      </w:r>
      <w:r w:rsidRPr="005821D9">
        <w:rPr>
          <w:rFonts w:ascii="Arial" w:eastAsia="Times New Roman" w:hAnsi="Arial" w:cs="Arial"/>
          <w:lang w:val="en-GB" w:eastAsia="en-GB"/>
        </w:rPr>
        <w:t xml:space="preserve"> </w:t>
      </w:r>
      <w:r>
        <w:rPr>
          <w:rFonts w:ascii="Arial" w:eastAsia="Times New Roman" w:hAnsi="Arial" w:cs="Arial"/>
          <w:lang w:val="en-GB" w:eastAsia="en-GB"/>
        </w:rPr>
        <w:t>February</w:t>
      </w:r>
      <w:r w:rsidRPr="005821D9">
        <w:rPr>
          <w:rFonts w:ascii="Arial" w:eastAsia="Times New Roman" w:hAnsi="Arial" w:cs="Arial"/>
          <w:lang w:val="en-GB" w:eastAsia="en-GB"/>
        </w:rPr>
        <w:t xml:space="preserve"> 2022)</w:t>
      </w:r>
    </w:p>
    <w:p w14:paraId="1BB65008" w14:textId="77777777" w:rsidR="005821D9" w:rsidRPr="00BD1B8C" w:rsidRDefault="005821D9" w:rsidP="00BD1B8C">
      <w:pPr>
        <w:overflowPunct w:val="0"/>
        <w:autoSpaceDE w:val="0"/>
        <w:autoSpaceDN w:val="0"/>
        <w:adjustRightInd w:val="0"/>
        <w:spacing w:before="240"/>
        <w:textAlignment w:val="baseline"/>
        <w:rPr>
          <w:rFonts w:ascii="Arial" w:eastAsia="Times New Roman" w:hAnsi="Arial" w:cs="Arial"/>
          <w:lang w:val="en-GB" w:eastAsia="en-GB"/>
        </w:rPr>
      </w:pPr>
    </w:p>
    <w:p w14:paraId="60EB0296" w14:textId="6AF15935" w:rsidR="00D50DF8" w:rsidRDefault="00D50DF8"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r w:rsidRPr="00BD1B8C">
        <w:rPr>
          <w:rFonts w:ascii="Arial" w:eastAsia="Times New Roman" w:hAnsi="Arial" w:cs="Arial"/>
          <w:lang w:val="en-GB" w:eastAsia="en-GB"/>
        </w:rPr>
        <w:t>W. H Starbuck 1989, cited</w:t>
      </w:r>
      <w:r>
        <w:rPr>
          <w:rFonts w:ascii="Arial" w:eastAsia="Times New Roman" w:hAnsi="Arial" w:cs="Arial"/>
          <w:lang w:val="en-GB" w:eastAsia="en-GB"/>
        </w:rPr>
        <w:t xml:space="preserve"> </w:t>
      </w:r>
      <w:r w:rsidRPr="00BD1B8C">
        <w:rPr>
          <w:rFonts w:ascii="Arial" w:eastAsia="Times New Roman" w:hAnsi="Arial" w:cs="Arial"/>
          <w:lang w:val="en-GB" w:eastAsia="en-GB"/>
        </w:rPr>
        <w:t xml:space="preserve">by, A Brief History of Decision Making, Leigh Buchanan and Andrew O’Connell 2006, </w:t>
      </w:r>
      <w:hyperlink r:id="rId25" w:history="1">
        <w:r w:rsidRPr="00BD1B8C">
          <w:rPr>
            <w:rFonts w:ascii="Arial" w:eastAsia="Times New Roman" w:hAnsi="Arial" w:cs="Arial"/>
            <w:color w:val="0563C1"/>
            <w:u w:val="single"/>
            <w:lang w:val="en-GB" w:eastAsia="en-GB"/>
          </w:rPr>
          <w:t>https://hbr.org/2006/01/a-brief-history-of-decision-making</w:t>
        </w:r>
      </w:hyperlink>
    </w:p>
    <w:p w14:paraId="47F8256A" w14:textId="4A99BB5C" w:rsidR="007F5CBC" w:rsidRPr="007F5CBC" w:rsidRDefault="007F5CBC" w:rsidP="00BD1B8C">
      <w:pPr>
        <w:overflowPunct w:val="0"/>
        <w:autoSpaceDE w:val="0"/>
        <w:autoSpaceDN w:val="0"/>
        <w:adjustRightInd w:val="0"/>
        <w:spacing w:before="240"/>
        <w:textAlignment w:val="baseline"/>
        <w:rPr>
          <w:rFonts w:ascii="Arial" w:eastAsia="Times New Roman" w:hAnsi="Arial" w:cs="Arial"/>
          <w:color w:val="0563C1"/>
          <w:lang w:val="en-GB" w:eastAsia="en-GB"/>
        </w:rPr>
      </w:pPr>
      <w:r w:rsidRPr="007F5CBC">
        <w:rPr>
          <w:rFonts w:ascii="Arial" w:eastAsia="Times New Roman" w:hAnsi="Arial" w:cs="Arial"/>
          <w:lang w:val="en-GB" w:eastAsia="en-GB"/>
        </w:rPr>
        <w:t>(Accessed: 02 March 2022)</w:t>
      </w:r>
    </w:p>
    <w:p w14:paraId="2033BEBA" w14:textId="77777777" w:rsidR="00234E79" w:rsidRDefault="00234E79" w:rsidP="00BD1B8C">
      <w:pPr>
        <w:overflowPunct w:val="0"/>
        <w:autoSpaceDE w:val="0"/>
        <w:autoSpaceDN w:val="0"/>
        <w:adjustRightInd w:val="0"/>
        <w:spacing w:before="240"/>
        <w:textAlignment w:val="baseline"/>
        <w:rPr>
          <w:rFonts w:ascii="Arial" w:eastAsia="Times New Roman" w:hAnsi="Arial" w:cs="Arial"/>
          <w:color w:val="0563C1"/>
          <w:u w:val="single"/>
          <w:lang w:val="en-GB" w:eastAsia="en-GB"/>
        </w:rPr>
      </w:pPr>
    </w:p>
    <w:p w14:paraId="32CF0F88" w14:textId="06B5A6A5" w:rsidR="00D50DF8" w:rsidRDefault="00D50DF8" w:rsidP="00B3743F">
      <w:pPr>
        <w:rPr>
          <w:rFonts w:ascii="Calibri" w:eastAsia="Calibri" w:hAnsi="Calibri" w:cs="Times New Roman"/>
          <w:color w:val="0563C1"/>
          <w:sz w:val="24"/>
          <w:szCs w:val="24"/>
          <w:u w:val="single"/>
          <w:lang w:val="en-GB"/>
        </w:rPr>
      </w:pPr>
      <w:r w:rsidRPr="00B3743F">
        <w:rPr>
          <w:rFonts w:ascii="Arial" w:eastAsia="Calibri" w:hAnsi="Arial" w:cs="Arial"/>
          <w:lang w:val="en-GB"/>
        </w:rPr>
        <w:t>Zoe Billingham 2019,</w:t>
      </w:r>
      <w:r w:rsidRPr="00907AED">
        <w:rPr>
          <w:rFonts w:ascii="Arial" w:eastAsia="Calibri" w:hAnsi="Arial" w:cs="Arial"/>
          <w:lang w:val="en-GB"/>
        </w:rPr>
        <w:t xml:space="preserve"> </w:t>
      </w:r>
      <w:r w:rsidRPr="00B3743F">
        <w:rPr>
          <w:rFonts w:ascii="Arial" w:eastAsia="Calibri" w:hAnsi="Arial" w:cs="Arial"/>
          <w:lang w:val="en-GB"/>
        </w:rPr>
        <w:t>HMICFRS PEEL spotlight report</w:t>
      </w:r>
      <w:r w:rsidRPr="00907AED">
        <w:rPr>
          <w:rFonts w:ascii="Arial" w:eastAsia="Calibri" w:hAnsi="Arial" w:cs="Arial"/>
          <w:lang w:val="en-GB"/>
        </w:rPr>
        <w:t>:</w:t>
      </w:r>
      <w:r w:rsidRPr="00B3743F">
        <w:rPr>
          <w:rFonts w:ascii="Arial" w:eastAsia="Calibri" w:hAnsi="Arial" w:cs="Arial"/>
          <w:lang w:val="en-GB"/>
        </w:rPr>
        <w:t xml:space="preserve"> Shining a light on betrayal, Abuse of position for a sexual purpose</w:t>
      </w:r>
      <w:r w:rsidRPr="00B3743F">
        <w:rPr>
          <w:rFonts w:ascii="Calibri" w:eastAsia="Calibri" w:hAnsi="Calibri" w:cs="Times New Roman"/>
          <w:sz w:val="24"/>
          <w:szCs w:val="24"/>
          <w:lang w:val="en-GB"/>
        </w:rPr>
        <w:t xml:space="preserve">, </w:t>
      </w:r>
      <w:hyperlink r:id="rId26" w:history="1">
        <w:r w:rsidRPr="00B3743F">
          <w:rPr>
            <w:rFonts w:ascii="Calibri" w:eastAsia="Calibri" w:hAnsi="Calibri" w:cs="Times New Roman"/>
            <w:color w:val="0563C1"/>
            <w:sz w:val="24"/>
            <w:szCs w:val="24"/>
            <w:u w:val="single"/>
            <w:lang w:val="en-GB"/>
          </w:rPr>
          <w:t>https://www.justiceinspectorates.gov.uk/hmicfrs/wp-content/uploads/peel-spotlight-report-abuse-of-position-for-a-sexual-purpose-1.pdf</w:t>
        </w:r>
      </w:hyperlink>
    </w:p>
    <w:p w14:paraId="01C6C2D7" w14:textId="412D5CBD" w:rsidR="007F5CBC" w:rsidRDefault="007F5CBC" w:rsidP="00B3743F">
      <w:pPr>
        <w:rPr>
          <w:rFonts w:ascii="Calibri" w:eastAsia="Calibri" w:hAnsi="Calibri" w:cs="Times New Roman"/>
          <w:color w:val="0563C1"/>
          <w:sz w:val="24"/>
          <w:szCs w:val="24"/>
          <w:u w:val="single"/>
          <w:lang w:val="en-GB"/>
        </w:rPr>
      </w:pPr>
    </w:p>
    <w:p w14:paraId="044BA611" w14:textId="73FF23D3" w:rsidR="007F5CBC" w:rsidRPr="007F5CBC" w:rsidRDefault="007F5CBC" w:rsidP="00B3743F">
      <w:pPr>
        <w:rPr>
          <w:rFonts w:ascii="Arial" w:eastAsia="Calibri" w:hAnsi="Arial" w:cs="Arial"/>
          <w:lang w:val="en-GB"/>
        </w:rPr>
      </w:pPr>
      <w:r w:rsidRPr="007F5CBC">
        <w:rPr>
          <w:rFonts w:ascii="Arial" w:eastAsia="Calibri" w:hAnsi="Arial" w:cs="Arial"/>
          <w:lang w:val="en-GB"/>
        </w:rPr>
        <w:t>(Accessed: 26 April 2022)</w:t>
      </w:r>
    </w:p>
    <w:p w14:paraId="6A897459" w14:textId="3641736B" w:rsidR="00234E79" w:rsidRPr="00234E79" w:rsidRDefault="00234E79" w:rsidP="00B3743F">
      <w:pPr>
        <w:rPr>
          <w:rFonts w:ascii="Arial" w:eastAsia="Calibri" w:hAnsi="Arial" w:cs="Arial"/>
          <w:color w:val="0563C1"/>
          <w:lang w:val="en-GB"/>
        </w:rPr>
      </w:pPr>
    </w:p>
    <w:p w14:paraId="4C3DC201" w14:textId="77777777" w:rsidR="00B3743F" w:rsidRPr="00B3743F" w:rsidRDefault="00B3743F" w:rsidP="00B3743F">
      <w:pPr>
        <w:rPr>
          <w:rFonts w:ascii="Arial" w:eastAsia="Times New Roman" w:hAnsi="Arial" w:cs="Arial"/>
          <w:bCs/>
          <w:color w:val="0563C1"/>
          <w:u w:val="single"/>
          <w:lang w:val="en-GB" w:eastAsia="en-GB"/>
        </w:rPr>
      </w:pPr>
    </w:p>
    <w:p w14:paraId="78486D89" w14:textId="77777777" w:rsidR="00B3743F" w:rsidRPr="00B3743F" w:rsidRDefault="00B3743F" w:rsidP="00B3743F">
      <w:pPr>
        <w:rPr>
          <w:rFonts w:ascii="Arial" w:eastAsia="Times New Roman" w:hAnsi="Arial" w:cs="Arial"/>
          <w:bCs/>
          <w:lang w:val="en-GB" w:eastAsia="en-GB"/>
        </w:rPr>
      </w:pPr>
    </w:p>
    <w:p w14:paraId="0D9F246C" w14:textId="77777777" w:rsidR="00B3743F" w:rsidRPr="00B3743F" w:rsidRDefault="00B3743F" w:rsidP="00B3743F">
      <w:pPr>
        <w:rPr>
          <w:rFonts w:ascii="Arial" w:eastAsia="Times New Roman" w:hAnsi="Arial" w:cs="Arial"/>
          <w:bCs/>
          <w:lang w:val="en-GB" w:eastAsia="en-GB"/>
        </w:rPr>
      </w:pPr>
    </w:p>
    <w:p w14:paraId="2D44FC42" w14:textId="77777777" w:rsidR="00B3743F" w:rsidRPr="00B3743F" w:rsidRDefault="00B3743F" w:rsidP="00B3743F">
      <w:pPr>
        <w:rPr>
          <w:rFonts w:ascii="Arial" w:eastAsia="Times New Roman" w:hAnsi="Arial" w:cs="Arial"/>
          <w:bCs/>
          <w:lang w:val="en-GB" w:eastAsia="en-GB"/>
        </w:rPr>
      </w:pPr>
    </w:p>
    <w:p w14:paraId="643029D8" w14:textId="77777777" w:rsidR="00B3743F" w:rsidRPr="00B3743F" w:rsidRDefault="00B3743F" w:rsidP="00B3743F">
      <w:pPr>
        <w:spacing w:after="160" w:line="259" w:lineRule="auto"/>
        <w:rPr>
          <w:rFonts w:ascii="Arial" w:eastAsia="Times New Roman" w:hAnsi="Arial" w:cs="Arial"/>
          <w:lang w:val="en-GB" w:eastAsia="en-GB"/>
        </w:rPr>
      </w:pPr>
    </w:p>
    <w:p w14:paraId="3FD33DC9" w14:textId="77777777" w:rsidR="005A1194" w:rsidRPr="005A1194" w:rsidRDefault="005A1194" w:rsidP="005A1194">
      <w:pPr>
        <w:rPr>
          <w:rFonts w:ascii="Arial" w:eastAsia="Times New Roman" w:hAnsi="Arial" w:cs="Arial"/>
          <w:bCs/>
          <w:lang w:val="en-GB" w:eastAsia="en-GB"/>
        </w:rPr>
      </w:pPr>
    </w:p>
    <w:p w14:paraId="6E5CF3C4" w14:textId="77777777" w:rsidR="005A1194" w:rsidRPr="0095560E" w:rsidRDefault="005A1194" w:rsidP="0095560E">
      <w:pPr>
        <w:spacing w:after="160" w:line="259" w:lineRule="auto"/>
        <w:rPr>
          <w:rFonts w:ascii="Arial" w:eastAsia="Times New Roman" w:hAnsi="Arial" w:cs="Arial"/>
          <w:lang w:val="en-GB" w:eastAsia="en-GB"/>
        </w:rPr>
      </w:pPr>
    </w:p>
    <w:p w14:paraId="600508D1" w14:textId="77777777" w:rsidR="0095560E" w:rsidRPr="0095560E" w:rsidRDefault="0095560E" w:rsidP="0095560E">
      <w:pPr>
        <w:spacing w:after="160" w:line="259" w:lineRule="auto"/>
        <w:rPr>
          <w:rFonts w:ascii="Arial" w:eastAsia="Times New Roman" w:hAnsi="Arial" w:cs="Arial"/>
          <w:lang w:val="en-GB" w:eastAsia="en-GB"/>
        </w:rPr>
      </w:pPr>
    </w:p>
    <w:p w14:paraId="28113187" w14:textId="77777777" w:rsidR="00800376" w:rsidRDefault="00800376"/>
    <w:sectPr w:rsidR="008003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0C624" w14:textId="77777777" w:rsidR="002C0B1E" w:rsidRDefault="002C0B1E" w:rsidP="002C0B1E">
      <w:r>
        <w:separator/>
      </w:r>
    </w:p>
  </w:endnote>
  <w:endnote w:type="continuationSeparator" w:id="0">
    <w:p w14:paraId="77094810" w14:textId="77777777" w:rsidR="002C0B1E" w:rsidRDefault="002C0B1E" w:rsidP="002C0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355FE" w14:textId="77777777" w:rsidR="002C0B1E" w:rsidRDefault="002C0B1E" w:rsidP="002C0B1E">
      <w:r>
        <w:separator/>
      </w:r>
    </w:p>
  </w:footnote>
  <w:footnote w:type="continuationSeparator" w:id="0">
    <w:p w14:paraId="742C6EAB" w14:textId="77777777" w:rsidR="002C0B1E" w:rsidRDefault="002C0B1E" w:rsidP="002C0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B1E"/>
    <w:rsid w:val="000061C6"/>
    <w:rsid w:val="00172887"/>
    <w:rsid w:val="001C134F"/>
    <w:rsid w:val="0023089E"/>
    <w:rsid w:val="00234E79"/>
    <w:rsid w:val="002C0B1E"/>
    <w:rsid w:val="00331CB0"/>
    <w:rsid w:val="005821D9"/>
    <w:rsid w:val="005A1194"/>
    <w:rsid w:val="00645252"/>
    <w:rsid w:val="006A269D"/>
    <w:rsid w:val="006D3D74"/>
    <w:rsid w:val="007F5CBC"/>
    <w:rsid w:val="00800376"/>
    <w:rsid w:val="0083569A"/>
    <w:rsid w:val="00907AED"/>
    <w:rsid w:val="0095560E"/>
    <w:rsid w:val="00A46892"/>
    <w:rsid w:val="00A9204E"/>
    <w:rsid w:val="00B3743F"/>
    <w:rsid w:val="00BD1B8C"/>
    <w:rsid w:val="00C07674"/>
    <w:rsid w:val="00D50DF8"/>
    <w:rsid w:val="00EE3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940D2C"/>
  <w15:chartTrackingRefBased/>
  <w15:docId w15:val="{9B054F5B-2F1C-4268-BAE5-44E3AEA5F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C076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olfed.org/media/14073/welfaresurveyattitudesandevaluation-summaryreport-25-01-2017-v1.pdf" TargetMode="External"/><Relationship Id="rId18" Type="http://schemas.openxmlformats.org/officeDocument/2006/relationships/hyperlink" Target="https://www.dmu.ac.uk/documents/health-and-life-sciences-documents/research/rdsolr1207.pdf" TargetMode="External"/><Relationship Id="rId26" Type="http://schemas.openxmlformats.org/officeDocument/2006/relationships/hyperlink" Target="https://www.justiceinspectorates.gov.uk/hmicfrs/wp-content/uploads/peel-spotlight-report-abuse-of-position-for-a-sexual-purpose-1.pdf" TargetMode="External"/><Relationship Id="rId3" Type="http://schemas.openxmlformats.org/officeDocument/2006/relationships/customXml" Target="../customXml/item3.xml"/><Relationship Id="rId21" Type="http://schemas.openxmlformats.org/officeDocument/2006/relationships/hyperlink" Target="https://www.legislation.gov.uk/ukpga/2017/3/contents/enacted" TargetMode="External"/><Relationship Id="rId7" Type="http://schemas.openxmlformats.org/officeDocument/2006/relationships/webSettings" Target="webSettings.xml"/><Relationship Id="rId12" Type="http://schemas.openxmlformats.org/officeDocument/2006/relationships/hyperlink" Target="https://www.simplypsychology.org/cognitive-bias.html" TargetMode="External"/><Relationship Id="rId17" Type="http://schemas.openxmlformats.org/officeDocument/2006/relationships/hyperlink" Target="https://policeconduct.gov.uk/becoming-iopc" TargetMode="External"/><Relationship Id="rId25" Type="http://schemas.openxmlformats.org/officeDocument/2006/relationships/hyperlink" Target="https://hbr.org/2006/01/a-brief-history-of-decision-making" TargetMode="External"/><Relationship Id="rId2" Type="http://schemas.openxmlformats.org/officeDocument/2006/relationships/customXml" Target="../customXml/item2.xml"/><Relationship Id="rId16" Type="http://schemas.openxmlformats.org/officeDocument/2006/relationships/hyperlink" Target="https://www.justiceinspectorates.gov.uk/hmicfrs/wp-content/uploads/both-sides-of-the-coin-police-nca-response-vulnerable-people-county-lines-drug-offending.pdf" TargetMode="External"/><Relationship Id="rId20" Type="http://schemas.openxmlformats.org/officeDocument/2006/relationships/hyperlink" Target="https://journals.sagepub.com/doi/abs/10.1177/1461355721102693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scovery.ucl.ac.uk/id/eprint/10088278/1/Self%20legitimacy%2C%20police%20culture%20and%20support%20for%20democratic%20policing.pdf" TargetMode="External"/><Relationship Id="rId24" Type="http://schemas.openxmlformats.org/officeDocument/2006/relationships/hyperlink" Target="https://scholar.google.com/scholar_lookup?title=Psychological%20perspectives%20on%20legitimacy%20and%20legitimation&amp;journal=Annual%20Review%20of%20Psychology&amp;volume=57&amp;pages=375-400&amp;publication_year=2006&amp;author=Tyler%2CTR" TargetMode="External"/><Relationship Id="rId5" Type="http://schemas.openxmlformats.org/officeDocument/2006/relationships/styles" Target="styles.xml"/><Relationship Id="rId15" Type="http://schemas.openxmlformats.org/officeDocument/2006/relationships/hyperlink" Target="https://whatworks.college.police.uk/Research/Documents/150317_Chief_officer_misconduct_FINAL_%20REPORT.pdf" TargetMode="External"/><Relationship Id="rId23" Type="http://schemas.openxmlformats.org/officeDocument/2006/relationships/hyperlink" Target="https://books.google.co.uk/books?hl=en&amp;lr=&amp;id=KQU_nqwIJv4C&amp;oi=fnd&amp;pg=PA119&amp;ots=v83OrNuvNp&amp;sig=WyOIUyiEtUPKbA2lZ4d6qp7igFQ&amp;redir_esc=y" TargetMode="External"/><Relationship Id="rId28" Type="http://schemas.openxmlformats.org/officeDocument/2006/relationships/theme" Target="theme/theme1.xml"/><Relationship Id="rId10" Type="http://schemas.openxmlformats.org/officeDocument/2006/relationships/hyperlink" Target="https://www.nationalgeographic.com/science/article/emotion-is-not-the-enemy-of-reason" TargetMode="External"/><Relationship Id="rId19" Type="http://schemas.openxmlformats.org/officeDocument/2006/relationships/hyperlink" Target="https://www.local.gov.uk/sites/default/files/documents/tackling-serious-and-orga-44a.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mit.edu/curhan/www/docs/Articles/15341_Readings/Justice/Greenberg_1987_A_taxonomy_of_org_justice_theories.pdf" TargetMode="External"/><Relationship Id="rId22" Type="http://schemas.openxmlformats.org/officeDocument/2006/relationships/hyperlink" Target="http://www.matthewgold.co.uk/1022-2/"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07529\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873beb7-5857-4685-be1f-d57550cc96cc"/>
    <ds:schemaRef ds:uri="http://www.w3.org/XML/1998/namespace"/>
    <ds:schemaRef ds:uri="http://purl.org/dc/dcmitype/"/>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Single spaced (blank)</Template>
  <TotalTime>67</TotalTime>
  <Pages>12</Pages>
  <Words>4814</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16</cp:revision>
  <dcterms:created xsi:type="dcterms:W3CDTF">2022-05-05T10:46:00Z</dcterms:created>
  <dcterms:modified xsi:type="dcterms:W3CDTF">2022-05-05T12:07:00Z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MSIP_Label_f2acd28b-79a3-4a0f-b0ff-4b75658b1549_Enabled">
    <vt:lpwstr>true</vt:lpwstr>
  </property>
  <property fmtid="{D5CDD505-2E9C-101B-9397-08002B2CF9AE}" pid="9" name="MSIP_Label_f2acd28b-79a3-4a0f-b0ff-4b75658b1549_SetDate">
    <vt:lpwstr>2022-05-05T10:46:32Z</vt:lpwstr>
  </property>
  <property fmtid="{D5CDD505-2E9C-101B-9397-08002B2CF9AE}" pid="10" name="MSIP_Label_f2acd28b-79a3-4a0f-b0ff-4b75658b1549_Method">
    <vt:lpwstr>Standard</vt:lpwstr>
  </property>
  <property fmtid="{D5CDD505-2E9C-101B-9397-08002B2CF9AE}" pid="11" name="MSIP_Label_f2acd28b-79a3-4a0f-b0ff-4b75658b1549_Name">
    <vt:lpwstr>OFFICIAL</vt:lpwstr>
  </property>
  <property fmtid="{D5CDD505-2E9C-101B-9397-08002B2CF9AE}" pid="12" name="MSIP_Label_f2acd28b-79a3-4a0f-b0ff-4b75658b1549_SiteId">
    <vt:lpwstr>e46c8472-ef5d-4b63-bc74-4a60db42c371</vt:lpwstr>
  </property>
  <property fmtid="{D5CDD505-2E9C-101B-9397-08002B2CF9AE}" pid="13" name="MSIP_Label_f2acd28b-79a3-4a0f-b0ff-4b75658b1549_ActionId">
    <vt:lpwstr>39cca7e9-b6c1-4c1c-9900-57d0142b0f86</vt:lpwstr>
  </property>
  <property fmtid="{D5CDD505-2E9C-101B-9397-08002B2CF9AE}" pid="14" name="MSIP_Label_f2acd28b-79a3-4a0f-b0ff-4b75658b1549_ContentBits">
    <vt:lpwstr>0</vt:lpwstr>
  </property>
</Properties>
</file>