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5116BE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F30F9F4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28409D9C" w14:textId="60289758" w:rsidR="00A626B1" w:rsidRDefault="00A626B1" w:rsidP="00A626B1">
      <w:pPr>
        <w:spacing w:line="276" w:lineRule="auto"/>
        <w:jc w:val="center"/>
        <w:rPr>
          <w:rFonts w:ascii="Arial" w:hAnsi="Arial" w:cs="Arial"/>
          <w:color w:val="212529"/>
          <w:shd w:val="clear" w:color="auto" w:fill="FFFFFF"/>
        </w:rPr>
      </w:pPr>
      <w:proofErr w:type="spellStart"/>
      <w:r>
        <w:rPr>
          <w:rFonts w:ascii="Arial" w:hAnsi="Arial" w:cs="Arial"/>
          <w:color w:val="212529"/>
          <w:shd w:val="clear" w:color="auto" w:fill="FFFFFF"/>
        </w:rPr>
        <w:t>Cynnwys</w:t>
      </w:r>
      <w:proofErr w:type="spellEnd"/>
    </w:p>
    <w:p w14:paraId="71B82636" w14:textId="77777777" w:rsidR="00A626B1" w:rsidRDefault="00A626B1" w:rsidP="00A626B1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2B95B305" w14:textId="0CEC460E" w:rsidR="00A626B1" w:rsidRDefault="00A626B1" w:rsidP="00A626B1">
      <w:pPr>
        <w:spacing w:line="276" w:lineRule="auto"/>
        <w:jc w:val="center"/>
        <w:rPr>
          <w:rFonts w:ascii="Arial" w:hAnsi="Arial" w:cs="Arial"/>
          <w:color w:val="212529"/>
          <w:shd w:val="clear" w:color="auto" w:fill="FFFFFF"/>
        </w:rPr>
      </w:pPr>
      <w:proofErr w:type="spellStart"/>
      <w:r>
        <w:rPr>
          <w:rFonts w:ascii="Arial" w:hAnsi="Arial" w:cs="Arial"/>
          <w:color w:val="212529"/>
          <w:shd w:val="clear" w:color="auto" w:fill="FFFFFF"/>
        </w:rPr>
        <w:t>Tudalen</w:t>
      </w:r>
      <w:proofErr w:type="spellEnd"/>
      <w:r>
        <w:rPr>
          <w:rFonts w:ascii="Arial" w:hAnsi="Arial" w:cs="Arial"/>
          <w:color w:val="212529"/>
          <w:shd w:val="clear" w:color="auto" w:fill="FFFFFF"/>
        </w:rPr>
        <w:t xml:space="preserve"> 1: </w:t>
      </w:r>
      <w:proofErr w:type="spellStart"/>
      <w:r>
        <w:rPr>
          <w:rFonts w:ascii="Arial" w:hAnsi="Arial" w:cs="Arial"/>
          <w:color w:val="212529"/>
          <w:shd w:val="clear" w:color="auto" w:fill="FFFFFF"/>
        </w:rPr>
        <w:t>Cynnwys</w:t>
      </w:r>
      <w:proofErr w:type="spellEnd"/>
    </w:p>
    <w:p w14:paraId="34C6A9B4" w14:textId="3925C624" w:rsidR="000731E1" w:rsidRDefault="000731E1" w:rsidP="00A626B1">
      <w:pPr>
        <w:spacing w:line="276" w:lineRule="auto"/>
        <w:jc w:val="center"/>
        <w:rPr>
          <w:rFonts w:ascii="Arial" w:hAnsi="Arial" w:cs="Arial"/>
          <w:color w:val="212529"/>
          <w:shd w:val="clear" w:color="auto" w:fill="FFFFFF"/>
        </w:rPr>
      </w:pPr>
      <w:proofErr w:type="spellStart"/>
      <w:r>
        <w:rPr>
          <w:rFonts w:ascii="Arial" w:hAnsi="Arial" w:cs="Arial"/>
          <w:color w:val="212529"/>
          <w:shd w:val="clear" w:color="auto" w:fill="FFFFFF"/>
        </w:rPr>
        <w:t>Tudalen</w:t>
      </w:r>
      <w:proofErr w:type="spellEnd"/>
      <w:r>
        <w:rPr>
          <w:rFonts w:ascii="Arial" w:hAnsi="Arial" w:cs="Arial"/>
          <w:color w:val="212529"/>
          <w:shd w:val="clear" w:color="auto" w:fill="FFFFFF"/>
        </w:rPr>
        <w:t xml:space="preserve"> 2: Linc y </w:t>
      </w:r>
      <w:proofErr w:type="spellStart"/>
      <w:r>
        <w:rPr>
          <w:rFonts w:ascii="Arial" w:hAnsi="Arial" w:cs="Arial"/>
          <w:color w:val="212529"/>
          <w:shd w:val="clear" w:color="auto" w:fill="FFFFFF"/>
        </w:rPr>
        <w:t>fideo</w:t>
      </w:r>
      <w:proofErr w:type="spellEnd"/>
    </w:p>
    <w:p w14:paraId="3FD08B94" w14:textId="531D956F" w:rsidR="00A626B1" w:rsidRDefault="00A626B1" w:rsidP="00A626B1">
      <w:pPr>
        <w:spacing w:line="276" w:lineRule="auto"/>
        <w:jc w:val="center"/>
        <w:rPr>
          <w:rFonts w:ascii="Arial" w:hAnsi="Arial" w:cs="Arial"/>
          <w:color w:val="212529"/>
          <w:shd w:val="clear" w:color="auto" w:fill="FFFFFF"/>
        </w:rPr>
      </w:pPr>
      <w:proofErr w:type="spellStart"/>
      <w:r>
        <w:rPr>
          <w:rFonts w:ascii="Arial" w:hAnsi="Arial" w:cs="Arial"/>
          <w:color w:val="212529"/>
          <w:shd w:val="clear" w:color="auto" w:fill="FFFFFF"/>
        </w:rPr>
        <w:t>Tudalen</w:t>
      </w:r>
      <w:proofErr w:type="spellEnd"/>
      <w:r>
        <w:rPr>
          <w:rFonts w:ascii="Arial" w:hAnsi="Arial" w:cs="Arial"/>
          <w:color w:val="212529"/>
          <w:shd w:val="clear" w:color="auto" w:fill="FFFFFF"/>
        </w:rPr>
        <w:t xml:space="preserve"> </w:t>
      </w:r>
      <w:r w:rsidR="000731E1">
        <w:rPr>
          <w:rFonts w:ascii="Arial" w:hAnsi="Arial" w:cs="Arial"/>
          <w:color w:val="212529"/>
          <w:shd w:val="clear" w:color="auto" w:fill="FFFFFF"/>
        </w:rPr>
        <w:t>3</w:t>
      </w:r>
      <w:r>
        <w:rPr>
          <w:rFonts w:ascii="Arial" w:hAnsi="Arial" w:cs="Arial"/>
          <w:color w:val="212529"/>
          <w:shd w:val="clear" w:color="auto" w:fill="FFFFFF"/>
        </w:rPr>
        <w:t xml:space="preserve"> – </w:t>
      </w:r>
      <w:r w:rsidR="000731E1">
        <w:rPr>
          <w:rFonts w:ascii="Arial" w:hAnsi="Arial" w:cs="Arial"/>
          <w:color w:val="212529"/>
          <w:shd w:val="clear" w:color="auto" w:fill="FFFFFF"/>
        </w:rPr>
        <w:t>6</w:t>
      </w:r>
      <w:r>
        <w:rPr>
          <w:rFonts w:ascii="Arial" w:hAnsi="Arial" w:cs="Arial"/>
          <w:color w:val="212529"/>
          <w:shd w:val="clear" w:color="auto" w:fill="FFFFFF"/>
        </w:rPr>
        <w:t xml:space="preserve">: Darn </w:t>
      </w:r>
      <w:proofErr w:type="spellStart"/>
      <w:r>
        <w:rPr>
          <w:rFonts w:ascii="Arial" w:hAnsi="Arial" w:cs="Arial"/>
          <w:color w:val="212529"/>
          <w:shd w:val="clear" w:color="auto" w:fill="FFFFFF"/>
        </w:rPr>
        <w:t>Ysgrifenedig</w:t>
      </w:r>
      <w:proofErr w:type="spellEnd"/>
    </w:p>
    <w:p w14:paraId="6A1F304A" w14:textId="38DF3914" w:rsidR="00A626B1" w:rsidRDefault="00A626B1" w:rsidP="00A626B1">
      <w:pPr>
        <w:spacing w:line="276" w:lineRule="auto"/>
        <w:jc w:val="center"/>
        <w:rPr>
          <w:rFonts w:ascii="Arial" w:hAnsi="Arial" w:cs="Arial"/>
          <w:color w:val="212529"/>
          <w:shd w:val="clear" w:color="auto" w:fill="FFFFFF"/>
        </w:rPr>
      </w:pPr>
      <w:proofErr w:type="spellStart"/>
      <w:r>
        <w:rPr>
          <w:rFonts w:ascii="Arial" w:hAnsi="Arial" w:cs="Arial"/>
          <w:color w:val="212529"/>
          <w:shd w:val="clear" w:color="auto" w:fill="FFFFFF"/>
        </w:rPr>
        <w:t>Tudalen</w:t>
      </w:r>
      <w:proofErr w:type="spellEnd"/>
      <w:r>
        <w:rPr>
          <w:rFonts w:ascii="Arial" w:hAnsi="Arial" w:cs="Arial"/>
          <w:color w:val="212529"/>
          <w:shd w:val="clear" w:color="auto" w:fill="FFFFFF"/>
        </w:rPr>
        <w:t xml:space="preserve"> </w:t>
      </w:r>
      <w:r w:rsidR="000731E1">
        <w:rPr>
          <w:rFonts w:ascii="Arial" w:hAnsi="Arial" w:cs="Arial"/>
          <w:color w:val="212529"/>
          <w:shd w:val="clear" w:color="auto" w:fill="FFFFFF"/>
        </w:rPr>
        <w:t>7</w:t>
      </w:r>
      <w:r>
        <w:rPr>
          <w:rFonts w:ascii="Arial" w:hAnsi="Arial" w:cs="Arial"/>
          <w:color w:val="212529"/>
          <w:shd w:val="clear" w:color="auto" w:fill="FFFFFF"/>
        </w:rPr>
        <w:t xml:space="preserve"> – </w:t>
      </w:r>
      <w:r w:rsidR="000731E1">
        <w:rPr>
          <w:rFonts w:ascii="Arial" w:hAnsi="Arial" w:cs="Arial"/>
          <w:color w:val="212529"/>
          <w:shd w:val="clear" w:color="auto" w:fill="FFFFFF"/>
        </w:rPr>
        <w:t>8:</w:t>
      </w:r>
      <w:r w:rsidR="009018A2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018A2">
        <w:rPr>
          <w:rFonts w:ascii="Arial" w:hAnsi="Arial" w:cs="Arial"/>
          <w:color w:val="212529"/>
          <w:shd w:val="clear" w:color="auto" w:fill="FFFFFF"/>
        </w:rPr>
        <w:t>Cyfeirnodi</w:t>
      </w:r>
      <w:proofErr w:type="spellEnd"/>
    </w:p>
    <w:p w14:paraId="34532826" w14:textId="77777777" w:rsidR="00A626B1" w:rsidRDefault="00A626B1" w:rsidP="00A626B1">
      <w:pPr>
        <w:spacing w:line="276" w:lineRule="auto"/>
        <w:jc w:val="center"/>
        <w:rPr>
          <w:rFonts w:ascii="Arial" w:hAnsi="Arial" w:cs="Arial"/>
          <w:color w:val="212529"/>
          <w:shd w:val="clear" w:color="auto" w:fill="FFFFFF"/>
        </w:rPr>
      </w:pPr>
    </w:p>
    <w:p w14:paraId="021D20B7" w14:textId="7DABB576" w:rsidR="00A626B1" w:rsidRPr="00A626B1" w:rsidRDefault="00A626B1" w:rsidP="00A626B1">
      <w:pPr>
        <w:spacing w:line="276" w:lineRule="auto"/>
        <w:jc w:val="center"/>
        <w:rPr>
          <w:rFonts w:ascii="Arial" w:hAnsi="Arial" w:cs="Arial"/>
          <w:color w:val="212529"/>
          <w:shd w:val="clear" w:color="auto" w:fill="FFFFFF"/>
        </w:rPr>
      </w:pPr>
      <w:r>
        <w:rPr>
          <w:rFonts w:ascii="Arial" w:hAnsi="Arial" w:cs="Arial"/>
          <w:color w:val="212529"/>
          <w:shd w:val="clear" w:color="auto" w:fill="FFFFFF"/>
        </w:rPr>
        <w:t xml:space="preserve">Ni </w:t>
      </w:r>
      <w:proofErr w:type="spellStart"/>
      <w:r>
        <w:rPr>
          <w:rFonts w:ascii="Arial" w:hAnsi="Arial" w:cs="Arial"/>
          <w:color w:val="212529"/>
          <w:shd w:val="clear" w:color="auto" w:fill="FFFFFF"/>
        </w:rPr>
        <w:t>ddefnyddir</w:t>
      </w:r>
      <w:proofErr w:type="spellEnd"/>
      <w:r>
        <w:rPr>
          <w:rFonts w:ascii="Arial" w:hAnsi="Arial" w:cs="Arial"/>
          <w:color w:val="212529"/>
          <w:shd w:val="clear" w:color="auto" w:fill="FFFFFF"/>
        </w:rPr>
        <w:t xml:space="preserve"> AI am y darn </w:t>
      </w:r>
      <w:proofErr w:type="spellStart"/>
      <w:r>
        <w:rPr>
          <w:rFonts w:ascii="Arial" w:hAnsi="Arial" w:cs="Arial"/>
          <w:color w:val="212529"/>
          <w:shd w:val="clear" w:color="auto" w:fill="FFFFFF"/>
        </w:rPr>
        <w:t>ysgrifenedig</w:t>
      </w:r>
      <w:proofErr w:type="spellEnd"/>
      <w:r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0731E1">
        <w:rPr>
          <w:rFonts w:ascii="Arial" w:hAnsi="Arial" w:cs="Arial"/>
          <w:color w:val="212529"/>
          <w:shd w:val="clear" w:color="auto" w:fill="FFFFFF"/>
        </w:rPr>
        <w:t>yma</w:t>
      </w:r>
      <w:proofErr w:type="spellEnd"/>
      <w:r w:rsidR="000731E1">
        <w:rPr>
          <w:rFonts w:ascii="Arial" w:hAnsi="Arial" w:cs="Arial"/>
          <w:color w:val="212529"/>
          <w:shd w:val="clear" w:color="auto" w:fill="FFFFFF"/>
        </w:rPr>
        <w:t>.</w:t>
      </w:r>
    </w:p>
    <w:p w14:paraId="49672C72" w14:textId="3E87839C" w:rsidR="00A626B1" w:rsidRDefault="00A626B1" w:rsidP="00A626B1">
      <w:pPr>
        <w:spacing w:line="276" w:lineRule="auto"/>
        <w:jc w:val="center"/>
        <w:rPr>
          <w:rFonts w:ascii="Arial" w:hAnsi="Arial" w:cs="Arial"/>
          <w:color w:val="212529"/>
          <w:shd w:val="clear" w:color="auto" w:fill="FFFFFF"/>
        </w:rPr>
      </w:pPr>
    </w:p>
    <w:p w14:paraId="474DC3FF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752A8CCE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5849A6E6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F659854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3565713D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53866B0E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4D83893C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617AD317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0C64819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1662C2B2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E1369D8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65A77EC3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369FCEF9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7E449EFA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28D51DE1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6A8A7161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32D3FE69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1BAEB222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190E2F8B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2784E584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4C773160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1835D1F4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7CA50F24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132019FB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55DB4930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342BF643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4C19DEFF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CFC0F97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2F6A792A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638578DE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AC5B36B" w14:textId="77777777" w:rsidR="00A626B1" w:rsidRDefault="00A626B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2579B9E7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7E5599D0" w14:textId="0F7CF33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  <w:hyperlink r:id="rId6" w:history="1">
        <w:r w:rsidRPr="00060DC1">
          <w:rPr>
            <w:rStyle w:val="Hyperlink"/>
            <w:rFonts w:ascii="Arial" w:hAnsi="Arial" w:cs="Arial"/>
            <w:shd w:val="clear" w:color="auto" w:fill="FFFFFF"/>
          </w:rPr>
          <w:t>https://uowtsd-my.sharepoint.com/personal/2408332_student_uwtsd_ac_uk/_layouts/15/stream.aspx?id=%2Fpersonal%2F2408332%5Fstudent%5Fuwtsd%5Fac%5Fuk%2FDocuments%2FECEY4010%2FIMG%5F4839%2EMOV&amp;referrer=StreamWebApp%2EWeb&amp;referrerScenario=AddressBarCopied%2Eview%2E55331752%2De292%2D44c2%2D9062%2D2e515a55a6c5</w:t>
        </w:r>
      </w:hyperlink>
      <w:r>
        <w:rPr>
          <w:rFonts w:ascii="Arial" w:hAnsi="Arial" w:cs="Arial"/>
          <w:color w:val="212529"/>
          <w:shd w:val="clear" w:color="auto" w:fill="FFFFFF"/>
        </w:rPr>
        <w:t xml:space="preserve">   </w:t>
      </w:r>
    </w:p>
    <w:p w14:paraId="12ADD1C9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4021EE02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5D7C861C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4C939EE4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76B88D40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769A4570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5CA59552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5AC2D4E3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35E8B800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40AA2D48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6EFA2984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3B160367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7F1FE51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B90AF4F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D070761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22232EF9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61D010E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15F17AA3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1FAA2E2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587B6F82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31B2B703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6618F9E2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4E02A5D9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526EEE9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68B11414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268772F4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1DFE139E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2EFA8214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199F27EB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517EDB92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5610D699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44C7DDBE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D893DED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1A58708B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3A0D90FF" w14:textId="77777777" w:rsidR="000731E1" w:rsidRDefault="000731E1" w:rsidP="00BD63A3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</w:p>
    <w:p w14:paraId="0FB7BF4F" w14:textId="0EEA7AF5" w:rsidR="00A626B1" w:rsidRPr="00A626B1" w:rsidRDefault="00A626B1" w:rsidP="00A626B1">
      <w:pPr>
        <w:spacing w:line="276" w:lineRule="auto"/>
        <w:jc w:val="center"/>
        <w:rPr>
          <w:rFonts w:ascii="Arial" w:hAnsi="Arial" w:cs="Arial"/>
          <w:color w:val="212529"/>
          <w:shd w:val="clear" w:color="auto" w:fill="FFFFFF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lastRenderedPageBreak/>
        <w:t>Manteision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a'i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Swyddogaeth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</w:p>
    <w:p w14:paraId="4D121239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1A56E248" w14:textId="72DF9AEA" w:rsidR="00A626B1" w:rsidRPr="00A626B1" w:rsidRDefault="00A626B1" w:rsidP="00A626B1">
      <w:pPr>
        <w:spacing w:line="276" w:lineRule="auto"/>
        <w:rPr>
          <w:rFonts w:ascii="Arial" w:hAnsi="Arial" w:cs="Arial"/>
        </w:rPr>
      </w:pPr>
      <w:proofErr w:type="spellStart"/>
      <w:r w:rsidRPr="00A626B1">
        <w:rPr>
          <w:rFonts w:ascii="Arial" w:hAnsi="Arial" w:cs="Arial"/>
        </w:rPr>
        <w:t>Cyflwyniad</w:t>
      </w:r>
      <w:proofErr w:type="spellEnd"/>
    </w:p>
    <w:p w14:paraId="164B8DD6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1233995C" w14:textId="70C9ED0B" w:rsidR="00A626B1" w:rsidRPr="00A626B1" w:rsidRDefault="00A626B1" w:rsidP="00A626B1">
      <w:pPr>
        <w:spacing w:line="276" w:lineRule="auto"/>
        <w:rPr>
          <w:rFonts w:ascii="Arial" w:hAnsi="Arial" w:cs="Arial"/>
        </w:rPr>
      </w:pP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amlieithrwydd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cyfeirio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at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gallu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gyfathrebu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neu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ragor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Gall person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ddeall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siarad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darllen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ysgrifennu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tra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bod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unigolyn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amlieithog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meddu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sawl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  <w:r w:rsidRPr="00A626B1">
        <w:rPr>
          <w:rFonts w:ascii="Arial" w:hAnsi="Arial" w:cs="Arial"/>
        </w:rPr>
        <w:t xml:space="preserve"> (Grosjean, 2010). </w:t>
      </w: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caffael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chwarae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hanfodol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datblygiad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enwedig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ystod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plentyndod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ymchwil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yn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tynnu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sylw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fanteision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gynnwys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hyblygrwydd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datrys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problemau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ac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ymwybyddiaeth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well</w:t>
      </w:r>
      <w:r w:rsidRPr="00A626B1">
        <w:rPr>
          <w:rFonts w:ascii="Arial" w:hAnsi="Arial" w:cs="Arial"/>
        </w:rPr>
        <w:t xml:space="preserve"> (Bialystok, 2017).</w:t>
      </w:r>
    </w:p>
    <w:p w14:paraId="5E06F66D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4DC930B3" w14:textId="2B43E865" w:rsidR="00A626B1" w:rsidRPr="00A626B1" w:rsidRDefault="00A626B1" w:rsidP="00A626B1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Manteision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/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Amlieithrwydd</w:t>
      </w:r>
      <w:proofErr w:type="spellEnd"/>
    </w:p>
    <w:p w14:paraId="006DA1C6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3A5E2482" w14:textId="7891679F" w:rsidR="00A626B1" w:rsidRPr="00A626B1" w:rsidRDefault="00A626B1" w:rsidP="00A626B1">
      <w:pPr>
        <w:spacing w:line="276" w:lineRule="auto"/>
        <w:rPr>
          <w:rFonts w:ascii="Arial" w:hAnsi="Arial" w:cs="Arial"/>
        </w:rPr>
      </w:pP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cynnig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nifer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fanteision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manteision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cynnwys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swyddogaethau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gweithredol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megis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rheoli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sylw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newid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tasgau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chof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gweithio</w:t>
      </w:r>
      <w:proofErr w:type="spellEnd"/>
      <w:r w:rsidRPr="00A626B1">
        <w:rPr>
          <w:rFonts w:ascii="Arial" w:hAnsi="Arial" w:cs="Arial"/>
        </w:rPr>
        <w:t xml:space="preserve"> (Bialystok &amp; Craik, 2010). </w:t>
      </w: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unigolion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dangos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datrys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problemau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uwch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bod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rheoli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sawl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system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gyson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hyblygrwydd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</w:rPr>
        <w:t xml:space="preserve"> (Green &amp; </w:t>
      </w:r>
      <w:proofErr w:type="spellStart"/>
      <w:r w:rsidRPr="00A626B1">
        <w:rPr>
          <w:rFonts w:ascii="Arial" w:hAnsi="Arial" w:cs="Arial"/>
        </w:rPr>
        <w:t>Abutalebi</w:t>
      </w:r>
      <w:proofErr w:type="spellEnd"/>
      <w:r w:rsidRPr="00A626B1">
        <w:rPr>
          <w:rFonts w:ascii="Arial" w:hAnsi="Arial" w:cs="Arial"/>
        </w:rPr>
        <w:t>, 2013).</w:t>
      </w:r>
    </w:p>
    <w:p w14:paraId="48AB7521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74B94E06" w14:textId="7C048895" w:rsidR="00A626B1" w:rsidRPr="00A626B1" w:rsidRDefault="00A626B1" w:rsidP="00A626B1">
      <w:pPr>
        <w:spacing w:line="276" w:lineRule="auto"/>
        <w:rPr>
          <w:rFonts w:ascii="Arial" w:hAnsi="Arial" w:cs="Arial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dangos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empathi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ymwybyddiaeth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ddiwylliannol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gysylltiad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â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meithrin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gwerthfawrogiad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safbwyntiau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amrywiol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hwyluso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cyfathrebu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gallu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  <w:r w:rsidRPr="00A626B1">
        <w:rPr>
          <w:rFonts w:ascii="Arial" w:hAnsi="Arial" w:cs="Arial"/>
        </w:rPr>
        <w:t xml:space="preserve"> (De </w:t>
      </w:r>
      <w:proofErr w:type="spellStart"/>
      <w:r w:rsidRPr="00A626B1">
        <w:rPr>
          <w:rFonts w:ascii="Arial" w:hAnsi="Arial" w:cs="Arial"/>
        </w:rPr>
        <w:t>Houwer</w:t>
      </w:r>
      <w:proofErr w:type="spellEnd"/>
      <w:r w:rsidRPr="00A626B1">
        <w:rPr>
          <w:rFonts w:ascii="Arial" w:hAnsi="Arial" w:cs="Arial"/>
        </w:rPr>
        <w:t xml:space="preserve">, 2009).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cyd-destun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tueddu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berfformio'n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well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llythrennedd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rhifedd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oherwydd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hymwybyddiaeth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meta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uwch</w:t>
      </w:r>
      <w:proofErr w:type="spellEnd"/>
      <w:r w:rsidRPr="00A626B1">
        <w:rPr>
          <w:rFonts w:ascii="Arial" w:hAnsi="Arial" w:cs="Arial"/>
        </w:rPr>
        <w:t xml:space="preserve"> (Cummins, 2000).</w:t>
      </w:r>
    </w:p>
    <w:p w14:paraId="03F3309F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239D0194" w14:textId="7DDF2E66" w:rsidR="00A626B1" w:rsidRPr="000731E1" w:rsidRDefault="00A626B1" w:rsidP="00A626B1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Gwelir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enghraifft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ymarferol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fanteision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fideo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amser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0731E1">
        <w:rPr>
          <w:rFonts w:ascii="Arial" w:hAnsi="Arial" w:cs="Arial"/>
          <w:color w:val="212529"/>
          <w:shd w:val="clear" w:color="auto" w:fill="FFFFFF"/>
        </w:rPr>
        <w:t>cylch</w:t>
      </w:r>
      <w:proofErr w:type="spellEnd"/>
      <w:r w:rsidR="000731E1">
        <w:rPr>
          <w:rFonts w:ascii="Arial" w:hAnsi="Arial" w:cs="Arial"/>
          <w:color w:val="212529"/>
          <w:shd w:val="clear" w:color="auto" w:fill="FFFFFF"/>
        </w:rPr>
        <w:t xml:space="preserve"> a stori</w:t>
      </w:r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gyda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phlant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bach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caneuon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chyfrif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ennyn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diddordeb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 </w:t>
      </w:r>
      <w:proofErr w:type="spellStart"/>
      <w:r w:rsidR="000731E1" w:rsidRPr="00A626B1">
        <w:rPr>
          <w:rFonts w:ascii="Arial" w:hAnsi="Arial" w:cs="Arial"/>
          <w:color w:val="212529"/>
          <w:shd w:val="clear" w:color="auto" w:fill="FFFFFF"/>
        </w:rPr>
        <w:t>a</w:t>
      </w:r>
      <w:r w:rsidR="000731E1">
        <w:rPr>
          <w:rFonts w:ascii="Arial" w:hAnsi="Arial" w:cs="Arial"/>
          <w:color w:val="212529"/>
          <w:shd w:val="clear" w:color="auto" w:fill="FFFFFF"/>
        </w:rPr>
        <w:t>c</w:t>
      </w:r>
      <w:proofErr w:type="spellEnd"/>
      <w:r w:rsidR="000731E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ymchwil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awgrymu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bod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gweithgareddau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cerddorol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cadw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cof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ymwybyddiaeth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ffonolegol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gefnogi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datblygiad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ymhellach</w:t>
      </w:r>
      <w:proofErr w:type="spellEnd"/>
      <w:r w:rsidRPr="00A626B1">
        <w:rPr>
          <w:rFonts w:ascii="Arial" w:hAnsi="Arial" w:cs="Arial"/>
        </w:rPr>
        <w:t xml:space="preserve"> (Patel, 2008).</w:t>
      </w:r>
    </w:p>
    <w:p w14:paraId="59525EFC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4812C9AE" w14:textId="55414189" w:rsidR="00A626B1" w:rsidRPr="00A626B1" w:rsidRDefault="00A626B1" w:rsidP="00A626B1">
      <w:pPr>
        <w:spacing w:line="276" w:lineRule="auto"/>
        <w:rPr>
          <w:rFonts w:ascii="Arial" w:hAnsi="Arial" w:cs="Arial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ben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hynny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cyfrannu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at iechyd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niwrolegol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hirdymor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astudiaethau'n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dangos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bod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pobl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dechrau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dioddef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anhwylder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dementia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chlefyd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Alzheimer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oherwydd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nifer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sy'n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cadw'r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  <w:r w:rsidRPr="00A626B1">
        <w:rPr>
          <w:rFonts w:ascii="Arial" w:hAnsi="Arial" w:cs="Arial"/>
        </w:rPr>
        <w:t xml:space="preserve"> (Craik et al., 2010).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canfyddiadau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tynnu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sylw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fanteision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oes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ddeall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phwysigrwydd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natblygiad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plentyndod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</w:p>
    <w:p w14:paraId="13CFF3C7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2BC7CB6C" w14:textId="78F86656" w:rsidR="00A626B1" w:rsidRPr="00A626B1" w:rsidRDefault="00A626B1" w:rsidP="00A626B1">
      <w:pPr>
        <w:spacing w:line="276" w:lineRule="auto"/>
        <w:rPr>
          <w:rFonts w:ascii="Arial" w:hAnsi="Arial" w:cs="Arial"/>
        </w:rPr>
      </w:pPr>
      <w:r w:rsidRPr="00A626B1">
        <w:rPr>
          <w:rFonts w:ascii="Arial" w:hAnsi="Arial" w:cs="Arial"/>
          <w:color w:val="212529"/>
          <w:shd w:val="clear" w:color="auto" w:fill="FFFFFF"/>
        </w:rPr>
        <w:t xml:space="preserve">Cymraeg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Iaith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Ychwanegol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(WAL)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Saesneg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Iaith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Ychwanegol</w:t>
      </w:r>
      <w:proofErr w:type="spellEnd"/>
      <w:r w:rsidRPr="00A626B1">
        <w:rPr>
          <w:rFonts w:ascii="Arial" w:hAnsi="Arial" w:cs="Arial"/>
        </w:rPr>
        <w:t xml:space="preserve"> (EAL)</w:t>
      </w:r>
    </w:p>
    <w:p w14:paraId="2AD3B591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16E95285" w14:textId="439F6C0D" w:rsidR="00A626B1" w:rsidRPr="00A626B1" w:rsidRDefault="00A626B1" w:rsidP="00A626B1">
      <w:pPr>
        <w:spacing w:line="276" w:lineRule="auto"/>
        <w:rPr>
          <w:rFonts w:ascii="Arial" w:hAnsi="Arial" w:cs="Arial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Nghymru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annatod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system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Llywodraeth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Cymru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hyrwyddo'r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Gymraeg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Iaith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Ychwanegol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ochr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ochr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â'r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Saesneg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gadw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treftadaeth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  <w:r w:rsidRPr="00A626B1">
        <w:rPr>
          <w:rFonts w:ascii="Arial" w:hAnsi="Arial" w:cs="Arial"/>
        </w:rPr>
        <w:t xml:space="preserve"> (Jones &amp; Morris, 2017). </w:t>
      </w:r>
      <w:r w:rsidRPr="00A626B1">
        <w:rPr>
          <w:rFonts w:ascii="Arial" w:hAnsi="Arial" w:cs="Arial"/>
        </w:rPr>
        <w:br/>
      </w: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rhaglenni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Cymraeg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cefnogi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gefndiroedd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di-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Gymraeg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gaffael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Gymraeg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drwy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strategaethau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dysgu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trochol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</w:p>
    <w:p w14:paraId="100F7FCD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3DA699E3" w14:textId="3430186B" w:rsidR="00A626B1" w:rsidRPr="00A626B1" w:rsidRDefault="00A626B1" w:rsidP="00A626B1">
      <w:pPr>
        <w:spacing w:line="276" w:lineRule="auto"/>
        <w:rPr>
          <w:rFonts w:ascii="Arial" w:hAnsi="Arial" w:cs="Arial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un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modd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Saesneg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Iaith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Ychwanegol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rôl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hanfodol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ystafelloedd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dosbarth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amlddiwylliannol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plant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gefndiroedd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amrywiol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elwa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gefnogaeth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EAL,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sy'n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helpu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hintegreiddio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brif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ffrwd</w:t>
      </w:r>
      <w:proofErr w:type="spellEnd"/>
      <w:r w:rsidRPr="00A626B1">
        <w:rPr>
          <w:rFonts w:ascii="Arial" w:hAnsi="Arial" w:cs="Arial"/>
        </w:rPr>
        <w:t xml:space="preserve"> (Conteh, 2015). </w:t>
      </w: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strategaethau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EAL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Effeithiol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cynnwys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cymhorthion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gweledol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cefnogaeth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gymheiriaid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gweithgareddau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strwythuredig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megis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caneuon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ystod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amser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cylch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dulliau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caffael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geirfa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dealltwriaeth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feithrin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hyder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ymhlith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dysgwyr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ifanc</w:t>
      </w:r>
      <w:proofErr w:type="spellEnd"/>
      <w:r w:rsidRPr="00A626B1">
        <w:rPr>
          <w:rFonts w:ascii="Arial" w:hAnsi="Arial" w:cs="Arial"/>
        </w:rPr>
        <w:t xml:space="preserve"> (Gibbons, 2009).</w:t>
      </w:r>
    </w:p>
    <w:p w14:paraId="3B6A7F11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7F9994B3" w14:textId="37FE2E79" w:rsidR="00A626B1" w:rsidRPr="00A626B1" w:rsidRDefault="00A626B1" w:rsidP="00A626B1">
      <w:pPr>
        <w:spacing w:line="276" w:lineRule="auto"/>
        <w:rPr>
          <w:rFonts w:ascii="Arial" w:hAnsi="Arial" w:cs="Arial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arfer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cynnwys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defnyddio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caneuon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ymarferion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cyfrif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gefnogi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dysgwyr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Cymraeg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Iaith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Ychwanegol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Saesneg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Iaith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Ychwanegol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creu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amgylchedd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cynhwysol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ganiatáu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blant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ymwneud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â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geirfa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newydd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ffordd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hwyliog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rhyngweithiol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ymchwil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cefnogi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effeithiolrwydd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caneuon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wrth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gaffael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ailadrodd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dysgu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atgyfnerthu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rhythm.</w:t>
      </w:r>
      <w:r w:rsidRPr="00A626B1">
        <w:rPr>
          <w:rFonts w:ascii="Arial" w:hAnsi="Arial" w:cs="Arial"/>
        </w:rPr>
        <w:t xml:space="preserve"> (Medina, 1990).</w:t>
      </w:r>
    </w:p>
    <w:p w14:paraId="41EA9BF3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6804E84F" w14:textId="64FE6B0B" w:rsidR="00A626B1" w:rsidRPr="00A626B1" w:rsidRDefault="00A626B1" w:rsidP="00A626B1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ogystal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rhaglenni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WAL ac EAL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cyfrannu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gynhwysedd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drwy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hyrwyddo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parch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dealltwriaeth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gilydd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ymhlith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gefndiroedd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Drwy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weithredu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strategaethau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gall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addysgwyr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hyfedredd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chefnogi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datblygiad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cyffredinol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plant.</w:t>
      </w:r>
    </w:p>
    <w:p w14:paraId="4A9A5D52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0227831E" w14:textId="1730EA08" w:rsidR="00A626B1" w:rsidRPr="00A626B1" w:rsidRDefault="00A626B1" w:rsidP="00A626B1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Datblygu'r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Ymennydd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</w:p>
    <w:p w14:paraId="0D3294BE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40DDC1BB" w14:textId="00685CF1" w:rsidR="00A626B1" w:rsidRPr="00A626B1" w:rsidRDefault="00A626B1" w:rsidP="00A626B1">
      <w:pPr>
        <w:spacing w:line="276" w:lineRule="auto"/>
        <w:rPr>
          <w:rFonts w:ascii="Arial" w:hAnsi="Arial" w:cs="Arial"/>
        </w:rPr>
      </w:pP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effaith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fawr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ddatblygiad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ymennydd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enwedig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plentyndod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ymchwil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niwrowyddonol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dangos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bod plant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datblygu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deunydd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llwyd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dwysach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rhanbarthau'r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ymennydd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sy'n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gyfrifol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am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brosesu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gweithredu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  <w:r w:rsidRPr="00A626B1">
        <w:rPr>
          <w:rFonts w:ascii="Arial" w:hAnsi="Arial" w:cs="Arial"/>
        </w:rPr>
        <w:t xml:space="preserve"> (</w:t>
      </w:r>
      <w:proofErr w:type="spellStart"/>
      <w:r w:rsidRPr="00A626B1">
        <w:rPr>
          <w:rFonts w:ascii="Arial" w:hAnsi="Arial" w:cs="Arial"/>
        </w:rPr>
        <w:t>Mechelli</w:t>
      </w:r>
      <w:proofErr w:type="spellEnd"/>
      <w:r w:rsidRPr="00A626B1">
        <w:rPr>
          <w:rFonts w:ascii="Arial" w:hAnsi="Arial" w:cs="Arial"/>
        </w:rPr>
        <w:t xml:space="preserve"> et al., 2004).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cysylltedd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niwral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cryfhau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galluoedd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megis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cof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rheoli'r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sylw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gwneud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penderfyniadau</w:t>
      </w:r>
      <w:proofErr w:type="spellEnd"/>
      <w:r w:rsidRPr="00A626B1">
        <w:rPr>
          <w:rFonts w:ascii="Arial" w:hAnsi="Arial" w:cs="Arial"/>
        </w:rPr>
        <w:t xml:space="preserve"> (Kroll &amp; Bialystok, 2013).</w:t>
      </w:r>
    </w:p>
    <w:p w14:paraId="165E06BE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30356F68" w14:textId="70B96CE3" w:rsidR="00A626B1" w:rsidRPr="00A626B1" w:rsidRDefault="00A626B1" w:rsidP="00A626B1">
      <w:pPr>
        <w:spacing w:line="276" w:lineRule="auto"/>
        <w:rPr>
          <w:rFonts w:ascii="Arial" w:hAnsi="Arial" w:cs="Arial"/>
        </w:rPr>
      </w:pP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astudiaethau'n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dangos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bod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unigolion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dangos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hyblygrwydd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oherwydd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gallu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newid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rhwng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ieithoedd</w:t>
      </w:r>
      <w:proofErr w:type="spellEnd"/>
      <w:r w:rsidRPr="00A626B1">
        <w:rPr>
          <w:rFonts w:ascii="Arial" w:hAnsi="Arial" w:cs="Arial"/>
        </w:rPr>
        <w:t xml:space="preserve"> (Bialystok, 2017).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fantais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hon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ymestyn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dasgau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eraill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datrys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problemau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meddwl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greadigol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ben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hynny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dangos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galluoedd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lastRenderedPageBreak/>
        <w:t>prosesu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clywedol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uwch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galluogi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wahaniaethu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seiniau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effeithiol</w:t>
      </w:r>
      <w:proofErr w:type="spellEnd"/>
      <w:r w:rsidRPr="00A626B1">
        <w:rPr>
          <w:rFonts w:ascii="Arial" w:hAnsi="Arial" w:cs="Arial"/>
        </w:rPr>
        <w:t xml:space="preserve"> (</w:t>
      </w:r>
      <w:proofErr w:type="spellStart"/>
      <w:r w:rsidRPr="00A626B1">
        <w:rPr>
          <w:rFonts w:ascii="Arial" w:hAnsi="Arial" w:cs="Arial"/>
        </w:rPr>
        <w:t>Krizman</w:t>
      </w:r>
      <w:proofErr w:type="spellEnd"/>
      <w:r w:rsidRPr="00A626B1">
        <w:rPr>
          <w:rFonts w:ascii="Arial" w:hAnsi="Arial" w:cs="Arial"/>
        </w:rPr>
        <w:t xml:space="preserve"> et al., 2012).</w:t>
      </w:r>
    </w:p>
    <w:p w14:paraId="0CFFAE18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47C682DE" w14:textId="4CC93500" w:rsidR="00A626B1" w:rsidRPr="00A626B1" w:rsidRDefault="00A626B1" w:rsidP="00A626B1">
      <w:pPr>
        <w:spacing w:line="276" w:lineRule="auto"/>
        <w:rPr>
          <w:rFonts w:ascii="Arial" w:hAnsi="Arial" w:cs="Arial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cyd-destun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gweithgareddau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amser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cylch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gyda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chân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chyfrif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cyfrannu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ddatblygiad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ymennydd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ennyn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diddordeb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sawl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ysgogi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llwybrau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niwral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atgyfnerthu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ymchwil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yn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tynnu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sylw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at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ffaith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bod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cerddoriaeth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rhythm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cysylltiadau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synaptig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gefnogi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caffael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chadw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cof</w:t>
      </w:r>
      <w:proofErr w:type="spellEnd"/>
      <w:r w:rsidRPr="00A626B1">
        <w:rPr>
          <w:rFonts w:ascii="Arial" w:hAnsi="Arial" w:cs="Arial"/>
        </w:rPr>
        <w:t xml:space="preserve"> (Moreno et al., 2009).</w:t>
      </w:r>
    </w:p>
    <w:p w14:paraId="259768AD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3C976926" w14:textId="76648B0C" w:rsidR="00A626B1" w:rsidRPr="00A626B1" w:rsidRDefault="00A626B1" w:rsidP="00A626B1">
      <w:pPr>
        <w:spacing w:line="276" w:lineRule="auto"/>
        <w:rPr>
          <w:rFonts w:ascii="Arial" w:hAnsi="Arial" w:cs="Arial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ogystal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cynnig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buddion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amddiffynnol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erbyn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dirywiad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Dengys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astudiaethau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unigolion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ddementia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ddiweddarach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awgrymu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bod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amlieithrwydd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meithrin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gwytnwch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dros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amser</w:t>
      </w:r>
      <w:proofErr w:type="spellEnd"/>
      <w:r w:rsidRPr="00A626B1">
        <w:rPr>
          <w:rFonts w:ascii="Arial" w:hAnsi="Arial" w:cs="Arial"/>
        </w:rPr>
        <w:t xml:space="preserve"> (Craik et al., 2010).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canfyddiadau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pwysleisio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pwysigrwydd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wrth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feithrin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iechyd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oes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</w:p>
    <w:p w14:paraId="17A9A868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53538F73" w14:textId="39B2E248" w:rsidR="00A626B1" w:rsidRPr="00A626B1" w:rsidRDefault="00A626B1" w:rsidP="00A626B1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Meddwl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</w:p>
    <w:p w14:paraId="3BB6E8D8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47B32085" w14:textId="697C9B2A" w:rsidR="00A626B1" w:rsidRPr="00A626B1" w:rsidRDefault="00A626B1" w:rsidP="00A626B1">
      <w:pPr>
        <w:spacing w:line="276" w:lineRule="auto"/>
        <w:rPr>
          <w:rFonts w:ascii="Arial" w:hAnsi="Arial" w:cs="Arial"/>
        </w:rPr>
      </w:pP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meddwl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cyfeirio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at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gallu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gynhyrchu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atebion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lluosog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broblem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sy'n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elfen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allweddol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greadigrwydd</w:t>
      </w:r>
      <w:proofErr w:type="spellEnd"/>
      <w:r w:rsidRPr="00A626B1">
        <w:rPr>
          <w:rFonts w:ascii="Arial" w:hAnsi="Arial" w:cs="Arial"/>
        </w:rPr>
        <w:t xml:space="preserve"> (Guilford, 1967). </w:t>
      </w: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ymchwil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awgrymu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bod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unigolion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arddangos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meddwl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oherwydd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profiad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reoli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systemau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lluosog</w:t>
      </w:r>
      <w:proofErr w:type="spellEnd"/>
      <w:r w:rsidRPr="00A626B1">
        <w:rPr>
          <w:rFonts w:ascii="Arial" w:hAnsi="Arial" w:cs="Arial"/>
        </w:rPr>
        <w:t xml:space="preserve"> (</w:t>
      </w:r>
      <w:proofErr w:type="spellStart"/>
      <w:r w:rsidRPr="00A626B1">
        <w:rPr>
          <w:rFonts w:ascii="Arial" w:hAnsi="Arial" w:cs="Arial"/>
        </w:rPr>
        <w:t>Kharkhurin</w:t>
      </w:r>
      <w:proofErr w:type="spellEnd"/>
      <w:r w:rsidRPr="00A626B1">
        <w:rPr>
          <w:rFonts w:ascii="Arial" w:hAnsi="Arial" w:cs="Arial"/>
        </w:rPr>
        <w:t>, 2012).</w:t>
      </w:r>
    </w:p>
    <w:p w14:paraId="3DF35DD1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3C62EA0D" w14:textId="74CEF760" w:rsidR="00A626B1" w:rsidRPr="00A626B1" w:rsidRDefault="00A626B1" w:rsidP="00A626B1">
      <w:pPr>
        <w:spacing w:line="276" w:lineRule="auto"/>
        <w:rPr>
          <w:rFonts w:ascii="Arial" w:hAnsi="Arial" w:cs="Arial"/>
        </w:rPr>
      </w:pP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creadigrwydd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trwy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hyrwyddo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hyblygrwydd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gallu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datrys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problemau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newid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rhwng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cryfhau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llwybrau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niwral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gyson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alluogi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unigolion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feddwl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eang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arloesol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  <w:r w:rsidRPr="00A626B1">
        <w:rPr>
          <w:rFonts w:ascii="Arial" w:hAnsi="Arial" w:cs="Arial"/>
        </w:rPr>
        <w:t xml:space="preserve"> (</w:t>
      </w:r>
      <w:proofErr w:type="spellStart"/>
      <w:r w:rsidRPr="00A626B1">
        <w:rPr>
          <w:rFonts w:ascii="Arial" w:hAnsi="Arial" w:cs="Arial"/>
        </w:rPr>
        <w:t>Ricciardelli</w:t>
      </w:r>
      <w:proofErr w:type="spellEnd"/>
      <w:r w:rsidRPr="00A626B1">
        <w:rPr>
          <w:rFonts w:ascii="Arial" w:hAnsi="Arial" w:cs="Arial"/>
        </w:rPr>
        <w:t xml:space="preserve">, 1992).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ogystal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gysylltiad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â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diwylliannau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meithrin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dull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agored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ddatrys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problemau</w:t>
      </w:r>
      <w:proofErr w:type="spellEnd"/>
      <w:r w:rsidRPr="00A626B1">
        <w:rPr>
          <w:rFonts w:ascii="Arial" w:hAnsi="Arial" w:cs="Arial"/>
        </w:rPr>
        <w:t xml:space="preserve"> (</w:t>
      </w:r>
      <w:proofErr w:type="spellStart"/>
      <w:r w:rsidRPr="00A626B1">
        <w:rPr>
          <w:rFonts w:ascii="Arial" w:hAnsi="Arial" w:cs="Arial"/>
        </w:rPr>
        <w:t>Leikin</w:t>
      </w:r>
      <w:proofErr w:type="spellEnd"/>
      <w:r w:rsidRPr="00A626B1">
        <w:rPr>
          <w:rFonts w:ascii="Arial" w:hAnsi="Arial" w:cs="Arial"/>
        </w:rPr>
        <w:t>, 2013).</w:t>
      </w:r>
    </w:p>
    <w:p w14:paraId="39B9C75F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27224867" w14:textId="450529F2" w:rsidR="00A626B1" w:rsidRPr="00A626B1" w:rsidRDefault="00A626B1" w:rsidP="00A626B1">
      <w:pPr>
        <w:spacing w:line="276" w:lineRule="auto"/>
        <w:rPr>
          <w:rFonts w:ascii="Arial" w:hAnsi="Arial" w:cs="Arial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Enghraifft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feddwl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ymarfer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yw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gweithgareddau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cylch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amser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caneuon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sawl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annog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archwilio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strwythurau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gallu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feddwl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greadigol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cyfrif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hefyd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atgyfnerthu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dealltwriaeth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rifiadol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hyblygrwydd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ymchwil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cefnogi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rôl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wrth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feithrin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creadigrwydd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dynnu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sylw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effaith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gadarnhaol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ddatrys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problemau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dychmygus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  <w:r w:rsidRPr="00A626B1">
        <w:rPr>
          <w:rFonts w:ascii="Arial" w:hAnsi="Arial" w:cs="Arial"/>
        </w:rPr>
        <w:t xml:space="preserve"> (Adi-</w:t>
      </w:r>
      <w:proofErr w:type="spellStart"/>
      <w:r w:rsidRPr="00A626B1">
        <w:rPr>
          <w:rFonts w:ascii="Arial" w:hAnsi="Arial" w:cs="Arial"/>
        </w:rPr>
        <w:t>Japha</w:t>
      </w:r>
      <w:proofErr w:type="spellEnd"/>
      <w:r w:rsidRPr="00A626B1">
        <w:rPr>
          <w:rFonts w:ascii="Arial" w:hAnsi="Arial" w:cs="Arial"/>
        </w:rPr>
        <w:t xml:space="preserve"> et al., 2010).</w:t>
      </w:r>
    </w:p>
    <w:p w14:paraId="6940566E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20D11ED7" w14:textId="543A4975" w:rsidR="00A626B1" w:rsidRPr="00A626B1" w:rsidRDefault="00A626B1" w:rsidP="00A626B1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Drwy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integreiddio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gweithgareddau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plentyndod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gall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addysgwyr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feithrin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ffyrdd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feddwl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roi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hanfodol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blant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gyfer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dysgu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arloesi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dyfodol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</w:p>
    <w:p w14:paraId="6075E33B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2FD5257B" w14:textId="79E032B1" w:rsidR="00A626B1" w:rsidRPr="00A626B1" w:rsidRDefault="00A626B1" w:rsidP="00A626B1">
      <w:pPr>
        <w:spacing w:line="276" w:lineRule="auto"/>
        <w:rPr>
          <w:rFonts w:ascii="Arial" w:hAnsi="Arial" w:cs="Arial"/>
          <w:color w:val="212529"/>
          <w:shd w:val="clear" w:color="auto" w:fill="FFFFFF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Cysylltiadau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â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Fframweithiau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Rhaglenni'r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</w:p>
    <w:p w14:paraId="356EF880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1F0BB69A" w14:textId="709A94CB" w:rsidR="00A626B1" w:rsidRPr="00A626B1" w:rsidRDefault="00A626B1" w:rsidP="00A626B1">
      <w:pPr>
        <w:spacing w:line="276" w:lineRule="auto"/>
        <w:rPr>
          <w:rFonts w:ascii="Arial" w:hAnsi="Arial" w:cs="Arial"/>
        </w:rPr>
      </w:pP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fframweithiau'r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pwysleisio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pwysigrwydd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datblygiad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twf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Nghymru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Fframwaith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Cyfnod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Sylfaen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hyrwyddo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annog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ddatblygu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Gymraeg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Saesneg</w:t>
      </w:r>
      <w:proofErr w:type="spellEnd"/>
      <w:r w:rsidRPr="00A626B1">
        <w:rPr>
          <w:rFonts w:ascii="Arial" w:hAnsi="Arial" w:cs="Arial"/>
        </w:rPr>
        <w:t xml:space="preserve"> (Welsh Government, 2015).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un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modd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Cam Sylfaen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(EYFS)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Lloegr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cefnogi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amgylcheddau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sy'n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llawn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gydnabod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manteision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amlieithrwydd</w:t>
      </w:r>
      <w:proofErr w:type="spellEnd"/>
      <w:r w:rsidRPr="00A626B1">
        <w:rPr>
          <w:rFonts w:ascii="Arial" w:hAnsi="Arial" w:cs="Arial"/>
        </w:rPr>
        <w:t xml:space="preserve"> (DfE, 2021).</w:t>
      </w:r>
    </w:p>
    <w:p w14:paraId="1F690066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1A41035A" w14:textId="06B1EA43" w:rsidR="00A626B1" w:rsidRPr="00A626B1" w:rsidRDefault="00A626B1" w:rsidP="00A626B1">
      <w:pPr>
        <w:spacing w:line="276" w:lineRule="auto"/>
        <w:rPr>
          <w:rFonts w:ascii="Arial" w:hAnsi="Arial" w:cs="Arial"/>
        </w:rPr>
      </w:pP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gweithgareddau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megis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caneuon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amser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cylch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chyfrif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cyd-fynd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â'r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fframweithiau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drwy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feithrin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caffaeliad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rhyngweithio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ymchwil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yn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tynnu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sylw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at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ffaith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bod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gweithgareddau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rhyngweithiol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hyder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cyfathrebu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gefnogi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datblygiad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cyfannol</w:t>
      </w:r>
      <w:proofErr w:type="spellEnd"/>
      <w:r w:rsidRPr="00A626B1">
        <w:rPr>
          <w:rFonts w:ascii="Arial" w:hAnsi="Arial" w:cs="Arial"/>
        </w:rPr>
        <w:t xml:space="preserve"> (Siraj-Blatchford, 2010).</w:t>
      </w:r>
    </w:p>
    <w:p w14:paraId="4B2A534F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31CADFB5" w14:textId="298AD5C9" w:rsidR="00A626B1" w:rsidRPr="00A626B1" w:rsidRDefault="00A626B1" w:rsidP="00A626B1">
      <w:pPr>
        <w:spacing w:line="276" w:lineRule="auto"/>
        <w:rPr>
          <w:rFonts w:ascii="Arial" w:hAnsi="Arial" w:cs="Arial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ogystal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rhaglenni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Mudiad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Meithrin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Nghymru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hyrwyddo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trochi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Gymraeg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ddangos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effeithiolrwydd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lleoliadau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</w:rPr>
        <w:t xml:space="preserve"> (May et al., 2004).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Drwy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ymgorffori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strategaethau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nghwricwla'r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gall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addysgwyr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gefnogi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datblygiad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ieithyddol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plant,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paratoi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gyfer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llwyddiant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academaidd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dyfodol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</w:p>
    <w:p w14:paraId="4EF4ECB5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2529C04F" w14:textId="1576DA84" w:rsidR="00A626B1" w:rsidRPr="00A626B1" w:rsidRDefault="00A626B1" w:rsidP="00A626B1">
      <w:pPr>
        <w:spacing w:line="276" w:lineRule="auto"/>
        <w:rPr>
          <w:rFonts w:ascii="Arial" w:hAnsi="Arial" w:cs="Arial"/>
        </w:rPr>
      </w:pP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Casgliad</w:t>
      </w:r>
      <w:proofErr w:type="spellEnd"/>
    </w:p>
    <w:p w14:paraId="4DC36765" w14:textId="77777777" w:rsidR="00A626B1" w:rsidRPr="00A626B1" w:rsidRDefault="00A626B1" w:rsidP="00A626B1">
      <w:pPr>
        <w:spacing w:line="276" w:lineRule="auto"/>
        <w:rPr>
          <w:rFonts w:ascii="Arial" w:hAnsi="Arial" w:cs="Arial"/>
        </w:rPr>
      </w:pPr>
    </w:p>
    <w:p w14:paraId="69009A2D" w14:textId="4049E697" w:rsidR="00A626B1" w:rsidRPr="00A626B1" w:rsidRDefault="00A626B1" w:rsidP="00A626B1">
      <w:pPr>
        <w:spacing w:line="276" w:lineRule="auto"/>
        <w:rPr>
          <w:rFonts w:ascii="Arial" w:hAnsi="Arial" w:cs="Arial"/>
        </w:rPr>
      </w:pPr>
      <w:r w:rsidRPr="00A626B1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cynnig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nifer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fanteision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wella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datblygiad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ymennydd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meddwl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wahanol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rhaglenni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WAL ac EAL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chwarae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hanfodol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wrth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gefnogi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dysgwyr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amlieithog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hyrwyddo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cynhwysiant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chyflawniad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academaidd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fframweithiau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pwysleisio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pwysigrwydd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atgyfnerthu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werth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datblygiad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  <w:r w:rsidRPr="00A626B1">
        <w:rPr>
          <w:rFonts w:ascii="Arial" w:hAnsi="Arial" w:cs="Arial"/>
          <w:color w:val="212529"/>
        </w:rPr>
        <w:br/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Dylai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ymarfer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dyfodol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ganolbwyntio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ehangu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rhaglenni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dwyieithog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integreiddio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weithgareddau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rhyngweithiol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leoliadau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Drwy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feithrin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sgiliau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amlieithog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oedran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gall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addysgwyr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roi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manteision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gwybyddol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chymdeithasol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hanfodol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blant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eu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paratoi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gyfer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byd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wedi'i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A626B1">
        <w:rPr>
          <w:rFonts w:ascii="Arial" w:hAnsi="Arial" w:cs="Arial"/>
          <w:color w:val="212529"/>
          <w:shd w:val="clear" w:color="auto" w:fill="FFFFFF"/>
        </w:rPr>
        <w:t>globaleiddio</w:t>
      </w:r>
      <w:proofErr w:type="spellEnd"/>
      <w:r w:rsidRPr="00A626B1">
        <w:rPr>
          <w:rFonts w:ascii="Arial" w:hAnsi="Arial" w:cs="Arial"/>
          <w:color w:val="212529"/>
          <w:shd w:val="clear" w:color="auto" w:fill="FFFFFF"/>
        </w:rPr>
        <w:t>.</w:t>
      </w:r>
    </w:p>
    <w:p w14:paraId="243A961C" w14:textId="77777777" w:rsidR="00A626B1" w:rsidRDefault="00A626B1" w:rsidP="00A626B1">
      <w:pPr>
        <w:spacing w:line="276" w:lineRule="auto"/>
      </w:pPr>
    </w:p>
    <w:p w14:paraId="120CC610" w14:textId="77777777" w:rsidR="00A626B1" w:rsidRDefault="00A626B1" w:rsidP="00A626B1">
      <w:pPr>
        <w:spacing w:line="276" w:lineRule="auto"/>
      </w:pPr>
    </w:p>
    <w:p w14:paraId="01687498" w14:textId="77777777" w:rsidR="00A626B1" w:rsidRDefault="00A626B1" w:rsidP="00A626B1">
      <w:pPr>
        <w:spacing w:line="276" w:lineRule="auto"/>
      </w:pPr>
    </w:p>
    <w:p w14:paraId="7D50707F" w14:textId="77777777" w:rsidR="00A626B1" w:rsidRDefault="00A626B1" w:rsidP="00A626B1">
      <w:pPr>
        <w:spacing w:line="276" w:lineRule="auto"/>
      </w:pPr>
    </w:p>
    <w:p w14:paraId="0F292352" w14:textId="77777777" w:rsidR="00A626B1" w:rsidRDefault="00A626B1" w:rsidP="00A626B1">
      <w:pPr>
        <w:spacing w:line="276" w:lineRule="auto"/>
      </w:pPr>
    </w:p>
    <w:p w14:paraId="0AFF1056" w14:textId="77777777" w:rsidR="00A626B1" w:rsidRDefault="00A626B1" w:rsidP="00A626B1">
      <w:pPr>
        <w:spacing w:line="276" w:lineRule="auto"/>
      </w:pPr>
    </w:p>
    <w:p w14:paraId="2249C151" w14:textId="77777777" w:rsidR="00A626B1" w:rsidRDefault="00A626B1" w:rsidP="00A626B1">
      <w:pPr>
        <w:spacing w:line="276" w:lineRule="auto"/>
      </w:pPr>
    </w:p>
    <w:p w14:paraId="5652111F" w14:textId="77777777" w:rsidR="00A626B1" w:rsidRDefault="00A626B1" w:rsidP="00A626B1">
      <w:pPr>
        <w:spacing w:line="276" w:lineRule="auto"/>
      </w:pPr>
    </w:p>
    <w:p w14:paraId="2567B28C" w14:textId="77777777" w:rsidR="00A626B1" w:rsidRDefault="00A626B1" w:rsidP="00A626B1">
      <w:pPr>
        <w:spacing w:line="276" w:lineRule="auto"/>
      </w:pPr>
      <w:r>
        <w:lastRenderedPageBreak/>
        <w:t>Adi-</w:t>
      </w:r>
      <w:proofErr w:type="spellStart"/>
      <w:r>
        <w:t>Japha</w:t>
      </w:r>
      <w:proofErr w:type="spellEnd"/>
      <w:r>
        <w:t xml:space="preserve">, E., </w:t>
      </w:r>
      <w:proofErr w:type="spellStart"/>
      <w:r>
        <w:t>Berberich-Artzi</w:t>
      </w:r>
      <w:proofErr w:type="spellEnd"/>
      <w:r>
        <w:t xml:space="preserve">, J. and </w:t>
      </w:r>
      <w:proofErr w:type="spellStart"/>
      <w:r>
        <w:t>Libnawi</w:t>
      </w:r>
      <w:proofErr w:type="spellEnd"/>
      <w:r>
        <w:t>, A., 2010. Cognitive flexibility in bilingual preschool children. Bilingualism: Language and Cognition, 13(1), pp. 119-131.</w:t>
      </w:r>
    </w:p>
    <w:p w14:paraId="163967FF" w14:textId="77777777" w:rsidR="00A626B1" w:rsidRDefault="00A626B1" w:rsidP="00A626B1">
      <w:pPr>
        <w:spacing w:line="276" w:lineRule="auto"/>
      </w:pPr>
    </w:p>
    <w:p w14:paraId="335771E3" w14:textId="77777777" w:rsidR="00A626B1" w:rsidRDefault="00A626B1" w:rsidP="00A626B1">
      <w:pPr>
        <w:spacing w:line="276" w:lineRule="auto"/>
      </w:pPr>
      <w:r>
        <w:t>Bialystok, E., 2017. The bilingual adaptation: How minds accommodate experience. Psychological Bulletin, 143(3), pp. 233-262.</w:t>
      </w:r>
    </w:p>
    <w:p w14:paraId="3CB8D98C" w14:textId="77777777" w:rsidR="00A626B1" w:rsidRDefault="00A626B1" w:rsidP="00A626B1">
      <w:pPr>
        <w:spacing w:line="276" w:lineRule="auto"/>
      </w:pPr>
    </w:p>
    <w:p w14:paraId="1A7E9FA9" w14:textId="77777777" w:rsidR="00A626B1" w:rsidRDefault="00A626B1" w:rsidP="00A626B1">
      <w:pPr>
        <w:spacing w:line="276" w:lineRule="auto"/>
      </w:pPr>
      <w:r>
        <w:t xml:space="preserve">Bialystok, </w:t>
      </w:r>
      <w:proofErr w:type="gramStart"/>
      <w:r>
        <w:t>E.</w:t>
      </w:r>
      <w:proofErr w:type="gramEnd"/>
      <w:r>
        <w:t xml:space="preserve"> and Craik, F.I.M., 2010. Cognitive and linguistic processing in the bilingual mind. Current Directions in Psychological Science, 19(1), pp. 19-23.</w:t>
      </w:r>
    </w:p>
    <w:p w14:paraId="06BFDB08" w14:textId="77777777" w:rsidR="00A626B1" w:rsidRDefault="00A626B1" w:rsidP="00A626B1">
      <w:pPr>
        <w:spacing w:line="276" w:lineRule="auto"/>
      </w:pPr>
    </w:p>
    <w:p w14:paraId="09428412" w14:textId="77777777" w:rsidR="00A626B1" w:rsidRDefault="00A626B1" w:rsidP="00A626B1">
      <w:pPr>
        <w:spacing w:line="276" w:lineRule="auto"/>
      </w:pPr>
      <w:r>
        <w:t>Conteh, J., 2015. The EAL Teaching Book: Promoting Success for Multilingual Learners. London: SAGE Publications.</w:t>
      </w:r>
    </w:p>
    <w:p w14:paraId="57D168ED" w14:textId="77777777" w:rsidR="00A626B1" w:rsidRDefault="00A626B1" w:rsidP="00A626B1">
      <w:pPr>
        <w:spacing w:line="276" w:lineRule="auto"/>
      </w:pPr>
    </w:p>
    <w:p w14:paraId="17B32364" w14:textId="77777777" w:rsidR="00A626B1" w:rsidRDefault="00A626B1" w:rsidP="00A626B1">
      <w:pPr>
        <w:spacing w:line="276" w:lineRule="auto"/>
      </w:pPr>
      <w:r>
        <w:t>Craik, F.I.M., Bialystok, E. and Freedman, M., 2010. Delaying the onset of Alzheimer disease: Bilingualism as a form of cognitive reserve. Neurology, 75(19), pp. 1726-1729.</w:t>
      </w:r>
    </w:p>
    <w:p w14:paraId="4E617E42" w14:textId="77777777" w:rsidR="00A626B1" w:rsidRDefault="00A626B1" w:rsidP="00A626B1">
      <w:pPr>
        <w:spacing w:line="276" w:lineRule="auto"/>
      </w:pPr>
    </w:p>
    <w:p w14:paraId="0D357608" w14:textId="47E76B4F" w:rsidR="00A626B1" w:rsidRDefault="00A626B1" w:rsidP="00A626B1">
      <w:pPr>
        <w:spacing w:line="276" w:lineRule="auto"/>
      </w:pPr>
      <w:r>
        <w:t>Cummins, J., 2000. Language, Power, and Pedagogy: Bilingual Children in the Crossfire. Clevedon: Multilingual Matters.</w:t>
      </w:r>
    </w:p>
    <w:p w14:paraId="56FDD264" w14:textId="77777777" w:rsidR="00A626B1" w:rsidRDefault="00A626B1" w:rsidP="00A626B1">
      <w:pPr>
        <w:spacing w:line="276" w:lineRule="auto"/>
      </w:pPr>
    </w:p>
    <w:p w14:paraId="627D3D16" w14:textId="77777777" w:rsidR="00A626B1" w:rsidRDefault="00A626B1" w:rsidP="00A626B1">
      <w:pPr>
        <w:spacing w:line="276" w:lineRule="auto"/>
      </w:pPr>
      <w:r>
        <w:t xml:space="preserve">De </w:t>
      </w:r>
      <w:proofErr w:type="spellStart"/>
      <w:r>
        <w:t>Houwer</w:t>
      </w:r>
      <w:proofErr w:type="spellEnd"/>
      <w:r>
        <w:t>, A., 2009. Bilingual First Language Acquisition. Bristol: Multilingual Matters.</w:t>
      </w:r>
    </w:p>
    <w:p w14:paraId="799D715F" w14:textId="77777777" w:rsidR="00A626B1" w:rsidRDefault="00A626B1" w:rsidP="00A626B1">
      <w:pPr>
        <w:spacing w:line="276" w:lineRule="auto"/>
      </w:pPr>
    </w:p>
    <w:p w14:paraId="2813376F" w14:textId="3AD48414" w:rsidR="00A626B1" w:rsidRDefault="00A626B1" w:rsidP="00A626B1">
      <w:pPr>
        <w:spacing w:line="276" w:lineRule="auto"/>
      </w:pPr>
      <w:r>
        <w:t>Department for Education (DfE), 2021. Statutory Framework for the Early Years Foundation Stage. [online] Available at: https://www.gov.uk/government/publications/early-years-foundation-stage-framework--2 [Accessed 12 March 2025].</w:t>
      </w:r>
    </w:p>
    <w:p w14:paraId="044262C9" w14:textId="77777777" w:rsidR="00A626B1" w:rsidRDefault="00A626B1" w:rsidP="00A626B1">
      <w:pPr>
        <w:spacing w:line="276" w:lineRule="auto"/>
      </w:pPr>
    </w:p>
    <w:p w14:paraId="01D47B1C" w14:textId="77777777" w:rsidR="00A626B1" w:rsidRDefault="00A626B1" w:rsidP="00A626B1">
      <w:pPr>
        <w:spacing w:line="276" w:lineRule="auto"/>
      </w:pPr>
      <w:r>
        <w:t>Gibbons, P., 2009. English Learners, Academic Literacy, and Thinking: Learning in the Challenge Zone. Portsmouth: Heinemann.</w:t>
      </w:r>
    </w:p>
    <w:p w14:paraId="4F839C97" w14:textId="77777777" w:rsidR="00A626B1" w:rsidRDefault="00A626B1" w:rsidP="00A626B1">
      <w:pPr>
        <w:spacing w:line="276" w:lineRule="auto"/>
      </w:pPr>
    </w:p>
    <w:p w14:paraId="071B2846" w14:textId="77777777" w:rsidR="00A626B1" w:rsidRDefault="00A626B1" w:rsidP="00A626B1">
      <w:pPr>
        <w:spacing w:line="276" w:lineRule="auto"/>
      </w:pPr>
      <w:r>
        <w:t xml:space="preserve">Green, D.W. and </w:t>
      </w:r>
      <w:proofErr w:type="spellStart"/>
      <w:r>
        <w:t>Abutalebi</w:t>
      </w:r>
      <w:proofErr w:type="spellEnd"/>
      <w:r>
        <w:t>, J., 2013. Language control in bilinguals: The adaptive control hypothesis. Journal of Cognitive Psychology, 25(5), pp. 515-530.</w:t>
      </w:r>
    </w:p>
    <w:p w14:paraId="37E4C0A0" w14:textId="77777777" w:rsidR="00A626B1" w:rsidRDefault="00A626B1" w:rsidP="00A626B1">
      <w:pPr>
        <w:spacing w:line="276" w:lineRule="auto"/>
      </w:pPr>
    </w:p>
    <w:p w14:paraId="5DBE80A2" w14:textId="77777777" w:rsidR="00A626B1" w:rsidRDefault="00A626B1" w:rsidP="00A626B1">
      <w:pPr>
        <w:spacing w:line="276" w:lineRule="auto"/>
      </w:pPr>
      <w:r>
        <w:t>Grosjean, F., 2010. Bilingual: Life and Reality. Cambridge, MA: Harvard University Press.</w:t>
      </w:r>
    </w:p>
    <w:p w14:paraId="70599DC4" w14:textId="77777777" w:rsidR="00A626B1" w:rsidRDefault="00A626B1" w:rsidP="00A626B1">
      <w:pPr>
        <w:spacing w:line="276" w:lineRule="auto"/>
      </w:pPr>
    </w:p>
    <w:p w14:paraId="39065D04" w14:textId="77777777" w:rsidR="00A626B1" w:rsidRDefault="00A626B1" w:rsidP="00A626B1">
      <w:pPr>
        <w:spacing w:line="276" w:lineRule="auto"/>
      </w:pPr>
      <w:r>
        <w:t>Guilford, J.P., 1967. The Nature of Human Intelligence. New York: McGraw-Hill.</w:t>
      </w:r>
    </w:p>
    <w:p w14:paraId="442B4330" w14:textId="77777777" w:rsidR="00A626B1" w:rsidRDefault="00A626B1" w:rsidP="00A626B1">
      <w:pPr>
        <w:spacing w:line="276" w:lineRule="auto"/>
      </w:pPr>
    </w:p>
    <w:p w14:paraId="4ABD4F05" w14:textId="77777777" w:rsidR="00A626B1" w:rsidRDefault="00A626B1" w:rsidP="00A626B1">
      <w:pPr>
        <w:spacing w:line="276" w:lineRule="auto"/>
      </w:pPr>
      <w:r>
        <w:t>Jones, H. and Morris, D., 2017. Bilingual education and language immersion in Wales: The challenge of capacity. Language, Culture and Curriculum, 30(3), pp. 315-332.</w:t>
      </w:r>
    </w:p>
    <w:p w14:paraId="5B8D50B3" w14:textId="77777777" w:rsidR="00A626B1" w:rsidRDefault="00A626B1" w:rsidP="00A626B1">
      <w:pPr>
        <w:spacing w:line="276" w:lineRule="auto"/>
      </w:pPr>
    </w:p>
    <w:p w14:paraId="575DD3B8" w14:textId="77777777" w:rsidR="00A626B1" w:rsidRDefault="00A626B1" w:rsidP="00A626B1">
      <w:pPr>
        <w:spacing w:line="276" w:lineRule="auto"/>
      </w:pPr>
      <w:proofErr w:type="spellStart"/>
      <w:r>
        <w:t>Kharkhurin</w:t>
      </w:r>
      <w:proofErr w:type="spellEnd"/>
      <w:r>
        <w:t>, A.V., 2012. Multilingualism and Creativity. Bristol: Multilingual Matters.</w:t>
      </w:r>
    </w:p>
    <w:p w14:paraId="45901AE0" w14:textId="77777777" w:rsidR="00A626B1" w:rsidRDefault="00A626B1" w:rsidP="00A626B1">
      <w:pPr>
        <w:spacing w:line="276" w:lineRule="auto"/>
      </w:pPr>
    </w:p>
    <w:p w14:paraId="4463E5D5" w14:textId="77777777" w:rsidR="00A626B1" w:rsidRDefault="00A626B1" w:rsidP="00A626B1">
      <w:pPr>
        <w:spacing w:line="276" w:lineRule="auto"/>
      </w:pPr>
      <w:proofErr w:type="spellStart"/>
      <w:r>
        <w:lastRenderedPageBreak/>
        <w:t>Krizman</w:t>
      </w:r>
      <w:proofErr w:type="spellEnd"/>
      <w:r>
        <w:t xml:space="preserve">, J., Marian, V., Shook, A., </w:t>
      </w:r>
      <w:proofErr w:type="spellStart"/>
      <w:r>
        <w:t>Skoe</w:t>
      </w:r>
      <w:proofErr w:type="spellEnd"/>
      <w:r>
        <w:t>, E. and Kraus, N., 2012. Subcortical encoding of sound is enhanced in bilinguals and relates to executive function advantages. Proceedings of the National Academy of Sciences, 109(20), pp. 7877-7881.</w:t>
      </w:r>
    </w:p>
    <w:p w14:paraId="4774E9C8" w14:textId="77777777" w:rsidR="00A626B1" w:rsidRDefault="00A626B1" w:rsidP="00A626B1">
      <w:pPr>
        <w:spacing w:line="276" w:lineRule="auto"/>
      </w:pPr>
    </w:p>
    <w:p w14:paraId="6B39697B" w14:textId="77777777" w:rsidR="00A626B1" w:rsidRDefault="00A626B1" w:rsidP="00A626B1">
      <w:pPr>
        <w:spacing w:line="276" w:lineRule="auto"/>
      </w:pPr>
      <w:r>
        <w:t>Kroll, J.F. and Bialystok, E., 2013. Understanding the consequences of bilingualism for language processing and cognition. Journal of Cognitive Psychology, 25(5), pp. 497-514.</w:t>
      </w:r>
    </w:p>
    <w:p w14:paraId="14908CFF" w14:textId="77777777" w:rsidR="00A626B1" w:rsidRDefault="00A626B1" w:rsidP="00A626B1">
      <w:pPr>
        <w:spacing w:line="276" w:lineRule="auto"/>
      </w:pPr>
    </w:p>
    <w:p w14:paraId="087DC91D" w14:textId="77777777" w:rsidR="00A626B1" w:rsidRDefault="00A626B1" w:rsidP="00A626B1">
      <w:pPr>
        <w:spacing w:line="276" w:lineRule="auto"/>
      </w:pPr>
      <w:proofErr w:type="spellStart"/>
      <w:r>
        <w:t>Leikin</w:t>
      </w:r>
      <w:proofErr w:type="spellEnd"/>
      <w:r>
        <w:t>, M., 2013. The effect of bilingualism on creativity: Developmental and educational perspectives. International Journal of Bilingualism, 17(4), pp. 431-447.</w:t>
      </w:r>
    </w:p>
    <w:p w14:paraId="5C991308" w14:textId="77777777" w:rsidR="00A626B1" w:rsidRDefault="00A626B1" w:rsidP="00A626B1">
      <w:pPr>
        <w:spacing w:line="276" w:lineRule="auto"/>
      </w:pPr>
    </w:p>
    <w:p w14:paraId="777C0E44" w14:textId="77777777" w:rsidR="00A626B1" w:rsidRDefault="00A626B1" w:rsidP="00A626B1">
      <w:pPr>
        <w:spacing w:line="276" w:lineRule="auto"/>
      </w:pPr>
      <w:r>
        <w:t xml:space="preserve">May, S., Hill, R. and </w:t>
      </w:r>
      <w:proofErr w:type="spellStart"/>
      <w:r>
        <w:t>Tiakiwai</w:t>
      </w:r>
      <w:proofErr w:type="spellEnd"/>
      <w:r>
        <w:t>, S., 2004. Bilingual/Immersion Education: Indicators of Good Practice. Wellington: Ministry of Education.</w:t>
      </w:r>
    </w:p>
    <w:p w14:paraId="6D3C4A46" w14:textId="77777777" w:rsidR="00A626B1" w:rsidRDefault="00A626B1" w:rsidP="00A626B1">
      <w:pPr>
        <w:spacing w:line="276" w:lineRule="auto"/>
      </w:pPr>
    </w:p>
    <w:p w14:paraId="3CFA5E22" w14:textId="77777777" w:rsidR="00A626B1" w:rsidRDefault="00A626B1" w:rsidP="00A626B1">
      <w:pPr>
        <w:spacing w:line="276" w:lineRule="auto"/>
      </w:pPr>
      <w:r>
        <w:t>Medina, S.L., 1990. The effects of music upon second language vocabulary acquisition. Educational Research, 12(3), pp. 27-32.</w:t>
      </w:r>
    </w:p>
    <w:p w14:paraId="6BFA1E2F" w14:textId="77777777" w:rsidR="00A626B1" w:rsidRDefault="00A626B1" w:rsidP="00A626B1">
      <w:pPr>
        <w:spacing w:line="276" w:lineRule="auto"/>
      </w:pPr>
    </w:p>
    <w:p w14:paraId="7564D720" w14:textId="77777777" w:rsidR="00A626B1" w:rsidRDefault="00A626B1" w:rsidP="00A626B1">
      <w:pPr>
        <w:spacing w:line="276" w:lineRule="auto"/>
      </w:pPr>
      <w:proofErr w:type="spellStart"/>
      <w:r>
        <w:t>Mechelli</w:t>
      </w:r>
      <w:proofErr w:type="spellEnd"/>
      <w:r>
        <w:t xml:space="preserve">, A., Crinion, J.T., </w:t>
      </w:r>
      <w:proofErr w:type="spellStart"/>
      <w:r>
        <w:t>Noppeney</w:t>
      </w:r>
      <w:proofErr w:type="spellEnd"/>
      <w:r>
        <w:t xml:space="preserve">, U., </w:t>
      </w:r>
      <w:proofErr w:type="spellStart"/>
      <w:r>
        <w:t>O’Doherty</w:t>
      </w:r>
      <w:proofErr w:type="spellEnd"/>
      <w:r>
        <w:t xml:space="preserve">, J., Ashburner, J., </w:t>
      </w:r>
      <w:proofErr w:type="spellStart"/>
      <w:r>
        <w:t>Frackowiak</w:t>
      </w:r>
      <w:proofErr w:type="spellEnd"/>
      <w:r>
        <w:t>, R.S. and Price, C.J., 2004. Structural plasticity in the bilingual brain. Nature, 431(7010), p. 757.</w:t>
      </w:r>
    </w:p>
    <w:p w14:paraId="389DCF9A" w14:textId="77777777" w:rsidR="00A626B1" w:rsidRDefault="00A626B1" w:rsidP="00A626B1">
      <w:pPr>
        <w:spacing w:line="276" w:lineRule="auto"/>
      </w:pPr>
    </w:p>
    <w:p w14:paraId="19320CDB" w14:textId="77777777" w:rsidR="00A626B1" w:rsidRDefault="00A626B1" w:rsidP="00A626B1">
      <w:pPr>
        <w:spacing w:line="276" w:lineRule="auto"/>
      </w:pPr>
      <w:r>
        <w:t>Moreno, S., Marques, C., Santos, A., Santos, M., Castro, S.L. and Besson, M., 2009. Musical training influences linguistic abilities in 8-year-old children: More evidence for brain plasticity. Cerebral Cortex, 19(3), pp. 712-723.</w:t>
      </w:r>
    </w:p>
    <w:p w14:paraId="3023F318" w14:textId="77777777" w:rsidR="00A626B1" w:rsidRDefault="00A626B1" w:rsidP="00A626B1">
      <w:pPr>
        <w:spacing w:line="276" w:lineRule="auto"/>
      </w:pPr>
    </w:p>
    <w:p w14:paraId="6E31A8C5" w14:textId="77777777" w:rsidR="00A626B1" w:rsidRDefault="00A626B1" w:rsidP="00A626B1">
      <w:pPr>
        <w:spacing w:line="276" w:lineRule="auto"/>
      </w:pPr>
      <w:r>
        <w:t>Patel, A.D., 2008. Music, Language, and the Brain. Oxford: Oxford University Press.</w:t>
      </w:r>
    </w:p>
    <w:p w14:paraId="02249198" w14:textId="77777777" w:rsidR="00A626B1" w:rsidRDefault="00A626B1" w:rsidP="00A626B1">
      <w:pPr>
        <w:spacing w:line="276" w:lineRule="auto"/>
      </w:pPr>
    </w:p>
    <w:p w14:paraId="4FF229A4" w14:textId="77777777" w:rsidR="00A626B1" w:rsidRDefault="00A626B1" w:rsidP="00A626B1">
      <w:pPr>
        <w:spacing w:line="276" w:lineRule="auto"/>
      </w:pPr>
      <w:proofErr w:type="spellStart"/>
      <w:r>
        <w:t>Ricciardelli</w:t>
      </w:r>
      <w:proofErr w:type="spellEnd"/>
      <w:r>
        <w:t xml:space="preserve">, L.A., 1992. Creativity and bilingualism. The Journal of Creative </w:t>
      </w:r>
      <w:proofErr w:type="spellStart"/>
      <w:r>
        <w:t>Behavior</w:t>
      </w:r>
      <w:proofErr w:type="spellEnd"/>
      <w:r>
        <w:t>, 26(4), pp. 242-254.</w:t>
      </w:r>
    </w:p>
    <w:p w14:paraId="183465FB" w14:textId="77777777" w:rsidR="00A626B1" w:rsidRDefault="00A626B1" w:rsidP="00A626B1">
      <w:pPr>
        <w:spacing w:line="276" w:lineRule="auto"/>
      </w:pPr>
    </w:p>
    <w:p w14:paraId="2D38F9CB" w14:textId="77777777" w:rsidR="00A626B1" w:rsidRDefault="00A626B1" w:rsidP="00A626B1">
      <w:pPr>
        <w:spacing w:line="276" w:lineRule="auto"/>
      </w:pPr>
      <w:r>
        <w:t>Siraj-Blatchford, I., 2010. Learning in the Early Years: A Guide for Teachers of Children 3–7. London: David Fulton Publishers.</w:t>
      </w:r>
    </w:p>
    <w:p w14:paraId="7DD3AFA4" w14:textId="77777777" w:rsidR="00A626B1" w:rsidRDefault="00A626B1" w:rsidP="00A626B1">
      <w:pPr>
        <w:spacing w:line="276" w:lineRule="auto"/>
      </w:pPr>
    </w:p>
    <w:p w14:paraId="5FD7A3EA" w14:textId="7507B187" w:rsidR="00A626B1" w:rsidRDefault="00A626B1" w:rsidP="00A626B1">
      <w:pPr>
        <w:spacing w:line="276" w:lineRule="auto"/>
      </w:pPr>
      <w:r>
        <w:t>Welsh Government, 2015. Foundation Phase Framework. [online] Available at: https://gov.wales/foundation-phase-framework [Accessed 10 March 2025].</w:t>
      </w:r>
    </w:p>
    <w:sectPr w:rsidR="00A626B1">
      <w:headerReference w:type="default" r:id="rId7"/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2339DC" w14:textId="77777777" w:rsidR="008564A7" w:rsidRDefault="008564A7" w:rsidP="00A1070A">
      <w:r>
        <w:separator/>
      </w:r>
    </w:p>
  </w:endnote>
  <w:endnote w:type="continuationSeparator" w:id="0">
    <w:p w14:paraId="2AD9EC4D" w14:textId="77777777" w:rsidR="008564A7" w:rsidRDefault="008564A7" w:rsidP="00A1070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56278677"/>
      <w:docPartObj>
        <w:docPartGallery w:val="Page Numbers (Bottom of Page)"/>
        <w:docPartUnique/>
      </w:docPartObj>
    </w:sdtPr>
    <w:sdtContent>
      <w:p w14:paraId="49C54BAC" w14:textId="3FD1862D" w:rsidR="00A626B1" w:rsidRDefault="00A626B1" w:rsidP="00060DC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2AE74D8" w14:textId="77777777" w:rsidR="00A626B1" w:rsidRDefault="00A626B1" w:rsidP="00A626B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75224117"/>
      <w:docPartObj>
        <w:docPartGallery w:val="Page Numbers (Bottom of Page)"/>
        <w:docPartUnique/>
      </w:docPartObj>
    </w:sdtPr>
    <w:sdtContent>
      <w:p w14:paraId="5A261968" w14:textId="48FCB8AE" w:rsidR="00A626B1" w:rsidRDefault="00A626B1" w:rsidP="00060DC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B0D5942" w14:textId="77777777" w:rsidR="00A626B1" w:rsidRDefault="00A626B1" w:rsidP="00A626B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8E30EC" w14:textId="77777777" w:rsidR="008564A7" w:rsidRDefault="008564A7" w:rsidP="00A1070A">
      <w:r>
        <w:separator/>
      </w:r>
    </w:p>
  </w:footnote>
  <w:footnote w:type="continuationSeparator" w:id="0">
    <w:p w14:paraId="1E072E09" w14:textId="77777777" w:rsidR="008564A7" w:rsidRDefault="008564A7" w:rsidP="00A1070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145D1B" w14:textId="4FCB5B5A" w:rsidR="00A1070A" w:rsidRDefault="00A1070A">
    <w:pPr>
      <w:pStyle w:val="Header"/>
      <w:rPr>
        <w:rFonts w:ascii="Arial" w:hAnsi="Arial" w:cs="Arial"/>
      </w:rPr>
    </w:pPr>
    <w:proofErr w:type="spellStart"/>
    <w:r w:rsidRPr="00A1070A">
      <w:rPr>
        <w:rFonts w:ascii="Arial" w:hAnsi="Arial" w:cs="Arial"/>
      </w:rPr>
      <w:t>Gwawr</w:t>
    </w:r>
    <w:proofErr w:type="spellEnd"/>
    <w:r w:rsidRPr="00A1070A">
      <w:rPr>
        <w:rFonts w:ascii="Arial" w:hAnsi="Arial" w:cs="Arial"/>
      </w:rPr>
      <w:t xml:space="preserve"> Lewis </w:t>
    </w:r>
  </w:p>
  <w:p w14:paraId="6D993B63" w14:textId="5FB7FD96" w:rsidR="001A7015" w:rsidRPr="00A1070A" w:rsidRDefault="001A7015">
    <w:pPr>
      <w:pStyle w:val="Header"/>
      <w:rPr>
        <w:rFonts w:ascii="Arial" w:hAnsi="Arial" w:cs="Arial"/>
      </w:rPr>
    </w:pPr>
    <w:r>
      <w:rPr>
        <w:rFonts w:ascii="Arial" w:hAnsi="Arial" w:cs="Arial"/>
      </w:rPr>
      <w:t>2408332</w:t>
    </w:r>
  </w:p>
  <w:p w14:paraId="52E49B6B" w14:textId="77777777" w:rsidR="00A1070A" w:rsidRDefault="00A1070A" w:rsidP="00A1070A">
    <w:pPr>
      <w:shd w:val="clear" w:color="auto" w:fill="FFFFFF"/>
      <w:outlineLvl w:val="3"/>
      <w:rPr>
        <w:rFonts w:ascii="Arial" w:eastAsia="Times New Roman" w:hAnsi="Arial" w:cs="Arial"/>
        <w:color w:val="242130"/>
        <w:kern w:val="0"/>
        <w:lang w:eastAsia="en-GB"/>
        <w14:ligatures w14:val="none"/>
      </w:rPr>
    </w:pPr>
    <w:r w:rsidRPr="00A1070A">
      <w:rPr>
        <w:rFonts w:ascii="Arial" w:eastAsia="Times New Roman" w:hAnsi="Arial" w:cs="Arial"/>
        <w:color w:val="242130"/>
        <w:kern w:val="0"/>
        <w:lang w:eastAsia="en-GB"/>
        <w14:ligatures w14:val="none"/>
      </w:rPr>
      <w:t>ECEY4010C</w:t>
    </w:r>
  </w:p>
  <w:p w14:paraId="0CD9AD38" w14:textId="2B554CE0" w:rsidR="00A1070A" w:rsidRPr="001A7015" w:rsidRDefault="00A1070A" w:rsidP="001A7015">
    <w:pPr>
      <w:shd w:val="clear" w:color="auto" w:fill="FFFFFF"/>
      <w:outlineLvl w:val="3"/>
      <w:rPr>
        <w:rFonts w:ascii="Arial" w:eastAsia="Times New Roman" w:hAnsi="Arial" w:cs="Arial"/>
        <w:color w:val="242130"/>
        <w:kern w:val="0"/>
        <w:lang w:eastAsia="en-GB"/>
        <w14:ligatures w14:val="none"/>
      </w:rPr>
    </w:pPr>
    <w:proofErr w:type="spellStart"/>
    <w:r>
      <w:rPr>
        <w:rFonts w:ascii="Arial" w:eastAsia="Times New Roman" w:hAnsi="Arial" w:cs="Arial"/>
        <w:color w:val="242130"/>
        <w:kern w:val="0"/>
        <w:lang w:eastAsia="en-GB"/>
        <w14:ligatures w14:val="none"/>
      </w:rPr>
      <w:t>Geiriau</w:t>
    </w:r>
    <w:proofErr w:type="spellEnd"/>
    <w:r w:rsidR="001A7015">
      <w:rPr>
        <w:rFonts w:ascii="Arial" w:eastAsia="Times New Roman" w:hAnsi="Arial" w:cs="Arial"/>
        <w:color w:val="242130"/>
        <w:kern w:val="0"/>
        <w:lang w:eastAsia="en-GB"/>
        <w14:ligatures w14:val="none"/>
      </w:rPr>
      <w:t xml:space="preserve">: </w:t>
    </w:r>
    <w:r w:rsidR="00A626B1">
      <w:rPr>
        <w:rFonts w:ascii="Arial" w:eastAsia="Times New Roman" w:hAnsi="Arial" w:cs="Arial"/>
        <w:color w:val="242130"/>
        <w:kern w:val="0"/>
        <w:lang w:eastAsia="en-GB"/>
        <w14:ligatures w14:val="none"/>
      </w:rPr>
      <w:t>1319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6371"/>
    <w:rsid w:val="0001314F"/>
    <w:rsid w:val="000731E1"/>
    <w:rsid w:val="00177B8B"/>
    <w:rsid w:val="001A7015"/>
    <w:rsid w:val="00211B14"/>
    <w:rsid w:val="002615FB"/>
    <w:rsid w:val="004A3454"/>
    <w:rsid w:val="005F507A"/>
    <w:rsid w:val="0065110F"/>
    <w:rsid w:val="00685AF8"/>
    <w:rsid w:val="008564A7"/>
    <w:rsid w:val="009018A2"/>
    <w:rsid w:val="00A1070A"/>
    <w:rsid w:val="00A135CC"/>
    <w:rsid w:val="00A626B1"/>
    <w:rsid w:val="00B06E17"/>
    <w:rsid w:val="00B4168F"/>
    <w:rsid w:val="00BC6371"/>
    <w:rsid w:val="00BD63A3"/>
    <w:rsid w:val="00BF1522"/>
    <w:rsid w:val="00EB654F"/>
    <w:rsid w:val="00F3207B"/>
    <w:rsid w:val="00F342BE"/>
    <w:rsid w:val="00F46E57"/>
    <w:rsid w:val="00F53B93"/>
    <w:rsid w:val="00F93F52"/>
    <w:rsid w:val="00FE30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D7CC04"/>
  <w15:chartTrackingRefBased/>
  <w15:docId w15:val="{A276AE3E-6373-5B4D-93FF-FB4730050A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A1070A"/>
    <w:pPr>
      <w:spacing w:before="100" w:beforeAutospacing="1" w:after="100" w:afterAutospacing="1"/>
      <w:outlineLvl w:val="3"/>
    </w:pPr>
    <w:rPr>
      <w:rFonts w:ascii="Times New Roman" w:eastAsia="Times New Roman" w:hAnsi="Times New Roman" w:cs="Times New Roman"/>
      <w:b/>
      <w:bCs/>
      <w:kern w:val="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1070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1070A"/>
  </w:style>
  <w:style w:type="paragraph" w:styleId="Footer">
    <w:name w:val="footer"/>
    <w:basedOn w:val="Normal"/>
    <w:link w:val="FooterChar"/>
    <w:uiPriority w:val="99"/>
    <w:unhideWhenUsed/>
    <w:rsid w:val="00A1070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1070A"/>
  </w:style>
  <w:style w:type="character" w:customStyle="1" w:styleId="Heading4Char">
    <w:name w:val="Heading 4 Char"/>
    <w:basedOn w:val="DefaultParagraphFont"/>
    <w:link w:val="Heading4"/>
    <w:uiPriority w:val="9"/>
    <w:rsid w:val="00A1070A"/>
    <w:rPr>
      <w:rFonts w:ascii="Times New Roman" w:eastAsia="Times New Roman" w:hAnsi="Times New Roman" w:cs="Times New Roman"/>
      <w:b/>
      <w:bCs/>
      <w:kern w:val="0"/>
      <w:lang w:eastAsia="en-GB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A626B1"/>
  </w:style>
  <w:style w:type="character" w:styleId="Hyperlink">
    <w:name w:val="Hyperlink"/>
    <w:basedOn w:val="DefaultParagraphFont"/>
    <w:uiPriority w:val="99"/>
    <w:unhideWhenUsed/>
    <w:rsid w:val="000731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31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01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personal/2408332_student_uwtsd_ac_uk/_layouts/15/stream.aspx?id=%2Fpersonal%2F2408332%5Fstudent%5Fuwtsd%5Fac%5Fuk%2FDocuments%2FECEY4010%2FIMG%5F4839%2EMOV&amp;referrer=StreamWebApp%2EWeb&amp;referrerScenario=AddressBarCopied%2Eview%2E55331752%2De292%2D44c2%2D9062%2D2e515a55a6c5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153</TotalTime>
  <Pages>8</Pages>
  <Words>2057</Words>
  <Characters>11725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Gwawr Lewis</dc:creator>
  <cp:keywords/>
  <dc:description/>
  <cp:lastModifiedBy>Gwawr Lewis</cp:lastModifiedBy>
  <cp:revision>7</cp:revision>
  <dcterms:created xsi:type="dcterms:W3CDTF">2025-03-09T13:47:00Z</dcterms:created>
  <dcterms:modified xsi:type="dcterms:W3CDTF">2025-03-30T20:36:00Z</dcterms:modified>
</cp:coreProperties>
</file>