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5589" w:rsidRDefault="003B5589">
      <w:pPr>
        <w:pStyle w:val="normal0"/>
        <w:spacing w:line="360" w:lineRule="auto"/>
      </w:pPr>
    </w:p>
    <w:p w:rsidR="003B5589" w:rsidRDefault="00C30AB1">
      <w:pPr>
        <w:pStyle w:val="Title"/>
        <w:spacing w:line="360" w:lineRule="auto"/>
        <w:jc w:val="center"/>
      </w:pPr>
      <w:bookmarkStart w:id="0" w:name="_ajcl1nry2ny7" w:colFirst="0" w:colLast="0"/>
      <w:bookmarkEnd w:id="0"/>
      <w:r>
        <w:rPr>
          <w:b/>
          <w:sz w:val="32"/>
          <w:szCs w:val="32"/>
          <w:u w:val="single"/>
        </w:rPr>
        <w:t>Assessment 2: Community engagement</w:t>
      </w:r>
      <w:r>
        <w:br w:type="page"/>
      </w:r>
    </w:p>
    <w:bookmarkStart w:id="1" w:name="_7z86ry4i33z1" w:colFirst="0" w:colLast="0" w:displacedByCustomXml="next"/>
    <w:bookmarkEnd w:id="1" w:displacedByCustomXml="next"/>
    <w:sdt>
      <w:sdtPr>
        <w:rPr>
          <w:rFonts w:ascii="Times New Roman" w:eastAsia="Times New Roman" w:hAnsi="Times New Roman" w:cs="Times New Roman"/>
          <w:b w:val="0"/>
          <w:bCs w:val="0"/>
          <w:color w:val="auto"/>
          <w:sz w:val="24"/>
          <w:szCs w:val="24"/>
        </w:rPr>
        <w:id w:val="6398272"/>
        <w:docPartObj>
          <w:docPartGallery w:val="Table of Contents"/>
          <w:docPartUnique/>
        </w:docPartObj>
      </w:sdtPr>
      <w:sdtContent>
        <w:p w:rsidR="00456948" w:rsidRPr="00456948" w:rsidRDefault="00456948" w:rsidP="00456948">
          <w:pPr>
            <w:pStyle w:val="TOCHeading"/>
            <w:jc w:val="center"/>
            <w:rPr>
              <w:rFonts w:ascii="Times New Roman" w:hAnsi="Times New Roman" w:cs="Times New Roman"/>
              <w:color w:val="000000" w:themeColor="text1"/>
              <w:sz w:val="24"/>
              <w:szCs w:val="24"/>
            </w:rPr>
          </w:pPr>
          <w:r w:rsidRPr="00456948">
            <w:rPr>
              <w:rFonts w:ascii="Times New Roman" w:hAnsi="Times New Roman" w:cs="Times New Roman"/>
              <w:color w:val="000000" w:themeColor="text1"/>
              <w:sz w:val="24"/>
              <w:szCs w:val="24"/>
            </w:rPr>
            <w:t>Table of Contents</w:t>
          </w:r>
        </w:p>
        <w:p w:rsidR="00456948" w:rsidRPr="00456948" w:rsidRDefault="00966BDA">
          <w:pPr>
            <w:pStyle w:val="TOC1"/>
            <w:tabs>
              <w:tab w:val="right" w:leader="dot" w:pos="9019"/>
            </w:tabs>
            <w:rPr>
              <w:noProof/>
              <w:color w:val="000000" w:themeColor="text1"/>
            </w:rPr>
          </w:pPr>
          <w:r w:rsidRPr="00456948">
            <w:rPr>
              <w:color w:val="000000" w:themeColor="text1"/>
            </w:rPr>
            <w:fldChar w:fldCharType="begin"/>
          </w:r>
          <w:r w:rsidR="00456948" w:rsidRPr="00456948">
            <w:rPr>
              <w:color w:val="000000" w:themeColor="text1"/>
            </w:rPr>
            <w:instrText xml:space="preserve"> TOC \o "1-3" \h \z \u </w:instrText>
          </w:r>
          <w:r w:rsidRPr="00456948">
            <w:rPr>
              <w:color w:val="000000" w:themeColor="text1"/>
            </w:rPr>
            <w:fldChar w:fldCharType="separate"/>
          </w:r>
          <w:hyperlink w:anchor="_Toc112950067" w:history="1">
            <w:r w:rsidR="00456948" w:rsidRPr="00456948">
              <w:rPr>
                <w:rStyle w:val="Hyperlink"/>
                <w:noProof/>
                <w:color w:val="000000" w:themeColor="text1"/>
              </w:rPr>
              <w:t>Introduction</w:t>
            </w:r>
            <w:r w:rsidR="00456948" w:rsidRPr="00456948">
              <w:rPr>
                <w:noProof/>
                <w:webHidden/>
                <w:color w:val="000000" w:themeColor="text1"/>
              </w:rPr>
              <w:tab/>
            </w:r>
            <w:r w:rsidRPr="00456948">
              <w:rPr>
                <w:noProof/>
                <w:webHidden/>
                <w:color w:val="000000" w:themeColor="text1"/>
              </w:rPr>
              <w:fldChar w:fldCharType="begin"/>
            </w:r>
            <w:r w:rsidR="00456948" w:rsidRPr="00456948">
              <w:rPr>
                <w:noProof/>
                <w:webHidden/>
                <w:color w:val="000000" w:themeColor="text1"/>
              </w:rPr>
              <w:instrText xml:space="preserve"> PAGEREF _Toc112950067 \h </w:instrText>
            </w:r>
            <w:r w:rsidRPr="00456948">
              <w:rPr>
                <w:noProof/>
                <w:webHidden/>
                <w:color w:val="000000" w:themeColor="text1"/>
              </w:rPr>
            </w:r>
            <w:r w:rsidRPr="00456948">
              <w:rPr>
                <w:noProof/>
                <w:webHidden/>
                <w:color w:val="000000" w:themeColor="text1"/>
              </w:rPr>
              <w:fldChar w:fldCharType="separate"/>
            </w:r>
            <w:r w:rsidR="00456948" w:rsidRPr="00456948">
              <w:rPr>
                <w:noProof/>
                <w:webHidden/>
                <w:color w:val="000000" w:themeColor="text1"/>
              </w:rPr>
              <w:t>3</w:t>
            </w:r>
            <w:r w:rsidRPr="00456948">
              <w:rPr>
                <w:noProof/>
                <w:webHidden/>
                <w:color w:val="000000" w:themeColor="text1"/>
              </w:rPr>
              <w:fldChar w:fldCharType="end"/>
            </w:r>
          </w:hyperlink>
        </w:p>
        <w:p w:rsidR="00456948" w:rsidRPr="00456948" w:rsidRDefault="00966BDA">
          <w:pPr>
            <w:pStyle w:val="TOC1"/>
            <w:tabs>
              <w:tab w:val="right" w:leader="dot" w:pos="9019"/>
            </w:tabs>
            <w:rPr>
              <w:noProof/>
              <w:color w:val="000000" w:themeColor="text1"/>
            </w:rPr>
          </w:pPr>
          <w:hyperlink w:anchor="_Toc112950068" w:history="1">
            <w:r w:rsidR="00456948" w:rsidRPr="00456948">
              <w:rPr>
                <w:rStyle w:val="Hyperlink"/>
                <w:noProof/>
                <w:color w:val="000000" w:themeColor="text1"/>
              </w:rPr>
              <w:t>The Body</w:t>
            </w:r>
            <w:r w:rsidR="00456948" w:rsidRPr="00456948">
              <w:rPr>
                <w:noProof/>
                <w:webHidden/>
                <w:color w:val="000000" w:themeColor="text1"/>
              </w:rPr>
              <w:tab/>
            </w:r>
            <w:r w:rsidRPr="00456948">
              <w:rPr>
                <w:noProof/>
                <w:webHidden/>
                <w:color w:val="000000" w:themeColor="text1"/>
              </w:rPr>
              <w:fldChar w:fldCharType="begin"/>
            </w:r>
            <w:r w:rsidR="00456948" w:rsidRPr="00456948">
              <w:rPr>
                <w:noProof/>
                <w:webHidden/>
                <w:color w:val="000000" w:themeColor="text1"/>
              </w:rPr>
              <w:instrText xml:space="preserve"> PAGEREF _Toc112950068 \h </w:instrText>
            </w:r>
            <w:r w:rsidRPr="00456948">
              <w:rPr>
                <w:noProof/>
                <w:webHidden/>
                <w:color w:val="000000" w:themeColor="text1"/>
              </w:rPr>
            </w:r>
            <w:r w:rsidRPr="00456948">
              <w:rPr>
                <w:noProof/>
                <w:webHidden/>
                <w:color w:val="000000" w:themeColor="text1"/>
              </w:rPr>
              <w:fldChar w:fldCharType="separate"/>
            </w:r>
            <w:r w:rsidR="00456948" w:rsidRPr="00456948">
              <w:rPr>
                <w:noProof/>
                <w:webHidden/>
                <w:color w:val="000000" w:themeColor="text1"/>
              </w:rPr>
              <w:t>4</w:t>
            </w:r>
            <w:r w:rsidRPr="00456948">
              <w:rPr>
                <w:noProof/>
                <w:webHidden/>
                <w:color w:val="000000" w:themeColor="text1"/>
              </w:rPr>
              <w:fldChar w:fldCharType="end"/>
            </w:r>
          </w:hyperlink>
        </w:p>
        <w:p w:rsidR="00456948" w:rsidRPr="00456948" w:rsidRDefault="00966BDA">
          <w:pPr>
            <w:pStyle w:val="TOC1"/>
            <w:tabs>
              <w:tab w:val="right" w:leader="dot" w:pos="9019"/>
            </w:tabs>
            <w:rPr>
              <w:noProof/>
              <w:color w:val="000000" w:themeColor="text1"/>
            </w:rPr>
          </w:pPr>
          <w:hyperlink w:anchor="_Toc112950069" w:history="1">
            <w:r w:rsidR="00456948" w:rsidRPr="00456948">
              <w:rPr>
                <w:rStyle w:val="Hyperlink"/>
                <w:noProof/>
                <w:color w:val="000000" w:themeColor="text1"/>
              </w:rPr>
              <w:t>Conclusion</w:t>
            </w:r>
            <w:r w:rsidR="00456948" w:rsidRPr="00456948">
              <w:rPr>
                <w:noProof/>
                <w:webHidden/>
                <w:color w:val="000000" w:themeColor="text1"/>
              </w:rPr>
              <w:tab/>
            </w:r>
            <w:r w:rsidRPr="00456948">
              <w:rPr>
                <w:noProof/>
                <w:webHidden/>
                <w:color w:val="000000" w:themeColor="text1"/>
              </w:rPr>
              <w:fldChar w:fldCharType="begin"/>
            </w:r>
            <w:r w:rsidR="00456948" w:rsidRPr="00456948">
              <w:rPr>
                <w:noProof/>
                <w:webHidden/>
                <w:color w:val="000000" w:themeColor="text1"/>
              </w:rPr>
              <w:instrText xml:space="preserve"> PAGEREF _Toc112950069 \h </w:instrText>
            </w:r>
            <w:r w:rsidRPr="00456948">
              <w:rPr>
                <w:noProof/>
                <w:webHidden/>
                <w:color w:val="000000" w:themeColor="text1"/>
              </w:rPr>
            </w:r>
            <w:r w:rsidRPr="00456948">
              <w:rPr>
                <w:noProof/>
                <w:webHidden/>
                <w:color w:val="000000" w:themeColor="text1"/>
              </w:rPr>
              <w:fldChar w:fldCharType="separate"/>
            </w:r>
            <w:r w:rsidR="00456948" w:rsidRPr="00456948">
              <w:rPr>
                <w:noProof/>
                <w:webHidden/>
                <w:color w:val="000000" w:themeColor="text1"/>
              </w:rPr>
              <w:t>8</w:t>
            </w:r>
            <w:r w:rsidRPr="00456948">
              <w:rPr>
                <w:noProof/>
                <w:webHidden/>
                <w:color w:val="000000" w:themeColor="text1"/>
              </w:rPr>
              <w:fldChar w:fldCharType="end"/>
            </w:r>
          </w:hyperlink>
        </w:p>
        <w:p w:rsidR="00456948" w:rsidRPr="00456948" w:rsidRDefault="00966BDA">
          <w:pPr>
            <w:pStyle w:val="TOC1"/>
            <w:tabs>
              <w:tab w:val="right" w:leader="dot" w:pos="9019"/>
            </w:tabs>
            <w:rPr>
              <w:noProof/>
              <w:color w:val="000000" w:themeColor="text1"/>
            </w:rPr>
          </w:pPr>
          <w:hyperlink w:anchor="_Toc112950070" w:history="1">
            <w:r w:rsidR="00456948" w:rsidRPr="00456948">
              <w:rPr>
                <w:rStyle w:val="Hyperlink"/>
                <w:noProof/>
                <w:color w:val="000000" w:themeColor="text1"/>
              </w:rPr>
              <w:t>References</w:t>
            </w:r>
            <w:r w:rsidR="00456948" w:rsidRPr="00456948">
              <w:rPr>
                <w:noProof/>
                <w:webHidden/>
                <w:color w:val="000000" w:themeColor="text1"/>
              </w:rPr>
              <w:tab/>
            </w:r>
            <w:r w:rsidRPr="00456948">
              <w:rPr>
                <w:noProof/>
                <w:webHidden/>
                <w:color w:val="000000" w:themeColor="text1"/>
              </w:rPr>
              <w:fldChar w:fldCharType="begin"/>
            </w:r>
            <w:r w:rsidR="00456948" w:rsidRPr="00456948">
              <w:rPr>
                <w:noProof/>
                <w:webHidden/>
                <w:color w:val="000000" w:themeColor="text1"/>
              </w:rPr>
              <w:instrText xml:space="preserve"> PAGEREF _Toc112950070 \h </w:instrText>
            </w:r>
            <w:r w:rsidRPr="00456948">
              <w:rPr>
                <w:noProof/>
                <w:webHidden/>
                <w:color w:val="000000" w:themeColor="text1"/>
              </w:rPr>
            </w:r>
            <w:r w:rsidRPr="00456948">
              <w:rPr>
                <w:noProof/>
                <w:webHidden/>
                <w:color w:val="000000" w:themeColor="text1"/>
              </w:rPr>
              <w:fldChar w:fldCharType="separate"/>
            </w:r>
            <w:r w:rsidR="00456948" w:rsidRPr="00456948">
              <w:rPr>
                <w:noProof/>
                <w:webHidden/>
                <w:color w:val="000000" w:themeColor="text1"/>
              </w:rPr>
              <w:t>9</w:t>
            </w:r>
            <w:r w:rsidRPr="00456948">
              <w:rPr>
                <w:noProof/>
                <w:webHidden/>
                <w:color w:val="000000" w:themeColor="text1"/>
              </w:rPr>
              <w:fldChar w:fldCharType="end"/>
            </w:r>
          </w:hyperlink>
        </w:p>
        <w:p w:rsidR="00456948" w:rsidRDefault="00966BDA">
          <w:r w:rsidRPr="00456948">
            <w:rPr>
              <w:color w:val="000000" w:themeColor="text1"/>
            </w:rPr>
            <w:fldChar w:fldCharType="end"/>
          </w:r>
        </w:p>
      </w:sdtContent>
    </w:sdt>
    <w:p w:rsidR="00456948" w:rsidRDefault="00456948">
      <w:pPr>
        <w:rPr>
          <w:b/>
        </w:rPr>
      </w:pPr>
      <w:r>
        <w:br w:type="page"/>
      </w:r>
    </w:p>
    <w:p w:rsidR="003B5589" w:rsidRDefault="00C30AB1">
      <w:pPr>
        <w:pStyle w:val="Heading1"/>
        <w:spacing w:line="360" w:lineRule="auto"/>
      </w:pPr>
      <w:bookmarkStart w:id="2" w:name="_Toc112950067"/>
      <w:r>
        <w:lastRenderedPageBreak/>
        <w:t>Introduction</w:t>
      </w:r>
      <w:bookmarkEnd w:id="2"/>
    </w:p>
    <w:p w:rsidR="003B5589" w:rsidRDefault="00C30AB1">
      <w:pPr>
        <w:pStyle w:val="normal0"/>
        <w:spacing w:line="360" w:lineRule="auto"/>
      </w:pPr>
      <w:r>
        <w:t xml:space="preserve">A community engagement project refers to a project that provides a product or a service to a particular group or individual or to the whole community. There are various kinds of community engagement programs such as direct service (people), direct service (product), community building, community education, economic development and community organising (Mughal </w:t>
      </w:r>
      <w:r>
        <w:rPr>
          <w:i/>
        </w:rPr>
        <w:t>et al</w:t>
      </w:r>
      <w:r>
        <w:t>., 2022). This is very important because it helps to identify the requirement of the news of the people and also develop good relations with the people in a society. This will help to make proper decisions that address all the issues faced by the community. Therefore the policy or plan will also be politically robust. This report will discuss the “</w:t>
      </w:r>
      <w:r>
        <w:rPr>
          <w:b/>
          <w:i/>
        </w:rPr>
        <w:t>Community-Led Recovery program</w:t>
      </w:r>
      <w:r>
        <w:t xml:space="preserve">” and also will identify the ways to establish a proper relationship between the stakeholders (Lang </w:t>
      </w:r>
      <w:r>
        <w:rPr>
          <w:i/>
        </w:rPr>
        <w:t>et al</w:t>
      </w:r>
      <w:r>
        <w:t>., 2020). This community engagement project was launched by the mayor of London to enable the community who are disproportionately impacted very much due to Covid-19 and to speed up the recovery of the city as more resilient. Developing a proper relationship is very much important for the community engagement project as it helps to understand each other. This report will also discuss the relevant areas to promote the participation of the community, inclusion, diversity and collaboration.</w:t>
      </w:r>
      <w:r>
        <w:br w:type="page"/>
      </w:r>
    </w:p>
    <w:p w:rsidR="003B5589" w:rsidRDefault="00C30AB1">
      <w:pPr>
        <w:pStyle w:val="Heading1"/>
        <w:spacing w:line="360" w:lineRule="auto"/>
      </w:pPr>
      <w:bookmarkStart w:id="3" w:name="_chg7nxrvkno" w:colFirst="0" w:colLast="0"/>
      <w:bookmarkStart w:id="4" w:name="_Toc112950068"/>
      <w:bookmarkEnd w:id="3"/>
      <w:r>
        <w:lastRenderedPageBreak/>
        <w:t>The Body</w:t>
      </w:r>
      <w:bookmarkEnd w:id="4"/>
      <w:r>
        <w:t xml:space="preserve"> </w:t>
      </w:r>
    </w:p>
    <w:p w:rsidR="003B5589" w:rsidRDefault="00C30AB1">
      <w:pPr>
        <w:pStyle w:val="normal0"/>
        <w:spacing w:line="360" w:lineRule="auto"/>
      </w:pPr>
      <w:r>
        <w:t>The Community Led Recovery programme is the community engagement project which was launched by the Mayor of London to help the community recover and reimagine from the impact of the Covid-19 pandemic. The Mayor of London launched this project as he wanted Londen to recover the city in a fairer, greener and in more resilient way and make it better than it was before the global pandemic. The programme was launched to help the different communities and people from different cultures to work together and develop “Connecting Community Insights to Policy” (</w:t>
      </w:r>
      <w:r>
        <w:rPr>
          <w:color w:val="222222"/>
          <w:highlight w:val="white"/>
        </w:rPr>
        <w:t>Cretney, 2018</w:t>
      </w:r>
      <w:r>
        <w:t>). Thus, there were several stakeholders involved in the project such as the government, people and communities. Thereby enables the project manager to adopt various strategies could take different steps and adopt different tactics which can help the project build a positive relationship with its stakeholders. According to my belief, maintaining the relationship with the stakeholders for the project and programme is important as it can contribute to collaboration and group work which can also contribute to making a holistic decision. If I get the engagement of the stakeholder in the right way, it can help the project to become successful as they accept the decision that the project takes and can also help to deliver a positive outcome. There are several steps that the project management of the Community Led Recovery programme can take to engage the stakeholders (</w:t>
      </w:r>
      <w:r>
        <w:rPr>
          <w:color w:val="222222"/>
          <w:highlight w:val="white"/>
        </w:rPr>
        <w:t>Boaz</w:t>
      </w:r>
      <w:r>
        <w:rPr>
          <w:i/>
          <w:color w:val="222222"/>
          <w:highlight w:val="white"/>
        </w:rPr>
        <w:t xml:space="preserve"> et al., </w:t>
      </w:r>
      <w:r>
        <w:rPr>
          <w:color w:val="222222"/>
          <w:highlight w:val="white"/>
        </w:rPr>
        <w:t>2018</w:t>
      </w:r>
      <w:r>
        <w:t xml:space="preserve">). One of the first tactics that the project manager can adopt is by identifying and understanding who the stakeholders are. </w:t>
      </w:r>
    </w:p>
    <w:p w:rsidR="003B5589" w:rsidRDefault="00C30AB1">
      <w:pPr>
        <w:pStyle w:val="normal0"/>
        <w:spacing w:line="360" w:lineRule="auto"/>
      </w:pPr>
      <w:r>
        <w:t>The project manager effectively identifying the stakeholder can help them to know who is involved in the project and how they influence the decision of the Community Led Recovery programme. Thus, it will help the project manager to organise the stakeholders according to their impact and influence. As a result, the project manager of the programme can create an effective engagement strategy which can help the project manager to engage the stakeholder in the project even more. The project manager can also communicate the scope of the project with the stakeholders as it is important to become transparent to engage the stakeholders in the project. Clearly communicating helps the project manager to communicate the information of the project and explain how the input of stakeholders can impact the decision and outcome of the project (</w:t>
      </w:r>
      <w:r>
        <w:rPr>
          <w:color w:val="222222"/>
          <w:highlight w:val="white"/>
        </w:rPr>
        <w:t xml:space="preserve">Gilmartin </w:t>
      </w:r>
      <w:r>
        <w:rPr>
          <w:i/>
          <w:color w:val="222222"/>
          <w:highlight w:val="white"/>
        </w:rPr>
        <w:t xml:space="preserve">et al., </w:t>
      </w:r>
      <w:r>
        <w:rPr>
          <w:color w:val="222222"/>
          <w:highlight w:val="white"/>
        </w:rPr>
        <w:t>2019</w:t>
      </w:r>
      <w:r>
        <w:t xml:space="preserve">). Thus, the willingness of stakeholders to engage in the project will increase as they understand how they influence the project and the final outcome including the decision of the project. The project manager can also use the tactics of gaining the trust of the stakeholders from the beginning. The project manager and the team involved in the project can frequently communicate with the stakeholders to gain </w:t>
      </w:r>
      <w:r>
        <w:lastRenderedPageBreak/>
        <w:t>their trust as the stakeholders will understand the situation more. Thus, their engagement in the Community Led Recovery programme increases as they are likely to support the project in times of need (</w:t>
      </w:r>
      <w:r>
        <w:rPr>
          <w:color w:val="222222"/>
          <w:highlight w:val="white"/>
        </w:rPr>
        <w:t>Muehlbauer</w:t>
      </w:r>
      <w:r>
        <w:rPr>
          <w:i/>
          <w:color w:val="222222"/>
          <w:highlight w:val="white"/>
        </w:rPr>
        <w:t xml:space="preserve"> et al., </w:t>
      </w:r>
      <w:r>
        <w:rPr>
          <w:color w:val="222222"/>
          <w:highlight w:val="white"/>
        </w:rPr>
        <w:t>2019</w:t>
      </w:r>
      <w:r>
        <w:t xml:space="preserve">). Hence, these are some of the steps and tactics which can help the project manager and the teams of the Community Led Recovery program to engage the customer effectively. </w:t>
      </w:r>
    </w:p>
    <w:p w:rsidR="003B5589" w:rsidRDefault="00C30AB1">
      <w:pPr>
        <w:pStyle w:val="normal0"/>
        <w:spacing w:line="360" w:lineRule="auto"/>
      </w:pPr>
      <w:r>
        <w:t xml:space="preserve">The engagement of stakeholders requires an effective way and strategy in attracting and involving the individuals, organisations and the group that might get affected by the project or even affect the project. I have identified that the effective strategy in engaging the stakeholders requires promoting the productive involvement of the stakeholders in the execution and decision making of the project. </w:t>
      </w:r>
      <w:r>
        <w:rPr>
          <w:b/>
          <w:i/>
        </w:rPr>
        <w:t>Identification of the stakeholder</w:t>
      </w:r>
      <w:r>
        <w:t xml:space="preserve"> at the early phase is significant to engage the potential stakeholders and inviting the key stakeholders in the initial meeting of projects is essential in surfacing and resolving the conflicts. Engaging stakeholders in estimates will enable the stakeholders to understand the presence of uncertainty at the early estimates (</w:t>
      </w:r>
      <w:r>
        <w:rPr>
          <w:color w:val="222222"/>
          <w:highlight w:val="white"/>
        </w:rPr>
        <w:t>Larsson and Larsson, 2020</w:t>
      </w:r>
      <w:r>
        <w:t>). I believe that working with a team with effective collaboration is essential for the project manager to work with the stakeholders while breaking down the projects into tasks and deliverables. Moreover managing the expectation of each of the stakeholders is essential to have the effective flow of the project. It is significant to clarify the various aspects of projects which can lead to false expectations. I have acknowledged the fact that understanding the level of influence will help in predicting the interaction of stakeholders with the project in which communication is the key factor in engaging the potential stakeholders.</w:t>
      </w:r>
    </w:p>
    <w:p w:rsidR="003B5589" w:rsidRDefault="00C30AB1">
      <w:pPr>
        <w:pStyle w:val="normal0"/>
        <w:spacing w:line="360" w:lineRule="auto"/>
      </w:pPr>
      <w:r>
        <w:t>In context to effective communication, social media can be considered as a useful tool in engaging the stakeholders. The good communication with the stakeholders helps in obtaining a better understanding of overall goals and objectives of the project. The social media platform  will help the Community Led Recovery program  to communicate its objectives and collaborate with various stakeholders. As the social media allows the ideas and information to spread quickly, the project can easily spread its messages and objectives to its stakeholders while obtaining their engagement (</w:t>
      </w:r>
      <w:r>
        <w:rPr>
          <w:color w:val="222222"/>
          <w:highlight w:val="white"/>
        </w:rPr>
        <w:t xml:space="preserve">Elbanna </w:t>
      </w:r>
      <w:r>
        <w:rPr>
          <w:i/>
          <w:color w:val="222222"/>
          <w:highlight w:val="white"/>
        </w:rPr>
        <w:t xml:space="preserve">et al., </w:t>
      </w:r>
      <w:r>
        <w:rPr>
          <w:color w:val="222222"/>
          <w:highlight w:val="white"/>
        </w:rPr>
        <w:t>2019</w:t>
      </w:r>
      <w:r>
        <w:t xml:space="preserve">). It is effective in enhancing the colloboratinand communication and by the utilisation of social media platforms, the Community Led Recovery </w:t>
      </w:r>
      <w:r w:rsidR="00456948">
        <w:t>program can</w:t>
      </w:r>
      <w:r>
        <w:t xml:space="preserve"> increase the level of the transparency and the accountability as it ensures that the activities of project and concerns of stakeholders are visible. Moreover the social media platform is effective in building reputation and to reach the wider and potential stakeholder to promote the major goals of the project. It is required to maintain a relevant presence on social media through creating accounts on social media </w:t>
      </w:r>
      <w:r>
        <w:lastRenderedPageBreak/>
        <w:t>platforms such as facebook, instagram, twitter and so on. It is an effective way in engaging and attracting the stakeholder.</w:t>
      </w:r>
    </w:p>
    <w:p w:rsidR="003B5589" w:rsidRDefault="00C30AB1">
      <w:pPr>
        <w:pStyle w:val="normal0"/>
        <w:spacing w:line="360" w:lineRule="auto"/>
      </w:pPr>
      <w:r>
        <w:t xml:space="preserve">The </w:t>
      </w:r>
      <w:r w:rsidR="00456948">
        <w:t>“</w:t>
      </w:r>
      <w:r>
        <w:t>Community-Led Recovery programme</w:t>
      </w:r>
      <w:r w:rsidR="00456948">
        <w:t>”</w:t>
      </w:r>
      <w:r>
        <w:t xml:space="preserve"> launched by the Mayor of London in an initiative to recover and support the various communities of London that have been impacted by the Covid-19 pandemic. Therefore, in my opinion, this programme needs to be intimately connected with the local people, social structures, cultural understandings and the value systems of the various communities (McLennan, 2020). This way the recovery programme can tap into the core of these communities and enable socio-cultural integration. Furthermore, the recovery programme can be expanded to include more communities and support their health, necessities, well-being and more. This will facilitate the promotion of participation from the communities and they will also be willing to collaborate in order to avail the benefits. The parts of London that are home to discriminated and undervalued communities need to be given prime focus through this recovery programme to facilitate their improvement. I think the areas with high poverty rates, slums, increased usage of drugs and so on need to be concentrated on. These places include Hackney, Newham, northeast of London, areas in west London such as Brent, northern ends of London such as Westminster, Chelsea Kensington and many more (Bernstein </w:t>
      </w:r>
      <w:r>
        <w:rPr>
          <w:i/>
        </w:rPr>
        <w:t xml:space="preserve">et al., </w:t>
      </w:r>
      <w:r>
        <w:t>2020). The deployment of the community engagement project in these areas and the affected communities will promote diversity and inclusion and also enable multi-culturalism.</w:t>
      </w:r>
    </w:p>
    <w:p w:rsidR="003B5589" w:rsidRDefault="00C30AB1">
      <w:pPr>
        <w:pStyle w:val="normal0"/>
        <w:spacing w:line="360" w:lineRule="auto"/>
      </w:pPr>
      <w:r>
        <w:t xml:space="preserve">Participation plays a very important role if people from different communities take part in the community program, the people will be able to get to know each other. I felt that this program was only targeted toward the disproportionately affected communities. and provide justified support to the people in London to deal with the Covid-19 infection. The community should be held in different cities so that they can reach a large number of people and everyone will get equal opportunity. For example parks, playgrounds, city halls and many other places. Community engagement should recruit more and encourage different community people to take part in the project so that every community will get an equal opportunity to share their ideas (Firestone </w:t>
      </w:r>
      <w:r>
        <w:rPr>
          <w:i/>
        </w:rPr>
        <w:t>et al</w:t>
      </w:r>
      <w:r>
        <w:t xml:space="preserve">., 2018). The community should communicate with each other on a regular basis so that everyone can know about each other. Every individual should share their ideas and self-identities with others.  </w:t>
      </w:r>
    </w:p>
    <w:p w:rsidR="003B5589" w:rsidRDefault="00C30AB1">
      <w:pPr>
        <w:pStyle w:val="normal0"/>
        <w:spacing w:line="360" w:lineRule="auto"/>
      </w:pPr>
      <w:r>
        <w:t xml:space="preserve">Every individual should develop personal relationships in order to develop inclusive community engagement because Covid-19 is pandemic and everyone is facing the consequence. Whenever a new community or any new participant comes to participate in the community project, everybody should be very welcoming because it will motivate other </w:t>
      </w:r>
      <w:r>
        <w:lastRenderedPageBreak/>
        <w:t xml:space="preserve">people to participate in the community engagement program (Holmes </w:t>
      </w:r>
      <w:r>
        <w:rPr>
          <w:i/>
        </w:rPr>
        <w:t>et al</w:t>
      </w:r>
      <w:r>
        <w:t xml:space="preserve">., 2019). Therefore for social-cultural integration, community projects should recognise each and every community. The members of the community project should meet with every representative of the community and talk to them about their health and provide the required support to deal with Covid-19 issues. They should also encourage different community members to be aware of and precautions in the native language of the respective community. The project member should generalise the other races and cultures but should not use the generalisations of the stereotype to promote multiculturalism (Tommarchi </w:t>
      </w:r>
      <w:r>
        <w:rPr>
          <w:i/>
        </w:rPr>
        <w:t>et al</w:t>
      </w:r>
      <w:r>
        <w:t xml:space="preserve">., 2018). The community project should have a proper plan and work as per the prepaid plan without harming any culture. </w:t>
      </w:r>
    </w:p>
    <w:p w:rsidR="003B5589" w:rsidRDefault="00C30AB1">
      <w:pPr>
        <w:pStyle w:val="Heading1"/>
        <w:spacing w:line="360" w:lineRule="auto"/>
      </w:pPr>
      <w:bookmarkStart w:id="5" w:name="_tm4yo350lxh" w:colFirst="0" w:colLast="0"/>
      <w:bookmarkEnd w:id="5"/>
      <w:r>
        <w:br w:type="page"/>
      </w:r>
    </w:p>
    <w:p w:rsidR="003B5589" w:rsidRDefault="00C30AB1">
      <w:pPr>
        <w:pStyle w:val="Heading1"/>
        <w:spacing w:line="360" w:lineRule="auto"/>
      </w:pPr>
      <w:bookmarkStart w:id="6" w:name="_aw9anctawuol" w:colFirst="0" w:colLast="0"/>
      <w:bookmarkStart w:id="7" w:name="_Toc112950069"/>
      <w:bookmarkEnd w:id="6"/>
      <w:r>
        <w:lastRenderedPageBreak/>
        <w:t>Conclusion</w:t>
      </w:r>
      <w:bookmarkEnd w:id="7"/>
    </w:p>
    <w:p w:rsidR="003B5589" w:rsidRDefault="00C30AB1">
      <w:pPr>
        <w:pStyle w:val="normal0"/>
        <w:spacing w:line="360" w:lineRule="auto"/>
      </w:pPr>
      <w:r>
        <w:t xml:space="preserve">This report provides a detailed reflection on a community engagement project. The project discussed here is the </w:t>
      </w:r>
      <w:r>
        <w:rPr>
          <w:b/>
          <w:i/>
        </w:rPr>
        <w:t xml:space="preserve">Community-Led Recovery Programme </w:t>
      </w:r>
      <w:r>
        <w:t>launched in London by the city’s Mayor. This community engagement aims to support the various communities affected by the Covid-19 pandemic and improve their livelihood. The relationship between the stakeholders of the project and the various engagement strategies has been thoroughly analysed and discussed. The strategies identified for community engagement such as identification of the stakeholders, effective communication to make them aware of the benefits of the programme and more have been elaborately discussed. Moreover, an analysis of the various relevant avenues for the community engagement project has also been provided. This analysis enables the understanding of community participation, diversity and inclusion, collaboration and more in order to enable multi-culturalism and socio-cultural integration.</w:t>
      </w:r>
    </w:p>
    <w:p w:rsidR="003B5589" w:rsidRDefault="00C30AB1">
      <w:pPr>
        <w:pStyle w:val="normal0"/>
        <w:spacing w:line="360" w:lineRule="auto"/>
        <w:rPr>
          <w:b/>
        </w:rPr>
      </w:pPr>
      <w:r>
        <w:rPr>
          <w:b/>
        </w:rPr>
        <w:t>Recommendations</w:t>
      </w:r>
    </w:p>
    <w:p w:rsidR="003B5589" w:rsidRDefault="00C30AB1">
      <w:pPr>
        <w:pStyle w:val="normal0"/>
        <w:spacing w:line="360" w:lineRule="auto"/>
      </w:pPr>
      <w:r>
        <w:t xml:space="preserve">The </w:t>
      </w:r>
      <w:r>
        <w:rPr>
          <w:b/>
          <w:i/>
        </w:rPr>
        <w:t xml:space="preserve">Community-Led Recovery Programme </w:t>
      </w:r>
      <w:r>
        <w:t>can be further improved to provide a more satisfying experience to all its stakeholders The following measures need to be taken in order to do so,</w:t>
      </w:r>
    </w:p>
    <w:p w:rsidR="003B5589" w:rsidRDefault="00C30AB1">
      <w:pPr>
        <w:pStyle w:val="normal0"/>
        <w:numPr>
          <w:ilvl w:val="0"/>
          <w:numId w:val="1"/>
        </w:numPr>
        <w:spacing w:line="360" w:lineRule="auto"/>
      </w:pPr>
      <w:r>
        <w:t xml:space="preserve">The programme was only targeted to support the disproportionately affected communities of London and has been doing that since its launch. It has been significantly helpful and has created a positive impact (Marston </w:t>
      </w:r>
      <w:r>
        <w:rPr>
          <w:i/>
        </w:rPr>
        <w:t>et al.,</w:t>
      </w:r>
      <w:r>
        <w:t xml:space="preserve"> 2020). The influence and impact of this project can be further enhanced if it were to cover all the communities affected by the Covid-19 pandemic in London. </w:t>
      </w:r>
    </w:p>
    <w:p w:rsidR="003B5589" w:rsidRDefault="00C30AB1">
      <w:pPr>
        <w:pStyle w:val="normal0"/>
        <w:numPr>
          <w:ilvl w:val="0"/>
          <w:numId w:val="1"/>
        </w:numPr>
        <w:spacing w:line="360" w:lineRule="auto"/>
      </w:pPr>
      <w:r>
        <w:t xml:space="preserve">In order to help and support a large number of communities, the project manager and other related professionals can look to source funds through charity programmes. They can also request donations from large organisations who actively engage in charity programmes as part of their CSR activities (McLennan, 2020). This will enable the project to serve a wider number of communities and provide them with increased grants. </w:t>
      </w:r>
    </w:p>
    <w:p w:rsidR="003B5589" w:rsidRDefault="00C30AB1">
      <w:pPr>
        <w:pStyle w:val="normal0"/>
        <w:numPr>
          <w:ilvl w:val="0"/>
          <w:numId w:val="1"/>
        </w:numPr>
        <w:spacing w:line="360" w:lineRule="auto"/>
      </w:pPr>
      <w:r>
        <w:t xml:space="preserve">Apart from providing grants, the project manager and the volunteers need to engage with these communities to assess and analyse their needs and provide them with services that satisfy them (Bernstein </w:t>
      </w:r>
      <w:r>
        <w:rPr>
          <w:i/>
        </w:rPr>
        <w:t xml:space="preserve">et al., </w:t>
      </w:r>
      <w:r>
        <w:t xml:space="preserve">2020). This will also increase the participation and collaboration from the communities.   </w:t>
      </w:r>
      <w:r>
        <w:br w:type="page"/>
      </w:r>
    </w:p>
    <w:p w:rsidR="003B5589" w:rsidRDefault="00C30AB1">
      <w:pPr>
        <w:pStyle w:val="Heading1"/>
        <w:spacing w:line="360" w:lineRule="auto"/>
      </w:pPr>
      <w:bookmarkStart w:id="8" w:name="_svkjlsnse28j" w:colFirst="0" w:colLast="0"/>
      <w:bookmarkStart w:id="9" w:name="_Toc112950070"/>
      <w:bookmarkEnd w:id="8"/>
      <w:r>
        <w:lastRenderedPageBreak/>
        <w:t>References</w:t>
      </w:r>
      <w:bookmarkEnd w:id="9"/>
      <w:r>
        <w:t xml:space="preserve"> </w:t>
      </w:r>
    </w:p>
    <w:p w:rsidR="00456948" w:rsidRDefault="00456948">
      <w:pPr>
        <w:pStyle w:val="normal0"/>
        <w:spacing w:line="360" w:lineRule="auto"/>
      </w:pPr>
      <w:r>
        <w:t>Bernstein, R.S., Bulger, M., Salipante, P. and Weisinger, J.Y., 2020. From diversity to inclusion to equity: A theory of generative interactions. Journal of Business Ethics, 167(3), pp.395-410.</w:t>
      </w:r>
    </w:p>
    <w:p w:rsidR="00456948" w:rsidRDefault="00456948">
      <w:pPr>
        <w:pStyle w:val="normal0"/>
        <w:spacing w:line="360" w:lineRule="auto"/>
      </w:pPr>
      <w:r>
        <w:t>Boaz, A., Hanney, S., Borst, R., O’Shea, A. and Kok, M., 2018. How to engage stakeholders in research: design principles to support improvement. Health research policy and systems, 16(1), pp.1-9.</w:t>
      </w:r>
    </w:p>
    <w:p w:rsidR="00456948" w:rsidRDefault="00456948">
      <w:pPr>
        <w:pStyle w:val="normal0"/>
        <w:spacing w:line="360" w:lineRule="auto"/>
      </w:pPr>
      <w:r>
        <w:t>Cretney, R.M., 2018. Beyond public meetings: diverse forms of community led recovery following disaster. International journal of disaster risk reduction, 28, pp.122-130.</w:t>
      </w:r>
    </w:p>
    <w:p w:rsidR="00456948" w:rsidRDefault="00456948">
      <w:pPr>
        <w:pStyle w:val="normal0"/>
        <w:spacing w:line="360" w:lineRule="auto"/>
        <w:rPr>
          <w:b/>
        </w:rPr>
      </w:pPr>
      <w:r>
        <w:rPr>
          <w:color w:val="222222"/>
          <w:highlight w:val="white"/>
        </w:rPr>
        <w:t xml:space="preserve">Elbanna, A., Bunker, D., Levine, L. and Sleigh, A., 2019. Emergency management in the changing world of social media: Framing the research agenda with the stakeholders through engaged scholarship. </w:t>
      </w:r>
      <w:r>
        <w:rPr>
          <w:i/>
          <w:color w:val="222222"/>
          <w:highlight w:val="white"/>
        </w:rPr>
        <w:t>International Journal of Information Management</w:t>
      </w:r>
      <w:r>
        <w:rPr>
          <w:color w:val="222222"/>
          <w:highlight w:val="white"/>
        </w:rPr>
        <w:t xml:space="preserve">, </w:t>
      </w:r>
      <w:r>
        <w:rPr>
          <w:i/>
          <w:color w:val="222222"/>
          <w:highlight w:val="white"/>
        </w:rPr>
        <w:t>47</w:t>
      </w:r>
      <w:r>
        <w:rPr>
          <w:color w:val="222222"/>
          <w:highlight w:val="white"/>
        </w:rPr>
        <w:t>, pp.112-120.</w:t>
      </w:r>
    </w:p>
    <w:p w:rsidR="00456948" w:rsidRDefault="00456948">
      <w:pPr>
        <w:pStyle w:val="normal0"/>
        <w:spacing w:line="360" w:lineRule="auto"/>
      </w:pPr>
      <w:r>
        <w:t>Firestone, J., Hoen, B., Rand, J., Elliott, D., Hübner, G. and Pohl, J., 2018. Reconsidering barriers to wind power projects: community engagement, developer transparency and place. Journal of environmental policy &amp; planning, 20(3), pp.370-386.</w:t>
      </w:r>
    </w:p>
    <w:p w:rsidR="00456948" w:rsidRDefault="00456948">
      <w:pPr>
        <w:pStyle w:val="normal0"/>
        <w:spacing w:line="360" w:lineRule="auto"/>
      </w:pPr>
      <w:r>
        <w:t>Gilmartin, H., Lawrence, E., Leonard, C., McCreight, M., Kelley, L., Lippmann, B., Coy, A. and Burke, R.E., 2019. Brainwriting premortem: a novel focus group method to engage stakeholders and identify preimplementation barriers. Journal of nursing care quality, 34(2), p.94.</w:t>
      </w:r>
    </w:p>
    <w:p w:rsidR="00456948" w:rsidRDefault="00456948">
      <w:pPr>
        <w:pStyle w:val="normal0"/>
        <w:spacing w:line="360" w:lineRule="auto"/>
      </w:pPr>
      <w:r>
        <w:t>Holmes, L., Cresswell, K., Williams, S., Parsons, S., Keane, A., Wilson, C., Islam, S., Joseph, O., Miah, J., Robinson, E. and Starling, B., 2019. Innovating public engagement and patient involvement through strategic collaboration and practice. Research involvement and engagement, 5(1), pp.1-12.</w:t>
      </w:r>
    </w:p>
    <w:p w:rsidR="00456948" w:rsidRDefault="00456948">
      <w:pPr>
        <w:pStyle w:val="normal0"/>
        <w:spacing w:line="360" w:lineRule="auto"/>
      </w:pPr>
      <w:r>
        <w:t>Lang, R., Chatterton, P. and Mullins, D., 2020. Grassroots innovations in community-led housing in England: The role and evolution of intermediaries. International Journal of Urban Sustainable Development, 12(1), pp.52-72.</w:t>
      </w:r>
    </w:p>
    <w:p w:rsidR="00456948" w:rsidRDefault="00456948">
      <w:pPr>
        <w:pStyle w:val="normal0"/>
        <w:spacing w:line="360" w:lineRule="auto"/>
        <w:rPr>
          <w:color w:val="222222"/>
        </w:rPr>
      </w:pPr>
      <w:r>
        <w:rPr>
          <w:color w:val="222222"/>
          <w:highlight w:val="white"/>
        </w:rPr>
        <w:t xml:space="preserve">Larsson, J. and Larsson, L., 2020. Integration, application and importance of collaboration in sustainable project management.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(2), p.585.</w:t>
      </w:r>
    </w:p>
    <w:p w:rsidR="00456948" w:rsidRDefault="00456948">
      <w:pPr>
        <w:pStyle w:val="normal0"/>
        <w:spacing w:line="360" w:lineRule="auto"/>
      </w:pPr>
      <w:r>
        <w:t>Marston, C., Renedo, A. and Miles, S., 2020. Community participation is crucial in a pandemic. The Lancet, 395(10238), pp.1676-1678.</w:t>
      </w:r>
    </w:p>
    <w:p w:rsidR="00456948" w:rsidRDefault="00456948">
      <w:pPr>
        <w:pStyle w:val="normal0"/>
        <w:spacing w:line="360" w:lineRule="auto"/>
      </w:pPr>
      <w:r>
        <w:t>McLennan, B.J., 2020. Conditions for effective coproduction in community-led disaster risk management. VOLUNTAS: International Journal of Voluntary and Nonprofit Organizations, 31(2), pp.316-332.</w:t>
      </w:r>
    </w:p>
    <w:p w:rsidR="00456948" w:rsidRDefault="00456948">
      <w:pPr>
        <w:pStyle w:val="normal0"/>
        <w:spacing w:line="360" w:lineRule="auto"/>
      </w:pPr>
      <w:r>
        <w:lastRenderedPageBreak/>
        <w:t>Muehlbauer, J.D., Lupoli, C.A. and Kraus, J.M., 2019. Aquatic–terrestrial linkages provide novel opportunities for freshwater ecologists to engage stakeholders and inform riparian management. Freshwater Science, 38(4), pp.946-952.</w:t>
      </w:r>
    </w:p>
    <w:p w:rsidR="00456948" w:rsidRDefault="00456948">
      <w:pPr>
        <w:pStyle w:val="normal0"/>
        <w:spacing w:line="360" w:lineRule="auto"/>
      </w:pPr>
      <w:r>
        <w:t>Mughal, R., Thomson, L.J., Daykin, N. and Chatterjee, H.J., 2022. Rapid Evidence Review of Community Engagement and Resources in the UK during the COVID-19 Pandemic: How Can Community Assets Redress Health Inequities?. International journal of environmental research and public health, 19(7), p.4086.</w:t>
      </w:r>
    </w:p>
    <w:p w:rsidR="00456948" w:rsidRDefault="00456948">
      <w:pPr>
        <w:pStyle w:val="normal0"/>
        <w:spacing w:line="360" w:lineRule="auto"/>
      </w:pPr>
      <w:r>
        <w:t>Tommarchi, E., Hansen, L.E. and Bianchini, F., 2018. Problematising the question of participation in Capitals of Culture. Participations, 15(2), pp.154-169.</w:t>
      </w:r>
    </w:p>
    <w:p w:rsidR="003B5589" w:rsidRDefault="003B5589">
      <w:pPr>
        <w:pStyle w:val="normal0"/>
        <w:spacing w:line="360" w:lineRule="auto"/>
        <w:rPr>
          <w:b/>
        </w:rPr>
      </w:pPr>
    </w:p>
    <w:sectPr w:rsidR="003B5589" w:rsidSect="003B5589">
      <w:footerReference w:type="default" r:id="rId8"/>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E556F" w:rsidRDefault="005E556F" w:rsidP="00456948">
      <w:pPr>
        <w:spacing w:line="240" w:lineRule="auto"/>
      </w:pPr>
      <w:r>
        <w:separator/>
      </w:r>
    </w:p>
  </w:endnote>
  <w:endnote w:type="continuationSeparator" w:id="1">
    <w:p w:rsidR="005E556F" w:rsidRDefault="005E556F" w:rsidP="0045694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98276"/>
      <w:docPartObj>
        <w:docPartGallery w:val="Page Numbers (Bottom of Page)"/>
        <w:docPartUnique/>
      </w:docPartObj>
    </w:sdtPr>
    <w:sdtContent>
      <w:p w:rsidR="00456948" w:rsidRDefault="00966BDA">
        <w:pPr>
          <w:pStyle w:val="Footer"/>
          <w:jc w:val="right"/>
        </w:pPr>
        <w:fldSimple w:instr=" PAGE   \* MERGEFORMAT ">
          <w:r w:rsidR="00D21039">
            <w:rPr>
              <w:noProof/>
            </w:rPr>
            <w:t>1</w:t>
          </w:r>
        </w:fldSimple>
      </w:p>
    </w:sdtContent>
  </w:sdt>
  <w:p w:rsidR="00456948" w:rsidRDefault="0045694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E556F" w:rsidRDefault="005E556F" w:rsidP="00456948">
      <w:pPr>
        <w:spacing w:line="240" w:lineRule="auto"/>
      </w:pPr>
      <w:r>
        <w:separator/>
      </w:r>
    </w:p>
  </w:footnote>
  <w:footnote w:type="continuationSeparator" w:id="1">
    <w:p w:rsidR="005E556F" w:rsidRDefault="005E556F" w:rsidP="0045694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8F747B"/>
    <w:multiLevelType w:val="multilevel"/>
    <w:tmpl w:val="DCD80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4"/>
  <w:defaultTabStop w:val="720"/>
  <w:characterSpacingControl w:val="doNotCompress"/>
  <w:footnotePr>
    <w:footnote w:id="0"/>
    <w:footnote w:id="1"/>
  </w:footnotePr>
  <w:endnotePr>
    <w:endnote w:id="0"/>
    <w:endnote w:id="1"/>
  </w:endnotePr>
  <w:compat/>
  <w:rsids>
    <w:rsidRoot w:val="003B5589"/>
    <w:rsid w:val="003B5589"/>
    <w:rsid w:val="00456948"/>
    <w:rsid w:val="005E556F"/>
    <w:rsid w:val="00966BDA"/>
    <w:rsid w:val="00C30AB1"/>
    <w:rsid w:val="00D2103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6BDA"/>
  </w:style>
  <w:style w:type="paragraph" w:styleId="Heading1">
    <w:name w:val="heading 1"/>
    <w:basedOn w:val="normal0"/>
    <w:next w:val="normal0"/>
    <w:rsid w:val="003B5589"/>
    <w:pPr>
      <w:keepNext/>
      <w:keepLines/>
      <w:spacing w:before="400" w:after="120"/>
      <w:outlineLvl w:val="0"/>
    </w:pPr>
    <w:rPr>
      <w:b/>
    </w:rPr>
  </w:style>
  <w:style w:type="paragraph" w:styleId="Heading2">
    <w:name w:val="heading 2"/>
    <w:basedOn w:val="normal0"/>
    <w:next w:val="normal0"/>
    <w:rsid w:val="003B5589"/>
    <w:pPr>
      <w:keepNext/>
      <w:keepLines/>
      <w:spacing w:before="360" w:after="120"/>
      <w:outlineLvl w:val="1"/>
    </w:pPr>
    <w:rPr>
      <w:sz w:val="32"/>
      <w:szCs w:val="32"/>
    </w:rPr>
  </w:style>
  <w:style w:type="paragraph" w:styleId="Heading3">
    <w:name w:val="heading 3"/>
    <w:basedOn w:val="normal0"/>
    <w:next w:val="normal0"/>
    <w:rsid w:val="003B5589"/>
    <w:pPr>
      <w:keepNext/>
      <w:keepLines/>
      <w:spacing w:before="320" w:after="80"/>
      <w:outlineLvl w:val="2"/>
    </w:pPr>
    <w:rPr>
      <w:color w:val="434343"/>
      <w:sz w:val="28"/>
      <w:szCs w:val="28"/>
    </w:rPr>
  </w:style>
  <w:style w:type="paragraph" w:styleId="Heading4">
    <w:name w:val="heading 4"/>
    <w:basedOn w:val="normal0"/>
    <w:next w:val="normal0"/>
    <w:rsid w:val="003B5589"/>
    <w:pPr>
      <w:keepNext/>
      <w:keepLines/>
      <w:spacing w:before="280" w:after="80"/>
      <w:outlineLvl w:val="3"/>
    </w:pPr>
    <w:rPr>
      <w:color w:val="666666"/>
    </w:rPr>
  </w:style>
  <w:style w:type="paragraph" w:styleId="Heading5">
    <w:name w:val="heading 5"/>
    <w:basedOn w:val="normal0"/>
    <w:next w:val="normal0"/>
    <w:rsid w:val="003B5589"/>
    <w:pPr>
      <w:keepNext/>
      <w:keepLines/>
      <w:spacing w:before="240" w:after="80"/>
      <w:outlineLvl w:val="4"/>
    </w:pPr>
    <w:rPr>
      <w:color w:val="666666"/>
      <w:sz w:val="22"/>
      <w:szCs w:val="22"/>
    </w:rPr>
  </w:style>
  <w:style w:type="paragraph" w:styleId="Heading6">
    <w:name w:val="heading 6"/>
    <w:basedOn w:val="normal0"/>
    <w:next w:val="normal0"/>
    <w:rsid w:val="003B558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B5589"/>
  </w:style>
  <w:style w:type="paragraph" w:styleId="Title">
    <w:name w:val="Title"/>
    <w:basedOn w:val="normal0"/>
    <w:next w:val="normal0"/>
    <w:rsid w:val="003B5589"/>
    <w:pPr>
      <w:keepNext/>
      <w:keepLines/>
      <w:spacing w:after="60"/>
    </w:pPr>
    <w:rPr>
      <w:sz w:val="52"/>
      <w:szCs w:val="52"/>
    </w:rPr>
  </w:style>
  <w:style w:type="paragraph" w:styleId="Subtitle">
    <w:name w:val="Subtitle"/>
    <w:basedOn w:val="normal0"/>
    <w:next w:val="normal0"/>
    <w:rsid w:val="003B5589"/>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456948"/>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56948"/>
    <w:pPr>
      <w:spacing w:after="100"/>
    </w:pPr>
  </w:style>
  <w:style w:type="character" w:styleId="Hyperlink">
    <w:name w:val="Hyperlink"/>
    <w:basedOn w:val="DefaultParagraphFont"/>
    <w:uiPriority w:val="99"/>
    <w:unhideWhenUsed/>
    <w:rsid w:val="00456948"/>
    <w:rPr>
      <w:color w:val="0000FF" w:themeColor="hyperlink"/>
      <w:u w:val="single"/>
    </w:rPr>
  </w:style>
  <w:style w:type="paragraph" w:styleId="BalloonText">
    <w:name w:val="Balloon Text"/>
    <w:basedOn w:val="Normal"/>
    <w:link w:val="BalloonTextChar"/>
    <w:uiPriority w:val="99"/>
    <w:semiHidden/>
    <w:unhideWhenUsed/>
    <w:rsid w:val="004569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6948"/>
    <w:rPr>
      <w:rFonts w:ascii="Tahoma" w:hAnsi="Tahoma" w:cs="Tahoma"/>
      <w:sz w:val="16"/>
      <w:szCs w:val="16"/>
    </w:rPr>
  </w:style>
  <w:style w:type="paragraph" w:styleId="Header">
    <w:name w:val="header"/>
    <w:basedOn w:val="Normal"/>
    <w:link w:val="HeaderChar"/>
    <w:uiPriority w:val="99"/>
    <w:semiHidden/>
    <w:unhideWhenUsed/>
    <w:rsid w:val="0045694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56948"/>
  </w:style>
  <w:style w:type="paragraph" w:styleId="Footer">
    <w:name w:val="footer"/>
    <w:basedOn w:val="Normal"/>
    <w:link w:val="FooterChar"/>
    <w:uiPriority w:val="99"/>
    <w:unhideWhenUsed/>
    <w:rsid w:val="00456948"/>
    <w:pPr>
      <w:tabs>
        <w:tab w:val="center" w:pos="4680"/>
        <w:tab w:val="right" w:pos="9360"/>
      </w:tabs>
      <w:spacing w:line="240" w:lineRule="auto"/>
    </w:pPr>
  </w:style>
  <w:style w:type="character" w:customStyle="1" w:styleId="FooterChar">
    <w:name w:val="Footer Char"/>
    <w:basedOn w:val="DefaultParagraphFont"/>
    <w:link w:val="Footer"/>
    <w:uiPriority w:val="99"/>
    <w:rsid w:val="00456948"/>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BB6297-FBB6-4397-BBE8-9257A9027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2481</Words>
  <Characters>14145</Characters>
  <Application>Microsoft Office Word</Application>
  <DocSecurity>0</DocSecurity>
  <Lines>117</Lines>
  <Paragraphs>33</Paragraphs>
  <ScaleCrop>false</ScaleCrop>
  <Company/>
  <LinksUpToDate>false</LinksUpToDate>
  <CharactersWithSpaces>16593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2022-09-02T06:58:00Z</dcterms:created>
  <dcterms:modified xsi:type="dcterms:W3CDTF">2022-09-02T06:58:00Z</dcterms:modified>
</cp:coreProperties>
</file>