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98639C" w14:textId="77777777" w:rsidR="00757A35" w:rsidRDefault="00F60162" w:rsidP="00757A35">
      <w:pPr>
        <w:pStyle w:val="Heading1"/>
      </w:pPr>
      <w:r>
        <w:t>Ibrahim Hassan</w:t>
      </w:r>
    </w:p>
    <w:p w14:paraId="10AEAC41" w14:textId="61C4D7D1" w:rsidR="00757A35" w:rsidRDefault="00757A35" w:rsidP="00757A35">
      <w:pPr>
        <w:pStyle w:val="Heading1"/>
      </w:pPr>
      <w:r w:rsidRPr="00757A35">
        <w:t>2329257</w:t>
      </w:r>
    </w:p>
    <w:p w14:paraId="00C410AD" w14:textId="77777777" w:rsidR="00757A35" w:rsidRPr="00757A35" w:rsidRDefault="00757A35" w:rsidP="00757A35"/>
    <w:p w14:paraId="3E6D4717" w14:textId="2B6F8F02" w:rsidR="00036DD0" w:rsidRDefault="00036DD0" w:rsidP="00036DD0">
      <w:pPr>
        <w:pStyle w:val="Heading1"/>
      </w:pPr>
      <w:r>
        <w:t>1. Introduction</w:t>
      </w:r>
    </w:p>
    <w:p w14:paraId="014D1999" w14:textId="77777777" w:rsidR="00036DD0" w:rsidRDefault="00036DD0" w:rsidP="00036DD0">
      <w:r>
        <w:t xml:space="preserve">The purpose of this report is to explore the development of employability skills, personal branding, and professional identity in the context of the chosen health and social care career path. The job role that has been chosen for this report is that of a Registered Adult Nurse in the UK. This is a highly skilled job role that requires the application of various skills and competencies. The job role has been chosen because it is highly relevant in the context of modern healthcare and career aspirations. The purpose of this report is threefold. First and foremost, it seeks to </w:t>
      </w:r>
      <w:proofErr w:type="spellStart"/>
      <w:r>
        <w:t>analyse</w:t>
      </w:r>
      <w:proofErr w:type="spellEnd"/>
      <w:r>
        <w:t xml:space="preserve"> the employability skills that are needed to be successful in the chosen job role. The analysis will be based on the latest literature and the job role itself. The second purpose of this report is to evaluate the skills and qualifications that the author already possesses in the context of the chosen job role. The third purpose of this report is to formulate an action plan that will enable the author to gain the skills and competencies that are needed to be successful in the chosen job role. In this context, the report also seeks to explore the personal branding and professional identity aspects that are needed to be successful in the chosen job role. The employability skills that are needed in modern healthcare extend beyond the skills and competencies that were needed in the past. The personal branding and professional identity aspects that are needed in the chosen job role will be explored in the context of the latest literature. According to </w:t>
      </w:r>
      <w:proofErr w:type="spellStart"/>
      <w:r>
        <w:t>Aveyard</w:t>
      </w:r>
      <w:proofErr w:type="spellEnd"/>
      <w:r>
        <w:t xml:space="preserve"> (2023), it is important to critically engage with the literature in order to inform the practice. Therefore, this report will also seek to explore the academic literature in the context of the chosen job role. </w:t>
      </w:r>
    </w:p>
    <w:p w14:paraId="05DBA6B4" w14:textId="77777777" w:rsidR="00036DD0" w:rsidRDefault="00036DD0" w:rsidP="00036DD0">
      <w:pPr>
        <w:pStyle w:val="Heading1"/>
      </w:pPr>
      <w:r>
        <w:t>2. Job Role Overview</w:t>
      </w:r>
    </w:p>
    <w:p w14:paraId="5696E9A2" w14:textId="77777777" w:rsidR="00036DD0" w:rsidRDefault="00036DD0" w:rsidP="00036DD0">
      <w:r>
        <w:t>The job role of a Registered Adult Nurse entails providing comprehensive care to patients in various healthcare settings. The job role of the nurse entails assessing the needs of the patient and providing the necessary care. The nurse also needs to administer medication and assist the patient and the patient’s family in the context of the chosen job role. Key responsibilities include monitoring patients' conditions, maintaining accurate records, implementing care plans, and following professional and ethical standards. Currently, there is also an increasing need for nurses to work with digital technologies, including electronic health records. This is in line with the increasing importance of digital literacy in healthcare (Snow et al., 2025). The person specification for this role would include having completed a recognized degree in nursing, being registered with the Nursing and Midwifery Council (NMC), and having evidence of clinical placement experience. Key skills for this role include communication, teamwork, problem-solving, and ethical decision-making. However, there is also an increasing need for candidates with evidence of being adaptable, resilient, and having a commitment to lifelong learning. A real job vacancy was used in relation to this analysis (see Appendix), which is in line with meeting industry expectations. This is in line with the importance of using real data in relation to career planning, as emphasized by McGrath-Lone et al. (2022), which highlights the importance of “research-ready” data in relation to making evidence-based decisions.</w:t>
      </w:r>
    </w:p>
    <w:p w14:paraId="768DD190" w14:textId="77777777" w:rsidR="00036DD0" w:rsidRDefault="00036DD0" w:rsidP="00036DD0">
      <w:pPr>
        <w:pStyle w:val="Heading1"/>
      </w:pPr>
      <w:r>
        <w:t>3. Analysis of Employability Skills</w:t>
      </w:r>
    </w:p>
    <w:p w14:paraId="39AD8483" w14:textId="77777777" w:rsidR="00036DD0" w:rsidRDefault="00036DD0" w:rsidP="00036DD0">
      <w:r>
        <w:t xml:space="preserve">Employability in relation to the health and social care sector is driven by key skills that include communication, teamwork, problem-solving, and ethical decision-making. Communication is arguably the most important skill that is required in relation to being a nurse. This is because effective communication is key in relation to ensuring effective patient safety. However, communication is not just about communicating with patients. It also involves empathy and cultural sensitivity. Another important skill in this regard is teamwork. The delivery of healthcare services is a team-based activity. The nurse needs to work with various professionals such as doctors and therapists. Bullock et al. (2021) highlighted the significance of collaboration in the implementation of evidence-based practice. Thus, the importance of teamwork in delivering better healthcare services is evident. The requirement for leadership skills is also increasing in the early stages of nursing. The nurse needs to take initiative and be responsible for patient care. The nurse needs to be involved in the decision-making process. The significance of knowledge-sharing and leadership in the implementation of evidence-based policy and practice was highlighted in the study by MacKillop et al. (2020). Another important skill in this regard is problem-solving. The nursing profession is complex and unpredictable. The nurse needs to take quick decisions in such unpredictable conditions. Evans et al. (2021) highlighted the significance of adapting the intervention according to the context. The nurse needs to be skilled in problem-solving in this regard. The significance of digital skills in the nursing profession is also increasing. The integration of technology in the healthcare system has made digital skills an important requirement. The nurse needs to be skilled in the use of electronic patient care records. Snow et al. (2025) highlighted the significance of the workforce’s digital skills in the implementation of digital technologies. Thus, the importance of digital skills in the nursing profession is evident. Another important requirement in the nursing profession is ethical practice. The nurse needs to be skilled in ethical practice. The nurse needs to be aware of the ethical guidelines and be able to keep the patient’s information confidential. The significance of the ethical framework in the implementation of healthcare practice was highlighted in the study by De </w:t>
      </w:r>
      <w:proofErr w:type="spellStart"/>
      <w:r>
        <w:t>Poli</w:t>
      </w:r>
      <w:proofErr w:type="spellEnd"/>
      <w:r>
        <w:t xml:space="preserve"> and </w:t>
      </w:r>
      <w:proofErr w:type="spellStart"/>
      <w:r>
        <w:t>Oyebode</w:t>
      </w:r>
      <w:proofErr w:type="spellEnd"/>
      <w:r>
        <w:t xml:space="preserve"> (2023). Critically, though, while these skills have been recognized, their application is subject to certain organizational constraints. </w:t>
      </w:r>
      <w:proofErr w:type="spellStart"/>
      <w:r>
        <w:t>Prowse</w:t>
      </w:r>
      <w:proofErr w:type="spellEnd"/>
      <w:r>
        <w:t xml:space="preserve"> et al. (2022) observe that certain workforce issues in healthcare and social work services affect skill development. Therefore, there is a need to understand employability in relation to other systemic issues.</w:t>
      </w:r>
    </w:p>
    <w:p w14:paraId="50C17187" w14:textId="77777777" w:rsidR="00036DD0" w:rsidRDefault="00036DD0" w:rsidP="00036DD0">
      <w:pPr>
        <w:pStyle w:val="Heading1"/>
      </w:pPr>
      <w:r>
        <w:t>4. Self-Evaluation of Your Skills</w:t>
      </w:r>
    </w:p>
    <w:p w14:paraId="282D1D03" w14:textId="77777777" w:rsidR="00036DD0" w:rsidRDefault="00036DD0" w:rsidP="00036DD0">
      <w:pPr>
        <w:pStyle w:val="Heading2"/>
      </w:pPr>
      <w:r>
        <w:t>4.1 Current Skills Assessment</w:t>
      </w:r>
    </w:p>
    <w:p w14:paraId="65BED52D" w14:textId="77777777" w:rsidR="00036DD0" w:rsidRDefault="00036DD0" w:rsidP="00036DD0">
      <w:r>
        <w:t>The strengths were evaluated using a SWOT analysis. The strengths include good communication skills, empathy, and a willingness to learn. Such traits have been recognized in relation to nursing. Moreover, academic skills in conducting research and critical thinking have been developed, with academic practices in conducting literature reviews (</w:t>
      </w:r>
      <w:proofErr w:type="spellStart"/>
      <w:r>
        <w:t>Purssell</w:t>
      </w:r>
      <w:proofErr w:type="spellEnd"/>
      <w:r>
        <w:t xml:space="preserve"> &amp; </w:t>
      </w:r>
      <w:proofErr w:type="spellStart"/>
      <w:r>
        <w:t>McCrae</w:t>
      </w:r>
      <w:proofErr w:type="spellEnd"/>
      <w:r>
        <w:t>, 2020). However, there is also room for improvement in terms of limited experience in decision-making. Though knowledge is being developed, its application is still an area that needs development. This is in line with other healthcare students who often struggle with applying knowledge (</w:t>
      </w:r>
      <w:proofErr w:type="spellStart"/>
      <w:r>
        <w:t>LoBiondo-Wood</w:t>
      </w:r>
      <w:proofErr w:type="spellEnd"/>
      <w:r>
        <w:t xml:space="preserve"> &amp; </w:t>
      </w:r>
      <w:proofErr w:type="spellStart"/>
      <w:r>
        <w:t>Haber</w:t>
      </w:r>
      <w:proofErr w:type="spellEnd"/>
      <w:r>
        <w:t>, 2021).</w:t>
      </w:r>
    </w:p>
    <w:p w14:paraId="65051E6D" w14:textId="77777777" w:rsidR="00036DD0" w:rsidRDefault="00036DD0" w:rsidP="00036DD0">
      <w:pPr>
        <w:pStyle w:val="Heading2"/>
      </w:pPr>
      <w:r>
        <w:t>4.2 Experience and Qualifications</w:t>
      </w:r>
    </w:p>
    <w:p w14:paraId="106D17D6" w14:textId="77777777" w:rsidR="00036DD0" w:rsidRDefault="00036DD0" w:rsidP="00036DD0">
      <w:r>
        <w:t xml:space="preserve">Currently, I have qualifications in ongoing studies in health and social care. Moreover, certain coursework in patient care and ethics is also being completed. Any voluntary work in helping in the community or with vulnerable individuals is also beneficial in skill development. Further training in first aid or safeguarding would be beneficial in enhancing employability. As discussed by </w:t>
      </w:r>
      <w:proofErr w:type="spellStart"/>
      <w:r>
        <w:t>Tajuria</w:t>
      </w:r>
      <w:proofErr w:type="spellEnd"/>
      <w:r>
        <w:t xml:space="preserve"> et al. (2024), training is beneficial in enhancing professional competence.</w:t>
      </w:r>
    </w:p>
    <w:p w14:paraId="44383739" w14:textId="77777777" w:rsidR="00036DD0" w:rsidRDefault="00036DD0" w:rsidP="00036DD0">
      <w:pPr>
        <w:pStyle w:val="Heading2"/>
      </w:pPr>
      <w:r>
        <w:t>4.3 Gap Analysis</w:t>
      </w:r>
    </w:p>
    <w:p w14:paraId="3BAB4E50" w14:textId="77777777" w:rsidR="00036DD0" w:rsidRDefault="00036DD0" w:rsidP="00036DD0">
      <w:r>
        <w:t>The comparison of existing skills with those required by the job indicates some areas of improvement. Although communication skills and understanding are strengths, areas of improvement include developing clinical skills, digital skills, and leadership skills. This is in agreement with Wang et al. (2024) in their emphasis on digital and analytical skills in healthcare management.</w:t>
      </w:r>
    </w:p>
    <w:p w14:paraId="35E82D47" w14:textId="77777777" w:rsidR="00036DD0" w:rsidRDefault="00036DD0" w:rsidP="00036DD0">
      <w:pPr>
        <w:pStyle w:val="Heading1"/>
      </w:pPr>
      <w:r>
        <w:t>5. Personal Brand and Professional Identity</w:t>
      </w:r>
    </w:p>
    <w:p w14:paraId="271DCAF2" w14:textId="77777777" w:rsidR="00036DD0" w:rsidRDefault="00036DD0" w:rsidP="00036DD0">
      <w:r>
        <w:t xml:space="preserve">Personal branding is the process of developing oneself professionally. This includes personal values, skills, and reputation. Personal branding is essential in the health and social care sector, where having a good personal brand increases employability. My personal brand is about empathy, reliability, and continuous learning. This is in line with the ethical principles required in the practice of health and social care. This is achieved through developing my personal brand online, e.g., through LinkedIn, and continuous learning. Developing my professional identity is about showing my competence and credibility. According to </w:t>
      </w:r>
      <w:proofErr w:type="spellStart"/>
      <w:r>
        <w:t>Aveyard</w:t>
      </w:r>
      <w:proofErr w:type="spellEnd"/>
      <w:r>
        <w:t xml:space="preserve"> (2023), developing my reflective practice is essential in developing my professional identity, as this enables me to reflect on my practice and improve my performance.</w:t>
      </w:r>
    </w:p>
    <w:p w14:paraId="3CFF6AB3" w14:textId="77777777" w:rsidR="00036DD0" w:rsidRDefault="00036DD0" w:rsidP="00036DD0">
      <w:pPr>
        <w:pStyle w:val="Heading1"/>
      </w:pPr>
      <w:r>
        <w:t>6. Unique Selling Point (USP)</w:t>
      </w:r>
    </w:p>
    <w:p w14:paraId="2DAD2521" w14:textId="77777777" w:rsidR="00036DD0" w:rsidRDefault="00036DD0" w:rsidP="00036DD0">
      <w:r>
        <w:t>My unique selling point is my interpersonal skills coupled with my commitment to evidence-based practice. Having good communication skills with patients, coupled with my knowledge of academic theories, is my unique selling point. This is because I will be able to effectively communicate with patients. This is in line with the emphasis on evidence-based practice in healthcare (Bullock et al., 2021). Having knowledge of academic theories in healthcare will enable me to make appropriate contributions in my line of work. This will be beneficial in that it will improve patients’ outcomes.</w:t>
      </w:r>
    </w:p>
    <w:p w14:paraId="66761D21" w14:textId="77777777" w:rsidR="00036DD0" w:rsidRDefault="00036DD0" w:rsidP="00036DD0">
      <w:pPr>
        <w:pStyle w:val="Heading1"/>
      </w:pPr>
      <w:r>
        <w:t>8. Networking Strategy</w:t>
      </w:r>
    </w:p>
    <w:p w14:paraId="5C487964" w14:textId="77777777" w:rsidR="00036DD0" w:rsidRDefault="00036DD0" w:rsidP="00036DD0">
      <w:r>
        <w:t>Networking is essential in building my career in the field of health and social care. This is because it provides opportunities for me to learn from professionals in my line of work. Moreover, it provides opportunities for me to access job opportunities in my line of work. Furthermore, it provides opportunities for me to stay updated on what is happening in my line of work. One of my strategies is to utilize LinkedIn in my line of work. Moreover, I plan on attending workshops, seminars, and career events. Placement is also an opportunity for me to network with professionals in my line of work. This is according to MacKillop et al. (2020), which emphasizes the value of knowledge exchange in professional networks. Networking is likely to improve both individual and organizational performance.</w:t>
      </w:r>
    </w:p>
    <w:p w14:paraId="6365DB93" w14:textId="77777777" w:rsidR="00036DD0" w:rsidRDefault="00036DD0" w:rsidP="00036DD0">
      <w:pPr>
        <w:pStyle w:val="Heading1"/>
      </w:pPr>
      <w:r>
        <w:t>8. Action Plan and Timeline</w:t>
      </w:r>
    </w:p>
    <w:p w14:paraId="55A585F8" w14:textId="77777777" w:rsidR="00036DD0" w:rsidRDefault="00036DD0" w:rsidP="00036DD0">
      <w:pPr>
        <w:pStyle w:val="Heading2"/>
      </w:pPr>
      <w:r>
        <w:t>8.1 Skills Development Plan</w:t>
      </w:r>
    </w:p>
    <w:p w14:paraId="4A1166B1" w14:textId="77777777" w:rsidR="00036DD0" w:rsidRDefault="00036DD0" w:rsidP="00036DD0">
      <w:r>
        <w:t>The key skills that need development include clinical skills, digital literacy, and leadership skills. To develop these skills, it is recommended that relevant courses be undertaken, work experience be gained, and voluntary work be undertaken.</w:t>
      </w:r>
    </w:p>
    <w:p w14:paraId="189D67D9" w14:textId="77777777" w:rsidR="00036DD0" w:rsidRDefault="00036DD0" w:rsidP="00036DD0">
      <w:pPr>
        <w:pStyle w:val="Heading2"/>
      </w:pPr>
      <w:r>
        <w:t>8.2 Timeline</w:t>
      </w:r>
    </w:p>
    <w:p w14:paraId="69A5B79C" w14:textId="77777777" w:rsidR="00036DD0" w:rsidRDefault="00036DD0" w:rsidP="00036DD0">
      <w:pPr>
        <w:pStyle w:val="Heading3"/>
      </w:pPr>
      <w:r>
        <w:t>Short-term (0-1 year)</w:t>
      </w:r>
    </w:p>
    <w:p w14:paraId="1581DC54" w14:textId="77777777" w:rsidR="00036DD0" w:rsidRDefault="00036DD0" w:rsidP="00036DD0">
      <w:pPr>
        <w:pStyle w:val="ListParagraph"/>
        <w:numPr>
          <w:ilvl w:val="0"/>
          <w:numId w:val="1"/>
        </w:numPr>
      </w:pPr>
      <w:r>
        <w:t>Complete any ongoing studies</w:t>
      </w:r>
    </w:p>
    <w:p w14:paraId="31EE3146" w14:textId="77777777" w:rsidR="00036DD0" w:rsidRDefault="00036DD0" w:rsidP="00036DD0">
      <w:pPr>
        <w:pStyle w:val="ListParagraph"/>
        <w:numPr>
          <w:ilvl w:val="0"/>
          <w:numId w:val="1"/>
        </w:numPr>
      </w:pPr>
      <w:r>
        <w:t>Obtain basic healthcare experience</w:t>
      </w:r>
    </w:p>
    <w:p w14:paraId="19E50B18" w14:textId="77777777" w:rsidR="00036DD0" w:rsidRDefault="00036DD0" w:rsidP="00036DD0">
      <w:pPr>
        <w:pStyle w:val="ListParagraph"/>
        <w:numPr>
          <w:ilvl w:val="0"/>
          <w:numId w:val="1"/>
        </w:numPr>
      </w:pPr>
      <w:r>
        <w:t>Develop CV and LinkedIn profile</w:t>
      </w:r>
    </w:p>
    <w:p w14:paraId="02E76832" w14:textId="77777777" w:rsidR="00036DD0" w:rsidRDefault="00036DD0" w:rsidP="00036DD0">
      <w:pPr>
        <w:pStyle w:val="Heading3"/>
      </w:pPr>
      <w:r>
        <w:t>Medium-term (1-3 years)</w:t>
      </w:r>
    </w:p>
    <w:p w14:paraId="0294FCCA" w14:textId="77777777" w:rsidR="00036DD0" w:rsidRDefault="00036DD0" w:rsidP="00036DD0">
      <w:pPr>
        <w:pStyle w:val="ListParagraph"/>
        <w:numPr>
          <w:ilvl w:val="0"/>
          <w:numId w:val="1"/>
        </w:numPr>
      </w:pPr>
      <w:r>
        <w:t>Enroll in nursing degree program</w:t>
      </w:r>
    </w:p>
    <w:p w14:paraId="28B294D3" w14:textId="77777777" w:rsidR="00036DD0" w:rsidRDefault="00036DD0" w:rsidP="00036DD0">
      <w:pPr>
        <w:pStyle w:val="ListParagraph"/>
        <w:numPr>
          <w:ilvl w:val="0"/>
          <w:numId w:val="1"/>
        </w:numPr>
      </w:pPr>
      <w:r>
        <w:t>Obtain experience in clinical placements</w:t>
      </w:r>
    </w:p>
    <w:p w14:paraId="6604190B" w14:textId="77777777" w:rsidR="00036DD0" w:rsidRDefault="00036DD0" w:rsidP="00036DD0">
      <w:pPr>
        <w:pStyle w:val="ListParagraph"/>
        <w:numPr>
          <w:ilvl w:val="0"/>
          <w:numId w:val="1"/>
        </w:numPr>
      </w:pPr>
      <w:r>
        <w:t>Obtain basic digital literacy skills</w:t>
      </w:r>
    </w:p>
    <w:p w14:paraId="4641AE9C" w14:textId="77777777" w:rsidR="00036DD0" w:rsidRDefault="00036DD0" w:rsidP="00036DD0">
      <w:pPr>
        <w:pStyle w:val="Heading3"/>
      </w:pPr>
      <w:r>
        <w:t>Long-term (3-5 years)</w:t>
      </w:r>
    </w:p>
    <w:p w14:paraId="60D47AED" w14:textId="77777777" w:rsidR="00036DD0" w:rsidRDefault="00036DD0" w:rsidP="00036DD0">
      <w:pPr>
        <w:pStyle w:val="ListParagraph"/>
        <w:numPr>
          <w:ilvl w:val="0"/>
          <w:numId w:val="1"/>
        </w:numPr>
      </w:pPr>
      <w:r>
        <w:t>Obtain professional registration</w:t>
      </w:r>
    </w:p>
    <w:p w14:paraId="527CB149" w14:textId="77777777" w:rsidR="00036DD0" w:rsidRDefault="00036DD0" w:rsidP="00036DD0">
      <w:pPr>
        <w:pStyle w:val="ListParagraph"/>
        <w:numPr>
          <w:ilvl w:val="0"/>
          <w:numId w:val="1"/>
        </w:numPr>
      </w:pPr>
      <w:r>
        <w:t>Obtain employment as Registered Nurse</w:t>
      </w:r>
    </w:p>
    <w:p w14:paraId="14AA1989" w14:textId="77777777" w:rsidR="00036DD0" w:rsidRDefault="00036DD0" w:rsidP="00036DD0">
      <w:pPr>
        <w:pStyle w:val="ListParagraph"/>
        <w:numPr>
          <w:ilvl w:val="0"/>
          <w:numId w:val="1"/>
        </w:numPr>
      </w:pPr>
      <w:r>
        <w:t>Obtain further professional development</w:t>
      </w:r>
    </w:p>
    <w:p w14:paraId="5CA25258" w14:textId="77777777" w:rsidR="00036DD0" w:rsidRDefault="00036DD0" w:rsidP="00036DD0">
      <w:pPr>
        <w:pStyle w:val="Heading1"/>
      </w:pPr>
      <w:r>
        <w:t>9. Resources Required</w:t>
      </w:r>
    </w:p>
    <w:p w14:paraId="5A3DCEF0" w14:textId="77777777" w:rsidR="00036DD0" w:rsidRDefault="00036DD0" w:rsidP="00036DD0">
      <w:r>
        <w:t>To achieve all these goals, access to educational programs, financial assistance for educational purposes, mentorship, and professionals in relevant fields is required. Time management is also essential in balancing work, study, and other activities.</w:t>
      </w:r>
    </w:p>
    <w:p w14:paraId="1038A648" w14:textId="77777777" w:rsidR="00036DD0" w:rsidRDefault="00036DD0" w:rsidP="00036DD0">
      <w:pPr>
        <w:pStyle w:val="Heading1"/>
      </w:pPr>
      <w:r>
        <w:t>10. Communication of Skills to Employers</w:t>
      </w:r>
    </w:p>
    <w:p w14:paraId="684FCA82" w14:textId="77777777" w:rsidR="00036DD0" w:rsidRDefault="00036DD0" w:rsidP="00036DD0">
      <w:r>
        <w:t>Communication of skills is essential in obtaining employment. This involves creating a professional CV, cover letter, updating a LinkedIn profile, or even creating a personal portfolio. This enables individuals to showcase their skills, experiences, and achievements in a structured format.</w:t>
      </w:r>
    </w:p>
    <w:p w14:paraId="5818B976" w14:textId="77777777" w:rsidR="00036DD0" w:rsidRDefault="00036DD0" w:rsidP="00036DD0">
      <w:pPr>
        <w:pStyle w:val="Heading1"/>
      </w:pPr>
      <w:r>
        <w:t>11. Conclusion</w:t>
      </w:r>
    </w:p>
    <w:p w14:paraId="478FD4B6" w14:textId="77777777" w:rsidR="00036DD0" w:rsidRDefault="00036DD0" w:rsidP="00036DD0">
      <w:r>
        <w:t>This report has analyzed the skills that an individual requires in order to be employable in the Registered Adult Nurse position. It also evaluated the existing skills in relation to the requirements. From the analysis, it is clear that to be employable in health and social care, one requires certain skills, which include technical skills, interpersonal skills, and digital skills, accompanied by learning and developmental skills. Although there are some shortcomings in the skills possessed, it is clear that the shortcomings can be overcome through the right measures and investment in resources. To be employable in the role of a Registered Adult Nurse, one will need commitment, flexibility, and a willingness to develop and grow as an individual and in their profession. The strategies outlined in the report make it not only possible but also achievable to attain the role of a Registered Adult Nurse.</w:t>
      </w:r>
    </w:p>
    <w:p w14:paraId="73E012B8" w14:textId="77777777" w:rsidR="00036DD0" w:rsidRDefault="00036DD0" w:rsidP="00036DD0">
      <w:r>
        <w:br w:type="page"/>
      </w:r>
    </w:p>
    <w:p w14:paraId="763B1D6B" w14:textId="77777777" w:rsidR="009A0F7D" w:rsidRDefault="00036DD0" w:rsidP="00036DD0">
      <w:pPr>
        <w:pStyle w:val="Heading1"/>
      </w:pPr>
      <w:r>
        <w:t xml:space="preserve">References </w:t>
      </w:r>
    </w:p>
    <w:p w14:paraId="54E48662" w14:textId="77777777" w:rsidR="000C466C" w:rsidRDefault="000C466C" w:rsidP="000C466C">
      <w:pPr>
        <w:ind w:left="720" w:hanging="720"/>
      </w:pPr>
      <w:r>
        <w:t xml:space="preserve">Ahmed, S.K., Mohammed, R.A., </w:t>
      </w:r>
      <w:proofErr w:type="spellStart"/>
      <w:r>
        <w:t>Nashwan</w:t>
      </w:r>
      <w:proofErr w:type="spellEnd"/>
      <w:r>
        <w:t xml:space="preserve">, A.J., Ibrahim, R.H., </w:t>
      </w:r>
      <w:proofErr w:type="spellStart"/>
      <w:r>
        <w:t>Abdalla</w:t>
      </w:r>
      <w:proofErr w:type="spellEnd"/>
      <w:r>
        <w:t xml:space="preserve">, A.Q., </w:t>
      </w:r>
      <w:proofErr w:type="spellStart"/>
      <w:r>
        <w:t>Ameen</w:t>
      </w:r>
      <w:proofErr w:type="spellEnd"/>
      <w:r>
        <w:t xml:space="preserve">, B.M.M. and </w:t>
      </w:r>
      <w:proofErr w:type="spellStart"/>
      <w:r>
        <w:t>Khdhir</w:t>
      </w:r>
      <w:proofErr w:type="spellEnd"/>
      <w:r>
        <w:t xml:space="preserve">, R.M. (2025) ‘Using thematic analysis in qualitative research’, </w:t>
      </w:r>
      <w:r>
        <w:rPr>
          <w:rStyle w:val="Emphasis"/>
        </w:rPr>
        <w:t>Journal of Medicine, Surgery, and Public Health</w:t>
      </w:r>
      <w:r>
        <w:t>, 6, p. 100198.</w:t>
      </w:r>
    </w:p>
    <w:p w14:paraId="5E0448D3" w14:textId="77777777" w:rsidR="000C466C" w:rsidRDefault="000C466C" w:rsidP="000C466C">
      <w:pPr>
        <w:ind w:left="720" w:hanging="720"/>
      </w:pPr>
      <w:proofErr w:type="spellStart"/>
      <w:r>
        <w:t>Alabid</w:t>
      </w:r>
      <w:proofErr w:type="spellEnd"/>
      <w:r>
        <w:t xml:space="preserve">, J., </w:t>
      </w:r>
      <w:proofErr w:type="spellStart"/>
      <w:r>
        <w:t>Bennadji</w:t>
      </w:r>
      <w:proofErr w:type="spellEnd"/>
      <w:r>
        <w:t xml:space="preserve">, A. and </w:t>
      </w:r>
      <w:proofErr w:type="spellStart"/>
      <w:r>
        <w:t>Seddiki</w:t>
      </w:r>
      <w:proofErr w:type="spellEnd"/>
      <w:r>
        <w:t xml:space="preserve">, M. (2022) ‘A review on the energy retrofit policies and improvements of the UK existing buildings, challenges and benefits’, </w:t>
      </w:r>
      <w:r>
        <w:rPr>
          <w:rStyle w:val="Emphasis"/>
        </w:rPr>
        <w:t>Renewable and Sustainable Energy Reviews</w:t>
      </w:r>
      <w:r>
        <w:t>, 159, p. 112161.</w:t>
      </w:r>
    </w:p>
    <w:p w14:paraId="656A9DB8" w14:textId="77777777" w:rsidR="000C466C" w:rsidRDefault="000C466C" w:rsidP="000C466C">
      <w:pPr>
        <w:ind w:left="720" w:hanging="720"/>
      </w:pPr>
      <w:proofErr w:type="spellStart"/>
      <w:r>
        <w:t>Aveyard</w:t>
      </w:r>
      <w:proofErr w:type="spellEnd"/>
      <w:r>
        <w:t xml:space="preserve">, H. (2023) </w:t>
      </w:r>
      <w:r>
        <w:rPr>
          <w:rStyle w:val="Emphasis"/>
        </w:rPr>
        <w:t>Doing a literature review in health and social care: A practical guide</w:t>
      </w:r>
      <w:r>
        <w:t xml:space="preserve">. 5th </w:t>
      </w:r>
      <w:proofErr w:type="spellStart"/>
      <w:r>
        <w:t>edn</w:t>
      </w:r>
      <w:proofErr w:type="spellEnd"/>
      <w:r>
        <w:t>. Maidenhead: Open University Press.</w:t>
      </w:r>
    </w:p>
    <w:p w14:paraId="4631783B" w14:textId="77777777" w:rsidR="000C466C" w:rsidRDefault="000C466C" w:rsidP="000C466C">
      <w:pPr>
        <w:ind w:left="720" w:hanging="720"/>
      </w:pPr>
      <w:r>
        <w:t xml:space="preserve">Bullock, H.L., </w:t>
      </w:r>
      <w:proofErr w:type="spellStart"/>
      <w:r>
        <w:t>Lavis</w:t>
      </w:r>
      <w:proofErr w:type="spellEnd"/>
      <w:r>
        <w:t xml:space="preserve">, J.N., Wilson, M.G., </w:t>
      </w:r>
      <w:proofErr w:type="spellStart"/>
      <w:r>
        <w:t>Mulvale</w:t>
      </w:r>
      <w:proofErr w:type="spellEnd"/>
      <w:r>
        <w:t xml:space="preserve">, G. and </w:t>
      </w:r>
      <w:proofErr w:type="spellStart"/>
      <w:r>
        <w:t>Miatello</w:t>
      </w:r>
      <w:proofErr w:type="spellEnd"/>
      <w:r>
        <w:t xml:space="preserve">, A. (2021) ‘Understanding the implementation of evidence-informed policies and practices from a policy perspective: A critical interpretive synthesis’, </w:t>
      </w:r>
      <w:r>
        <w:rPr>
          <w:rStyle w:val="Emphasis"/>
        </w:rPr>
        <w:t>Implementation Science</w:t>
      </w:r>
      <w:r>
        <w:t>, 16(1), p. 18.</w:t>
      </w:r>
    </w:p>
    <w:p w14:paraId="72DE47D9" w14:textId="77777777" w:rsidR="000C466C" w:rsidRDefault="000C466C" w:rsidP="000C466C">
      <w:pPr>
        <w:ind w:left="720" w:hanging="720"/>
      </w:pPr>
      <w:proofErr w:type="spellStart"/>
      <w:r>
        <w:t>Calderone</w:t>
      </w:r>
      <w:proofErr w:type="spellEnd"/>
      <w:r>
        <w:t xml:space="preserve">, A., </w:t>
      </w:r>
      <w:proofErr w:type="spellStart"/>
      <w:r>
        <w:t>Marafioti</w:t>
      </w:r>
      <w:proofErr w:type="spellEnd"/>
      <w:r>
        <w:t xml:space="preserve">, G., </w:t>
      </w:r>
      <w:proofErr w:type="spellStart"/>
      <w:r>
        <w:t>Latella</w:t>
      </w:r>
      <w:proofErr w:type="spellEnd"/>
      <w:r>
        <w:t xml:space="preserve">, D., </w:t>
      </w:r>
      <w:proofErr w:type="spellStart"/>
      <w:r>
        <w:t>Corallo</w:t>
      </w:r>
      <w:proofErr w:type="spellEnd"/>
      <w:r>
        <w:t xml:space="preserve">, F., </w:t>
      </w:r>
      <w:proofErr w:type="spellStart"/>
      <w:r>
        <w:t>D’Aleo</w:t>
      </w:r>
      <w:proofErr w:type="spellEnd"/>
      <w:r>
        <w:t xml:space="preserve">, P., </w:t>
      </w:r>
      <w:proofErr w:type="spellStart"/>
      <w:r>
        <w:t>Quartarone</w:t>
      </w:r>
      <w:proofErr w:type="spellEnd"/>
      <w:r>
        <w:t xml:space="preserve">, A. and </w:t>
      </w:r>
      <w:proofErr w:type="spellStart"/>
      <w:r>
        <w:t>Calabrò</w:t>
      </w:r>
      <w:proofErr w:type="spellEnd"/>
      <w:r>
        <w:t xml:space="preserve">, R.S. (2025) ‘Effectiveness of relaxation techniques for stress management and quality of life improvement in cardiovascular disease and hypertensive patients: A systematic review’, </w:t>
      </w:r>
      <w:r>
        <w:rPr>
          <w:rStyle w:val="Emphasis"/>
        </w:rPr>
        <w:t>Psychology, Health &amp; Medicine</w:t>
      </w:r>
      <w:r>
        <w:t>, 30(7), pp. 1281–1352.</w:t>
      </w:r>
    </w:p>
    <w:p w14:paraId="5477368F" w14:textId="77777777" w:rsidR="000C466C" w:rsidRDefault="000C466C" w:rsidP="000C466C">
      <w:pPr>
        <w:ind w:left="720" w:hanging="720"/>
      </w:pPr>
      <w:proofErr w:type="spellStart"/>
      <w:r>
        <w:t>Compernolle</w:t>
      </w:r>
      <w:proofErr w:type="spellEnd"/>
      <w:r>
        <w:t xml:space="preserve">, S., De Cocker, K., </w:t>
      </w:r>
      <w:proofErr w:type="spellStart"/>
      <w:r>
        <w:t>Cardon</w:t>
      </w:r>
      <w:proofErr w:type="spellEnd"/>
      <w:r>
        <w:t xml:space="preserve">, G., De </w:t>
      </w:r>
      <w:proofErr w:type="spellStart"/>
      <w:r>
        <w:t>Bourdeaudhuij</w:t>
      </w:r>
      <w:proofErr w:type="spellEnd"/>
      <w:r>
        <w:t xml:space="preserve">, I. and Van </w:t>
      </w:r>
      <w:proofErr w:type="spellStart"/>
      <w:r>
        <w:t>Dyck</w:t>
      </w:r>
      <w:proofErr w:type="spellEnd"/>
      <w:r>
        <w:t xml:space="preserve">, D. (2020) ‘Older adults’ perceptions of sedentary behavior: A systematic review and thematic synthesis of qualitative studies’, </w:t>
      </w:r>
      <w:r>
        <w:rPr>
          <w:rStyle w:val="Emphasis"/>
        </w:rPr>
        <w:t>The Gerontologist</w:t>
      </w:r>
      <w:r>
        <w:t>, 60(8), pp. e572–e582.</w:t>
      </w:r>
    </w:p>
    <w:p w14:paraId="7C74E6FC" w14:textId="77777777" w:rsidR="000C466C" w:rsidRDefault="000C466C" w:rsidP="000C466C">
      <w:pPr>
        <w:ind w:left="720" w:hanging="720"/>
      </w:pPr>
      <w:r>
        <w:t xml:space="preserve">De </w:t>
      </w:r>
      <w:proofErr w:type="spellStart"/>
      <w:r>
        <w:t>Poli</w:t>
      </w:r>
      <w:proofErr w:type="spellEnd"/>
      <w:r>
        <w:t xml:space="preserve">, C. and </w:t>
      </w:r>
      <w:proofErr w:type="spellStart"/>
      <w:r>
        <w:t>Oyebode</w:t>
      </w:r>
      <w:proofErr w:type="spellEnd"/>
      <w:r>
        <w:t xml:space="preserve">, J. (2023) ‘Research ethics and collaborative research in health and social care: Analysis of UK research ethics policies, scoping review of the literature, and focus group study’, </w:t>
      </w:r>
      <w:r>
        <w:rPr>
          <w:rStyle w:val="Emphasis"/>
        </w:rPr>
        <w:t>PLOS ONE</w:t>
      </w:r>
      <w:r>
        <w:t>, 18(12), p. e0296223.</w:t>
      </w:r>
    </w:p>
    <w:p w14:paraId="2BCE45FD" w14:textId="77777777" w:rsidR="000C466C" w:rsidRDefault="000C466C" w:rsidP="000C466C">
      <w:pPr>
        <w:ind w:left="720" w:hanging="720"/>
      </w:pPr>
      <w:proofErr w:type="spellStart"/>
      <w:r>
        <w:t>Duan</w:t>
      </w:r>
      <w:proofErr w:type="spellEnd"/>
      <w:r>
        <w:t xml:space="preserve">, J., </w:t>
      </w:r>
      <w:proofErr w:type="spellStart"/>
      <w:r>
        <w:t>Cui</w:t>
      </w:r>
      <w:proofErr w:type="spellEnd"/>
      <w:r>
        <w:t xml:space="preserve">, L., Zhao, X., Bai, H., </w:t>
      </w:r>
      <w:proofErr w:type="spellStart"/>
      <w:r>
        <w:t>Cai</w:t>
      </w:r>
      <w:proofErr w:type="spellEnd"/>
      <w:r>
        <w:t xml:space="preserve">, S., Wang, G., Zhao, Z., Zhao, J., Chen, S., Song, J. and Qi, C. (2020) ‘Use of immunotherapy with programmed cell death 1 vs programmed cell death ligand 1 inhibitors in patients with cancer: A systematic review and meta-analysis’, </w:t>
      </w:r>
      <w:r>
        <w:rPr>
          <w:rStyle w:val="Emphasis"/>
        </w:rPr>
        <w:t>JAMA Oncology</w:t>
      </w:r>
      <w:r>
        <w:t>, 6(3), pp. 375–384.</w:t>
      </w:r>
    </w:p>
    <w:p w14:paraId="235FB8BA" w14:textId="77777777" w:rsidR="000C466C" w:rsidRDefault="000C466C" w:rsidP="000C466C">
      <w:pPr>
        <w:ind w:left="720" w:hanging="720"/>
      </w:pPr>
      <w:r>
        <w:t xml:space="preserve">Evans, R.E., Moore, G., </w:t>
      </w:r>
      <w:proofErr w:type="spellStart"/>
      <w:r>
        <w:t>Movsisyan</w:t>
      </w:r>
      <w:proofErr w:type="spellEnd"/>
      <w:r>
        <w:t xml:space="preserve">, A., </w:t>
      </w:r>
      <w:proofErr w:type="spellStart"/>
      <w:r>
        <w:t>Rehfuess</w:t>
      </w:r>
      <w:proofErr w:type="spellEnd"/>
      <w:r>
        <w:t xml:space="preserve">, E. and ADAPT Panel (2021) ‘How can we adapt complex population health interventions for new contexts?’, </w:t>
      </w:r>
      <w:r>
        <w:rPr>
          <w:rStyle w:val="Emphasis"/>
        </w:rPr>
        <w:t>Journal of Epidemiology and Community Health</w:t>
      </w:r>
      <w:r>
        <w:t>, 75(1), pp. 40–45.</w:t>
      </w:r>
    </w:p>
    <w:p w14:paraId="2A3E8BCB" w14:textId="77777777" w:rsidR="000C466C" w:rsidRDefault="000C466C" w:rsidP="000C466C">
      <w:pPr>
        <w:ind w:left="720" w:hanging="720"/>
      </w:pPr>
      <w:proofErr w:type="spellStart"/>
      <w:r>
        <w:t>Grävare</w:t>
      </w:r>
      <w:proofErr w:type="spellEnd"/>
      <w:r>
        <w:t xml:space="preserve"> </w:t>
      </w:r>
      <w:proofErr w:type="spellStart"/>
      <w:r>
        <w:t>Silbernagel</w:t>
      </w:r>
      <w:proofErr w:type="spellEnd"/>
      <w:r>
        <w:t xml:space="preserve">, K., </w:t>
      </w:r>
      <w:proofErr w:type="spellStart"/>
      <w:r>
        <w:t>Malliaras</w:t>
      </w:r>
      <w:proofErr w:type="spellEnd"/>
      <w:r>
        <w:t xml:space="preserve">, P., de </w:t>
      </w:r>
      <w:proofErr w:type="spellStart"/>
      <w:r>
        <w:t>Vos</w:t>
      </w:r>
      <w:proofErr w:type="spellEnd"/>
      <w:r>
        <w:t xml:space="preserve">, R.J., Hanlon, S., </w:t>
      </w:r>
      <w:proofErr w:type="spellStart"/>
      <w:r>
        <w:t>Molenaar</w:t>
      </w:r>
      <w:proofErr w:type="spellEnd"/>
      <w:r>
        <w:t xml:space="preserve">, M., </w:t>
      </w:r>
      <w:proofErr w:type="spellStart"/>
      <w:r>
        <w:t>Alfredson</w:t>
      </w:r>
      <w:proofErr w:type="spellEnd"/>
      <w:r>
        <w:t xml:space="preserve">, H., Van den </w:t>
      </w:r>
      <w:proofErr w:type="spellStart"/>
      <w:r>
        <w:t>Akker-Scheek</w:t>
      </w:r>
      <w:proofErr w:type="spellEnd"/>
      <w:r>
        <w:t xml:space="preserve">, I., </w:t>
      </w:r>
      <w:proofErr w:type="spellStart"/>
      <w:r>
        <w:t>Antflick</w:t>
      </w:r>
      <w:proofErr w:type="spellEnd"/>
      <w:r>
        <w:t xml:space="preserve">, J., van Ark, M., </w:t>
      </w:r>
      <w:proofErr w:type="spellStart"/>
      <w:r>
        <w:t>Färnqvist</w:t>
      </w:r>
      <w:proofErr w:type="spellEnd"/>
      <w:r>
        <w:t xml:space="preserve">, K. and </w:t>
      </w:r>
      <w:proofErr w:type="spellStart"/>
      <w:r>
        <w:t>Haleem</w:t>
      </w:r>
      <w:proofErr w:type="spellEnd"/>
      <w:r>
        <w:t xml:space="preserve">, Z. (2022) ‘ICON 2020—International Scientific </w:t>
      </w:r>
      <w:proofErr w:type="spellStart"/>
      <w:r>
        <w:t>Tendinopathy</w:t>
      </w:r>
      <w:proofErr w:type="spellEnd"/>
      <w:r>
        <w:t xml:space="preserve"> Symposium Consensus’, </w:t>
      </w:r>
      <w:r>
        <w:rPr>
          <w:rStyle w:val="Emphasis"/>
        </w:rPr>
        <w:t>Sports Medicine</w:t>
      </w:r>
      <w:r>
        <w:t>, 52(3), pp. 613–641.</w:t>
      </w:r>
    </w:p>
    <w:p w14:paraId="3C85A484" w14:textId="77777777" w:rsidR="000C466C" w:rsidRDefault="000C466C" w:rsidP="000C466C">
      <w:pPr>
        <w:ind w:left="720" w:hanging="720"/>
      </w:pPr>
      <w:r>
        <w:t xml:space="preserve">Howarth, C., McLoughlin, N., </w:t>
      </w:r>
      <w:proofErr w:type="spellStart"/>
      <w:r>
        <w:t>Murtagh</w:t>
      </w:r>
      <w:proofErr w:type="spellEnd"/>
      <w:r>
        <w:t xml:space="preserve">, E., </w:t>
      </w:r>
      <w:proofErr w:type="spellStart"/>
      <w:r>
        <w:t>Kythreotis</w:t>
      </w:r>
      <w:proofErr w:type="spellEnd"/>
      <w:r>
        <w:t xml:space="preserve">, A.P. and Porter, J. (2025) ‘Integrating climate mitigation and adaptation in the UK’, </w:t>
      </w:r>
      <w:r>
        <w:rPr>
          <w:rStyle w:val="Emphasis"/>
        </w:rPr>
        <w:t>Global Environmental Change</w:t>
      </w:r>
      <w:r>
        <w:t>, 92, p. 102994.</w:t>
      </w:r>
    </w:p>
    <w:p w14:paraId="6E053783" w14:textId="77777777" w:rsidR="000C466C" w:rsidRDefault="000C466C" w:rsidP="000C466C">
      <w:pPr>
        <w:ind w:left="720" w:hanging="720"/>
      </w:pPr>
      <w:proofErr w:type="spellStart"/>
      <w:r>
        <w:t>LoBiondo-Wood</w:t>
      </w:r>
      <w:proofErr w:type="spellEnd"/>
      <w:r>
        <w:t xml:space="preserve">, G. and </w:t>
      </w:r>
      <w:proofErr w:type="spellStart"/>
      <w:r>
        <w:t>Haber</w:t>
      </w:r>
      <w:proofErr w:type="spellEnd"/>
      <w:r>
        <w:t xml:space="preserve">, J. (2021) </w:t>
      </w:r>
      <w:r>
        <w:rPr>
          <w:rStyle w:val="Emphasis"/>
        </w:rPr>
        <w:t>Nursing research: Methods and critical appraisal for evidence-based practice</w:t>
      </w:r>
      <w:r>
        <w:t xml:space="preserve">. 10th </w:t>
      </w:r>
      <w:proofErr w:type="spellStart"/>
      <w:r>
        <w:t>edn</w:t>
      </w:r>
      <w:proofErr w:type="spellEnd"/>
      <w:r>
        <w:t>. St. Louis: Elsevier.</w:t>
      </w:r>
    </w:p>
    <w:p w14:paraId="592F9B71" w14:textId="77777777" w:rsidR="000C466C" w:rsidRDefault="000C466C" w:rsidP="000C466C">
      <w:pPr>
        <w:ind w:left="720" w:hanging="720"/>
      </w:pPr>
      <w:r>
        <w:t xml:space="preserve">Logan, J., Webb, J., Singh, N.K., Tanner, N., Barrett, K., Wall, M., Walsh, B. and Ayala, A.P. (2024) ‘Scoping review search practices in the social sciences’, </w:t>
      </w:r>
      <w:r>
        <w:rPr>
          <w:rStyle w:val="Emphasis"/>
        </w:rPr>
        <w:t>Research Synthesis Methods</w:t>
      </w:r>
      <w:r>
        <w:t>, 15(6), pp. 950–963.</w:t>
      </w:r>
    </w:p>
    <w:p w14:paraId="126B2BD3" w14:textId="77777777" w:rsidR="000C466C" w:rsidRDefault="000C466C" w:rsidP="000C466C">
      <w:pPr>
        <w:ind w:left="720" w:hanging="720"/>
      </w:pPr>
      <w:r>
        <w:t xml:space="preserve">MacKillop, E., </w:t>
      </w:r>
      <w:proofErr w:type="spellStart"/>
      <w:r>
        <w:t>Quarmby</w:t>
      </w:r>
      <w:proofErr w:type="spellEnd"/>
      <w:r>
        <w:t xml:space="preserve">, S. and </w:t>
      </w:r>
      <w:proofErr w:type="spellStart"/>
      <w:r>
        <w:t>Downe</w:t>
      </w:r>
      <w:proofErr w:type="spellEnd"/>
      <w:r>
        <w:t xml:space="preserve">, J. (2020) ‘Does knowledge brokering facilitate evidence-based policy?’, </w:t>
      </w:r>
      <w:r>
        <w:rPr>
          <w:rStyle w:val="Emphasis"/>
        </w:rPr>
        <w:t>Policy &amp; Politics</w:t>
      </w:r>
      <w:r>
        <w:t>, 48(2), pp. 335–353.</w:t>
      </w:r>
    </w:p>
    <w:p w14:paraId="347CF51A" w14:textId="77777777" w:rsidR="000C466C" w:rsidRDefault="000C466C" w:rsidP="000C466C">
      <w:pPr>
        <w:ind w:left="720" w:hanging="720"/>
      </w:pPr>
      <w:r>
        <w:t xml:space="preserve">McGrath-Lone, L., Jay, M.A., Blackburn, R., Gordon, E., </w:t>
      </w:r>
      <w:proofErr w:type="spellStart"/>
      <w:r>
        <w:t>Zylbersztejn</w:t>
      </w:r>
      <w:proofErr w:type="spellEnd"/>
      <w:r>
        <w:t xml:space="preserve">, A., </w:t>
      </w:r>
      <w:proofErr w:type="spellStart"/>
      <w:r>
        <w:t>Wijlaars</w:t>
      </w:r>
      <w:proofErr w:type="spellEnd"/>
      <w:r>
        <w:t xml:space="preserve">, L. and Gilbert, R. (2022) ‘What makes administrative data “research-ready”?’, </w:t>
      </w:r>
      <w:r>
        <w:rPr>
          <w:rStyle w:val="Emphasis"/>
        </w:rPr>
        <w:t>International Journal of Population Data Science</w:t>
      </w:r>
      <w:r>
        <w:t>, 7(1), p. 1718.</w:t>
      </w:r>
    </w:p>
    <w:p w14:paraId="38D3A9CE" w14:textId="77777777" w:rsidR="000C466C" w:rsidRDefault="000C466C" w:rsidP="000C466C">
      <w:pPr>
        <w:ind w:left="720" w:hanging="720"/>
      </w:pPr>
      <w:proofErr w:type="spellStart"/>
      <w:r>
        <w:t>Migliavaca</w:t>
      </w:r>
      <w:proofErr w:type="spellEnd"/>
      <w:r>
        <w:t xml:space="preserve">, C.B., Stein, C., </w:t>
      </w:r>
      <w:proofErr w:type="spellStart"/>
      <w:r>
        <w:t>Colpani</w:t>
      </w:r>
      <w:proofErr w:type="spellEnd"/>
      <w:r>
        <w:t xml:space="preserve">, V., </w:t>
      </w:r>
      <w:proofErr w:type="spellStart"/>
      <w:r>
        <w:t>Munn</w:t>
      </w:r>
      <w:proofErr w:type="spellEnd"/>
      <w:r>
        <w:t xml:space="preserve">, Z. and </w:t>
      </w:r>
      <w:proofErr w:type="spellStart"/>
      <w:r>
        <w:t>Falavigna</w:t>
      </w:r>
      <w:proofErr w:type="spellEnd"/>
      <w:r>
        <w:t xml:space="preserve">, M. (2020) ‘Quality assessment of prevalence studies’, </w:t>
      </w:r>
      <w:r>
        <w:rPr>
          <w:rStyle w:val="Emphasis"/>
        </w:rPr>
        <w:t>Journal of Clinical Epidemiology</w:t>
      </w:r>
      <w:r>
        <w:t>, 127, pp. 59–68.</w:t>
      </w:r>
    </w:p>
    <w:p w14:paraId="2B2628FE" w14:textId="77777777" w:rsidR="000C466C" w:rsidRDefault="000C466C" w:rsidP="000C466C">
      <w:pPr>
        <w:ind w:left="720" w:hanging="720"/>
      </w:pPr>
      <w:proofErr w:type="spellStart"/>
      <w:r>
        <w:t>Naidoo</w:t>
      </w:r>
      <w:proofErr w:type="spellEnd"/>
      <w:r>
        <w:t xml:space="preserve">, N., Nguyen, V.T., </w:t>
      </w:r>
      <w:proofErr w:type="spellStart"/>
      <w:r>
        <w:t>Ravaud</w:t>
      </w:r>
      <w:proofErr w:type="spellEnd"/>
      <w:r>
        <w:t xml:space="preserve">, P., Young, B., </w:t>
      </w:r>
      <w:proofErr w:type="spellStart"/>
      <w:r>
        <w:t>Amiel</w:t>
      </w:r>
      <w:proofErr w:type="spellEnd"/>
      <w:r>
        <w:t xml:space="preserve">, P., </w:t>
      </w:r>
      <w:proofErr w:type="spellStart"/>
      <w:r>
        <w:t>Schante</w:t>
      </w:r>
      <w:proofErr w:type="spellEnd"/>
      <w:r>
        <w:t xml:space="preserve">, D., Clarke, M. and </w:t>
      </w:r>
      <w:proofErr w:type="spellStart"/>
      <w:r>
        <w:t>Boutron</w:t>
      </w:r>
      <w:proofErr w:type="spellEnd"/>
      <w:r>
        <w:t xml:space="preserve">, I. (2020) ‘The research burden of randomized controlled trial participation’, </w:t>
      </w:r>
      <w:r>
        <w:rPr>
          <w:rStyle w:val="Emphasis"/>
        </w:rPr>
        <w:t>BMC Medicine</w:t>
      </w:r>
      <w:r>
        <w:t>, 18(1), p. 6.</w:t>
      </w:r>
    </w:p>
    <w:p w14:paraId="71FF53FD" w14:textId="77777777" w:rsidR="000C466C" w:rsidRDefault="000C466C" w:rsidP="000C466C">
      <w:pPr>
        <w:ind w:left="720" w:hanging="720"/>
      </w:pPr>
      <w:r>
        <w:t xml:space="preserve">Peel, K.L. (2020) ‘A beginner’s guide to thematic analysis’, </w:t>
      </w:r>
      <w:r>
        <w:rPr>
          <w:rStyle w:val="Emphasis"/>
        </w:rPr>
        <w:t>Practical Assessment, Research &amp; Evaluation</w:t>
      </w:r>
      <w:r>
        <w:t>, 25, p. 2.</w:t>
      </w:r>
    </w:p>
    <w:p w14:paraId="6B460832" w14:textId="77777777" w:rsidR="000C466C" w:rsidRDefault="000C466C" w:rsidP="000C466C">
      <w:pPr>
        <w:ind w:left="720" w:hanging="720"/>
      </w:pPr>
      <w:proofErr w:type="spellStart"/>
      <w:r>
        <w:t>Prowse</w:t>
      </w:r>
      <w:proofErr w:type="spellEnd"/>
      <w:r>
        <w:t xml:space="preserve">, J.M., Sutton, C. and Randell, R. (2022) </w:t>
      </w:r>
      <w:r>
        <w:rPr>
          <w:rStyle w:val="Emphasis"/>
        </w:rPr>
        <w:t>Recruitment and retention of the health and social care digital workforce: A rapid review</w:t>
      </w:r>
      <w:r>
        <w:t>.</w:t>
      </w:r>
    </w:p>
    <w:p w14:paraId="78B54698" w14:textId="77777777" w:rsidR="000C466C" w:rsidRDefault="000C466C" w:rsidP="000C466C">
      <w:pPr>
        <w:ind w:left="720" w:hanging="720"/>
      </w:pPr>
      <w:proofErr w:type="spellStart"/>
      <w:r>
        <w:t>Purssell</w:t>
      </w:r>
      <w:proofErr w:type="spellEnd"/>
      <w:r>
        <w:t xml:space="preserve">, E. and </w:t>
      </w:r>
      <w:proofErr w:type="spellStart"/>
      <w:r>
        <w:t>McCrae</w:t>
      </w:r>
      <w:proofErr w:type="spellEnd"/>
      <w:r>
        <w:t xml:space="preserve">, N. (2020) </w:t>
      </w:r>
      <w:r>
        <w:rPr>
          <w:rStyle w:val="Emphasis"/>
        </w:rPr>
        <w:t>How to perform a systematic literature review: A guide for healthcare researchers</w:t>
      </w:r>
      <w:r>
        <w:t xml:space="preserve">. London: </w:t>
      </w:r>
      <w:proofErr w:type="spellStart"/>
      <w:r>
        <w:t>Routledge</w:t>
      </w:r>
      <w:proofErr w:type="spellEnd"/>
      <w:r>
        <w:t>.</w:t>
      </w:r>
    </w:p>
    <w:p w14:paraId="5D622CBA" w14:textId="77777777" w:rsidR="000C466C" w:rsidRDefault="000C466C" w:rsidP="000C466C">
      <w:pPr>
        <w:ind w:left="720" w:hanging="720"/>
      </w:pPr>
      <w:r>
        <w:t xml:space="preserve">Snow, M., Silva-Ribeiro, W., </w:t>
      </w:r>
      <w:proofErr w:type="spellStart"/>
      <w:r>
        <w:t>Baginsky</w:t>
      </w:r>
      <w:proofErr w:type="spellEnd"/>
      <w:r>
        <w:t xml:space="preserve">, M., Di Giorgio, S., Farrelly, N., Larkins, C., Poole, K., </w:t>
      </w:r>
      <w:proofErr w:type="spellStart"/>
      <w:r>
        <w:t>Steils</w:t>
      </w:r>
      <w:proofErr w:type="spellEnd"/>
      <w:r>
        <w:t xml:space="preserve">, N., Westwood, J. and Malley, J. (2025) ‘Best practices for implementing electronic care records in adult social care’, </w:t>
      </w:r>
      <w:r>
        <w:rPr>
          <w:rStyle w:val="Emphasis"/>
        </w:rPr>
        <w:t>JMIR Aging</w:t>
      </w:r>
      <w:r>
        <w:t>, 8, p. e60107.</w:t>
      </w:r>
    </w:p>
    <w:p w14:paraId="1A5AD0FC" w14:textId="77777777" w:rsidR="000C466C" w:rsidRDefault="000C466C" w:rsidP="000C466C">
      <w:pPr>
        <w:ind w:left="720" w:hanging="720"/>
      </w:pPr>
      <w:proofErr w:type="spellStart"/>
      <w:r>
        <w:t>Tajuria</w:t>
      </w:r>
      <w:proofErr w:type="spellEnd"/>
      <w:r>
        <w:t xml:space="preserve">, G., </w:t>
      </w:r>
      <w:proofErr w:type="spellStart"/>
      <w:r>
        <w:t>Dobel-Ober</w:t>
      </w:r>
      <w:proofErr w:type="spellEnd"/>
      <w:r>
        <w:t xml:space="preserve">, D., Bradley, E., </w:t>
      </w:r>
      <w:proofErr w:type="spellStart"/>
      <w:r>
        <w:t>Charnley</w:t>
      </w:r>
      <w:proofErr w:type="spellEnd"/>
      <w:r>
        <w:t xml:space="preserve">, C., </w:t>
      </w:r>
      <w:proofErr w:type="spellStart"/>
      <w:r>
        <w:t>Lambley-Burke</w:t>
      </w:r>
      <w:proofErr w:type="spellEnd"/>
      <w:r>
        <w:t xml:space="preserve">, R., </w:t>
      </w:r>
      <w:proofErr w:type="spellStart"/>
      <w:r>
        <w:t>Mallen</w:t>
      </w:r>
      <w:proofErr w:type="spellEnd"/>
      <w:r>
        <w:t xml:space="preserve">, C., Honeyford, K. and </w:t>
      </w:r>
      <w:proofErr w:type="spellStart"/>
      <w:r>
        <w:t>Kingstone</w:t>
      </w:r>
      <w:proofErr w:type="spellEnd"/>
      <w:r>
        <w:t xml:space="preserve">, T. (2024) ‘Evaluating the impact of STARS </w:t>
      </w:r>
      <w:proofErr w:type="spellStart"/>
      <w:r>
        <w:t>programme</w:t>
      </w:r>
      <w:proofErr w:type="spellEnd"/>
      <w:r>
        <w:t xml:space="preserve">’, </w:t>
      </w:r>
      <w:r>
        <w:rPr>
          <w:rStyle w:val="Emphasis"/>
        </w:rPr>
        <w:t>BMC Medical Education</w:t>
      </w:r>
      <w:r>
        <w:t>, 24(1), p. 126.</w:t>
      </w:r>
    </w:p>
    <w:p w14:paraId="29101F3A" w14:textId="77777777" w:rsidR="000C466C" w:rsidRDefault="000C466C" w:rsidP="000C466C">
      <w:pPr>
        <w:ind w:left="720" w:hanging="720"/>
      </w:pPr>
      <w:r>
        <w:t xml:space="preserve">Taylor, R.S., Taylor, R.J., Bayliss, S., Hagström, H., Nasr, P., </w:t>
      </w:r>
      <w:proofErr w:type="spellStart"/>
      <w:r>
        <w:t>Schattenberg</w:t>
      </w:r>
      <w:proofErr w:type="spellEnd"/>
      <w:r>
        <w:t xml:space="preserve">, J.M., </w:t>
      </w:r>
      <w:proofErr w:type="spellStart"/>
      <w:r>
        <w:t>Ishigami</w:t>
      </w:r>
      <w:proofErr w:type="spellEnd"/>
      <w:r>
        <w:t xml:space="preserve">, M., </w:t>
      </w:r>
      <w:proofErr w:type="spellStart"/>
      <w:r>
        <w:t>Toyoda</w:t>
      </w:r>
      <w:proofErr w:type="spellEnd"/>
      <w:r>
        <w:t xml:space="preserve">, H., Wong, V.W.S., </w:t>
      </w:r>
      <w:proofErr w:type="spellStart"/>
      <w:r>
        <w:t>Peleg</w:t>
      </w:r>
      <w:proofErr w:type="spellEnd"/>
      <w:r>
        <w:t xml:space="preserve">, N. and </w:t>
      </w:r>
      <w:proofErr w:type="spellStart"/>
      <w:r>
        <w:t>Shlomai</w:t>
      </w:r>
      <w:proofErr w:type="spellEnd"/>
      <w:r>
        <w:t xml:space="preserve">, A. (2020) ‘Association between fibrosis stage and outcomes…’, </w:t>
      </w:r>
      <w:r>
        <w:rPr>
          <w:rStyle w:val="Emphasis"/>
        </w:rPr>
        <w:t>Gastroenterology</w:t>
      </w:r>
      <w:r>
        <w:t>, 158(6), pp. 1611–1625.</w:t>
      </w:r>
    </w:p>
    <w:p w14:paraId="6A8AB914" w14:textId="77777777" w:rsidR="000C466C" w:rsidRDefault="000C466C" w:rsidP="000C466C">
      <w:pPr>
        <w:ind w:left="720" w:hanging="720"/>
      </w:pPr>
      <w:r>
        <w:t xml:space="preserve">Wang, Z., Ma, Y., Song, Y., Huang, Y., </w:t>
      </w:r>
      <w:proofErr w:type="spellStart"/>
      <w:r>
        <w:t>Liang</w:t>
      </w:r>
      <w:proofErr w:type="spellEnd"/>
      <w:r>
        <w:t xml:space="preserve">, G. and Zhong, X. (2024) ‘The utilization of natural language processing in healthcare…’, </w:t>
      </w:r>
      <w:r>
        <w:rPr>
          <w:rStyle w:val="Emphasis"/>
        </w:rPr>
        <w:t>Journal of Nursing Management</w:t>
      </w:r>
      <w:r>
        <w:t>, 2024(1), p. 2857497.</w:t>
      </w:r>
    </w:p>
    <w:p w14:paraId="66EB1944" w14:textId="77777777" w:rsidR="00036DD0" w:rsidRPr="00036DD0" w:rsidRDefault="00036DD0" w:rsidP="00036DD0">
      <w:pPr>
        <w:spacing w:line="360" w:lineRule="auto"/>
        <w:jc w:val="left"/>
      </w:pPr>
    </w:p>
    <w:sectPr w:rsidR="00036DD0" w:rsidRPr="00036DD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A08CC"/>
    <w:multiLevelType w:val="hybridMultilevel"/>
    <w:tmpl w:val="39422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4B3E3F"/>
    <w:multiLevelType w:val="hybridMultilevel"/>
    <w:tmpl w:val="71DA3B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CC7830"/>
    <w:multiLevelType w:val="hybridMultilevel"/>
    <w:tmpl w:val="389AF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127EE2"/>
    <w:multiLevelType w:val="hybridMultilevel"/>
    <w:tmpl w:val="06DC9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008248">
    <w:abstractNumId w:val="3"/>
  </w:num>
  <w:num w:numId="2" w16cid:durableId="1673334606">
    <w:abstractNumId w:val="1"/>
  </w:num>
  <w:num w:numId="3" w16cid:durableId="1225721228">
    <w:abstractNumId w:val="2"/>
  </w:num>
  <w:num w:numId="4" w16cid:durableId="14907477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6DD0"/>
    <w:rsid w:val="00036DD0"/>
    <w:rsid w:val="000C466C"/>
    <w:rsid w:val="001704E0"/>
    <w:rsid w:val="002C580E"/>
    <w:rsid w:val="006D2638"/>
    <w:rsid w:val="00757A35"/>
    <w:rsid w:val="009A0F7D"/>
    <w:rsid w:val="00BD7739"/>
    <w:rsid w:val="00E63B08"/>
    <w:rsid w:val="00F132A5"/>
    <w:rsid w:val="00F601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53008"/>
  <w15:chartTrackingRefBased/>
  <w15:docId w15:val="{5D1B3A4E-AE89-4703-B4EF-1582703555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2638"/>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6D2638"/>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E63B08"/>
    <w:pPr>
      <w:keepNext/>
      <w:keepLines/>
      <w:spacing w:before="40" w:after="0"/>
      <w:outlineLvl w:val="1"/>
    </w:pPr>
    <w:rPr>
      <w:rFonts w:eastAsiaTheme="majorEastAsia" w:cstheme="majorBidi"/>
      <w:b/>
      <w:i/>
      <w:szCs w:val="26"/>
    </w:rPr>
  </w:style>
  <w:style w:type="paragraph" w:styleId="Heading3">
    <w:name w:val="heading 3"/>
    <w:basedOn w:val="Normal"/>
    <w:next w:val="Normal"/>
    <w:link w:val="Heading3Char"/>
    <w:uiPriority w:val="9"/>
    <w:unhideWhenUsed/>
    <w:qFormat/>
    <w:rsid w:val="00BD7739"/>
    <w:pPr>
      <w:keepNext/>
      <w:keepLines/>
      <w:spacing w:before="160" w:after="80" w:line="278" w:lineRule="auto"/>
      <w:jc w:val="left"/>
      <w:outlineLvl w:val="2"/>
    </w:pPr>
    <w:rPr>
      <w:rFonts w:eastAsiaTheme="majorEastAsia" w:cstheme="majorBidi"/>
      <w:i/>
      <w:sz w:val="2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2638"/>
    <w:rPr>
      <w:rFonts w:ascii="Times New Roman" w:eastAsiaTheme="majorEastAsia" w:hAnsi="Times New Roman" w:cstheme="majorBidi"/>
      <w:b/>
      <w:sz w:val="24"/>
      <w:szCs w:val="32"/>
    </w:rPr>
  </w:style>
  <w:style w:type="character" w:customStyle="1" w:styleId="Heading3Char">
    <w:name w:val="Heading 3 Char"/>
    <w:basedOn w:val="DefaultParagraphFont"/>
    <w:link w:val="Heading3"/>
    <w:uiPriority w:val="9"/>
    <w:rsid w:val="00BD7739"/>
    <w:rPr>
      <w:rFonts w:ascii="Times New Roman" w:eastAsiaTheme="majorEastAsia" w:hAnsi="Times New Roman" w:cstheme="majorBidi"/>
      <w:i/>
      <w:szCs w:val="28"/>
    </w:rPr>
  </w:style>
  <w:style w:type="character" w:customStyle="1" w:styleId="Heading2Char">
    <w:name w:val="Heading 2 Char"/>
    <w:basedOn w:val="DefaultParagraphFont"/>
    <w:link w:val="Heading2"/>
    <w:uiPriority w:val="9"/>
    <w:rsid w:val="00E63B08"/>
    <w:rPr>
      <w:rFonts w:ascii="Times New Roman" w:eastAsiaTheme="majorEastAsia" w:hAnsi="Times New Roman" w:cstheme="majorBidi"/>
      <w:b/>
      <w:i/>
      <w:sz w:val="24"/>
      <w:szCs w:val="26"/>
    </w:rPr>
  </w:style>
  <w:style w:type="paragraph" w:styleId="ListParagraph">
    <w:name w:val="List Paragraph"/>
    <w:basedOn w:val="Normal"/>
    <w:uiPriority w:val="34"/>
    <w:qFormat/>
    <w:rsid w:val="00036DD0"/>
    <w:pPr>
      <w:ind w:left="720"/>
      <w:contextualSpacing/>
    </w:pPr>
  </w:style>
  <w:style w:type="character" w:styleId="Emphasis">
    <w:name w:val="Emphasis"/>
    <w:basedOn w:val="DefaultParagraphFont"/>
    <w:uiPriority w:val="20"/>
    <w:qFormat/>
    <w:rsid w:val="00036DD0"/>
    <w:rPr>
      <w:i/>
      <w:iCs/>
    </w:rPr>
  </w:style>
  <w:style w:type="paragraph" w:styleId="NormalWeb">
    <w:name w:val="Normal (Web)"/>
    <w:basedOn w:val="Normal"/>
    <w:uiPriority w:val="99"/>
    <w:semiHidden/>
    <w:unhideWhenUsed/>
    <w:rsid w:val="000C466C"/>
    <w:pPr>
      <w:spacing w:before="100" w:beforeAutospacing="1" w:after="100" w:afterAutospacing="1" w:line="240" w:lineRule="auto"/>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3787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2617</Words>
  <Characters>14919</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Ibrahim Hassan (2329257)</cp:lastModifiedBy>
  <cp:revision>2</cp:revision>
  <dcterms:created xsi:type="dcterms:W3CDTF">2026-04-01T21:47:00Z</dcterms:created>
  <dcterms:modified xsi:type="dcterms:W3CDTF">2026-04-01T21:47:00Z</dcterms:modified>
</cp:coreProperties>
</file>