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0878" w:rsidRDefault="00650878">
      <w:pPr>
        <w:spacing w:line="480" w:lineRule="auto"/>
        <w:jc w:val="center"/>
        <w:rPr>
          <w:rFonts w:ascii="Times New Roman" w:eastAsia="Times New Roman" w:hAnsi="Times New Roman" w:cs="Times New Roman"/>
          <w:sz w:val="56"/>
          <w:szCs w:val="56"/>
        </w:rPr>
      </w:pPr>
      <w:r>
        <w:rPr>
          <w:rFonts w:ascii="Times New Roman" w:eastAsia="Times New Roman" w:hAnsi="Times New Roman" w:cs="Times New Roman"/>
          <w:noProof/>
          <w:sz w:val="56"/>
          <w:szCs w:val="56"/>
        </w:rPr>
        <w:drawing>
          <wp:anchor distT="0" distB="0" distL="114300" distR="114300" simplePos="0" relativeHeight="251658240" behindDoc="1" locked="0" layoutInCell="1" allowOverlap="1" wp14:anchorId="227A52A5">
            <wp:simplePos x="0" y="0"/>
            <wp:positionH relativeFrom="margin">
              <wp:align>left</wp:align>
            </wp:positionH>
            <wp:positionV relativeFrom="paragraph">
              <wp:posOffset>438</wp:posOffset>
            </wp:positionV>
            <wp:extent cx="2255520" cy="895985"/>
            <wp:effectExtent l="0" t="0" r="0" b="0"/>
            <wp:wrapTight wrapText="bothSides">
              <wp:wrapPolygon edited="0">
                <wp:start x="0" y="918"/>
                <wp:lineTo x="0" y="11022"/>
                <wp:lineTo x="1459" y="18370"/>
                <wp:lineTo x="8757" y="20207"/>
                <wp:lineTo x="9669" y="20207"/>
                <wp:lineTo x="15689" y="19288"/>
                <wp:lineTo x="17696" y="18370"/>
                <wp:lineTo x="17514" y="16533"/>
                <wp:lineTo x="21345" y="14696"/>
                <wp:lineTo x="21345" y="11940"/>
                <wp:lineTo x="18608" y="9185"/>
                <wp:lineTo x="19520" y="3215"/>
                <wp:lineTo x="18791" y="1837"/>
                <wp:lineTo x="15142" y="918"/>
                <wp:lineTo x="0" y="918"/>
              </wp:wrapPolygon>
            </wp:wrapTight>
            <wp:docPr id="1931311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55520" cy="895985"/>
                    </a:xfrm>
                    <a:prstGeom prst="rect">
                      <a:avLst/>
                    </a:prstGeom>
                    <a:noFill/>
                  </pic:spPr>
                </pic:pic>
              </a:graphicData>
            </a:graphic>
          </wp:anchor>
        </w:drawing>
      </w:r>
    </w:p>
    <w:p w:rsidR="00650878" w:rsidRDefault="00650878">
      <w:pPr>
        <w:spacing w:line="480" w:lineRule="auto"/>
        <w:jc w:val="center"/>
        <w:rPr>
          <w:rFonts w:ascii="Times New Roman" w:eastAsia="Times New Roman" w:hAnsi="Times New Roman" w:cs="Times New Roman"/>
          <w:sz w:val="56"/>
          <w:szCs w:val="56"/>
        </w:rPr>
      </w:pPr>
    </w:p>
    <w:p w:rsidR="00650878" w:rsidRDefault="00650878" w:rsidP="00650878">
      <w:pPr>
        <w:spacing w:line="480" w:lineRule="auto"/>
        <w:rPr>
          <w:rFonts w:ascii="Times New Roman" w:eastAsia="Times New Roman" w:hAnsi="Times New Roman" w:cs="Times New Roman"/>
          <w:sz w:val="56"/>
          <w:szCs w:val="56"/>
        </w:rPr>
      </w:pPr>
    </w:p>
    <w:p w:rsidR="007E0F0F" w:rsidRPr="00650878" w:rsidRDefault="00650878">
      <w:pPr>
        <w:spacing w:line="480" w:lineRule="auto"/>
        <w:jc w:val="center"/>
        <w:rPr>
          <w:rFonts w:ascii="Times New Roman" w:eastAsia="Times New Roman" w:hAnsi="Times New Roman" w:cs="Times New Roman"/>
          <w:sz w:val="56"/>
          <w:szCs w:val="56"/>
        </w:rPr>
      </w:pPr>
      <w:r w:rsidRPr="00650878">
        <w:rPr>
          <w:rFonts w:ascii="Times New Roman" w:eastAsia="Times New Roman" w:hAnsi="Times New Roman" w:cs="Times New Roman"/>
          <w:sz w:val="56"/>
          <w:szCs w:val="56"/>
        </w:rPr>
        <w:t>Global Business Environment</w:t>
      </w:r>
    </w:p>
    <w:p w:rsidR="007E0F0F"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303986" cy="835572"/>
            <wp:effectExtent l="0" t="0" r="1905" b="31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18464" cy="838383"/>
                    </a:xfrm>
                    <a:prstGeom prst="rect">
                      <a:avLst/>
                    </a:prstGeom>
                    <a:ln/>
                  </pic:spPr>
                </pic:pic>
              </a:graphicData>
            </a:graphic>
          </wp:inline>
        </w:drawing>
      </w:r>
    </w:p>
    <w:p w:rsidR="007E0F0F"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DIAGEO’S INTERNATIONAL BUSINESS STRATEGY</w:t>
      </w:r>
    </w:p>
    <w:p w:rsidR="007E0F0F" w:rsidRDefault="007E0F0F">
      <w:pPr>
        <w:spacing w:line="480" w:lineRule="auto"/>
        <w:jc w:val="center"/>
        <w:rPr>
          <w:rFonts w:ascii="Times New Roman" w:eastAsia="Times New Roman" w:hAnsi="Times New Roman" w:cs="Times New Roman"/>
          <w:sz w:val="24"/>
          <w:szCs w:val="24"/>
        </w:rPr>
      </w:pPr>
    </w:p>
    <w:p w:rsidR="00650878" w:rsidRDefault="00650878">
      <w:pPr>
        <w:spacing w:line="480" w:lineRule="auto"/>
        <w:rPr>
          <w:rFonts w:ascii="Times New Roman" w:eastAsia="Times New Roman" w:hAnsi="Times New Roman" w:cs="Times New Roman"/>
          <w:sz w:val="24"/>
          <w:szCs w:val="24"/>
        </w:rPr>
      </w:pPr>
    </w:p>
    <w:p w:rsidR="00650878" w:rsidRDefault="00650878">
      <w:pPr>
        <w:spacing w:line="480" w:lineRule="auto"/>
        <w:rPr>
          <w:rFonts w:ascii="Times New Roman" w:eastAsia="Times New Roman" w:hAnsi="Times New Roman" w:cs="Times New Roman"/>
          <w:sz w:val="24"/>
          <w:szCs w:val="24"/>
        </w:rPr>
      </w:pPr>
    </w:p>
    <w:p w:rsidR="00650878" w:rsidRDefault="0065087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 Charles </w:t>
      </w:r>
      <w:proofErr w:type="spellStart"/>
      <w:r>
        <w:rPr>
          <w:rFonts w:ascii="Times New Roman" w:eastAsia="Times New Roman" w:hAnsi="Times New Roman" w:cs="Times New Roman"/>
          <w:sz w:val="24"/>
          <w:szCs w:val="24"/>
        </w:rPr>
        <w:t>Nwaogwugwu</w:t>
      </w:r>
      <w:proofErr w:type="spellEnd"/>
    </w:p>
    <w:p w:rsidR="00650878" w:rsidRDefault="0065087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LCBB4005</w:t>
      </w:r>
    </w:p>
    <w:p w:rsidR="00650878" w:rsidRDefault="0065087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Ivelina Georgieva-Draganova</w:t>
      </w:r>
    </w:p>
    <w:p w:rsidR="00650878" w:rsidRDefault="0065087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2235428</w:t>
      </w:r>
    </w:p>
    <w:p w:rsidR="007E0F0F" w:rsidRDefault="00000000">
      <w:pPr>
        <w:keepNext/>
        <w:keepLines/>
        <w:pBdr>
          <w:top w:val="nil"/>
          <w:left w:val="nil"/>
          <w:bottom w:val="nil"/>
          <w:right w:val="nil"/>
          <w:between w:val="nil"/>
        </w:pBdr>
        <w:spacing w:before="240" w:after="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Table of Contents</w:t>
      </w:r>
    </w:p>
    <w:sdt>
      <w:sdtPr>
        <w:id w:val="-904993078"/>
        <w:docPartObj>
          <w:docPartGallery w:val="Table of Contents"/>
          <w:docPartUnique/>
        </w:docPartObj>
      </w:sdtPr>
      <w:sdtContent>
        <w:p w:rsidR="00650878" w:rsidRDefault="00000000">
          <w:pPr>
            <w:pStyle w:val="TOC1"/>
            <w:tabs>
              <w:tab w:val="right" w:leader="dot" w:pos="9350"/>
            </w:tabs>
            <w:rPr>
              <w:noProof/>
            </w:rPr>
          </w:pPr>
          <w:r>
            <w:fldChar w:fldCharType="begin"/>
          </w:r>
          <w:r>
            <w:instrText xml:space="preserve"> TOC \h \u \z \t "Heading 1,1,Heading 2,2,Heading 3,3,"</w:instrText>
          </w:r>
          <w:r>
            <w:fldChar w:fldCharType="separate"/>
          </w:r>
          <w:hyperlink w:anchor="_Toc153993249" w:history="1">
            <w:r w:rsidR="00650878" w:rsidRPr="00401FAA">
              <w:rPr>
                <w:rStyle w:val="Hyperlink"/>
                <w:rFonts w:ascii="Times New Roman" w:eastAsia="Times New Roman" w:hAnsi="Times New Roman" w:cs="Times New Roman"/>
                <w:b/>
                <w:noProof/>
              </w:rPr>
              <w:t>Introduction</w:t>
            </w:r>
            <w:r w:rsidR="00650878">
              <w:rPr>
                <w:noProof/>
                <w:webHidden/>
              </w:rPr>
              <w:tab/>
            </w:r>
            <w:r w:rsidR="00650878">
              <w:rPr>
                <w:noProof/>
                <w:webHidden/>
              </w:rPr>
              <w:fldChar w:fldCharType="begin"/>
            </w:r>
            <w:r w:rsidR="00650878">
              <w:rPr>
                <w:noProof/>
                <w:webHidden/>
              </w:rPr>
              <w:instrText xml:space="preserve"> PAGEREF _Toc153993249 \h </w:instrText>
            </w:r>
            <w:r w:rsidR="00650878">
              <w:rPr>
                <w:noProof/>
                <w:webHidden/>
              </w:rPr>
            </w:r>
            <w:r w:rsidR="00650878">
              <w:rPr>
                <w:noProof/>
                <w:webHidden/>
              </w:rPr>
              <w:fldChar w:fldCharType="separate"/>
            </w:r>
            <w:r w:rsidR="00650878">
              <w:rPr>
                <w:noProof/>
                <w:webHidden/>
              </w:rPr>
              <w:t>3</w:t>
            </w:r>
            <w:r w:rsidR="00650878">
              <w:rPr>
                <w:noProof/>
                <w:webHidden/>
              </w:rPr>
              <w:fldChar w:fldCharType="end"/>
            </w:r>
          </w:hyperlink>
        </w:p>
        <w:p w:rsidR="00650878" w:rsidRDefault="00650878">
          <w:pPr>
            <w:pStyle w:val="TOC1"/>
            <w:tabs>
              <w:tab w:val="right" w:leader="dot" w:pos="9350"/>
            </w:tabs>
            <w:rPr>
              <w:noProof/>
            </w:rPr>
          </w:pPr>
          <w:hyperlink w:anchor="_Toc153993250" w:history="1">
            <w:r w:rsidRPr="00401FAA">
              <w:rPr>
                <w:rStyle w:val="Hyperlink"/>
                <w:rFonts w:ascii="Times New Roman" w:eastAsia="Times New Roman" w:hAnsi="Times New Roman" w:cs="Times New Roman"/>
                <w:b/>
                <w:noProof/>
              </w:rPr>
              <w:t>China as an Investment Destination</w:t>
            </w:r>
            <w:r>
              <w:rPr>
                <w:noProof/>
                <w:webHidden/>
              </w:rPr>
              <w:tab/>
            </w:r>
            <w:r>
              <w:rPr>
                <w:noProof/>
                <w:webHidden/>
              </w:rPr>
              <w:fldChar w:fldCharType="begin"/>
            </w:r>
            <w:r>
              <w:rPr>
                <w:noProof/>
                <w:webHidden/>
              </w:rPr>
              <w:instrText xml:space="preserve"> PAGEREF _Toc153993250 \h </w:instrText>
            </w:r>
            <w:r>
              <w:rPr>
                <w:noProof/>
                <w:webHidden/>
              </w:rPr>
            </w:r>
            <w:r>
              <w:rPr>
                <w:noProof/>
                <w:webHidden/>
              </w:rPr>
              <w:fldChar w:fldCharType="separate"/>
            </w:r>
            <w:r>
              <w:rPr>
                <w:noProof/>
                <w:webHidden/>
              </w:rPr>
              <w:t>3</w:t>
            </w:r>
            <w:r>
              <w:rPr>
                <w:noProof/>
                <w:webHidden/>
              </w:rPr>
              <w:fldChar w:fldCharType="end"/>
            </w:r>
          </w:hyperlink>
        </w:p>
        <w:p w:rsidR="00650878" w:rsidRDefault="00650878">
          <w:pPr>
            <w:pStyle w:val="TOC1"/>
            <w:tabs>
              <w:tab w:val="right" w:leader="dot" w:pos="9350"/>
            </w:tabs>
            <w:rPr>
              <w:noProof/>
            </w:rPr>
          </w:pPr>
          <w:hyperlink w:anchor="_Toc153993251" w:history="1">
            <w:r w:rsidRPr="00401FAA">
              <w:rPr>
                <w:rStyle w:val="Hyperlink"/>
                <w:rFonts w:ascii="Times New Roman" w:eastAsia="Times New Roman" w:hAnsi="Times New Roman" w:cs="Times New Roman"/>
                <w:b/>
                <w:noProof/>
              </w:rPr>
              <w:t>Business Environment Analysis</w:t>
            </w:r>
            <w:r>
              <w:rPr>
                <w:noProof/>
                <w:webHidden/>
              </w:rPr>
              <w:tab/>
            </w:r>
            <w:r>
              <w:rPr>
                <w:noProof/>
                <w:webHidden/>
              </w:rPr>
              <w:fldChar w:fldCharType="begin"/>
            </w:r>
            <w:r>
              <w:rPr>
                <w:noProof/>
                <w:webHidden/>
              </w:rPr>
              <w:instrText xml:space="preserve"> PAGEREF _Toc153993251 \h </w:instrText>
            </w:r>
            <w:r>
              <w:rPr>
                <w:noProof/>
                <w:webHidden/>
              </w:rPr>
            </w:r>
            <w:r>
              <w:rPr>
                <w:noProof/>
                <w:webHidden/>
              </w:rPr>
              <w:fldChar w:fldCharType="separate"/>
            </w:r>
            <w:r>
              <w:rPr>
                <w:noProof/>
                <w:webHidden/>
              </w:rPr>
              <w:t>4</w:t>
            </w:r>
            <w:r>
              <w:rPr>
                <w:noProof/>
                <w:webHidden/>
              </w:rPr>
              <w:fldChar w:fldCharType="end"/>
            </w:r>
          </w:hyperlink>
        </w:p>
        <w:p w:rsidR="00650878" w:rsidRDefault="00650878">
          <w:pPr>
            <w:pStyle w:val="TOC2"/>
            <w:tabs>
              <w:tab w:val="right" w:leader="dot" w:pos="9350"/>
            </w:tabs>
            <w:rPr>
              <w:noProof/>
            </w:rPr>
          </w:pPr>
          <w:hyperlink w:anchor="_Toc153993252" w:history="1">
            <w:r w:rsidRPr="00401FAA">
              <w:rPr>
                <w:rStyle w:val="Hyperlink"/>
                <w:rFonts w:ascii="Times New Roman" w:eastAsia="Times New Roman" w:hAnsi="Times New Roman" w:cs="Times New Roman"/>
                <w:noProof/>
              </w:rPr>
              <w:t>PESTEL Analysis</w:t>
            </w:r>
            <w:r>
              <w:rPr>
                <w:noProof/>
                <w:webHidden/>
              </w:rPr>
              <w:tab/>
            </w:r>
            <w:r>
              <w:rPr>
                <w:noProof/>
                <w:webHidden/>
              </w:rPr>
              <w:fldChar w:fldCharType="begin"/>
            </w:r>
            <w:r>
              <w:rPr>
                <w:noProof/>
                <w:webHidden/>
              </w:rPr>
              <w:instrText xml:space="preserve"> PAGEREF _Toc153993252 \h </w:instrText>
            </w:r>
            <w:r>
              <w:rPr>
                <w:noProof/>
                <w:webHidden/>
              </w:rPr>
            </w:r>
            <w:r>
              <w:rPr>
                <w:noProof/>
                <w:webHidden/>
              </w:rPr>
              <w:fldChar w:fldCharType="separate"/>
            </w:r>
            <w:r>
              <w:rPr>
                <w:noProof/>
                <w:webHidden/>
              </w:rPr>
              <w:t>5</w:t>
            </w:r>
            <w:r>
              <w:rPr>
                <w:noProof/>
                <w:webHidden/>
              </w:rPr>
              <w:fldChar w:fldCharType="end"/>
            </w:r>
          </w:hyperlink>
        </w:p>
        <w:p w:rsidR="00650878" w:rsidRDefault="00650878">
          <w:pPr>
            <w:pStyle w:val="TOC2"/>
            <w:tabs>
              <w:tab w:val="right" w:leader="dot" w:pos="9350"/>
            </w:tabs>
            <w:rPr>
              <w:noProof/>
            </w:rPr>
          </w:pPr>
          <w:hyperlink w:anchor="_Toc153993253" w:history="1">
            <w:r w:rsidRPr="00401FAA">
              <w:rPr>
                <w:rStyle w:val="Hyperlink"/>
                <w:rFonts w:ascii="Times New Roman" w:eastAsia="Times New Roman" w:hAnsi="Times New Roman" w:cs="Times New Roman"/>
                <w:noProof/>
              </w:rPr>
              <w:t>Porter’s Five Forces</w:t>
            </w:r>
            <w:r>
              <w:rPr>
                <w:noProof/>
                <w:webHidden/>
              </w:rPr>
              <w:tab/>
            </w:r>
            <w:r>
              <w:rPr>
                <w:noProof/>
                <w:webHidden/>
              </w:rPr>
              <w:fldChar w:fldCharType="begin"/>
            </w:r>
            <w:r>
              <w:rPr>
                <w:noProof/>
                <w:webHidden/>
              </w:rPr>
              <w:instrText xml:space="preserve"> PAGEREF _Toc153993253 \h </w:instrText>
            </w:r>
            <w:r>
              <w:rPr>
                <w:noProof/>
                <w:webHidden/>
              </w:rPr>
            </w:r>
            <w:r>
              <w:rPr>
                <w:noProof/>
                <w:webHidden/>
              </w:rPr>
              <w:fldChar w:fldCharType="separate"/>
            </w:r>
            <w:r>
              <w:rPr>
                <w:noProof/>
                <w:webHidden/>
              </w:rPr>
              <w:t>7</w:t>
            </w:r>
            <w:r>
              <w:rPr>
                <w:noProof/>
                <w:webHidden/>
              </w:rPr>
              <w:fldChar w:fldCharType="end"/>
            </w:r>
          </w:hyperlink>
        </w:p>
        <w:p w:rsidR="00650878" w:rsidRDefault="00650878">
          <w:pPr>
            <w:pStyle w:val="TOC1"/>
            <w:tabs>
              <w:tab w:val="right" w:leader="dot" w:pos="9350"/>
            </w:tabs>
            <w:rPr>
              <w:noProof/>
            </w:rPr>
          </w:pPr>
          <w:hyperlink w:anchor="_Toc153993254" w:history="1">
            <w:r w:rsidRPr="00401FAA">
              <w:rPr>
                <w:rStyle w:val="Hyperlink"/>
                <w:rFonts w:ascii="Times New Roman" w:eastAsia="Times New Roman" w:hAnsi="Times New Roman" w:cs="Times New Roman"/>
                <w:b/>
                <w:noProof/>
              </w:rPr>
              <w:t>Opportunities and Challenges</w:t>
            </w:r>
            <w:r>
              <w:rPr>
                <w:noProof/>
                <w:webHidden/>
              </w:rPr>
              <w:tab/>
            </w:r>
            <w:r>
              <w:rPr>
                <w:noProof/>
                <w:webHidden/>
              </w:rPr>
              <w:fldChar w:fldCharType="begin"/>
            </w:r>
            <w:r>
              <w:rPr>
                <w:noProof/>
                <w:webHidden/>
              </w:rPr>
              <w:instrText xml:space="preserve"> PAGEREF _Toc153993254 \h </w:instrText>
            </w:r>
            <w:r>
              <w:rPr>
                <w:noProof/>
                <w:webHidden/>
              </w:rPr>
            </w:r>
            <w:r>
              <w:rPr>
                <w:noProof/>
                <w:webHidden/>
              </w:rPr>
              <w:fldChar w:fldCharType="separate"/>
            </w:r>
            <w:r>
              <w:rPr>
                <w:noProof/>
                <w:webHidden/>
              </w:rPr>
              <w:t>9</w:t>
            </w:r>
            <w:r>
              <w:rPr>
                <w:noProof/>
                <w:webHidden/>
              </w:rPr>
              <w:fldChar w:fldCharType="end"/>
            </w:r>
          </w:hyperlink>
        </w:p>
        <w:p w:rsidR="00650878" w:rsidRDefault="00650878">
          <w:pPr>
            <w:pStyle w:val="TOC1"/>
            <w:tabs>
              <w:tab w:val="right" w:leader="dot" w:pos="9350"/>
            </w:tabs>
            <w:rPr>
              <w:noProof/>
            </w:rPr>
          </w:pPr>
          <w:hyperlink w:anchor="_Toc153993255" w:history="1">
            <w:r w:rsidRPr="00401FAA">
              <w:rPr>
                <w:rStyle w:val="Hyperlink"/>
                <w:rFonts w:ascii="Times New Roman" w:eastAsia="Times New Roman" w:hAnsi="Times New Roman" w:cs="Times New Roman"/>
                <w:b/>
                <w:noProof/>
              </w:rPr>
              <w:t>Chinese Market Entry Barriers</w:t>
            </w:r>
            <w:r>
              <w:rPr>
                <w:noProof/>
                <w:webHidden/>
              </w:rPr>
              <w:tab/>
            </w:r>
            <w:r>
              <w:rPr>
                <w:noProof/>
                <w:webHidden/>
              </w:rPr>
              <w:fldChar w:fldCharType="begin"/>
            </w:r>
            <w:r>
              <w:rPr>
                <w:noProof/>
                <w:webHidden/>
              </w:rPr>
              <w:instrText xml:space="preserve"> PAGEREF _Toc153993255 \h </w:instrText>
            </w:r>
            <w:r>
              <w:rPr>
                <w:noProof/>
                <w:webHidden/>
              </w:rPr>
            </w:r>
            <w:r>
              <w:rPr>
                <w:noProof/>
                <w:webHidden/>
              </w:rPr>
              <w:fldChar w:fldCharType="separate"/>
            </w:r>
            <w:r>
              <w:rPr>
                <w:noProof/>
                <w:webHidden/>
              </w:rPr>
              <w:t>10</w:t>
            </w:r>
            <w:r>
              <w:rPr>
                <w:noProof/>
                <w:webHidden/>
              </w:rPr>
              <w:fldChar w:fldCharType="end"/>
            </w:r>
          </w:hyperlink>
        </w:p>
        <w:p w:rsidR="00650878" w:rsidRDefault="00650878">
          <w:pPr>
            <w:pStyle w:val="TOC1"/>
            <w:tabs>
              <w:tab w:val="right" w:leader="dot" w:pos="9350"/>
            </w:tabs>
            <w:rPr>
              <w:noProof/>
            </w:rPr>
          </w:pPr>
          <w:hyperlink w:anchor="_Toc153993256" w:history="1">
            <w:r w:rsidRPr="00401FAA">
              <w:rPr>
                <w:rStyle w:val="Hyperlink"/>
                <w:rFonts w:ascii="Times New Roman" w:eastAsia="Times New Roman" w:hAnsi="Times New Roman" w:cs="Times New Roman"/>
                <w:b/>
                <w:noProof/>
              </w:rPr>
              <w:t>Appropriate Organisational Strategies for the Chinese Market</w:t>
            </w:r>
            <w:r>
              <w:rPr>
                <w:noProof/>
                <w:webHidden/>
              </w:rPr>
              <w:tab/>
            </w:r>
            <w:r>
              <w:rPr>
                <w:noProof/>
                <w:webHidden/>
              </w:rPr>
              <w:fldChar w:fldCharType="begin"/>
            </w:r>
            <w:r>
              <w:rPr>
                <w:noProof/>
                <w:webHidden/>
              </w:rPr>
              <w:instrText xml:space="preserve"> PAGEREF _Toc153993256 \h </w:instrText>
            </w:r>
            <w:r>
              <w:rPr>
                <w:noProof/>
                <w:webHidden/>
              </w:rPr>
            </w:r>
            <w:r>
              <w:rPr>
                <w:noProof/>
                <w:webHidden/>
              </w:rPr>
              <w:fldChar w:fldCharType="separate"/>
            </w:r>
            <w:r>
              <w:rPr>
                <w:noProof/>
                <w:webHidden/>
              </w:rPr>
              <w:t>11</w:t>
            </w:r>
            <w:r>
              <w:rPr>
                <w:noProof/>
                <w:webHidden/>
              </w:rPr>
              <w:fldChar w:fldCharType="end"/>
            </w:r>
          </w:hyperlink>
        </w:p>
        <w:p w:rsidR="00650878" w:rsidRDefault="00650878">
          <w:pPr>
            <w:pStyle w:val="TOC1"/>
            <w:tabs>
              <w:tab w:val="right" w:leader="dot" w:pos="9350"/>
            </w:tabs>
            <w:rPr>
              <w:noProof/>
            </w:rPr>
          </w:pPr>
          <w:hyperlink w:anchor="_Toc153993257" w:history="1">
            <w:r w:rsidRPr="00401FAA">
              <w:rPr>
                <w:rStyle w:val="Hyperlink"/>
                <w:rFonts w:ascii="Times New Roman" w:eastAsia="Times New Roman" w:hAnsi="Times New Roman" w:cs="Times New Roman"/>
                <w:b/>
                <w:noProof/>
              </w:rPr>
              <w:t>Conclusion</w:t>
            </w:r>
            <w:r>
              <w:rPr>
                <w:noProof/>
                <w:webHidden/>
              </w:rPr>
              <w:tab/>
            </w:r>
            <w:r>
              <w:rPr>
                <w:noProof/>
                <w:webHidden/>
              </w:rPr>
              <w:fldChar w:fldCharType="begin"/>
            </w:r>
            <w:r>
              <w:rPr>
                <w:noProof/>
                <w:webHidden/>
              </w:rPr>
              <w:instrText xml:space="preserve"> PAGEREF _Toc153993257 \h </w:instrText>
            </w:r>
            <w:r>
              <w:rPr>
                <w:noProof/>
                <w:webHidden/>
              </w:rPr>
            </w:r>
            <w:r>
              <w:rPr>
                <w:noProof/>
                <w:webHidden/>
              </w:rPr>
              <w:fldChar w:fldCharType="separate"/>
            </w:r>
            <w:r>
              <w:rPr>
                <w:noProof/>
                <w:webHidden/>
              </w:rPr>
              <w:t>12</w:t>
            </w:r>
            <w:r>
              <w:rPr>
                <w:noProof/>
                <w:webHidden/>
              </w:rPr>
              <w:fldChar w:fldCharType="end"/>
            </w:r>
          </w:hyperlink>
        </w:p>
        <w:p w:rsidR="00650878" w:rsidRDefault="00650878">
          <w:pPr>
            <w:pStyle w:val="TOC1"/>
            <w:tabs>
              <w:tab w:val="right" w:leader="dot" w:pos="9350"/>
            </w:tabs>
            <w:rPr>
              <w:noProof/>
            </w:rPr>
          </w:pPr>
          <w:hyperlink w:anchor="_Toc153993258" w:history="1">
            <w:r w:rsidRPr="00401FAA">
              <w:rPr>
                <w:rStyle w:val="Hyperlink"/>
                <w:rFonts w:ascii="Times New Roman" w:eastAsia="Times New Roman" w:hAnsi="Times New Roman" w:cs="Times New Roman"/>
                <w:b/>
                <w:noProof/>
              </w:rPr>
              <w:t>Bibliography</w:t>
            </w:r>
            <w:r>
              <w:rPr>
                <w:noProof/>
                <w:webHidden/>
              </w:rPr>
              <w:tab/>
            </w:r>
            <w:r>
              <w:rPr>
                <w:noProof/>
                <w:webHidden/>
              </w:rPr>
              <w:fldChar w:fldCharType="begin"/>
            </w:r>
            <w:r>
              <w:rPr>
                <w:noProof/>
                <w:webHidden/>
              </w:rPr>
              <w:instrText xml:space="preserve"> PAGEREF _Toc153993258 \h </w:instrText>
            </w:r>
            <w:r>
              <w:rPr>
                <w:noProof/>
                <w:webHidden/>
              </w:rPr>
            </w:r>
            <w:r>
              <w:rPr>
                <w:noProof/>
                <w:webHidden/>
              </w:rPr>
              <w:fldChar w:fldCharType="separate"/>
            </w:r>
            <w:r>
              <w:rPr>
                <w:noProof/>
                <w:webHidden/>
              </w:rPr>
              <w:t>13</w:t>
            </w:r>
            <w:r>
              <w:rPr>
                <w:noProof/>
                <w:webHidden/>
              </w:rPr>
              <w:fldChar w:fldCharType="end"/>
            </w:r>
          </w:hyperlink>
        </w:p>
        <w:p w:rsidR="007E0F0F"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r>
            <w:fldChar w:fldCharType="end"/>
          </w:r>
        </w:p>
      </w:sdtContent>
    </w:sdt>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7E0F0F">
      <w:pPr>
        <w:spacing w:line="480" w:lineRule="auto"/>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0" w:name="_Toc153993249"/>
      <w:r>
        <w:rPr>
          <w:rFonts w:ascii="Times New Roman" w:eastAsia="Times New Roman" w:hAnsi="Times New Roman" w:cs="Times New Roman"/>
          <w:b/>
          <w:color w:val="000000"/>
          <w:sz w:val="24"/>
          <w:szCs w:val="24"/>
        </w:rPr>
        <w:lastRenderedPageBreak/>
        <w:t>Introduction</w:t>
      </w:r>
      <w:bookmarkEnd w:id="0"/>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market liberalisation and globalisation trends have offered multinational companies unlimited expansion opportunities. Experts associate the global expansion strategy with benefits like revenue increase, economies of scale, market share growth, and profitability optimisation (Rizea, 2015). However, the international expansion strategy exposes multinational companies to challenges in adapting to diverse market conditions (Duus, 2013). Most companies experience challenges in adapting to highly dynamic and different macroenvironmental forces in different nations globally. Successful penetration and survival in these markets require these businesses to implement evidence-based business strategies. The multidimensionality and intricacy of the global business environment necessitate the classification and evaluation of its components using relevant frameworks. Markedly, business environmental analysis enables these companies to choose appropriate business strategies for specific markets. Specifically, an evidence-based business strategy can enable Diageo to effectively penetrate and maintain competitiveness in the Chinese alcoholic beverage market. </w:t>
      </w:r>
    </w:p>
    <w:p w:rsidR="007E0F0F" w:rsidRDefault="007E0F0F" w:rsidP="00650878">
      <w:pPr>
        <w:spacing w:line="360" w:lineRule="auto"/>
        <w:ind w:firstLine="720"/>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1" w:name="_Toc153993250"/>
      <w:r>
        <w:rPr>
          <w:rFonts w:ascii="Times New Roman" w:eastAsia="Times New Roman" w:hAnsi="Times New Roman" w:cs="Times New Roman"/>
          <w:b/>
          <w:color w:val="000000"/>
          <w:sz w:val="24"/>
          <w:szCs w:val="24"/>
        </w:rPr>
        <w:t>China as an Investment Destination</w:t>
      </w:r>
      <w:bookmarkEnd w:id="1"/>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is an East Asian nation bordering the South China Sea, Yellow Sea, Korea Bay, the East China Sea, and several sovereign states. The nation shares borders with 14 nations, namely Tajikistan, Laos, India, Vietnam, Kazakhstan, Macao, Russia, Pakistan, Mongolia, North Korea, Afghanistan, Myanmar, Kyrgyzstan, and Bhutan (BLITA International, 2022). China is located around 7,799 kilometres from the US and covers an area of approximately 9.597 million square kilometres (</w:t>
      </w:r>
      <w:proofErr w:type="spellStart"/>
      <w:r>
        <w:rPr>
          <w:rFonts w:ascii="Times New Roman" w:eastAsia="Times New Roman" w:hAnsi="Times New Roman" w:cs="Times New Roman"/>
          <w:sz w:val="24"/>
          <w:szCs w:val="24"/>
        </w:rPr>
        <w:t>CountryReports</w:t>
      </w:r>
      <w:proofErr w:type="spellEnd"/>
      <w:r>
        <w:rPr>
          <w:rFonts w:ascii="Times New Roman" w:eastAsia="Times New Roman" w:hAnsi="Times New Roman" w:cs="Times New Roman"/>
          <w:sz w:val="24"/>
          <w:szCs w:val="24"/>
        </w:rPr>
        <w:t>, 2023; Finance.co.uk., 2023). The East Asian nation is categorised among the largest and most populated countries in the world considering that it has approximately 1.412 billion inhabitants (Data Commons, 2023). Notably, around 50.6% of the inhabitants reside within its rapidly expanding cities, including Guangzhou, Shanghai, Shenzhen, Hangzhou, and Tianjin (</w:t>
      </w:r>
      <w:proofErr w:type="spellStart"/>
      <w:r>
        <w:rPr>
          <w:rFonts w:ascii="Times New Roman" w:eastAsia="Times New Roman" w:hAnsi="Times New Roman" w:cs="Times New Roman"/>
          <w:sz w:val="24"/>
          <w:szCs w:val="24"/>
        </w:rPr>
        <w:t>CountryReports</w:t>
      </w:r>
      <w:proofErr w:type="spellEnd"/>
      <w:r>
        <w:rPr>
          <w:rFonts w:ascii="Times New Roman" w:eastAsia="Times New Roman" w:hAnsi="Times New Roman" w:cs="Times New Roman"/>
          <w:sz w:val="24"/>
          <w:szCs w:val="24"/>
        </w:rPr>
        <w:t>, 2023). Market reforms adopted within the past four decades by the community government have helped in hastening its economic development and growth. The World Trade Organisation recognises China as a developing nation despite it being the world’s second-biggest economy after the US (</w:t>
      </w:r>
      <w:proofErr w:type="spellStart"/>
      <w:r>
        <w:rPr>
          <w:rFonts w:ascii="Times New Roman" w:eastAsia="Times New Roman" w:hAnsi="Times New Roman" w:cs="Times New Roman"/>
          <w:sz w:val="24"/>
          <w:szCs w:val="24"/>
        </w:rPr>
        <w:t>Kanwit</w:t>
      </w:r>
      <w:proofErr w:type="spellEnd"/>
      <w:r>
        <w:rPr>
          <w:rFonts w:ascii="Times New Roman" w:eastAsia="Times New Roman" w:hAnsi="Times New Roman" w:cs="Times New Roman"/>
          <w:sz w:val="24"/>
          <w:szCs w:val="24"/>
        </w:rPr>
        <w:t xml:space="preserve">, 2023). Today, the nation has a market-oriented economy that supports foreign direct investment, firm privatisation, foreign trade, price </w:t>
      </w:r>
      <w:r>
        <w:rPr>
          <w:rFonts w:ascii="Times New Roman" w:eastAsia="Times New Roman" w:hAnsi="Times New Roman" w:cs="Times New Roman"/>
          <w:sz w:val="24"/>
          <w:szCs w:val="24"/>
        </w:rPr>
        <w:lastRenderedPageBreak/>
        <w:t xml:space="preserve">liberalisation, and state enterprises’ autonomy. The market economic system makes China an attractive investment destination for all multinational companies, including UK-based firms. </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173980" cy="3657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173980" cy="3657600"/>
                    </a:xfrm>
                    <a:prstGeom prst="rect">
                      <a:avLst/>
                    </a:prstGeom>
                    <a:ln/>
                  </pic:spPr>
                </pic:pic>
              </a:graphicData>
            </a:graphic>
          </wp:inline>
        </w:drawing>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(Vector Map, 2023)</w:t>
      </w:r>
    </w:p>
    <w:p w:rsidR="007E0F0F" w:rsidRDefault="007E0F0F" w:rsidP="00650878">
      <w:pPr>
        <w:spacing w:line="360" w:lineRule="auto"/>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2" w:name="_Toc153993251"/>
      <w:r>
        <w:rPr>
          <w:rFonts w:ascii="Times New Roman" w:eastAsia="Times New Roman" w:hAnsi="Times New Roman" w:cs="Times New Roman"/>
          <w:b/>
          <w:color w:val="000000"/>
          <w:sz w:val="24"/>
          <w:szCs w:val="24"/>
        </w:rPr>
        <w:t>Business Environment Analysis</w:t>
      </w:r>
      <w:bookmarkEnd w:id="2"/>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environmental analysis can enable Diageo to make an evidence-based decision regarding its entry into the Chinese alcoholic beverage market. In this scenario, the analysis focuses on external environmental forces that can influence the company’s performance in this market. The analysis considers that the external business environment comprises macro and micro-environmental variables that influence business performance. Macro-environmental variables refer to unpredictable and uncontrollable external forces that affect business operations (Hogan et al., 2017). The PESTEL analysis framework indicates that the macro-environment comprises variables like legal, social, political, environmental, technological, and economic forces (Barkauskas et al., 2015). The success in globalised markets depends on companies’ capability to react and adopt to these external forces. Conversely, micro-environmental variables refer to </w:t>
      </w:r>
      <w:r>
        <w:rPr>
          <w:rFonts w:ascii="Times New Roman" w:eastAsia="Times New Roman" w:hAnsi="Times New Roman" w:cs="Times New Roman"/>
          <w:sz w:val="24"/>
          <w:szCs w:val="24"/>
        </w:rPr>
        <w:lastRenderedPageBreak/>
        <w:t>controllable external forces that influence organisational performance. Porter’s Five Forces framework indicates that the micro-environment has components like competitive rivalry, substitution threat, buyer power, new entry threats, and supplier powers (</w:t>
      </w:r>
      <w:proofErr w:type="spellStart"/>
      <w:r>
        <w:rPr>
          <w:rFonts w:ascii="Times New Roman" w:eastAsia="Times New Roman" w:hAnsi="Times New Roman" w:cs="Times New Roman"/>
          <w:sz w:val="24"/>
          <w:szCs w:val="24"/>
        </w:rPr>
        <w:t>Zeriti</w:t>
      </w:r>
      <w:proofErr w:type="spellEnd"/>
      <w:r>
        <w:rPr>
          <w:rFonts w:ascii="Times New Roman" w:eastAsia="Times New Roman" w:hAnsi="Times New Roman" w:cs="Times New Roman"/>
          <w:sz w:val="24"/>
          <w:szCs w:val="24"/>
        </w:rPr>
        <w:t xml:space="preserve"> et al., 2014). Comprehending these micro-environment forces allows businesses to design an effective competition for target markets. </w:t>
      </w:r>
    </w:p>
    <w:p w:rsidR="007E0F0F" w:rsidRDefault="007E0F0F" w:rsidP="00650878">
      <w:pPr>
        <w:spacing w:line="360" w:lineRule="auto"/>
        <w:ind w:firstLine="720"/>
        <w:jc w:val="both"/>
        <w:rPr>
          <w:rFonts w:ascii="Times New Roman" w:eastAsia="Times New Roman" w:hAnsi="Times New Roman" w:cs="Times New Roman"/>
          <w:sz w:val="24"/>
          <w:szCs w:val="24"/>
        </w:rPr>
      </w:pPr>
    </w:p>
    <w:p w:rsidR="007E0F0F" w:rsidRDefault="00000000" w:rsidP="00650878">
      <w:pPr>
        <w:pStyle w:val="Heading2"/>
        <w:spacing w:line="360" w:lineRule="auto"/>
        <w:jc w:val="both"/>
        <w:rPr>
          <w:rFonts w:ascii="Times New Roman" w:eastAsia="Times New Roman" w:hAnsi="Times New Roman" w:cs="Times New Roman"/>
          <w:sz w:val="24"/>
          <w:szCs w:val="24"/>
        </w:rPr>
      </w:pPr>
      <w:bookmarkStart w:id="3" w:name="_Toc153993252"/>
      <w:r>
        <w:rPr>
          <w:rFonts w:ascii="Times New Roman" w:eastAsia="Times New Roman" w:hAnsi="Times New Roman" w:cs="Times New Roman"/>
          <w:sz w:val="24"/>
          <w:szCs w:val="24"/>
        </w:rPr>
        <w:t>PESTEL Analysis</w:t>
      </w:r>
      <w:bookmarkEnd w:id="3"/>
    </w:p>
    <w:tbl>
      <w:tblPr>
        <w:tblStyle w:val="a"/>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144"/>
        <w:gridCol w:w="7206"/>
      </w:tblGrid>
      <w:tr w:rsidR="007E0F0F" w:rsidTr="007E0F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rsidR="007E0F0F" w:rsidRDefault="00000000" w:rsidP="00650878">
            <w:pPr>
              <w:spacing w:line="360" w:lineRule="auto"/>
              <w:jc w:val="both"/>
              <w:rPr>
                <w:sz w:val="24"/>
                <w:szCs w:val="24"/>
              </w:rPr>
            </w:pPr>
            <w:r>
              <w:rPr>
                <w:sz w:val="24"/>
                <w:szCs w:val="24"/>
              </w:rPr>
              <w:t xml:space="preserve">PESTEL Analysis of the Chinese Business Environment </w:t>
            </w: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t>Macro-environmental variables</w:t>
            </w:r>
          </w:p>
        </w:tc>
        <w:tc>
          <w:tcPr>
            <w:tcW w:w="7206"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Description</w:t>
            </w:r>
          </w:p>
        </w:tc>
      </w:tr>
      <w:tr w:rsidR="007E0F0F" w:rsidTr="007E0F0F">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t xml:space="preserve">Political  </w:t>
            </w:r>
          </w:p>
        </w:tc>
        <w:tc>
          <w:tcPr>
            <w:tcW w:w="7206" w:type="dxa"/>
          </w:tcPr>
          <w:p w:rsidR="007E0F0F" w:rsidRDefault="00000000"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Political factors influencing business performance within the Chinese market can be categorised into foreign trade policy, government policies, leadership, and internal political issues. For instance, the Chinese socialist government makes regular policy amendments to support its 5-year plans, which impacts foreign and local investors (Hu, 2013). Businesses are expected to adopt strategies that align with the Communist Party’s ideal to avoid being banned. The ongoing Chinese-US trade wars have further created uncertainties for multinational companies from Western countries. Nonetheless, the Chinese government’s positive attitude towards direct selling, FDI, and a market-oriented economy has encouraged foreign firms to penetrate its market.</w:t>
            </w:r>
          </w:p>
          <w:p w:rsidR="007E0F0F" w:rsidRDefault="007E0F0F"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t xml:space="preserve">Economic </w:t>
            </w:r>
          </w:p>
        </w:tc>
        <w:tc>
          <w:tcPr>
            <w:tcW w:w="7206"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Economic factors influencing organisational performance in China are labour cost, job growth, interest rates and inflation, liberalisation, and economic growth. For instance, the Chinese GDP increased from $12.265 trillion to $17.886 trillion between 2017 and 2022 (Textor, 2023). The rapid GDP growth shows that the Chinese economy recovered swiftly from the COVID-19-related global financial crisis. The nation’s inflation </w:t>
            </w:r>
            <w:r>
              <w:rPr>
                <w:sz w:val="24"/>
                <w:szCs w:val="24"/>
              </w:rPr>
              <w:lastRenderedPageBreak/>
              <w:t xml:space="preserve">rate rose to 2.0% in 2022 and was expected to remain constant throughout 2023. In 2017, China had an individual consumption rate of 38.7%, which was relatively that of the UK (65.7%%) (Xiong et al., 2022). The low consumption rate is attributed to its lower individual disposable income than the UK. However, market analysts estimate that the nation’s consumption will increase tremendously in the future because of the increased employment rate and continuous economic development. </w:t>
            </w:r>
          </w:p>
          <w:p w:rsidR="007E0F0F" w:rsidRDefault="007E0F0F"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p>
        </w:tc>
      </w:tr>
      <w:tr w:rsidR="007E0F0F" w:rsidTr="007E0F0F">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t xml:space="preserve">Socio-cultural </w:t>
            </w:r>
          </w:p>
        </w:tc>
        <w:tc>
          <w:tcPr>
            <w:tcW w:w="7206" w:type="dxa"/>
          </w:tcPr>
          <w:p w:rsidR="007E0F0F" w:rsidRDefault="00000000"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Important socio-cultural factors in the Chinese business environment are consumer attitudes, demographics, population size, socio-cultural changes, and employment patterns. The huge population provides a huge market and labour force for foreign and local firms. The continuous increase in the minimum wage has led to tremendous growth in consumer spending. The growing household income has increased expenditure on luxury items, including expensive alcoholic brands (Bian &amp; Forsythe, 2012). Nonetheless, the low birth rate and ageing population have caused a general shrinkage in the available labour force in the nation. </w:t>
            </w:r>
          </w:p>
          <w:p w:rsidR="007E0F0F" w:rsidRDefault="007E0F0F"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t xml:space="preserve">Technological </w:t>
            </w:r>
          </w:p>
        </w:tc>
        <w:tc>
          <w:tcPr>
            <w:tcW w:w="7206"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Chinese government understands the need for technological advancement in promoting business and economic growth. As a result, the government has focused on substituting its conventional labour-intensive economy with the new innovation-driven system. The technological development has helped in revolutionising trade, communication, manufacturing, and marketing processes. Specifically, technological advancement has enabled companies to improve production, preservation, and packaging of alcoholic beverages to meet consumer needs. Foreign multinational companies have viewed this technological advancement as an opportunity to exploit the expanding Chinese alcoholic beverage market. Telecommunication and cloud computing has supported management teams for UK-based companies to oversee operations in their Chinese subsidiaries.</w:t>
            </w:r>
          </w:p>
        </w:tc>
      </w:tr>
      <w:tr w:rsidR="007E0F0F" w:rsidTr="007E0F0F">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lastRenderedPageBreak/>
              <w:t xml:space="preserve">Environmental </w:t>
            </w:r>
          </w:p>
        </w:tc>
        <w:tc>
          <w:tcPr>
            <w:tcW w:w="7206" w:type="dxa"/>
          </w:tcPr>
          <w:p w:rsidR="007E0F0F" w:rsidRDefault="00000000"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Carbon-intensive industries and rapid urbanisation have created a serious environmental pollution problem in China. As a result, the Chinese government has created environmental sustainability programs and set emission reduction goals to address the issue. For instance, the government has integrated environmental protection strategy and industrial pollutant governance with its 5-year plan. The East Asian nation focuses to lead in the creation of zero-waste cities. The Chinese government has encouraged citizens to minimise waster and embrace eco-friendly lifestyle. The government has further encouraged businesses to adopt eco-friendly packaging materials, utilise renewable energy, and reduce coal use.</w:t>
            </w: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4" w:type="dxa"/>
          </w:tcPr>
          <w:p w:rsidR="007E0F0F" w:rsidRDefault="00000000" w:rsidP="00650878">
            <w:pPr>
              <w:spacing w:line="360" w:lineRule="auto"/>
              <w:jc w:val="both"/>
              <w:rPr>
                <w:sz w:val="24"/>
                <w:szCs w:val="24"/>
              </w:rPr>
            </w:pPr>
            <w:r>
              <w:rPr>
                <w:sz w:val="24"/>
                <w:szCs w:val="24"/>
              </w:rPr>
              <w:t xml:space="preserve">Legal </w:t>
            </w:r>
          </w:p>
        </w:tc>
        <w:tc>
          <w:tcPr>
            <w:tcW w:w="7206"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Legal factors influencing business operation in the Chinese market includes consumer rights, health and safety, FIL (Foreign Investment Law), environmental protection law, and employment law. For example, the government enacted the FIL in 2019 to encourage foreign investors to enter the local business environment. The 2020 environmental protection law supports the government in discouraging waste emission in business organisations. Additionally, the employment law protects employees from abuse while the consumer law protects consumers from unsafe products.</w:t>
            </w:r>
          </w:p>
        </w:tc>
      </w:tr>
    </w:tbl>
    <w:p w:rsidR="007E0F0F" w:rsidRDefault="007E0F0F" w:rsidP="00650878">
      <w:pPr>
        <w:spacing w:line="360" w:lineRule="auto"/>
        <w:jc w:val="both"/>
        <w:rPr>
          <w:rFonts w:ascii="Times New Roman" w:eastAsia="Times New Roman" w:hAnsi="Times New Roman" w:cs="Times New Roman"/>
          <w:sz w:val="24"/>
          <w:szCs w:val="24"/>
        </w:rPr>
      </w:pPr>
    </w:p>
    <w:p w:rsidR="007E0F0F" w:rsidRDefault="00000000" w:rsidP="00650878">
      <w:pPr>
        <w:pStyle w:val="Heading2"/>
        <w:spacing w:line="360" w:lineRule="auto"/>
        <w:jc w:val="both"/>
        <w:rPr>
          <w:rFonts w:ascii="Times New Roman" w:eastAsia="Times New Roman" w:hAnsi="Times New Roman" w:cs="Times New Roman"/>
          <w:sz w:val="24"/>
          <w:szCs w:val="24"/>
        </w:rPr>
      </w:pPr>
      <w:bookmarkStart w:id="4" w:name="_Toc153993253"/>
      <w:r>
        <w:rPr>
          <w:rFonts w:ascii="Times New Roman" w:eastAsia="Times New Roman" w:hAnsi="Times New Roman" w:cs="Times New Roman"/>
          <w:sz w:val="24"/>
          <w:szCs w:val="24"/>
        </w:rPr>
        <w:t>Porter’s Five Forces</w:t>
      </w:r>
      <w:bookmarkEnd w:id="4"/>
    </w:p>
    <w:tbl>
      <w:tblPr>
        <w:tblStyle w:val="a0"/>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141"/>
        <w:gridCol w:w="7209"/>
      </w:tblGrid>
      <w:tr w:rsidR="007E0F0F" w:rsidTr="007E0F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rsidR="007E0F0F" w:rsidRDefault="00000000" w:rsidP="00650878">
            <w:pPr>
              <w:spacing w:line="360" w:lineRule="auto"/>
              <w:jc w:val="both"/>
              <w:rPr>
                <w:sz w:val="24"/>
                <w:szCs w:val="24"/>
              </w:rPr>
            </w:pPr>
            <w:bookmarkStart w:id="5" w:name="_tyjcwt" w:colFirst="0" w:colLast="0"/>
            <w:bookmarkEnd w:id="5"/>
            <w:r>
              <w:rPr>
                <w:sz w:val="24"/>
                <w:szCs w:val="24"/>
              </w:rPr>
              <w:t>Porter’s Five Forces of the Chinese Alcoholic Beverage Market</w:t>
            </w: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1" w:type="dxa"/>
          </w:tcPr>
          <w:p w:rsidR="007E0F0F" w:rsidRDefault="00000000" w:rsidP="00650878">
            <w:pPr>
              <w:spacing w:line="360" w:lineRule="auto"/>
              <w:jc w:val="both"/>
              <w:rPr>
                <w:sz w:val="24"/>
                <w:szCs w:val="24"/>
              </w:rPr>
            </w:pPr>
            <w:r>
              <w:rPr>
                <w:sz w:val="24"/>
                <w:szCs w:val="24"/>
              </w:rPr>
              <w:t>Micro-environmental variables</w:t>
            </w:r>
          </w:p>
        </w:tc>
        <w:tc>
          <w:tcPr>
            <w:tcW w:w="7209"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Description</w:t>
            </w:r>
          </w:p>
        </w:tc>
      </w:tr>
      <w:tr w:rsidR="007E0F0F" w:rsidTr="007E0F0F">
        <w:tc>
          <w:tcPr>
            <w:cnfStyle w:val="001000000000" w:firstRow="0" w:lastRow="0" w:firstColumn="1" w:lastColumn="0" w:oddVBand="0" w:evenVBand="0" w:oddHBand="0" w:evenHBand="0" w:firstRowFirstColumn="0" w:firstRowLastColumn="0" w:lastRowFirstColumn="0" w:lastRowLastColumn="0"/>
            <w:tcW w:w="2141" w:type="dxa"/>
          </w:tcPr>
          <w:p w:rsidR="007E0F0F" w:rsidRDefault="00000000" w:rsidP="00650878">
            <w:pPr>
              <w:spacing w:line="360" w:lineRule="auto"/>
              <w:jc w:val="both"/>
              <w:rPr>
                <w:sz w:val="24"/>
                <w:szCs w:val="24"/>
              </w:rPr>
            </w:pPr>
            <w:bookmarkStart w:id="6" w:name="_3dy6vkm" w:colFirst="0" w:colLast="0"/>
            <w:bookmarkEnd w:id="6"/>
            <w:r>
              <w:rPr>
                <w:sz w:val="24"/>
                <w:szCs w:val="24"/>
              </w:rPr>
              <w:t>Competitive Rivalry</w:t>
            </w:r>
          </w:p>
        </w:tc>
        <w:tc>
          <w:tcPr>
            <w:tcW w:w="7209" w:type="dxa"/>
          </w:tcPr>
          <w:p w:rsidR="007E0F0F" w:rsidRDefault="00000000"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Companies operating in the Chinese alcoholic beverage market experience intense competition pressure from multinational and local companies. Major players in this industry are Niu Lan Shan Distillery, Tsingtao Brewery Co Ltd, SABMiller plc, Dynasty Fine Wines Group, </w:t>
            </w:r>
            <w:r>
              <w:rPr>
                <w:sz w:val="24"/>
                <w:szCs w:val="24"/>
              </w:rPr>
              <w:lastRenderedPageBreak/>
              <w:t xml:space="preserve">Anheuser-Busch InBev, Molson Coors, Yanjing Beer, Resources Group, and Jiangsu </w:t>
            </w:r>
            <w:proofErr w:type="spellStart"/>
            <w:r>
              <w:rPr>
                <w:sz w:val="24"/>
                <w:szCs w:val="24"/>
              </w:rPr>
              <w:t>Yanghe</w:t>
            </w:r>
            <w:proofErr w:type="spellEnd"/>
            <w:r>
              <w:rPr>
                <w:sz w:val="24"/>
                <w:szCs w:val="24"/>
              </w:rPr>
              <w:t xml:space="preserve"> Brewery (</w:t>
            </w:r>
            <w:proofErr w:type="spellStart"/>
            <w:r>
              <w:rPr>
                <w:sz w:val="24"/>
                <w:szCs w:val="24"/>
              </w:rPr>
              <w:t>GlobalData</w:t>
            </w:r>
            <w:proofErr w:type="spellEnd"/>
            <w:r>
              <w:rPr>
                <w:sz w:val="24"/>
                <w:szCs w:val="24"/>
              </w:rPr>
              <w:t xml:space="preserve"> Plc, 2023). The intense competitive rivalry indicates that Diageo might experience challenges in increasing its market share within the Chinese market (Wood, 2022). However, the continuous expansion trend of this industry offers new entrants an opportunity for gaining market share. </w:t>
            </w:r>
          </w:p>
          <w:p w:rsidR="007E0F0F" w:rsidRDefault="007E0F0F"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1" w:type="dxa"/>
          </w:tcPr>
          <w:p w:rsidR="007E0F0F" w:rsidRDefault="00000000" w:rsidP="00650878">
            <w:pPr>
              <w:spacing w:line="360" w:lineRule="auto"/>
              <w:jc w:val="both"/>
              <w:rPr>
                <w:sz w:val="24"/>
                <w:szCs w:val="24"/>
              </w:rPr>
            </w:pPr>
            <w:r>
              <w:rPr>
                <w:sz w:val="24"/>
                <w:szCs w:val="24"/>
              </w:rPr>
              <w:lastRenderedPageBreak/>
              <w:t>Substitution Threat</w:t>
            </w:r>
          </w:p>
        </w:tc>
        <w:tc>
          <w:tcPr>
            <w:tcW w:w="7209"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The substitution threat in the Chinese alcoholic beverage market is moderately high due to the presence of multiple alternatives. The industry enables clients to choose between non-alcoholic beverages, wine, beer, spirits, and whiskeys (Wood, 2022). Non-alcoholic beverages that serve as substitutes for alcoholic products include bottled water, seltzer, juice, and soda. Still, the diversification technique can support Diageo in overcoming the substitution threat.</w:t>
            </w:r>
          </w:p>
          <w:p w:rsidR="007E0F0F" w:rsidRDefault="007E0F0F"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p>
        </w:tc>
      </w:tr>
      <w:tr w:rsidR="007E0F0F" w:rsidTr="007E0F0F">
        <w:tc>
          <w:tcPr>
            <w:cnfStyle w:val="001000000000" w:firstRow="0" w:lastRow="0" w:firstColumn="1" w:lastColumn="0" w:oddVBand="0" w:evenVBand="0" w:oddHBand="0" w:evenHBand="0" w:firstRowFirstColumn="0" w:firstRowLastColumn="0" w:lastRowFirstColumn="0" w:lastRowLastColumn="0"/>
            <w:tcW w:w="2141" w:type="dxa"/>
          </w:tcPr>
          <w:p w:rsidR="007E0F0F" w:rsidRDefault="00000000" w:rsidP="00650878">
            <w:pPr>
              <w:spacing w:line="360" w:lineRule="auto"/>
              <w:jc w:val="both"/>
              <w:rPr>
                <w:sz w:val="24"/>
                <w:szCs w:val="24"/>
              </w:rPr>
            </w:pPr>
            <w:r>
              <w:rPr>
                <w:sz w:val="24"/>
                <w:szCs w:val="24"/>
              </w:rPr>
              <w:t>Buyer Power</w:t>
            </w:r>
          </w:p>
        </w:tc>
        <w:tc>
          <w:tcPr>
            <w:tcW w:w="7209" w:type="dxa"/>
          </w:tcPr>
          <w:p w:rsidR="007E0F0F" w:rsidRDefault="00000000"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 buyer power in the Chinese alcoholic beverage market is moderately high due to the presence of numerous players. High competition implies that customers change alcoholic beverage brands easily because of the numerous alternatives’ availability (Wood, 2022). Therefore, companies must utilise competitive pricing, strong advertising campaigns, and quality optimisation campaigns to retain loyal clients and attract new ones.</w:t>
            </w:r>
          </w:p>
          <w:p w:rsidR="007E0F0F" w:rsidRDefault="007E0F0F"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r>
      <w:tr w:rsidR="007E0F0F" w:rsidTr="007E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1" w:type="dxa"/>
          </w:tcPr>
          <w:p w:rsidR="007E0F0F" w:rsidRDefault="00000000" w:rsidP="00650878">
            <w:pPr>
              <w:spacing w:line="360" w:lineRule="auto"/>
              <w:jc w:val="both"/>
              <w:rPr>
                <w:sz w:val="24"/>
                <w:szCs w:val="24"/>
              </w:rPr>
            </w:pPr>
            <w:r>
              <w:rPr>
                <w:sz w:val="24"/>
                <w:szCs w:val="24"/>
              </w:rPr>
              <w:t>New Entry Threats</w:t>
            </w:r>
          </w:p>
        </w:tc>
        <w:tc>
          <w:tcPr>
            <w:tcW w:w="7209" w:type="dxa"/>
          </w:tcPr>
          <w:p w:rsidR="007E0F0F" w:rsidRDefault="00000000"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The new entry threat in the Chinese alcoholic beverage market is relatively low because of complex legal processes, huge capital requirements, and production challenges. Businesses must possess economies of scale to remain competitive and profitable in the alcoholic beverage industry (Wood, 2022). Huge marketing costs and taxation on alcoholic beverages increase operating costs for companies in this market. </w:t>
            </w:r>
          </w:p>
          <w:p w:rsidR="007E0F0F" w:rsidRDefault="007E0F0F" w:rsidP="00650878">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p>
        </w:tc>
      </w:tr>
      <w:tr w:rsidR="007E0F0F" w:rsidTr="007E0F0F">
        <w:tc>
          <w:tcPr>
            <w:cnfStyle w:val="001000000000" w:firstRow="0" w:lastRow="0" w:firstColumn="1" w:lastColumn="0" w:oddVBand="0" w:evenVBand="0" w:oddHBand="0" w:evenHBand="0" w:firstRowFirstColumn="0" w:firstRowLastColumn="0" w:lastRowFirstColumn="0" w:lastRowLastColumn="0"/>
            <w:tcW w:w="2141" w:type="dxa"/>
          </w:tcPr>
          <w:p w:rsidR="007E0F0F" w:rsidRDefault="00000000" w:rsidP="00650878">
            <w:pPr>
              <w:spacing w:line="360" w:lineRule="auto"/>
              <w:jc w:val="both"/>
              <w:rPr>
                <w:sz w:val="24"/>
                <w:szCs w:val="24"/>
              </w:rPr>
            </w:pPr>
            <w:r>
              <w:rPr>
                <w:sz w:val="24"/>
                <w:szCs w:val="24"/>
              </w:rPr>
              <w:lastRenderedPageBreak/>
              <w:t>Supplier Power</w:t>
            </w:r>
          </w:p>
        </w:tc>
        <w:tc>
          <w:tcPr>
            <w:tcW w:w="7209" w:type="dxa"/>
          </w:tcPr>
          <w:p w:rsidR="007E0F0F" w:rsidRDefault="00000000"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Suppliers’ bargaining power in the market is low because of the highly reliable supplier population. The population enables players in the industry to obtain key ingredients and packaging materials easily (Wood, 2022). The low supplier power enables beverage companies to obtain low-cost but high-quality raw materials.</w:t>
            </w:r>
          </w:p>
          <w:p w:rsidR="007E0F0F" w:rsidRDefault="007E0F0F" w:rsidP="00650878">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r>
    </w:tbl>
    <w:p w:rsidR="007E0F0F" w:rsidRDefault="007E0F0F" w:rsidP="00650878">
      <w:pPr>
        <w:spacing w:line="360" w:lineRule="auto"/>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7" w:name="_Toc153993254"/>
      <w:r>
        <w:rPr>
          <w:rFonts w:ascii="Times New Roman" w:eastAsia="Times New Roman" w:hAnsi="Times New Roman" w:cs="Times New Roman"/>
          <w:b/>
          <w:color w:val="000000"/>
          <w:sz w:val="24"/>
          <w:szCs w:val="24"/>
        </w:rPr>
        <w:t>Opportunities and Challenges</w:t>
      </w:r>
      <w:bookmarkEnd w:id="7"/>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Diageo’s management should understand that China has a rapidly expanding alcoholic beverage market with several opportunities and challenges. Various opportunities available in the Chinese alcoholic beverage market include rapid expansion, cultural transformation, changing consumer taste, growing foreign brands' popularity, increasing consumer purchasing power, technological growth, and government regulation. The continuous expansion in this market has offered foreign companies an opportunity for continuous growth (Wang, 2023). Markedly, the revenues for the alcoholic drinks market reached 319.9 billion in 2022, which was expected to increase to $385.6 billion in 2027 (GMA, 2023). The market expansion trend is attributed to factors like the booming middle class, increased disposable income, and changing consumer tastes. The increased disposable income has increased Chinese citizen’s access to expensive wines, beer, spirits, and whiskies. Specifically, the growing popularity of Western lifestyle and fashion in the increased wine consumption among Chinese women (Nelson, 2011). The cultural transformation has also increased the consumption of Western alcoholic beverages in China. The role of the Chinese government in liberalising the economy and eradicating corruption has allowed Western beverage companies to sell products directly to local customers. Additionally, technological development has supported companies in reducing their production and marketing costs.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Chinese alcoholic beverage market exposes companies to challenges like intense competition pressure, restrictive policies, health and safety concerns, local tastes, pricing issues, and distribution challenges. Intense competition pressure in the Chinese beverage market threatens to reduce profit margins and restrict the growth of Diageo. The management should understand that top Chinese beverage companies have depended on acquisition and mergers in consolidating themselves within the alcoholic beverage sectors. Still, Diageo can replicate the </w:t>
      </w:r>
      <w:r>
        <w:rPr>
          <w:rFonts w:ascii="Times New Roman" w:eastAsia="Times New Roman" w:hAnsi="Times New Roman" w:cs="Times New Roman"/>
          <w:sz w:val="24"/>
          <w:szCs w:val="24"/>
        </w:rPr>
        <w:lastRenderedPageBreak/>
        <w:t xml:space="preserve">strategy in facilitating its penetration and growth within this foreign market. The process would involve choosing an effective strategy to overcome price and quality sensitivity among middle-class populations in China. Satisfying the consumers’ need for diverse, premium, sustainable, and high-quality products is a major challenge for foreign companies. The challenge normally results from the need to customise traditional Chinese alcohol to meet new consumer demands. Health concerns associated with increased alcohol consumption in China have exposed alcoholic beverage companies to challenges in marketing their products (Hu et al., 2022). The vast Chinese landscape further creates distribution challenges for beverage companies, which creates the need to adopt intricate, broad, and expensive logistics networks. </w:t>
      </w:r>
    </w:p>
    <w:p w:rsidR="007E0F0F" w:rsidRDefault="007E0F0F" w:rsidP="00650878">
      <w:pPr>
        <w:spacing w:line="360" w:lineRule="auto"/>
        <w:ind w:firstLine="720"/>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8" w:name="_Toc153993255"/>
      <w:r>
        <w:rPr>
          <w:rFonts w:ascii="Times New Roman" w:eastAsia="Times New Roman" w:hAnsi="Times New Roman" w:cs="Times New Roman"/>
          <w:b/>
          <w:color w:val="000000"/>
          <w:sz w:val="24"/>
          <w:szCs w:val="24"/>
        </w:rPr>
        <w:t>Chinese Market Entry Barriers</w:t>
      </w:r>
      <w:bookmarkEnd w:id="8"/>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Foreign companies face different barriers during Chinese market entry, including strict traditional culture, HRM challenges, legal complications, government-related issues, and stiff competition. Foreign beverage companies experience challenges in offering products and implementing challenges that align with Chinese traditional values. In particular, most Chinese still demonstrate a negative attitude towards Western alcoholic beverages like whiskeys, beers, and wine. The proportion demonstrates a strong attachment to traditional Chinese alcoholic beverages like wines and spirits. The Chinese market entry requires foreign firms to comply with strict regulations concerning intellectual property rights, tax registration, permits and licence acquisition, and labour compliance (Niu et al., 2012). Some businesses avoid the market due to huge costs and heightened regulatory risks linked to bureaucratic complications. Successful penetration into the Chinese market requires businesses to align their operations with government plans and procedures. The Chinese government always discourages foreign firms from adopting strategies that contract its economic development plans (Ross, 2019). Additionally, hiring and managing local employees is challenging because of language, religious, and cultural barriers. For instance, Western firms must adopt HRM strategies that embrace the Chinese language and collectivist culture in their Chinese outlets. </w:t>
      </w:r>
    </w:p>
    <w:p w:rsidR="007E0F0F" w:rsidRDefault="007E0F0F" w:rsidP="00650878">
      <w:pPr>
        <w:spacing w:line="360" w:lineRule="auto"/>
        <w:ind w:firstLine="720"/>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9" w:name="_Toc153993256"/>
      <w:r>
        <w:rPr>
          <w:rFonts w:ascii="Times New Roman" w:eastAsia="Times New Roman" w:hAnsi="Times New Roman" w:cs="Times New Roman"/>
          <w:b/>
          <w:color w:val="000000"/>
          <w:sz w:val="24"/>
          <w:szCs w:val="24"/>
        </w:rPr>
        <w:lastRenderedPageBreak/>
        <w:t>Appropriate Organisational Strategies for the Chinese Market</w:t>
      </w:r>
      <w:bookmarkEnd w:id="9"/>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 means that foreign companies must adopt strategies that effectively address these market entry barriers to avoid failure. Effective organisational strategies for the Chinese market include price differentiation, product diversification, strategic partnership, culturally competent management, proper market research, effective marketing, and regulatory compliance (Whittington et al., 2020). For instance, Diageo should focus on offering its diverse alcoholic brands in the Chinese market to satisfy different consumer tastes and preferences. Various brands that the UK-based beverage company should focus on offering in the Chinese market include Windsor, Smirnoff, Captain Morgan, Guinness, Johnnie Walker, Baileys, and J&amp;B (Diageo, 2023). The company should partner with local wholesalers, joint ventures, retailers, distributers, and suppliers in strengthening its supply chain. Specifically, a strategic partnership can support the UK-based company in overcoming logistical problems associated with the local market. Partnerships with local suppliers can also support Diageo in producing whiskies, beers, and wines using traditional Chinese techniques and ingredients. Diageo’s management should view this as an opportunity to compete favourably in this local market. </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332220" cy="374142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6332220" cy="3741420"/>
                    </a:xfrm>
                    <a:prstGeom prst="rect">
                      <a:avLst/>
                    </a:prstGeom>
                    <a:ln/>
                  </pic:spPr>
                </pic:pic>
              </a:graphicData>
            </a:graphic>
          </wp:inline>
        </w:drawing>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Diageo Products (Food Business Africa, 2022)</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Effective marketing, price differentiation, and culturally competent can also offer Diageo a competitive advantage in this market. The price differentiation tactic can support the multinational company in setting competitive prices for its products in the local market (Da Silva Lopes, 2015). Competitive pricing can support the company in overcoming stiff competition pressure from key players in the market. The multinational company should liaise with local suppliers to reduce the costs of raw material acquisition, which can reduce its operating costs. Proper market research can guide marketing and pricing strategy for the UK-based company to maintain its competitiveness in this market (Barney &amp; Hesterly, 2015). A thorough market research can further support the multinational company in implementing proper strategies to facilitate its compliance with Chinese regulations. Culturally competent management can support Diageo in implementing a customer-focused and employee-centric culture. Creating a multicultural workplace can support the company in accommodating Chinese employees and serving local clients. </w:t>
      </w:r>
    </w:p>
    <w:p w:rsidR="007E0F0F" w:rsidRDefault="007E0F0F" w:rsidP="00650878">
      <w:pPr>
        <w:spacing w:line="360" w:lineRule="auto"/>
        <w:ind w:firstLine="720"/>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10" w:name="_Toc153993257"/>
      <w:r>
        <w:rPr>
          <w:rFonts w:ascii="Times New Roman" w:eastAsia="Times New Roman" w:hAnsi="Times New Roman" w:cs="Times New Roman"/>
          <w:b/>
          <w:color w:val="000000"/>
          <w:sz w:val="24"/>
          <w:szCs w:val="24"/>
        </w:rPr>
        <w:t>Conclusion</w:t>
      </w:r>
      <w:bookmarkEnd w:id="10"/>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market liberalisation and globalization trends offer Diageo unlimited expansion opportunities. Nevertheless, the company should adopt evidence-based strategies to overcome challenges associated with foreign market entry. Particularly, evidence-based business strategies can support the UK-based company in making a successful entry into the lucrative Chinese market. In this regard, Diageo can utilise PESTEL analysis and Porter’s five forces in comprehending macro-environmental and micro-environmental variables for the Chinese market. Diageo’s management should understand that the rapidly expanding Chinese beverage market provides benefits like rapid expansion, cultural transformation, government regulation, changing consumer taste, technological growth, growing foreign brands popularity, and increasing consumer purchasing power. The company should focus on overcoming Chinese market entry barriers like stiff competition, HRM challenges, legal complications, government-related issues, and strict traditional culture. Appropriate organisational strategies for the Chinese market are product diversification, strategic partnership, proper market research, regulatory compliance, culturally competent management, effective marketing, and price differentiation.</w:t>
      </w:r>
    </w:p>
    <w:p w:rsidR="007E0F0F" w:rsidRDefault="007E0F0F" w:rsidP="00650878">
      <w:pPr>
        <w:spacing w:line="360" w:lineRule="auto"/>
        <w:ind w:firstLine="720"/>
        <w:jc w:val="both"/>
        <w:rPr>
          <w:rFonts w:ascii="Times New Roman" w:eastAsia="Times New Roman" w:hAnsi="Times New Roman" w:cs="Times New Roman"/>
          <w:sz w:val="24"/>
          <w:szCs w:val="24"/>
        </w:rPr>
      </w:pPr>
    </w:p>
    <w:p w:rsidR="007E0F0F" w:rsidRDefault="00000000" w:rsidP="00650878">
      <w:pPr>
        <w:pStyle w:val="Heading1"/>
        <w:spacing w:line="360" w:lineRule="auto"/>
        <w:jc w:val="both"/>
        <w:rPr>
          <w:rFonts w:ascii="Times New Roman" w:eastAsia="Times New Roman" w:hAnsi="Times New Roman" w:cs="Times New Roman"/>
          <w:b/>
          <w:color w:val="000000"/>
          <w:sz w:val="24"/>
          <w:szCs w:val="24"/>
        </w:rPr>
      </w:pPr>
      <w:bookmarkStart w:id="11" w:name="_Toc153993258"/>
      <w:r>
        <w:rPr>
          <w:rFonts w:ascii="Times New Roman" w:eastAsia="Times New Roman" w:hAnsi="Times New Roman" w:cs="Times New Roman"/>
          <w:b/>
          <w:color w:val="000000"/>
          <w:sz w:val="24"/>
          <w:szCs w:val="24"/>
        </w:rPr>
        <w:lastRenderedPageBreak/>
        <w:t>Bibliography</w:t>
      </w:r>
      <w:bookmarkEnd w:id="11"/>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Barkauskas, V., </w:t>
      </w:r>
      <w:proofErr w:type="spellStart"/>
      <w:r>
        <w:rPr>
          <w:rFonts w:ascii="Times New Roman" w:eastAsia="Times New Roman" w:hAnsi="Times New Roman" w:cs="Times New Roman"/>
          <w:sz w:val="24"/>
          <w:szCs w:val="24"/>
        </w:rPr>
        <w:t>Barkauskienė</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Jasinskas</w:t>
      </w:r>
      <w:proofErr w:type="spellEnd"/>
      <w:r>
        <w:rPr>
          <w:rFonts w:ascii="Times New Roman" w:eastAsia="Times New Roman" w:hAnsi="Times New Roman" w:cs="Times New Roman"/>
          <w:sz w:val="24"/>
          <w:szCs w:val="24"/>
        </w:rPr>
        <w:t xml:space="preserve">, E. (2015). Analysis of macro environmental </w:t>
      </w:r>
    </w:p>
    <w:p w:rsidR="007E0F0F" w:rsidRDefault="00000000" w:rsidP="0065087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factors influencing the development of rural tourism: Lithuanian case. </w:t>
      </w:r>
      <w:r>
        <w:rPr>
          <w:rFonts w:ascii="Times New Roman" w:eastAsia="Times New Roman" w:hAnsi="Times New Roman" w:cs="Times New Roman"/>
          <w:i/>
          <w:sz w:val="24"/>
          <w:szCs w:val="24"/>
        </w:rPr>
        <w:t xml:space="preserve">Procedia-Social and </w:t>
      </w:r>
      <w:proofErr w:type="spellStart"/>
      <w:r>
        <w:rPr>
          <w:rFonts w:ascii="Times New Roman" w:eastAsia="Times New Roman" w:hAnsi="Times New Roman" w:cs="Times New Roman"/>
          <w:i/>
          <w:sz w:val="24"/>
          <w:szCs w:val="24"/>
        </w:rPr>
        <w:t>Behavioral</w:t>
      </w:r>
      <w:proofErr w:type="spellEnd"/>
      <w:r>
        <w:rPr>
          <w:rFonts w:ascii="Times New Roman" w:eastAsia="Times New Roman" w:hAnsi="Times New Roman" w:cs="Times New Roman"/>
          <w:i/>
          <w:sz w:val="24"/>
          <w:szCs w:val="24"/>
        </w:rPr>
        <w:t xml:space="preserve"> Sciences</w:t>
      </w:r>
      <w:r>
        <w:rPr>
          <w:rFonts w:ascii="Times New Roman" w:eastAsia="Times New Roman" w:hAnsi="Times New Roman" w:cs="Times New Roman"/>
          <w:sz w:val="24"/>
          <w:szCs w:val="24"/>
        </w:rPr>
        <w:t>, 213, 167-172.</w:t>
      </w:r>
    </w:p>
    <w:p w:rsidR="007E0F0F" w:rsidRDefault="00000000" w:rsidP="00650878">
      <w:pPr>
        <w:spacing w:line="360" w:lineRule="auto"/>
        <w:jc w:val="both"/>
        <w:rPr>
          <w:rFonts w:ascii="Times New Roman" w:eastAsia="Times New Roman" w:hAnsi="Times New Roman" w:cs="Times New Roman"/>
          <w:i/>
          <w:sz w:val="24"/>
          <w:szCs w:val="24"/>
        </w:rPr>
      </w:pPr>
      <w:bookmarkStart w:id="12" w:name="_26in1rg" w:colFirst="0" w:colLast="0"/>
      <w:bookmarkEnd w:id="12"/>
      <w:r>
        <w:rPr>
          <w:rFonts w:ascii="Times New Roman" w:eastAsia="Times New Roman" w:hAnsi="Times New Roman" w:cs="Times New Roman"/>
          <w:sz w:val="24"/>
          <w:szCs w:val="24"/>
        </w:rPr>
        <w:t xml:space="preserve">Barney, J. B. and Hesterly, W. S., 2015. </w:t>
      </w:r>
      <w:r>
        <w:rPr>
          <w:rFonts w:ascii="Times New Roman" w:eastAsia="Times New Roman" w:hAnsi="Times New Roman" w:cs="Times New Roman"/>
          <w:i/>
          <w:sz w:val="24"/>
          <w:szCs w:val="24"/>
        </w:rPr>
        <w:t xml:space="preserve">Strategic management and competitive advantage: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Concepts and Cases</w:t>
      </w:r>
      <w:r>
        <w:rPr>
          <w:rFonts w:ascii="Times New Roman" w:eastAsia="Times New Roman" w:hAnsi="Times New Roman" w:cs="Times New Roman"/>
          <w:sz w:val="24"/>
          <w:szCs w:val="24"/>
        </w:rPr>
        <w:t>. 5 ed. Essex: Pearson Education Limited.</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Bian, Q., and Forsythe, S. (2012). Purchase intention for luxury brands: A cross cultural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comparison.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65(10), 1443-1451.</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BLITA International. (2022). China. [Online] Available at: </w:t>
      </w:r>
      <w:hyperlink r:id="rId10">
        <w:r>
          <w:rPr>
            <w:rFonts w:ascii="Times New Roman" w:eastAsia="Times New Roman" w:hAnsi="Times New Roman" w:cs="Times New Roman"/>
            <w:color w:val="0563C1"/>
            <w:sz w:val="24"/>
            <w:szCs w:val="24"/>
            <w:u w:val="single"/>
          </w:rPr>
          <w:t>https://www.blita.com/china-profile</w:t>
        </w:r>
      </w:hyperlink>
      <w:r>
        <w:rPr>
          <w:rFonts w:ascii="Times New Roman" w:eastAsia="Times New Roman" w:hAnsi="Times New Roman" w:cs="Times New Roman"/>
          <w:sz w:val="24"/>
          <w:szCs w:val="24"/>
        </w:rPr>
        <w:t xml:space="preserve"> [Accessed on: 10 Dec. 2023]</w:t>
      </w:r>
    </w:p>
    <w:p w:rsidR="007E0F0F" w:rsidRDefault="00000000" w:rsidP="00650878">
      <w:pPr>
        <w:spacing w:line="360" w:lineRule="auto"/>
        <w:jc w:val="both"/>
        <w:rPr>
          <w:rFonts w:ascii="Times New Roman" w:eastAsia="Times New Roman" w:hAnsi="Times New Roman" w:cs="Times New Roman"/>
          <w:sz w:val="24"/>
          <w:szCs w:val="24"/>
        </w:rPr>
      </w:pPr>
      <w:bookmarkStart w:id="13" w:name="_lnxbz9" w:colFirst="0" w:colLast="0"/>
      <w:bookmarkEnd w:id="13"/>
      <w:proofErr w:type="spellStart"/>
      <w:r>
        <w:rPr>
          <w:rFonts w:ascii="Times New Roman" w:eastAsia="Times New Roman" w:hAnsi="Times New Roman" w:cs="Times New Roman"/>
          <w:sz w:val="24"/>
          <w:szCs w:val="24"/>
        </w:rPr>
        <w:t>CountryReports</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China: China facts and culture</w:t>
      </w:r>
      <w:r>
        <w:rPr>
          <w:rFonts w:ascii="Times New Roman" w:eastAsia="Times New Roman" w:hAnsi="Times New Roman" w:cs="Times New Roman"/>
          <w:sz w:val="24"/>
          <w:szCs w:val="24"/>
        </w:rPr>
        <w:t xml:space="preserve">. [Online] Available at: </w:t>
      </w:r>
    </w:p>
    <w:p w:rsidR="007E0F0F" w:rsidRDefault="00000000" w:rsidP="00650878">
      <w:pPr>
        <w:spacing w:line="360" w:lineRule="auto"/>
        <w:ind w:firstLine="720"/>
        <w:jc w:val="both"/>
        <w:rPr>
          <w:rFonts w:ascii="Times New Roman" w:eastAsia="Times New Roman" w:hAnsi="Times New Roman" w:cs="Times New Roman"/>
          <w:sz w:val="24"/>
          <w:szCs w:val="24"/>
        </w:rPr>
      </w:pPr>
      <w:hyperlink r:id="rId11">
        <w:r>
          <w:rPr>
            <w:rFonts w:ascii="Times New Roman" w:eastAsia="Times New Roman" w:hAnsi="Times New Roman" w:cs="Times New Roman"/>
            <w:color w:val="0563C1"/>
            <w:sz w:val="24"/>
            <w:szCs w:val="24"/>
            <w:u w:val="single"/>
          </w:rPr>
          <w:t>https://www.countryreports.org/country/china.htm</w:t>
        </w:r>
      </w:hyperlink>
      <w:r>
        <w:rPr>
          <w:rFonts w:ascii="Times New Roman" w:eastAsia="Times New Roman" w:hAnsi="Times New Roman" w:cs="Times New Roman"/>
          <w:sz w:val="24"/>
          <w:szCs w:val="24"/>
        </w:rPr>
        <w:t xml:space="preserve"> [Accessed on: 10 Dec. 2023]</w:t>
      </w:r>
    </w:p>
    <w:p w:rsidR="007E0F0F" w:rsidRDefault="00000000" w:rsidP="00650878">
      <w:pPr>
        <w:spacing w:line="360" w:lineRule="auto"/>
        <w:jc w:val="both"/>
        <w:rPr>
          <w:rFonts w:ascii="Times New Roman" w:eastAsia="Times New Roman" w:hAnsi="Times New Roman" w:cs="Times New Roman"/>
          <w:sz w:val="24"/>
          <w:szCs w:val="24"/>
        </w:rPr>
      </w:pPr>
      <w:bookmarkStart w:id="14" w:name="_35nkun2" w:colFirst="0" w:colLast="0"/>
      <w:bookmarkEnd w:id="14"/>
      <w:r>
        <w:rPr>
          <w:rFonts w:ascii="Times New Roman" w:eastAsia="Times New Roman" w:hAnsi="Times New Roman" w:cs="Times New Roman"/>
          <w:sz w:val="24"/>
          <w:szCs w:val="24"/>
        </w:rPr>
        <w:t xml:space="preserve">Da Silva Lopes, T. (2015). A Systems View of Corporate Diversification: The Case of the Global </w:t>
      </w:r>
    </w:p>
    <w:p w:rsidR="007E0F0F" w:rsidRDefault="00000000" w:rsidP="0065087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Alcoholic Beverages Industry. </w:t>
      </w:r>
      <w:r>
        <w:rPr>
          <w:rFonts w:ascii="Times New Roman" w:eastAsia="Times New Roman" w:hAnsi="Times New Roman" w:cs="Times New Roman"/>
          <w:i/>
          <w:sz w:val="24"/>
          <w:szCs w:val="24"/>
        </w:rPr>
        <w:t>International Studies of Management &amp; Organization</w:t>
      </w:r>
      <w:r>
        <w:rPr>
          <w:rFonts w:ascii="Times New Roman" w:eastAsia="Times New Roman" w:hAnsi="Times New Roman" w:cs="Times New Roman"/>
          <w:sz w:val="24"/>
          <w:szCs w:val="24"/>
        </w:rPr>
        <w:t>, 45(4), 342-358.</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Commons. (2023). People's Republic of China. Data Commons. [Online] Available at:</w:t>
      </w:r>
    </w:p>
    <w:p w:rsidR="007E0F0F" w:rsidRDefault="00000000" w:rsidP="00650878">
      <w:pPr>
        <w:spacing w:line="360" w:lineRule="auto"/>
        <w:ind w:left="720"/>
        <w:jc w:val="both"/>
        <w:rPr>
          <w:rFonts w:ascii="Times New Roman" w:eastAsia="Times New Roman" w:hAnsi="Times New Roman" w:cs="Times New Roman"/>
          <w:sz w:val="24"/>
          <w:szCs w:val="24"/>
        </w:rPr>
      </w:pPr>
      <w:hyperlink r:id="rId12">
        <w:r>
          <w:rPr>
            <w:rFonts w:ascii="Times New Roman" w:eastAsia="Times New Roman" w:hAnsi="Times New Roman" w:cs="Times New Roman"/>
            <w:color w:val="0563C1"/>
            <w:sz w:val="24"/>
            <w:szCs w:val="24"/>
            <w:u w:val="single"/>
          </w:rPr>
          <w:t>https://datacommons.org/place/country/CHN/?utm_medium=explore&amp;mprop=amount&amp;popt=EconomicActivity&amp;cpv=activitySource,GrossDomesticProduction&amp;hl=en</w:t>
        </w:r>
      </w:hyperlink>
      <w:r>
        <w:rPr>
          <w:rFonts w:ascii="Times New Roman" w:eastAsia="Times New Roman" w:hAnsi="Times New Roman" w:cs="Times New Roman"/>
          <w:sz w:val="24"/>
          <w:szCs w:val="24"/>
        </w:rPr>
        <w:t xml:space="preserve"> [Accessed on: 09 Dec. 2023]</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(2023). </w:t>
      </w:r>
      <w:r>
        <w:rPr>
          <w:rFonts w:ascii="Times New Roman" w:eastAsia="Times New Roman" w:hAnsi="Times New Roman" w:cs="Times New Roman"/>
          <w:i/>
          <w:sz w:val="24"/>
          <w:szCs w:val="24"/>
        </w:rPr>
        <w:t>Brand portfolio</w:t>
      </w:r>
      <w:r>
        <w:rPr>
          <w:rFonts w:ascii="Times New Roman" w:eastAsia="Times New Roman" w:hAnsi="Times New Roman" w:cs="Times New Roman"/>
          <w:sz w:val="24"/>
          <w:szCs w:val="24"/>
        </w:rPr>
        <w:t>. https://www.diageo.com/en/our-brands/brand-portfolio</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Duus, H.J. (2013). Strategic forecasting: Theoretical development and strategic practice.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International Journal of Business Innovation and Research</w:t>
      </w:r>
      <w:r>
        <w:rPr>
          <w:rFonts w:ascii="Times New Roman" w:eastAsia="Times New Roman" w:hAnsi="Times New Roman" w:cs="Times New Roman"/>
          <w:sz w:val="24"/>
          <w:szCs w:val="24"/>
        </w:rPr>
        <w:t xml:space="preserve"> 7(3): 362-378.</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Finance.co.uk. (2023). United Kingdom to China flight duration. [Online] Available at:</w:t>
      </w:r>
    </w:p>
    <w:p w:rsidR="007E0F0F" w:rsidRDefault="00000000" w:rsidP="00650878">
      <w:pPr>
        <w:spacing w:line="360" w:lineRule="auto"/>
        <w:ind w:left="720"/>
        <w:jc w:val="both"/>
        <w:rPr>
          <w:rFonts w:ascii="Times New Roman" w:eastAsia="Times New Roman" w:hAnsi="Times New Roman" w:cs="Times New Roman"/>
          <w:sz w:val="24"/>
          <w:szCs w:val="24"/>
        </w:rPr>
      </w:pPr>
      <w:hyperlink r:id="rId13">
        <w:r>
          <w:rPr>
            <w:rFonts w:ascii="Times New Roman" w:eastAsia="Times New Roman" w:hAnsi="Times New Roman" w:cs="Times New Roman"/>
            <w:color w:val="0563C1"/>
            <w:sz w:val="24"/>
            <w:szCs w:val="24"/>
            <w:u w:val="single"/>
          </w:rPr>
          <w:t>https://www.finance.co.uk/travel/flight-times-and-durations-calculator/united-kingdom-to-china/</w:t>
        </w:r>
      </w:hyperlink>
      <w:r>
        <w:rPr>
          <w:rFonts w:ascii="Times New Roman" w:eastAsia="Times New Roman" w:hAnsi="Times New Roman" w:cs="Times New Roman"/>
          <w:sz w:val="24"/>
          <w:szCs w:val="24"/>
        </w:rPr>
        <w:t xml:space="preserve"> [Accessed on: 10 Dec. 2023]</w:t>
      </w:r>
    </w:p>
    <w:p w:rsidR="007E0F0F" w:rsidRDefault="00000000" w:rsidP="0065087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GlobalData</w:t>
      </w:r>
      <w:proofErr w:type="spellEnd"/>
      <w:r>
        <w:rPr>
          <w:rFonts w:ascii="Times New Roman" w:eastAsia="Times New Roman" w:hAnsi="Times New Roman" w:cs="Times New Roman"/>
          <w:sz w:val="24"/>
          <w:szCs w:val="24"/>
        </w:rPr>
        <w:t xml:space="preserve"> Plc. (2023). </w:t>
      </w:r>
      <w:r>
        <w:rPr>
          <w:rFonts w:ascii="Times New Roman" w:eastAsia="Times New Roman" w:hAnsi="Times New Roman" w:cs="Times New Roman"/>
          <w:i/>
          <w:sz w:val="24"/>
          <w:szCs w:val="24"/>
        </w:rPr>
        <w:t>Top 10 alcoholic beverages companies in China in 2021 by volume</w:t>
      </w:r>
      <w:r>
        <w:rPr>
          <w:rFonts w:ascii="Times New Roman" w:eastAsia="Times New Roman" w:hAnsi="Times New Roman" w:cs="Times New Roman"/>
          <w:sz w:val="24"/>
          <w:szCs w:val="24"/>
        </w:rPr>
        <w:t xml:space="preserve">. </w:t>
      </w:r>
    </w:p>
    <w:p w:rsidR="007E0F0F" w:rsidRDefault="00000000" w:rsidP="00650878">
      <w:pPr>
        <w:spacing w:line="36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GlobalData</w:t>
      </w:r>
      <w:proofErr w:type="spellEnd"/>
      <w:r>
        <w:rPr>
          <w:rFonts w:ascii="Times New Roman" w:eastAsia="Times New Roman" w:hAnsi="Times New Roman" w:cs="Times New Roman"/>
          <w:sz w:val="24"/>
          <w:szCs w:val="24"/>
        </w:rPr>
        <w:t xml:space="preserve">. [Online] Available at: </w:t>
      </w:r>
      <w:hyperlink r:id="rId14" w:anchor=":~:text=Top%2010%20Alcoholic%20Beverages%20Companies%20in%20China%20in%202021%20by%20Volume,-Share&amp;text=Showing%2010%20out%20of%2010,China%20in%202021%20by%20volume">
        <w:r>
          <w:rPr>
            <w:rFonts w:ascii="Times New Roman" w:eastAsia="Times New Roman" w:hAnsi="Times New Roman" w:cs="Times New Roman"/>
            <w:color w:val="0563C1"/>
            <w:sz w:val="24"/>
            <w:szCs w:val="24"/>
            <w:u w:val="single"/>
          </w:rPr>
          <w:t>https://www.globaldata.com/companies/top-companies-by-sector/consumer/china-alcoholic-beverages-companies-by-volume/#:~:text=Top%2010%20Alcoholic%20Beverages%20Companies%20in%20China%20in%202021%20by%20Volume,-Share&amp;text=Showing%2010%20out%20of%2010,China%20in%202021%20by%20volume</w:t>
        </w:r>
      </w:hyperlink>
      <w:r>
        <w:rPr>
          <w:rFonts w:ascii="Times New Roman" w:eastAsia="Times New Roman" w:hAnsi="Times New Roman" w:cs="Times New Roman"/>
          <w:sz w:val="24"/>
          <w:szCs w:val="24"/>
        </w:rPr>
        <w:t>. [Accessed on: 11 Dec. 2023]</w:t>
      </w:r>
    </w:p>
    <w:p w:rsidR="007E0F0F" w:rsidRDefault="00000000" w:rsidP="00650878">
      <w:pPr>
        <w:spacing w:line="360" w:lineRule="auto"/>
        <w:jc w:val="both"/>
        <w:rPr>
          <w:rFonts w:ascii="Times New Roman" w:eastAsia="Times New Roman" w:hAnsi="Times New Roman" w:cs="Times New Roman"/>
          <w:sz w:val="24"/>
          <w:szCs w:val="24"/>
        </w:rPr>
      </w:pPr>
      <w:bookmarkStart w:id="15" w:name="_1ksv4uv" w:colFirst="0" w:colLast="0"/>
      <w:bookmarkEnd w:id="15"/>
      <w:r>
        <w:rPr>
          <w:rFonts w:ascii="Times New Roman" w:eastAsia="Times New Roman" w:hAnsi="Times New Roman" w:cs="Times New Roman"/>
          <w:sz w:val="24"/>
          <w:szCs w:val="24"/>
        </w:rPr>
        <w:t xml:space="preserve">GMA. (2023). </w:t>
      </w:r>
      <w:r>
        <w:rPr>
          <w:rFonts w:ascii="Times New Roman" w:eastAsia="Times New Roman" w:hAnsi="Times New Roman" w:cs="Times New Roman"/>
          <w:i/>
          <w:sz w:val="24"/>
          <w:szCs w:val="24"/>
        </w:rPr>
        <w:t xml:space="preserve">China alcohol market: Selling online attracts distributors? </w:t>
      </w:r>
      <w:r>
        <w:rPr>
          <w:rFonts w:ascii="Times New Roman" w:eastAsia="Times New Roman" w:hAnsi="Times New Roman" w:cs="Times New Roman"/>
          <w:sz w:val="24"/>
          <w:szCs w:val="24"/>
        </w:rPr>
        <w:t xml:space="preserve">GMA. [Online] </w:t>
      </w:r>
    </w:p>
    <w:p w:rsidR="007E0F0F" w:rsidRDefault="00000000" w:rsidP="00650878">
      <w:pPr>
        <w:spacing w:line="360" w:lineRule="auto"/>
        <w:ind w:firstLine="720"/>
        <w:jc w:val="both"/>
        <w:rPr>
          <w:rFonts w:ascii="Times New Roman" w:eastAsia="Times New Roman" w:hAnsi="Times New Roman" w:cs="Times New Roman"/>
          <w:sz w:val="24"/>
          <w:szCs w:val="24"/>
        </w:rPr>
      </w:pPr>
      <w:bookmarkStart w:id="16" w:name="_q0euwnhrnm9p" w:colFirst="0" w:colLast="0"/>
      <w:bookmarkEnd w:id="16"/>
      <w:r>
        <w:rPr>
          <w:rFonts w:ascii="Times New Roman" w:eastAsia="Times New Roman" w:hAnsi="Times New Roman" w:cs="Times New Roman"/>
          <w:sz w:val="24"/>
          <w:szCs w:val="24"/>
        </w:rPr>
        <w:t>Available at:</w:t>
      </w:r>
    </w:p>
    <w:p w:rsidR="007E0F0F" w:rsidRDefault="00000000" w:rsidP="00650878">
      <w:pPr>
        <w:spacing w:line="360" w:lineRule="auto"/>
        <w:ind w:left="720"/>
        <w:jc w:val="both"/>
        <w:rPr>
          <w:rFonts w:ascii="Times New Roman" w:eastAsia="Times New Roman" w:hAnsi="Times New Roman" w:cs="Times New Roman"/>
          <w:sz w:val="24"/>
          <w:szCs w:val="24"/>
        </w:rPr>
      </w:pPr>
      <w:hyperlink r:id="rId15">
        <w:r>
          <w:rPr>
            <w:rFonts w:ascii="Times New Roman" w:eastAsia="Times New Roman" w:hAnsi="Times New Roman" w:cs="Times New Roman"/>
            <w:color w:val="0563C1"/>
            <w:sz w:val="24"/>
            <w:szCs w:val="24"/>
            <w:u w:val="single"/>
          </w:rPr>
          <w:t>https://ecommercechinaagency.com/china-alcohol-</w:t>
        </w:r>
      </w:hyperlink>
      <w:r>
        <w:rPr>
          <w:rFonts w:ascii="Times New Roman" w:eastAsia="Times New Roman" w:hAnsi="Times New Roman" w:cs="Times New Roman"/>
          <w:sz w:val="24"/>
          <w:szCs w:val="24"/>
        </w:rPr>
        <w:t>market/#:~:text=In%202022%2C%20the%20earnings%20hit,dynamics%20and%20key%20industry%20trends. [Accessed on: 10 Dec. 2023]</w:t>
      </w:r>
    </w:p>
    <w:p w:rsidR="007E0F0F" w:rsidRDefault="00000000" w:rsidP="00650878">
      <w:pPr>
        <w:spacing w:line="360" w:lineRule="auto"/>
        <w:jc w:val="both"/>
        <w:rPr>
          <w:rFonts w:ascii="Times New Roman" w:eastAsia="Times New Roman" w:hAnsi="Times New Roman" w:cs="Times New Roman"/>
          <w:sz w:val="24"/>
          <w:szCs w:val="24"/>
        </w:rPr>
      </w:pPr>
      <w:bookmarkStart w:id="17" w:name="_44sinio" w:colFirst="0" w:colLast="0"/>
      <w:bookmarkEnd w:id="17"/>
      <w:r>
        <w:rPr>
          <w:rFonts w:ascii="Times New Roman" w:eastAsia="Times New Roman" w:hAnsi="Times New Roman" w:cs="Times New Roman"/>
          <w:sz w:val="24"/>
          <w:szCs w:val="24"/>
        </w:rPr>
        <w:t xml:space="preserve">Hogan, M. C., Norton, J. N., and Reynolds, R. P. (2017). Environmental factors: </w:t>
      </w:r>
    </w:p>
    <w:p w:rsidR="007E0F0F" w:rsidRDefault="00000000" w:rsidP="0065087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macroenvironment versus microenvironment. </w:t>
      </w:r>
      <w:r>
        <w:rPr>
          <w:rFonts w:ascii="Times New Roman" w:eastAsia="Times New Roman" w:hAnsi="Times New Roman" w:cs="Times New Roman"/>
          <w:i/>
          <w:sz w:val="24"/>
          <w:szCs w:val="24"/>
        </w:rPr>
        <w:t>Management of Animal Care and Use Programs in Research, Education, and Testing</w:t>
      </w:r>
      <w:r>
        <w:rPr>
          <w:rFonts w:ascii="Times New Roman" w:eastAsia="Times New Roman" w:hAnsi="Times New Roman" w:cs="Times New Roman"/>
          <w:sz w:val="24"/>
          <w:szCs w:val="24"/>
        </w:rPr>
        <w:t>, 461-477.</w:t>
      </w:r>
    </w:p>
    <w:p w:rsidR="007E0F0F" w:rsidRDefault="00000000" w:rsidP="00650878">
      <w:pPr>
        <w:spacing w:line="360" w:lineRule="auto"/>
        <w:jc w:val="both"/>
        <w:rPr>
          <w:rFonts w:ascii="Times New Roman" w:eastAsia="Times New Roman" w:hAnsi="Times New Roman" w:cs="Times New Roman"/>
          <w:sz w:val="24"/>
          <w:szCs w:val="24"/>
        </w:rPr>
      </w:pPr>
      <w:bookmarkStart w:id="18" w:name="_2jxsxqh" w:colFirst="0" w:colLast="0"/>
      <w:bookmarkEnd w:id="18"/>
      <w:r>
        <w:rPr>
          <w:rFonts w:ascii="Times New Roman" w:eastAsia="Times New Roman" w:hAnsi="Times New Roman" w:cs="Times New Roman"/>
          <w:sz w:val="24"/>
          <w:szCs w:val="24"/>
        </w:rPr>
        <w:t xml:space="preserve">Hu, A., Jiang, H., Dowling, R., Guo, L., Zhao, X., Hao, W., and Xiang, X. (2022). The transition </w:t>
      </w:r>
    </w:p>
    <w:p w:rsidR="007E0F0F" w:rsidRDefault="00000000" w:rsidP="0065087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 alcohol control in China 1990-2019: Impacts and recommendations. </w:t>
      </w:r>
      <w:r>
        <w:rPr>
          <w:rFonts w:ascii="Times New Roman" w:eastAsia="Times New Roman" w:hAnsi="Times New Roman" w:cs="Times New Roman"/>
          <w:i/>
          <w:sz w:val="24"/>
          <w:szCs w:val="24"/>
        </w:rPr>
        <w:t>International Journal of Drug Policy,</w:t>
      </w:r>
      <w:r>
        <w:rPr>
          <w:rFonts w:ascii="Times New Roman" w:eastAsia="Times New Roman" w:hAnsi="Times New Roman" w:cs="Times New Roman"/>
          <w:sz w:val="24"/>
          <w:szCs w:val="24"/>
        </w:rPr>
        <w:t xml:space="preserve"> 105, 103698.</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 A. (2013). The distinctive transition of China’s five-year plans. </w:t>
      </w:r>
      <w:r>
        <w:rPr>
          <w:rFonts w:ascii="Times New Roman" w:eastAsia="Times New Roman" w:hAnsi="Times New Roman" w:cs="Times New Roman"/>
          <w:i/>
          <w:sz w:val="24"/>
          <w:szCs w:val="24"/>
        </w:rPr>
        <w:t>Modern China</w:t>
      </w:r>
      <w:r>
        <w:rPr>
          <w:rFonts w:ascii="Times New Roman" w:eastAsia="Times New Roman" w:hAnsi="Times New Roman" w:cs="Times New Roman"/>
          <w:sz w:val="24"/>
          <w:szCs w:val="24"/>
        </w:rPr>
        <w:t>, 39(6), 629-</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639.</w:t>
      </w:r>
    </w:p>
    <w:p w:rsidR="007E0F0F" w:rsidRDefault="00000000" w:rsidP="00650878">
      <w:pPr>
        <w:spacing w:line="360" w:lineRule="auto"/>
        <w:jc w:val="both"/>
        <w:rPr>
          <w:rFonts w:ascii="Times New Roman" w:eastAsia="Times New Roman" w:hAnsi="Times New Roman" w:cs="Times New Roman"/>
          <w:sz w:val="24"/>
          <w:szCs w:val="24"/>
        </w:rPr>
      </w:pPr>
      <w:bookmarkStart w:id="19" w:name="_z337ya" w:colFirst="0" w:colLast="0"/>
      <w:bookmarkEnd w:id="19"/>
      <w:proofErr w:type="spellStart"/>
      <w:r>
        <w:rPr>
          <w:rFonts w:ascii="Times New Roman" w:eastAsia="Times New Roman" w:hAnsi="Times New Roman" w:cs="Times New Roman"/>
          <w:sz w:val="24"/>
          <w:szCs w:val="24"/>
        </w:rPr>
        <w:t>Kanwit</w:t>
      </w:r>
      <w:proofErr w:type="spellEnd"/>
      <w:r>
        <w:rPr>
          <w:rFonts w:ascii="Times New Roman" w:eastAsia="Times New Roman" w:hAnsi="Times New Roman" w:cs="Times New Roman"/>
          <w:sz w:val="24"/>
          <w:szCs w:val="24"/>
        </w:rPr>
        <w:t xml:space="preserve">, G. (2023). </w:t>
      </w:r>
      <w:r>
        <w:rPr>
          <w:rFonts w:ascii="Times New Roman" w:eastAsia="Times New Roman" w:hAnsi="Times New Roman" w:cs="Times New Roman"/>
          <w:i/>
          <w:sz w:val="24"/>
          <w:szCs w:val="24"/>
        </w:rPr>
        <w:t>Is China Still a Developing Country?</w:t>
      </w:r>
      <w:r>
        <w:rPr>
          <w:rFonts w:ascii="Times New Roman" w:eastAsia="Times New Roman" w:hAnsi="Times New Roman" w:cs="Times New Roman"/>
          <w:sz w:val="24"/>
          <w:szCs w:val="24"/>
        </w:rPr>
        <w:t xml:space="preserve"> VOA. [Online] Available at: </w:t>
      </w:r>
    </w:p>
    <w:p w:rsidR="007E0F0F" w:rsidRDefault="00000000" w:rsidP="00650878">
      <w:pPr>
        <w:spacing w:line="360" w:lineRule="auto"/>
        <w:ind w:left="720"/>
        <w:jc w:val="both"/>
        <w:rPr>
          <w:rFonts w:ascii="Times New Roman" w:eastAsia="Times New Roman" w:hAnsi="Times New Roman" w:cs="Times New Roman"/>
          <w:sz w:val="24"/>
          <w:szCs w:val="24"/>
        </w:rPr>
      </w:pPr>
      <w:hyperlink r:id="rId16" w:anchor=":~:text=Beijing%20classifies%20itself%20as%20a,%22emerging%20and%20developing%20economy.%22">
        <w:r>
          <w:rPr>
            <w:rFonts w:ascii="Times New Roman" w:eastAsia="Times New Roman" w:hAnsi="Times New Roman" w:cs="Times New Roman"/>
            <w:color w:val="0563C1"/>
            <w:sz w:val="24"/>
            <w:szCs w:val="24"/>
            <w:u w:val="single"/>
          </w:rPr>
          <w:t>https://www.voanews.com/a/is-china-still-a-developing-country/7244652.html#:~:text=Beijing%20classifies%20itself%20as%20a,%22emerging%20and%20developing%20economy.%22</w:t>
        </w:r>
      </w:hyperlink>
      <w:r>
        <w:rPr>
          <w:rFonts w:ascii="Times New Roman" w:eastAsia="Times New Roman" w:hAnsi="Times New Roman" w:cs="Times New Roman"/>
          <w:sz w:val="24"/>
          <w:szCs w:val="24"/>
        </w:rPr>
        <w:t xml:space="preserve"> [Accessed on: 09 Dec. 2023]</w:t>
      </w:r>
    </w:p>
    <w:p w:rsidR="007E0F0F" w:rsidRDefault="00000000" w:rsidP="00650878">
      <w:pPr>
        <w:spacing w:line="360" w:lineRule="auto"/>
        <w:jc w:val="both"/>
        <w:rPr>
          <w:rFonts w:ascii="Times New Roman" w:eastAsia="Times New Roman" w:hAnsi="Times New Roman" w:cs="Times New Roman"/>
          <w:sz w:val="24"/>
          <w:szCs w:val="24"/>
        </w:rPr>
      </w:pPr>
      <w:bookmarkStart w:id="20" w:name="_3j2qqm3" w:colFirst="0" w:colLast="0"/>
      <w:bookmarkEnd w:id="20"/>
      <w:r>
        <w:rPr>
          <w:rFonts w:ascii="Times New Roman" w:eastAsia="Times New Roman" w:hAnsi="Times New Roman" w:cs="Times New Roman"/>
          <w:sz w:val="24"/>
          <w:szCs w:val="24"/>
        </w:rPr>
        <w:t xml:space="preserve">Nelson, C. (2011). Opportunities in China’s alcoholic beverage market. </w:t>
      </w:r>
      <w:r>
        <w:rPr>
          <w:rFonts w:ascii="Times New Roman" w:eastAsia="Times New Roman" w:hAnsi="Times New Roman" w:cs="Times New Roman"/>
          <w:i/>
          <w:sz w:val="24"/>
          <w:szCs w:val="24"/>
        </w:rPr>
        <w:t>China Business Review</w:t>
      </w:r>
      <w:r>
        <w:rPr>
          <w:rFonts w:ascii="Times New Roman" w:eastAsia="Times New Roman" w:hAnsi="Times New Roman" w:cs="Times New Roman"/>
          <w:sz w:val="24"/>
          <w:szCs w:val="24"/>
        </w:rPr>
        <w:t xml:space="preserve">. </w:t>
      </w:r>
    </w:p>
    <w:p w:rsidR="007E0F0F" w:rsidRDefault="00000000" w:rsidP="00650878">
      <w:pPr>
        <w:spacing w:line="360" w:lineRule="auto"/>
        <w:ind w:firstLine="720"/>
        <w:jc w:val="both"/>
        <w:rPr>
          <w:rFonts w:ascii="Times New Roman" w:eastAsia="Times New Roman" w:hAnsi="Times New Roman" w:cs="Times New Roman"/>
          <w:sz w:val="24"/>
          <w:szCs w:val="24"/>
        </w:rPr>
      </w:pPr>
      <w:bookmarkStart w:id="21" w:name="_bgu5yk8rx1fj" w:colFirst="0" w:colLast="0"/>
      <w:bookmarkEnd w:id="21"/>
      <w:r>
        <w:rPr>
          <w:rFonts w:ascii="Times New Roman" w:eastAsia="Times New Roman" w:hAnsi="Times New Roman" w:cs="Times New Roman"/>
          <w:sz w:val="24"/>
          <w:szCs w:val="24"/>
        </w:rPr>
        <w:t xml:space="preserve">[Online] Available at: </w:t>
      </w:r>
    </w:p>
    <w:p w:rsidR="007E0F0F" w:rsidRDefault="00000000" w:rsidP="00650878">
      <w:pPr>
        <w:spacing w:line="360" w:lineRule="auto"/>
        <w:ind w:left="720"/>
        <w:jc w:val="both"/>
        <w:rPr>
          <w:rFonts w:ascii="Times New Roman" w:eastAsia="Times New Roman" w:hAnsi="Times New Roman" w:cs="Times New Roman"/>
          <w:sz w:val="24"/>
          <w:szCs w:val="24"/>
        </w:rPr>
      </w:pPr>
      <w:hyperlink r:id="rId17">
        <w:r>
          <w:rPr>
            <w:rFonts w:ascii="Times New Roman" w:eastAsia="Times New Roman" w:hAnsi="Times New Roman" w:cs="Times New Roman"/>
            <w:color w:val="0563C1"/>
            <w:sz w:val="24"/>
            <w:szCs w:val="24"/>
            <w:u w:val="single"/>
          </w:rPr>
          <w:t>https://www.chinabusinessreview.com/opportunities-in-chinas-alcoholic-beverage-market/</w:t>
        </w:r>
      </w:hyperlink>
      <w:r>
        <w:rPr>
          <w:rFonts w:ascii="Times New Roman" w:eastAsia="Times New Roman" w:hAnsi="Times New Roman" w:cs="Times New Roman"/>
          <w:sz w:val="24"/>
          <w:szCs w:val="24"/>
        </w:rPr>
        <w:t xml:space="preserve"> [Accessed on: 10 Dec. 2023]</w:t>
      </w:r>
    </w:p>
    <w:p w:rsidR="007E0F0F" w:rsidRDefault="00000000" w:rsidP="00650878">
      <w:pPr>
        <w:spacing w:line="360" w:lineRule="auto"/>
        <w:jc w:val="both"/>
        <w:rPr>
          <w:rFonts w:ascii="Times New Roman" w:eastAsia="Times New Roman" w:hAnsi="Times New Roman" w:cs="Times New Roman"/>
          <w:i/>
          <w:sz w:val="24"/>
          <w:szCs w:val="24"/>
        </w:rPr>
      </w:pPr>
      <w:bookmarkStart w:id="22" w:name="_1y810tw" w:colFirst="0" w:colLast="0"/>
      <w:bookmarkEnd w:id="22"/>
      <w:r>
        <w:rPr>
          <w:rFonts w:ascii="Times New Roman" w:eastAsia="Times New Roman" w:hAnsi="Times New Roman" w:cs="Times New Roman"/>
          <w:sz w:val="24"/>
          <w:szCs w:val="24"/>
        </w:rPr>
        <w:t xml:space="preserve">Niu, Y., Dong, L. C., and Chen, R. (2012). Market entry barriers in China. </w:t>
      </w:r>
      <w:r>
        <w:rPr>
          <w:rFonts w:ascii="Times New Roman" w:eastAsia="Times New Roman" w:hAnsi="Times New Roman" w:cs="Times New Roman"/>
          <w:i/>
          <w:sz w:val="24"/>
          <w:szCs w:val="24"/>
        </w:rPr>
        <w:t xml:space="preserve">Journal of Business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Research</w:t>
      </w:r>
      <w:r>
        <w:rPr>
          <w:rFonts w:ascii="Times New Roman" w:eastAsia="Times New Roman" w:hAnsi="Times New Roman" w:cs="Times New Roman"/>
          <w:sz w:val="24"/>
          <w:szCs w:val="24"/>
        </w:rPr>
        <w:t>, 65(1), 68-76.</w:t>
      </w:r>
    </w:p>
    <w:p w:rsidR="007E0F0F" w:rsidRDefault="00000000" w:rsidP="00650878">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Rizea, R. D. (2015). Growth Strategies of Multinational Companies. </w:t>
      </w:r>
      <w:r>
        <w:rPr>
          <w:rFonts w:ascii="Times New Roman" w:eastAsia="Times New Roman" w:hAnsi="Times New Roman" w:cs="Times New Roman"/>
          <w:i/>
          <w:sz w:val="24"/>
          <w:szCs w:val="24"/>
        </w:rPr>
        <w:t xml:space="preserve">Economic Insights-Trends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&amp; Challenges</w:t>
      </w:r>
      <w:r>
        <w:rPr>
          <w:rFonts w:ascii="Times New Roman" w:eastAsia="Times New Roman" w:hAnsi="Times New Roman" w:cs="Times New Roman"/>
          <w:sz w:val="24"/>
          <w:szCs w:val="24"/>
        </w:rPr>
        <w:t>, 67(1).</w:t>
      </w:r>
    </w:p>
    <w:p w:rsidR="007E0F0F" w:rsidRDefault="00000000" w:rsidP="00650878">
      <w:pPr>
        <w:spacing w:line="360" w:lineRule="auto"/>
        <w:jc w:val="both"/>
        <w:rPr>
          <w:rFonts w:ascii="Times New Roman" w:eastAsia="Times New Roman" w:hAnsi="Times New Roman" w:cs="Times New Roman"/>
          <w:i/>
          <w:sz w:val="24"/>
          <w:szCs w:val="24"/>
        </w:rPr>
      </w:pPr>
      <w:bookmarkStart w:id="23" w:name="_4i7ojhp" w:colFirst="0" w:colLast="0"/>
      <w:bookmarkEnd w:id="23"/>
      <w:r>
        <w:rPr>
          <w:rFonts w:ascii="Times New Roman" w:eastAsia="Times New Roman" w:hAnsi="Times New Roman" w:cs="Times New Roman"/>
          <w:sz w:val="24"/>
          <w:szCs w:val="24"/>
        </w:rPr>
        <w:t xml:space="preserve">Ross, P. (2019). </w:t>
      </w:r>
      <w:r>
        <w:rPr>
          <w:rFonts w:ascii="Times New Roman" w:eastAsia="Times New Roman" w:hAnsi="Times New Roman" w:cs="Times New Roman"/>
          <w:i/>
          <w:sz w:val="24"/>
          <w:szCs w:val="24"/>
        </w:rPr>
        <w:t xml:space="preserve">Barriers to entry: Overcoming challenges and achieving breakthroughs in a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Chinese workplace</w:t>
      </w:r>
      <w:r>
        <w:rPr>
          <w:rFonts w:ascii="Times New Roman" w:eastAsia="Times New Roman" w:hAnsi="Times New Roman" w:cs="Times New Roman"/>
          <w:sz w:val="24"/>
          <w:szCs w:val="24"/>
        </w:rPr>
        <w:t>. Berlin: Springer Nature.</w:t>
      </w:r>
    </w:p>
    <w:p w:rsidR="007E0F0F" w:rsidRDefault="00000000" w:rsidP="00650878">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Textor, C. (2023). </w:t>
      </w:r>
      <w:r>
        <w:rPr>
          <w:rFonts w:ascii="Times New Roman" w:eastAsia="Times New Roman" w:hAnsi="Times New Roman" w:cs="Times New Roman"/>
          <w:i/>
          <w:sz w:val="24"/>
          <w:szCs w:val="24"/>
        </w:rPr>
        <w:t xml:space="preserve">Gross domestic product (GDP) at current prices in China from 1985 to 2022 </w:t>
      </w:r>
    </w:p>
    <w:p w:rsidR="007E0F0F" w:rsidRDefault="00000000" w:rsidP="0065087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with forecasts until 2028(in billion U.S. dollars).</w:t>
      </w:r>
      <w:r>
        <w:rPr>
          <w:rFonts w:ascii="Times New Roman" w:eastAsia="Times New Roman" w:hAnsi="Times New Roman" w:cs="Times New Roman"/>
          <w:sz w:val="24"/>
          <w:szCs w:val="24"/>
        </w:rPr>
        <w:t xml:space="preserve"> Statista. [Online] Available at: </w:t>
      </w:r>
      <w:hyperlink r:id="rId18">
        <w:r>
          <w:rPr>
            <w:rFonts w:ascii="Times New Roman" w:eastAsia="Times New Roman" w:hAnsi="Times New Roman" w:cs="Times New Roman"/>
            <w:color w:val="0563C1"/>
            <w:sz w:val="24"/>
            <w:szCs w:val="24"/>
            <w:u w:val="single"/>
          </w:rPr>
          <w:t>https://www.statista.com/statistics/263770/gross-domestic-product-gdp-of-china/</w:t>
        </w:r>
      </w:hyperlink>
      <w:r>
        <w:rPr>
          <w:rFonts w:ascii="Times New Roman" w:eastAsia="Times New Roman" w:hAnsi="Times New Roman" w:cs="Times New Roman"/>
          <w:sz w:val="24"/>
          <w:szCs w:val="24"/>
        </w:rPr>
        <w:t xml:space="preserve"> [Accessed on: 11 Dec. 2023]</w:t>
      </w:r>
    </w:p>
    <w:p w:rsidR="007E0F0F" w:rsidRDefault="00000000" w:rsidP="006508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Xiong, X., Yu, X., and Wang, Y. (2022). The impact of basic public services on residents’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consumption in China.</w:t>
      </w:r>
      <w:r>
        <w:rPr>
          <w:rFonts w:ascii="Times New Roman" w:eastAsia="Times New Roman" w:hAnsi="Times New Roman" w:cs="Times New Roman"/>
          <w:i/>
          <w:sz w:val="24"/>
          <w:szCs w:val="24"/>
        </w:rPr>
        <w:t xml:space="preserve"> Humanities and Social Sciences Communications, </w:t>
      </w:r>
      <w:r>
        <w:rPr>
          <w:rFonts w:ascii="Times New Roman" w:eastAsia="Times New Roman" w:hAnsi="Times New Roman" w:cs="Times New Roman"/>
          <w:sz w:val="24"/>
          <w:szCs w:val="24"/>
        </w:rPr>
        <w:t>9(1), 1-8.</w:t>
      </w:r>
    </w:p>
    <w:p w:rsidR="007E0F0F" w:rsidRDefault="00000000" w:rsidP="00650878">
      <w:pPr>
        <w:spacing w:line="360" w:lineRule="auto"/>
        <w:jc w:val="both"/>
        <w:rPr>
          <w:rFonts w:ascii="Times New Roman" w:eastAsia="Times New Roman" w:hAnsi="Times New Roman" w:cs="Times New Roman"/>
          <w:sz w:val="24"/>
          <w:szCs w:val="24"/>
        </w:rPr>
      </w:pPr>
      <w:bookmarkStart w:id="24" w:name="_2xcytpi" w:colFirst="0" w:colLast="0"/>
      <w:bookmarkEnd w:id="24"/>
      <w:r>
        <w:rPr>
          <w:rFonts w:ascii="Times New Roman" w:eastAsia="Times New Roman" w:hAnsi="Times New Roman" w:cs="Times New Roman"/>
          <w:sz w:val="24"/>
          <w:szCs w:val="24"/>
        </w:rPr>
        <w:t xml:space="preserve">Wang, J. (2023). Adapting to changing Chinese tastes: Strategies for success in the alcohol </w:t>
      </w:r>
    </w:p>
    <w:p w:rsidR="007E0F0F" w:rsidRDefault="00000000" w:rsidP="0065087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industry. </w:t>
      </w:r>
      <w:r>
        <w:rPr>
          <w:rFonts w:ascii="Times New Roman" w:eastAsia="Times New Roman" w:hAnsi="Times New Roman" w:cs="Times New Roman"/>
          <w:i/>
          <w:sz w:val="24"/>
          <w:szCs w:val="24"/>
        </w:rPr>
        <w:t>Jing Daily</w:t>
      </w:r>
      <w:r>
        <w:rPr>
          <w:rFonts w:ascii="Times New Roman" w:eastAsia="Times New Roman" w:hAnsi="Times New Roman" w:cs="Times New Roman"/>
          <w:sz w:val="24"/>
          <w:szCs w:val="24"/>
        </w:rPr>
        <w:t xml:space="preserve">. [Online] Available at: </w:t>
      </w:r>
      <w:hyperlink r:id="rId19">
        <w:r>
          <w:rPr>
            <w:rFonts w:ascii="Times New Roman" w:eastAsia="Times New Roman" w:hAnsi="Times New Roman" w:cs="Times New Roman"/>
            <w:color w:val="0563C1"/>
            <w:sz w:val="24"/>
            <w:szCs w:val="24"/>
            <w:u w:val="single"/>
          </w:rPr>
          <w:t>https://jingdaily.com/posts/adapting-to-changing-chinese-tastes-strategies-for-success-in-the-alcohol-industry</w:t>
        </w:r>
      </w:hyperlink>
      <w:r>
        <w:rPr>
          <w:rFonts w:ascii="Times New Roman" w:eastAsia="Times New Roman" w:hAnsi="Times New Roman" w:cs="Times New Roman"/>
          <w:sz w:val="24"/>
          <w:szCs w:val="24"/>
        </w:rPr>
        <w:t xml:space="preserve"> [Accessed on: 10 Dec. 2023]</w:t>
      </w:r>
    </w:p>
    <w:p w:rsidR="007E0F0F" w:rsidRDefault="00000000" w:rsidP="00650878">
      <w:pPr>
        <w:spacing w:line="360" w:lineRule="auto"/>
        <w:jc w:val="both"/>
        <w:rPr>
          <w:rFonts w:ascii="Times New Roman" w:eastAsia="Times New Roman" w:hAnsi="Times New Roman" w:cs="Times New Roman"/>
          <w:sz w:val="24"/>
          <w:szCs w:val="24"/>
        </w:rPr>
      </w:pPr>
      <w:bookmarkStart w:id="25" w:name="_1ci93xb" w:colFirst="0" w:colLast="0"/>
      <w:bookmarkEnd w:id="25"/>
      <w:r>
        <w:rPr>
          <w:rFonts w:ascii="Times New Roman" w:eastAsia="Times New Roman" w:hAnsi="Times New Roman" w:cs="Times New Roman"/>
          <w:sz w:val="24"/>
          <w:szCs w:val="24"/>
        </w:rPr>
        <w:t xml:space="preserve">Whittington, R., </w:t>
      </w:r>
      <w:proofErr w:type="spellStart"/>
      <w:r>
        <w:rPr>
          <w:rFonts w:ascii="Times New Roman" w:eastAsia="Times New Roman" w:hAnsi="Times New Roman" w:cs="Times New Roman"/>
          <w:sz w:val="24"/>
          <w:szCs w:val="24"/>
        </w:rPr>
        <w:t>Regnér</w:t>
      </w:r>
      <w:proofErr w:type="spellEnd"/>
      <w:r>
        <w:rPr>
          <w:rFonts w:ascii="Times New Roman" w:eastAsia="Times New Roman" w:hAnsi="Times New Roman" w:cs="Times New Roman"/>
          <w:sz w:val="24"/>
          <w:szCs w:val="24"/>
        </w:rPr>
        <w:t xml:space="preserve">, P., and Angwin, D. (2020). </w:t>
      </w:r>
      <w:r>
        <w:rPr>
          <w:rFonts w:ascii="Times New Roman" w:eastAsia="Times New Roman" w:hAnsi="Times New Roman" w:cs="Times New Roman"/>
          <w:i/>
          <w:sz w:val="24"/>
          <w:szCs w:val="24"/>
        </w:rPr>
        <w:t>Exploring strategy</w:t>
      </w:r>
      <w:r>
        <w:rPr>
          <w:rFonts w:ascii="Times New Roman" w:eastAsia="Times New Roman" w:hAnsi="Times New Roman" w:cs="Times New Roman"/>
          <w:sz w:val="24"/>
          <w:szCs w:val="24"/>
        </w:rPr>
        <w:t xml:space="preserve">: Text and cases. London: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Pearson.</w:t>
      </w:r>
    </w:p>
    <w:p w:rsidR="007E0F0F" w:rsidRDefault="00000000" w:rsidP="00650878">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Wood, G. (2022). Global Spirits Manufacturing. </w:t>
      </w:r>
      <w:r>
        <w:rPr>
          <w:rFonts w:ascii="Times New Roman" w:eastAsia="Times New Roman" w:hAnsi="Times New Roman" w:cs="Times New Roman"/>
          <w:i/>
          <w:sz w:val="24"/>
          <w:szCs w:val="24"/>
        </w:rPr>
        <w:t xml:space="preserve">IBIS World. </w:t>
      </w:r>
      <w:r>
        <w:rPr>
          <w:rFonts w:ascii="Times New Roman" w:eastAsia="Times New Roman" w:hAnsi="Times New Roman" w:cs="Times New Roman"/>
          <w:sz w:val="24"/>
          <w:szCs w:val="24"/>
        </w:rPr>
        <w:t xml:space="preserve">[Online] Available at: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https://my-ibisworld-com.libproxy.unl.edu/download/gl/en/industry/400/1/0/pdf</w:t>
      </w:r>
    </w:p>
    <w:p w:rsidR="007E0F0F" w:rsidRDefault="00000000" w:rsidP="00650878">
      <w:pPr>
        <w:spacing w:line="360" w:lineRule="auto"/>
        <w:jc w:val="both"/>
        <w:rPr>
          <w:rFonts w:ascii="Times New Roman" w:eastAsia="Times New Roman" w:hAnsi="Times New Roman" w:cs="Times New Roman"/>
          <w:sz w:val="24"/>
          <w:szCs w:val="24"/>
        </w:rPr>
      </w:pPr>
      <w:bookmarkStart w:id="26" w:name="_3whwml4" w:colFirst="0" w:colLast="0"/>
      <w:bookmarkEnd w:id="26"/>
      <w:proofErr w:type="spellStart"/>
      <w:r>
        <w:rPr>
          <w:rFonts w:ascii="Times New Roman" w:eastAsia="Times New Roman" w:hAnsi="Times New Roman" w:cs="Times New Roman"/>
          <w:sz w:val="24"/>
          <w:szCs w:val="24"/>
        </w:rPr>
        <w:t>Zeriti</w:t>
      </w:r>
      <w:proofErr w:type="spellEnd"/>
      <w:r>
        <w:rPr>
          <w:rFonts w:ascii="Times New Roman" w:eastAsia="Times New Roman" w:hAnsi="Times New Roman" w:cs="Times New Roman"/>
          <w:sz w:val="24"/>
          <w:szCs w:val="24"/>
        </w:rPr>
        <w:t xml:space="preserve">, A., Robson, M. J., Spyropoulou, S., and </w:t>
      </w:r>
      <w:proofErr w:type="spellStart"/>
      <w:r>
        <w:rPr>
          <w:rFonts w:ascii="Times New Roman" w:eastAsia="Times New Roman" w:hAnsi="Times New Roman" w:cs="Times New Roman"/>
          <w:sz w:val="24"/>
          <w:szCs w:val="24"/>
        </w:rPr>
        <w:t>Leonidou</w:t>
      </w:r>
      <w:proofErr w:type="spellEnd"/>
      <w:r>
        <w:rPr>
          <w:rFonts w:ascii="Times New Roman" w:eastAsia="Times New Roman" w:hAnsi="Times New Roman" w:cs="Times New Roman"/>
          <w:sz w:val="24"/>
          <w:szCs w:val="24"/>
        </w:rPr>
        <w:t xml:space="preserve">, C. N. (2014). Sustainable export </w:t>
      </w:r>
    </w:p>
    <w:p w:rsidR="007E0F0F" w:rsidRDefault="00000000" w:rsidP="0065087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strategy fit and performance. </w:t>
      </w:r>
      <w:r>
        <w:rPr>
          <w:rFonts w:ascii="Times New Roman" w:eastAsia="Times New Roman" w:hAnsi="Times New Roman" w:cs="Times New Roman"/>
          <w:i/>
          <w:sz w:val="24"/>
          <w:szCs w:val="24"/>
        </w:rPr>
        <w:t>Journal of International Marketing</w:t>
      </w:r>
      <w:r>
        <w:rPr>
          <w:rFonts w:ascii="Times New Roman" w:eastAsia="Times New Roman" w:hAnsi="Times New Roman" w:cs="Times New Roman"/>
          <w:sz w:val="24"/>
          <w:szCs w:val="24"/>
        </w:rPr>
        <w:t>, 22(4), 44-66.</w:t>
      </w:r>
    </w:p>
    <w:sectPr w:rsidR="007E0F0F">
      <w:head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1815" w:rsidRDefault="00381815">
      <w:pPr>
        <w:spacing w:after="0" w:line="240" w:lineRule="auto"/>
      </w:pPr>
      <w:r>
        <w:separator/>
      </w:r>
    </w:p>
  </w:endnote>
  <w:endnote w:type="continuationSeparator" w:id="0">
    <w:p w:rsidR="00381815" w:rsidRDefault="00381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1815" w:rsidRDefault="00381815">
      <w:pPr>
        <w:spacing w:after="0" w:line="240" w:lineRule="auto"/>
      </w:pPr>
      <w:r>
        <w:separator/>
      </w:r>
    </w:p>
  </w:footnote>
  <w:footnote w:type="continuationSeparator" w:id="0">
    <w:p w:rsidR="00381815" w:rsidRDefault="003818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E0F0F" w:rsidRDefault="00000000">
    <w:pPr>
      <w:pBdr>
        <w:top w:val="nil"/>
        <w:left w:val="nil"/>
        <w:bottom w:val="nil"/>
        <w:right w:val="nil"/>
        <w:between w:val="nil"/>
      </w:pBdr>
      <w:tabs>
        <w:tab w:val="center" w:pos="4680"/>
        <w:tab w:val="right" w:pos="9360"/>
      </w:tabs>
      <w:spacing w:after="0" w:line="48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650878">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F0F"/>
    <w:rsid w:val="00381815"/>
    <w:rsid w:val="00650878"/>
    <w:rsid w:val="007E0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C7CC"/>
  <w15:docId w15:val="{E40225B4-3AFC-4170-9A5F-7E166F6A4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Times New Roman" w:eastAsia="Times New Roman" w:hAnsi="Times New Roman" w:cs="Times New Roman"/>
      <w:sz w:val="20"/>
      <w:szCs w:val="20"/>
    </w:r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
    <w:pPr>
      <w:spacing w:after="0" w:line="240" w:lineRule="auto"/>
    </w:pPr>
    <w:rPr>
      <w:rFonts w:ascii="Times New Roman" w:eastAsia="Times New Roman" w:hAnsi="Times New Roman" w:cs="Times New Roman"/>
      <w:sz w:val="20"/>
      <w:szCs w:val="20"/>
    </w:r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paragraph" w:styleId="TOC1">
    <w:name w:val="toc 1"/>
    <w:basedOn w:val="Normal"/>
    <w:next w:val="Normal"/>
    <w:autoRedefine/>
    <w:uiPriority w:val="39"/>
    <w:unhideWhenUsed/>
    <w:rsid w:val="00650878"/>
    <w:pPr>
      <w:spacing w:after="100"/>
    </w:pPr>
  </w:style>
  <w:style w:type="paragraph" w:styleId="TOC2">
    <w:name w:val="toc 2"/>
    <w:basedOn w:val="Normal"/>
    <w:next w:val="Normal"/>
    <w:autoRedefine/>
    <w:uiPriority w:val="39"/>
    <w:unhideWhenUsed/>
    <w:rsid w:val="00650878"/>
    <w:pPr>
      <w:spacing w:after="100"/>
      <w:ind w:left="220"/>
    </w:pPr>
  </w:style>
  <w:style w:type="character" w:styleId="Hyperlink">
    <w:name w:val="Hyperlink"/>
    <w:basedOn w:val="DefaultParagraphFont"/>
    <w:uiPriority w:val="99"/>
    <w:unhideWhenUsed/>
    <w:rsid w:val="00650878"/>
    <w:rPr>
      <w:color w:val="0000FF" w:themeColor="hyperlink"/>
      <w:u w:val="single"/>
    </w:rPr>
  </w:style>
  <w:style w:type="paragraph" w:styleId="Header">
    <w:name w:val="header"/>
    <w:basedOn w:val="Normal"/>
    <w:link w:val="HeaderChar"/>
    <w:uiPriority w:val="99"/>
    <w:unhideWhenUsed/>
    <w:rsid w:val="00650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878"/>
  </w:style>
  <w:style w:type="paragraph" w:styleId="Footer">
    <w:name w:val="footer"/>
    <w:basedOn w:val="Normal"/>
    <w:link w:val="FooterChar"/>
    <w:uiPriority w:val="99"/>
    <w:unhideWhenUsed/>
    <w:rsid w:val="00650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inance.co.uk/travel/flight-times-and-durations-calculator/united-kingdom-to-china/" TargetMode="External"/><Relationship Id="rId18" Type="http://schemas.openxmlformats.org/officeDocument/2006/relationships/hyperlink" Target="https://www.statista.com/statistics/263770/gross-domestic-product-gdp-of-china/"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atacommons.org/place/country/CHN/?utm_medium=explore&amp;mprop=amount&amp;popt=EconomicActivity&amp;cpv=activitySource,GrossDomesticProduction&amp;hl=en" TargetMode="External"/><Relationship Id="rId17" Type="http://schemas.openxmlformats.org/officeDocument/2006/relationships/hyperlink" Target="https://www.chinabusinessreview.com/opportunities-in-chinas-alcoholic-beverage-market/" TargetMode="External"/><Relationship Id="rId2" Type="http://schemas.openxmlformats.org/officeDocument/2006/relationships/settings" Target="settings.xml"/><Relationship Id="rId16" Type="http://schemas.openxmlformats.org/officeDocument/2006/relationships/hyperlink" Target="https://www.voanews.com/a/is-china-still-a-developing-country/7244652.html"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ountryreports.org/country/china.htm" TargetMode="External"/><Relationship Id="rId5" Type="http://schemas.openxmlformats.org/officeDocument/2006/relationships/endnotes" Target="endnotes.xml"/><Relationship Id="rId15" Type="http://schemas.openxmlformats.org/officeDocument/2006/relationships/hyperlink" Target="https://ecommercechinaagency.com/china-alcohol-" TargetMode="External"/><Relationship Id="rId10" Type="http://schemas.openxmlformats.org/officeDocument/2006/relationships/hyperlink" Target="https://www.blita.com/china-profile" TargetMode="External"/><Relationship Id="rId19" Type="http://schemas.openxmlformats.org/officeDocument/2006/relationships/hyperlink" Target="https://jingdaily.com/posts/adapting-to-changing-chinese-tastes-strategies-for-success-in-the-alcohol-industry"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globaldata.com/companies/top-companies-by-sector/consumer/china-alcoholic-beverages-companies-by-volu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15</Pages>
  <Words>4015</Words>
  <Characters>22889</Characters>
  <Application>Microsoft Office Word</Application>
  <DocSecurity>0</DocSecurity>
  <Lines>190</Lines>
  <Paragraphs>53</Paragraphs>
  <ScaleCrop>false</ScaleCrop>
  <Company/>
  <LinksUpToDate>false</LinksUpToDate>
  <CharactersWithSpaces>26851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ivelina georgieva</dc:creator>
  <cp:lastModifiedBy>Ivelina Georgieva-Draganova (2235428)</cp:lastModifiedBy>
  <cp:revision>2</cp:revision>
  <dcterms:created xsi:type="dcterms:W3CDTF">2023-12-20T19:49:00Z</dcterms:created>
  <dcterms:modified xsi:type="dcterms:W3CDTF">2023-12-20T19:49:00Z</dcterms:modified>
</cp:coreProperties>
</file>