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5369B" w:rsidRPr="00300F73" w:rsidRDefault="0055369B" w:rsidP="00300F73">
      <w:pPr>
        <w:rPr>
          <w:rFonts w:ascii="Arial" w:hAnsi="Arial" w:cs="Arial"/>
          <w:szCs w:val="20"/>
          <w:u w:val="single"/>
        </w:rPr>
      </w:pPr>
      <w:r w:rsidRPr="00300F73">
        <w:rPr>
          <w:rFonts w:ascii="Arial" w:hAnsi="Arial" w:cs="Arial"/>
          <w:szCs w:val="20"/>
          <w:u w:val="single"/>
        </w:rPr>
        <w:t>The Moors Murderers – A Support Paper</w:t>
      </w:r>
    </w:p>
    <w:p w:rsidR="0055369B" w:rsidRPr="00300F73" w:rsidRDefault="0055369B" w:rsidP="00300F73">
      <w:pPr>
        <w:rPr>
          <w:rFonts w:ascii="Arial" w:hAnsi="Arial" w:cs="Arial"/>
          <w:i/>
          <w:sz w:val="16"/>
          <w:szCs w:val="20"/>
        </w:rPr>
      </w:pPr>
      <w:r w:rsidRPr="00300F73">
        <w:rPr>
          <w:rFonts w:ascii="Arial" w:hAnsi="Arial" w:cs="Arial"/>
          <w:i/>
          <w:sz w:val="16"/>
          <w:szCs w:val="20"/>
        </w:rPr>
        <w:t>A support paper to reflect the content discussed within our group presentation</w:t>
      </w:r>
    </w:p>
    <w:p w:rsidR="002C54D3" w:rsidRPr="00300F73" w:rsidRDefault="0055369B" w:rsidP="00300F73">
      <w:pPr>
        <w:pStyle w:val="NormalWeb"/>
        <w:rPr>
          <w:rFonts w:ascii="Arial" w:hAnsi="Arial" w:cs="Arial"/>
          <w:sz w:val="18"/>
          <w:szCs w:val="18"/>
        </w:rPr>
      </w:pPr>
      <w:r w:rsidRPr="00300F73">
        <w:rPr>
          <w:rFonts w:ascii="Arial" w:hAnsi="Arial" w:cs="Arial"/>
          <w:sz w:val="18"/>
          <w:szCs w:val="18"/>
        </w:rPr>
        <w:t xml:space="preserve">A familiar term within the world of Criminology is indeed, ‘The Moors Murders’; a term </w:t>
      </w:r>
      <w:r w:rsidR="002C54D3" w:rsidRPr="00300F73">
        <w:rPr>
          <w:rFonts w:ascii="Arial" w:hAnsi="Arial" w:cs="Arial"/>
          <w:sz w:val="18"/>
          <w:szCs w:val="18"/>
        </w:rPr>
        <w:t>emphasising the</w:t>
      </w:r>
      <w:r w:rsidRPr="00300F73">
        <w:rPr>
          <w:rFonts w:ascii="Arial" w:hAnsi="Arial" w:cs="Arial"/>
          <w:sz w:val="18"/>
          <w:szCs w:val="18"/>
        </w:rPr>
        <w:t xml:space="preserve"> string of horrific murders that took place during the 1960s. Serial killers, Myra Hindley and Ian Brady kidnapped, sexually assaulted and murdered four children, and later buried them </w:t>
      </w:r>
      <w:r w:rsidR="002C54D3" w:rsidRPr="00300F73">
        <w:rPr>
          <w:rFonts w:ascii="Arial" w:hAnsi="Arial" w:cs="Arial"/>
          <w:sz w:val="18"/>
          <w:szCs w:val="18"/>
        </w:rPr>
        <w:t>i</w:t>
      </w:r>
      <w:r w:rsidRPr="00300F73">
        <w:rPr>
          <w:rFonts w:ascii="Arial" w:hAnsi="Arial" w:cs="Arial"/>
          <w:sz w:val="18"/>
          <w:szCs w:val="18"/>
        </w:rPr>
        <w:t>n a rural region named Saddleworth Moor, close to Manchester (Benfield, 1968). Brady and Hindley were arrested in 1966, primarily as a result of Hindley’s brother-in-law, David Smith, who witnessed Brady kill one of the victims, Edward Evans. Hindley received a life sentence, with a minimum of twenty-five years in prison, whilst Brady was sentenced to life imprisonment (</w:t>
      </w:r>
      <w:proofErr w:type="spellStart"/>
      <w:r w:rsidRPr="00300F73">
        <w:rPr>
          <w:rFonts w:ascii="Arial" w:hAnsi="Arial" w:cs="Arial"/>
          <w:sz w:val="18"/>
          <w:szCs w:val="18"/>
        </w:rPr>
        <w:t>Keightley</w:t>
      </w:r>
      <w:proofErr w:type="spellEnd"/>
      <w:r w:rsidRPr="00300F73">
        <w:rPr>
          <w:rFonts w:ascii="Arial" w:hAnsi="Arial" w:cs="Arial"/>
          <w:sz w:val="18"/>
          <w:szCs w:val="18"/>
        </w:rPr>
        <w:t xml:space="preserve">, 2017).                                                                                       Hindley’s sentence was thought to be the harshest verdict imposed </w:t>
      </w:r>
      <w:r w:rsidR="002C54D3" w:rsidRPr="00300F73">
        <w:rPr>
          <w:rFonts w:ascii="Arial" w:hAnsi="Arial" w:cs="Arial"/>
          <w:sz w:val="18"/>
          <w:szCs w:val="18"/>
        </w:rPr>
        <w:t>up</w:t>
      </w:r>
      <w:r w:rsidRPr="00300F73">
        <w:rPr>
          <w:rFonts w:ascii="Arial" w:hAnsi="Arial" w:cs="Arial"/>
          <w:sz w:val="18"/>
          <w:szCs w:val="18"/>
        </w:rPr>
        <w:t>on a female criminal with</w:t>
      </w:r>
      <w:r w:rsidR="002C54D3" w:rsidRPr="00300F73">
        <w:rPr>
          <w:rFonts w:ascii="Arial" w:hAnsi="Arial" w:cs="Arial"/>
          <w:sz w:val="18"/>
          <w:szCs w:val="18"/>
        </w:rPr>
        <w:t>in</w:t>
      </w:r>
      <w:r w:rsidRPr="00300F73">
        <w:rPr>
          <w:rFonts w:ascii="Arial" w:hAnsi="Arial" w:cs="Arial"/>
          <w:sz w:val="18"/>
          <w:szCs w:val="18"/>
        </w:rPr>
        <w:t xml:space="preserve"> British history (Bourke, 2021). </w:t>
      </w:r>
      <w:r w:rsidR="002C54D3" w:rsidRPr="00300F73">
        <w:rPr>
          <w:rFonts w:ascii="Arial" w:hAnsi="Arial" w:cs="Arial"/>
          <w:sz w:val="18"/>
          <w:szCs w:val="18"/>
        </w:rPr>
        <w:t>Mur</w:t>
      </w:r>
      <w:r w:rsidR="00300F73" w:rsidRPr="00300F73">
        <w:rPr>
          <w:rFonts w:ascii="Arial" w:hAnsi="Arial" w:cs="Arial"/>
          <w:sz w:val="18"/>
          <w:szCs w:val="18"/>
        </w:rPr>
        <w:t xml:space="preserve">phy and </w:t>
      </w:r>
      <w:proofErr w:type="spellStart"/>
      <w:r w:rsidR="00300F73" w:rsidRPr="00300F73">
        <w:rPr>
          <w:rFonts w:ascii="Arial" w:hAnsi="Arial" w:cs="Arial"/>
          <w:sz w:val="18"/>
          <w:szCs w:val="18"/>
        </w:rPr>
        <w:t>Whitty</w:t>
      </w:r>
      <w:proofErr w:type="spellEnd"/>
      <w:r w:rsidR="00300F73" w:rsidRPr="00300F73">
        <w:rPr>
          <w:rFonts w:ascii="Arial" w:hAnsi="Arial" w:cs="Arial"/>
          <w:sz w:val="18"/>
          <w:szCs w:val="18"/>
        </w:rPr>
        <w:t xml:space="preserve"> (2006) emphasises that within the media, Hindley is </w:t>
      </w:r>
      <w:r w:rsidR="002C54D3" w:rsidRPr="00300F73">
        <w:rPr>
          <w:rFonts w:ascii="Arial" w:hAnsi="Arial" w:cs="Arial"/>
          <w:sz w:val="18"/>
          <w:szCs w:val="18"/>
        </w:rPr>
        <w:t xml:space="preserve">portrayed as embodiment of evil, the most </w:t>
      </w:r>
      <w:r w:rsidR="00300F73" w:rsidRPr="00300F73">
        <w:rPr>
          <w:rFonts w:ascii="Arial" w:hAnsi="Arial" w:cs="Arial"/>
          <w:sz w:val="18"/>
          <w:szCs w:val="18"/>
        </w:rPr>
        <w:t xml:space="preserve">despised woman in Britain, and ‘pure evil’, </w:t>
      </w:r>
      <w:r w:rsidR="002C54D3" w:rsidRPr="00300F73">
        <w:rPr>
          <w:rFonts w:ascii="Arial" w:hAnsi="Arial" w:cs="Arial"/>
          <w:sz w:val="18"/>
          <w:szCs w:val="18"/>
        </w:rPr>
        <w:t>according to the mainstream narrative</w:t>
      </w:r>
      <w:r w:rsidR="002C54D3" w:rsidRPr="00300F73">
        <w:rPr>
          <w:rFonts w:ascii="Arial" w:hAnsi="Arial" w:cs="Arial"/>
          <w:sz w:val="18"/>
          <w:szCs w:val="18"/>
        </w:rPr>
        <w:t xml:space="preserve">.                                                                                </w:t>
      </w:r>
      <w:r w:rsidR="00300F73" w:rsidRPr="00300F73">
        <w:rPr>
          <w:rFonts w:ascii="Arial" w:hAnsi="Arial" w:cs="Arial"/>
          <w:sz w:val="18"/>
          <w:szCs w:val="18"/>
        </w:rPr>
        <w:t xml:space="preserve">                                                       </w:t>
      </w:r>
      <w:r w:rsidR="002C54D3" w:rsidRPr="00300F73">
        <w:rPr>
          <w:rFonts w:ascii="Arial" w:hAnsi="Arial" w:cs="Arial"/>
          <w:sz w:val="18"/>
          <w:szCs w:val="18"/>
        </w:rPr>
        <w:t xml:space="preserve">  </w:t>
      </w:r>
      <w:r w:rsidRPr="00300F73">
        <w:rPr>
          <w:rFonts w:ascii="Arial" w:hAnsi="Arial" w:cs="Arial"/>
          <w:sz w:val="18"/>
          <w:szCs w:val="18"/>
        </w:rPr>
        <w:t xml:space="preserve">Since their arrest in October 1966, both Brady and Hindley are yet to be </w:t>
      </w:r>
      <w:r w:rsidR="002C54D3" w:rsidRPr="00300F73">
        <w:rPr>
          <w:rFonts w:ascii="Arial" w:hAnsi="Arial" w:cs="Arial"/>
          <w:sz w:val="18"/>
          <w:szCs w:val="18"/>
        </w:rPr>
        <w:t>disclosed from</w:t>
      </w:r>
      <w:r w:rsidR="00300F73" w:rsidRPr="00300F73">
        <w:rPr>
          <w:rFonts w:ascii="Arial" w:hAnsi="Arial" w:cs="Arial"/>
          <w:sz w:val="18"/>
          <w:szCs w:val="18"/>
        </w:rPr>
        <w:t xml:space="preserve"> the</w:t>
      </w:r>
      <w:r w:rsidR="002C54D3" w:rsidRPr="00300F73">
        <w:rPr>
          <w:rFonts w:ascii="Arial" w:hAnsi="Arial" w:cs="Arial"/>
          <w:sz w:val="18"/>
          <w:szCs w:val="18"/>
        </w:rPr>
        <w:t xml:space="preserve"> </w:t>
      </w:r>
      <w:r w:rsidRPr="00300F73">
        <w:rPr>
          <w:rFonts w:ascii="Arial" w:hAnsi="Arial" w:cs="Arial"/>
          <w:sz w:val="18"/>
          <w:szCs w:val="18"/>
        </w:rPr>
        <w:t>media limelight</w:t>
      </w:r>
      <w:r w:rsidR="002C54D3" w:rsidRPr="00300F73">
        <w:rPr>
          <w:rFonts w:ascii="Arial" w:hAnsi="Arial" w:cs="Arial"/>
          <w:sz w:val="18"/>
          <w:szCs w:val="18"/>
        </w:rPr>
        <w:t xml:space="preserve"> for a perpetrated </w:t>
      </w:r>
      <w:r w:rsidRPr="00300F73">
        <w:rPr>
          <w:rFonts w:ascii="Arial" w:hAnsi="Arial" w:cs="Arial"/>
          <w:sz w:val="18"/>
          <w:szCs w:val="18"/>
        </w:rPr>
        <w:t xml:space="preserve">period </w:t>
      </w:r>
      <w:r w:rsidR="002C54D3" w:rsidRPr="00300F73">
        <w:rPr>
          <w:rFonts w:ascii="Arial" w:hAnsi="Arial" w:cs="Arial"/>
          <w:sz w:val="18"/>
          <w:szCs w:val="18"/>
        </w:rPr>
        <w:t xml:space="preserve">of time </w:t>
      </w:r>
      <w:r w:rsidRPr="00300F73">
        <w:rPr>
          <w:rFonts w:ascii="Arial" w:hAnsi="Arial" w:cs="Arial"/>
          <w:sz w:val="18"/>
          <w:szCs w:val="18"/>
        </w:rPr>
        <w:t>(Cummins et al., 2019).</w:t>
      </w:r>
    </w:p>
    <w:p w:rsidR="00300F73" w:rsidRPr="00300F73" w:rsidRDefault="0055369B" w:rsidP="00300F73">
      <w:pPr>
        <w:rPr>
          <w:rFonts w:ascii="Arial" w:eastAsia="Times New Roman" w:hAnsi="Arial" w:cs="Arial"/>
          <w:sz w:val="18"/>
          <w:szCs w:val="18"/>
          <w:lang w:eastAsia="en-GB"/>
        </w:rPr>
      </w:pPr>
      <w:r w:rsidRPr="00300F73">
        <w:rPr>
          <w:rFonts w:ascii="Arial" w:hAnsi="Arial" w:cs="Arial"/>
          <w:sz w:val="18"/>
          <w:szCs w:val="18"/>
        </w:rPr>
        <w:t>In order</w:t>
      </w:r>
      <w:r w:rsidR="002C54D3" w:rsidRPr="00300F73">
        <w:rPr>
          <w:rFonts w:ascii="Arial" w:hAnsi="Arial" w:cs="Arial"/>
          <w:sz w:val="18"/>
          <w:szCs w:val="18"/>
        </w:rPr>
        <w:t xml:space="preserve"> to</w:t>
      </w:r>
      <w:r w:rsidRPr="00300F73">
        <w:rPr>
          <w:rFonts w:ascii="Arial" w:hAnsi="Arial" w:cs="Arial"/>
          <w:sz w:val="18"/>
          <w:szCs w:val="18"/>
        </w:rPr>
        <w:t xml:space="preserve"> aid one’s understanding </w:t>
      </w:r>
      <w:r w:rsidR="002C54D3" w:rsidRPr="00300F73">
        <w:rPr>
          <w:rFonts w:ascii="Arial" w:hAnsi="Arial" w:cs="Arial"/>
          <w:sz w:val="18"/>
          <w:szCs w:val="18"/>
        </w:rPr>
        <w:t>towards the</w:t>
      </w:r>
      <w:r w:rsidRPr="00300F73">
        <w:rPr>
          <w:rFonts w:ascii="Arial" w:hAnsi="Arial" w:cs="Arial"/>
          <w:sz w:val="18"/>
          <w:szCs w:val="18"/>
        </w:rPr>
        <w:t xml:space="preserve"> motivation and dynamic</w:t>
      </w:r>
      <w:r w:rsidR="00300F73" w:rsidRPr="00300F73">
        <w:rPr>
          <w:rFonts w:ascii="Arial" w:hAnsi="Arial" w:cs="Arial"/>
          <w:sz w:val="18"/>
          <w:szCs w:val="18"/>
        </w:rPr>
        <w:t xml:space="preserve"> behind the murderer’s process</w:t>
      </w:r>
      <w:r w:rsidRPr="00300F73">
        <w:rPr>
          <w:rFonts w:ascii="Arial" w:hAnsi="Arial" w:cs="Arial"/>
          <w:sz w:val="18"/>
          <w:szCs w:val="18"/>
        </w:rPr>
        <w:t>, the continued fascination with the Moors Murders evidently suggests that both Brady and Hindley have been analysed thoroughly in term</w:t>
      </w:r>
      <w:r w:rsidR="002C54D3" w:rsidRPr="00300F73">
        <w:rPr>
          <w:rFonts w:ascii="Arial" w:hAnsi="Arial" w:cs="Arial"/>
          <w:sz w:val="18"/>
          <w:szCs w:val="18"/>
        </w:rPr>
        <w:t xml:space="preserve">s of criminological approaches.                                                                                                                               </w:t>
      </w:r>
      <w:r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                                                                                                                        </w:t>
      </w:r>
      <w:r w:rsidRPr="00300F73">
        <w:rPr>
          <w:rFonts w:ascii="Arial" w:hAnsi="Arial" w:cs="Arial"/>
          <w:sz w:val="18"/>
          <w:szCs w:val="18"/>
        </w:rPr>
        <w:t>On the 27</w:t>
      </w:r>
      <w:r w:rsidRPr="00300F73">
        <w:rPr>
          <w:rFonts w:ascii="Arial" w:hAnsi="Arial" w:cs="Arial"/>
          <w:sz w:val="18"/>
          <w:szCs w:val="18"/>
          <w:vertAlign w:val="superscript"/>
        </w:rPr>
        <w:t>th</w:t>
      </w:r>
      <w:r w:rsidRPr="00300F73">
        <w:rPr>
          <w:rFonts w:ascii="Arial" w:hAnsi="Arial" w:cs="Arial"/>
          <w:sz w:val="18"/>
          <w:szCs w:val="18"/>
        </w:rPr>
        <w:t xml:space="preserve"> July 1961, at the age of eighteen, Hindl</w:t>
      </w:r>
      <w:r w:rsidR="0086400A" w:rsidRPr="00300F73">
        <w:rPr>
          <w:rFonts w:ascii="Arial" w:hAnsi="Arial" w:cs="Arial"/>
          <w:sz w:val="18"/>
          <w:szCs w:val="18"/>
        </w:rPr>
        <w:t>ey met Brady for the f</w:t>
      </w:r>
      <w:r w:rsidR="00537EED" w:rsidRPr="00300F73">
        <w:rPr>
          <w:rFonts w:ascii="Arial" w:hAnsi="Arial" w:cs="Arial"/>
          <w:sz w:val="18"/>
          <w:szCs w:val="18"/>
        </w:rPr>
        <w:t>irst time. D</w:t>
      </w:r>
      <w:r w:rsidR="0086400A" w:rsidRPr="00300F73">
        <w:rPr>
          <w:rFonts w:ascii="Arial" w:hAnsi="Arial" w:cs="Arial"/>
          <w:sz w:val="18"/>
          <w:szCs w:val="18"/>
        </w:rPr>
        <w:t>espite being aware of Brady’s criminal histor</w:t>
      </w:r>
      <w:r w:rsidR="00537EED" w:rsidRPr="00300F73">
        <w:rPr>
          <w:rFonts w:ascii="Arial" w:hAnsi="Arial" w:cs="Arial"/>
          <w:sz w:val="18"/>
          <w:szCs w:val="18"/>
        </w:rPr>
        <w:t>y, Hindley persevered by attending</w:t>
      </w:r>
      <w:r w:rsidR="0086400A" w:rsidRPr="00300F73">
        <w:rPr>
          <w:rFonts w:ascii="Arial" w:hAnsi="Arial" w:cs="Arial"/>
          <w:sz w:val="18"/>
          <w:szCs w:val="18"/>
        </w:rPr>
        <w:t xml:space="preserve"> multiple dates </w:t>
      </w:r>
      <w:r w:rsidR="00537EED" w:rsidRPr="00300F73">
        <w:rPr>
          <w:rFonts w:ascii="Arial" w:hAnsi="Arial" w:cs="Arial"/>
          <w:sz w:val="18"/>
          <w:szCs w:val="18"/>
        </w:rPr>
        <w:t>and</w:t>
      </w:r>
      <w:r w:rsidR="00300F73" w:rsidRPr="00300F73">
        <w:rPr>
          <w:rFonts w:ascii="Arial" w:hAnsi="Arial" w:cs="Arial"/>
          <w:sz w:val="18"/>
          <w:szCs w:val="18"/>
        </w:rPr>
        <w:t xml:space="preserve"> quickly became extremely</w:t>
      </w:r>
      <w:r w:rsidR="00537EED" w:rsidRPr="00300F73">
        <w:rPr>
          <w:rFonts w:ascii="Arial" w:hAnsi="Arial" w:cs="Arial"/>
          <w:sz w:val="18"/>
          <w:szCs w:val="18"/>
        </w:rPr>
        <w:t xml:space="preserve"> fascinated by him (Harrison, 2016). </w:t>
      </w:r>
      <w:r w:rsidR="00184A10" w:rsidRPr="00300F73">
        <w:rPr>
          <w:rFonts w:ascii="Arial" w:hAnsi="Arial" w:cs="Arial"/>
          <w:sz w:val="18"/>
          <w:szCs w:val="18"/>
        </w:rPr>
        <w:t>It is believed that Brady’s domineering nature and his fixation with committing the ‘perfect crime’, impacted Hindley’s actions and choices considerably.</w:t>
      </w:r>
      <w:r w:rsidR="003A06A7" w:rsidRPr="00300F73">
        <w:rPr>
          <w:rFonts w:ascii="Arial" w:hAnsi="Arial" w:cs="Arial"/>
          <w:sz w:val="18"/>
          <w:szCs w:val="18"/>
        </w:rPr>
        <w:t xml:space="preserve"> </w:t>
      </w:r>
      <w:r w:rsidR="00300F73" w:rsidRPr="00300F73">
        <w:rPr>
          <w:rFonts w:ascii="Arial" w:hAnsi="Arial" w:cs="Arial"/>
          <w:sz w:val="18"/>
          <w:szCs w:val="18"/>
        </w:rPr>
        <w:t xml:space="preserve">Brady </w:t>
      </w:r>
      <w:r w:rsidR="003A06A7" w:rsidRPr="00300F73">
        <w:rPr>
          <w:rFonts w:ascii="Arial" w:hAnsi="Arial" w:cs="Arial"/>
          <w:sz w:val="18"/>
          <w:szCs w:val="18"/>
        </w:rPr>
        <w:t>reportedly exerted psychological control over her, causing her to comply with his desires and contribute to said murders (Bradley, 2014).                                                                                                                                                                       A particular criminal theory often associated with Brady’</w:t>
      </w:r>
      <w:r w:rsidR="004E4BA0" w:rsidRPr="00300F73">
        <w:rPr>
          <w:rFonts w:ascii="Arial" w:hAnsi="Arial" w:cs="Arial"/>
          <w:sz w:val="18"/>
          <w:szCs w:val="18"/>
        </w:rPr>
        <w:t xml:space="preserve">s influence </w:t>
      </w:r>
      <w:r w:rsidR="003A06A7" w:rsidRPr="00300F73">
        <w:rPr>
          <w:rFonts w:ascii="Arial" w:hAnsi="Arial" w:cs="Arial"/>
          <w:sz w:val="18"/>
          <w:szCs w:val="18"/>
        </w:rPr>
        <w:t>on Hindley is famously known as Albert Bandura’s Social Cognitive Learning Theory.</w:t>
      </w:r>
      <w:r w:rsidR="00C97408" w:rsidRPr="00300F73">
        <w:rPr>
          <w:rFonts w:ascii="Arial" w:hAnsi="Arial" w:cs="Arial"/>
          <w:sz w:val="18"/>
          <w:szCs w:val="18"/>
        </w:rPr>
        <w:t xml:space="preserve"> According to Hoffman (</w:t>
      </w:r>
      <w:r w:rsidR="00C97408" w:rsidRPr="00300F73">
        <w:rPr>
          <w:rFonts w:ascii="Arial" w:hAnsi="Arial" w:cs="Arial"/>
          <w:sz w:val="18"/>
          <w:szCs w:val="18"/>
        </w:rPr>
        <w:t>1993</w:t>
      </w:r>
      <w:r w:rsidR="004E4BA0" w:rsidRPr="00300F73">
        <w:rPr>
          <w:rFonts w:ascii="Arial" w:hAnsi="Arial" w:cs="Arial"/>
          <w:sz w:val="18"/>
          <w:szCs w:val="18"/>
        </w:rPr>
        <w:t>), l</w:t>
      </w:r>
      <w:r w:rsidR="003A06A7" w:rsidRPr="00300F73">
        <w:rPr>
          <w:rFonts w:ascii="Arial" w:hAnsi="Arial" w:cs="Arial"/>
          <w:sz w:val="18"/>
          <w:szCs w:val="18"/>
        </w:rPr>
        <w:t xml:space="preserve">earning theories </w:t>
      </w:r>
      <w:r w:rsidR="004E4BA0" w:rsidRPr="00300F73">
        <w:rPr>
          <w:rFonts w:ascii="Arial" w:hAnsi="Arial" w:cs="Arial"/>
          <w:sz w:val="18"/>
          <w:szCs w:val="18"/>
        </w:rPr>
        <w:t>view</w:t>
      </w:r>
      <w:r w:rsidR="003A06A7" w:rsidRPr="00300F73">
        <w:rPr>
          <w:rFonts w:ascii="Arial" w:hAnsi="Arial" w:cs="Arial"/>
          <w:sz w:val="18"/>
          <w:szCs w:val="18"/>
        </w:rPr>
        <w:t xml:space="preserve"> the environment as the major f</w:t>
      </w:r>
      <w:r w:rsidR="004E4BA0" w:rsidRPr="00300F73">
        <w:rPr>
          <w:rFonts w:ascii="Arial" w:hAnsi="Arial" w:cs="Arial"/>
          <w:sz w:val="18"/>
          <w:szCs w:val="18"/>
        </w:rPr>
        <w:t>orce in development</w:t>
      </w:r>
      <w:r w:rsidR="003A06A7" w:rsidRPr="00300F73">
        <w:rPr>
          <w:rFonts w:ascii="Arial" w:hAnsi="Arial" w:cs="Arial"/>
          <w:sz w:val="18"/>
          <w:szCs w:val="18"/>
        </w:rPr>
        <w:t>.</w:t>
      </w:r>
      <w:r w:rsidR="003A06A7" w:rsidRPr="00300F73">
        <w:rPr>
          <w:rFonts w:ascii="Arial" w:hAnsi="Arial" w:cs="Arial"/>
          <w:sz w:val="18"/>
          <w:szCs w:val="18"/>
        </w:rPr>
        <w:t xml:space="preserve"> </w:t>
      </w:r>
      <w:r w:rsidR="003A06A7" w:rsidRPr="00300F73">
        <w:rPr>
          <w:rFonts w:ascii="Arial" w:eastAsia="Times New Roman" w:hAnsi="Arial" w:cs="Arial"/>
          <w:sz w:val="18"/>
          <w:szCs w:val="18"/>
          <w:lang w:eastAsia="en-GB"/>
        </w:rPr>
        <w:t>Albert Bandura is possibly the most renowned living psych</w:t>
      </w:r>
      <w:r w:rsidR="004E4BA0" w:rsidRPr="00300F73">
        <w:rPr>
          <w:rFonts w:ascii="Arial" w:eastAsia="Times New Roman" w:hAnsi="Arial" w:cs="Arial"/>
          <w:sz w:val="18"/>
          <w:szCs w:val="18"/>
          <w:lang w:eastAsia="en-GB"/>
        </w:rPr>
        <w:t>ologist in the field of study; h</w:t>
      </w:r>
      <w:r w:rsidR="00300F73" w:rsidRPr="00300F73">
        <w:rPr>
          <w:rFonts w:ascii="Arial" w:eastAsia="Times New Roman" w:hAnsi="Arial" w:cs="Arial"/>
          <w:sz w:val="18"/>
          <w:szCs w:val="18"/>
          <w:lang w:eastAsia="en-GB"/>
        </w:rPr>
        <w:t>is social c</w:t>
      </w:r>
      <w:r w:rsidR="003A06A7" w:rsidRPr="00300F73">
        <w:rPr>
          <w:rFonts w:ascii="Arial" w:eastAsia="Times New Roman" w:hAnsi="Arial" w:cs="Arial"/>
          <w:sz w:val="18"/>
          <w:szCs w:val="18"/>
          <w:lang w:eastAsia="en-GB"/>
        </w:rPr>
        <w:t>ognitive theory has impa</w:t>
      </w:r>
      <w:r w:rsidR="004B5114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cted numerous fields of study </w:t>
      </w:r>
      <w:r w:rsidR="003A06A7" w:rsidRPr="00300F73">
        <w:rPr>
          <w:rFonts w:ascii="Arial" w:eastAsia="Times New Roman" w:hAnsi="Arial" w:cs="Arial"/>
          <w:sz w:val="18"/>
          <w:szCs w:val="18"/>
          <w:lang w:eastAsia="en-GB"/>
        </w:rPr>
        <w:t>including social policy, health science</w:t>
      </w:r>
      <w:r w:rsidR="004B5114" w:rsidRPr="00300F73">
        <w:rPr>
          <w:rFonts w:ascii="Arial" w:eastAsia="Times New Roman" w:hAnsi="Arial" w:cs="Arial"/>
          <w:sz w:val="18"/>
          <w:szCs w:val="18"/>
          <w:lang w:eastAsia="en-GB"/>
        </w:rPr>
        <w:t>s, education, and psychotherapy (</w:t>
      </w:r>
      <w:proofErr w:type="spellStart"/>
      <w:r w:rsidR="004B5114" w:rsidRPr="00300F73">
        <w:rPr>
          <w:rFonts w:ascii="Arial" w:hAnsi="Arial" w:cs="Arial"/>
          <w:color w:val="222222"/>
          <w:sz w:val="18"/>
          <w:szCs w:val="18"/>
          <w:shd w:val="clear" w:color="auto" w:fill="FFFFFF"/>
        </w:rPr>
        <w:t>Nabavi</w:t>
      </w:r>
      <w:proofErr w:type="spellEnd"/>
      <w:r w:rsidR="004B5114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, 2012). </w:t>
      </w:r>
    </w:p>
    <w:p w:rsidR="004E4BA0" w:rsidRPr="00F3337A" w:rsidRDefault="004B5114" w:rsidP="00300F73">
      <w:pPr>
        <w:rPr>
          <w:rFonts w:ascii="Arial" w:eastAsia="Times New Roman" w:hAnsi="Arial" w:cs="Arial"/>
          <w:sz w:val="18"/>
          <w:szCs w:val="18"/>
          <w:lang w:eastAsia="en-GB"/>
        </w:rPr>
      </w:pPr>
      <w:r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Albert Bandura created the social cognitive theory in the 1960s. The theory highlights the </w:t>
      </w:r>
      <w:r w:rsidR="00556849" w:rsidRPr="00300F73">
        <w:rPr>
          <w:rFonts w:ascii="Arial" w:eastAsia="Times New Roman" w:hAnsi="Arial" w:cs="Arial"/>
          <w:sz w:val="18"/>
          <w:szCs w:val="18"/>
          <w:lang w:eastAsia="en-GB"/>
        </w:rPr>
        <w:t>way</w:t>
      </w:r>
      <w:r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in which factors such as </w:t>
      </w:r>
      <w:r w:rsidR="004E4BA0" w:rsidRPr="00300F73">
        <w:rPr>
          <w:rFonts w:ascii="Arial" w:eastAsia="Times New Roman" w:hAnsi="Arial" w:cs="Arial"/>
          <w:sz w:val="18"/>
          <w:szCs w:val="18"/>
          <w:lang w:eastAsia="en-GB"/>
        </w:rPr>
        <w:t>the</w:t>
      </w:r>
      <w:r w:rsidR="001E516D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</w:t>
      </w:r>
      <w:r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behaviour, environment, and </w:t>
      </w:r>
      <w:r w:rsidR="0055684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the </w:t>
      </w:r>
      <w:r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person all interact </w:t>
      </w:r>
      <w:r w:rsidR="00556849" w:rsidRPr="00300F73">
        <w:rPr>
          <w:rFonts w:ascii="Arial" w:eastAsia="Times New Roman" w:hAnsi="Arial" w:cs="Arial"/>
          <w:sz w:val="18"/>
          <w:szCs w:val="18"/>
          <w:lang w:eastAsia="en-GB"/>
        </w:rPr>
        <w:t>with</w:t>
      </w:r>
      <w:r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in a dynamic and reciprocal </w:t>
      </w:r>
      <w:r w:rsidR="00556849" w:rsidRPr="00300F73">
        <w:rPr>
          <w:rFonts w:ascii="Arial" w:eastAsia="Times New Roman" w:hAnsi="Arial" w:cs="Arial"/>
          <w:sz w:val="18"/>
          <w:szCs w:val="18"/>
          <w:lang w:eastAsia="en-GB"/>
        </w:rPr>
        <w:t>sense</w:t>
      </w:r>
      <w:r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to facilitat</w:t>
      </w:r>
      <w:r w:rsidR="0055684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e learning </w:t>
      </w:r>
      <w:r w:rsidR="004E4BA0" w:rsidRPr="00300F73">
        <w:rPr>
          <w:rFonts w:ascii="Arial" w:eastAsia="Times New Roman" w:hAnsi="Arial" w:cs="Arial"/>
          <w:sz w:val="18"/>
          <w:szCs w:val="18"/>
          <w:lang w:eastAsia="en-GB"/>
        </w:rPr>
        <w:t>with</w:t>
      </w:r>
      <w:r w:rsidR="0055684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in a social setting (McLeod, 2011). </w:t>
      </w:r>
      <w:r w:rsidR="001E516D" w:rsidRPr="00300F73">
        <w:rPr>
          <w:rFonts w:ascii="Arial" w:eastAsia="Times New Roman" w:hAnsi="Arial" w:cs="Arial"/>
          <w:sz w:val="18"/>
          <w:szCs w:val="18"/>
          <w:lang w:eastAsia="en-GB"/>
        </w:rPr>
        <w:t>A person is more likely to pick up and repeat a conduct in the future</w:t>
      </w:r>
      <w:r w:rsidR="00300F73">
        <w:rPr>
          <w:rFonts w:ascii="Arial" w:eastAsia="Times New Roman" w:hAnsi="Arial" w:cs="Arial"/>
          <w:sz w:val="18"/>
          <w:szCs w:val="18"/>
          <w:lang w:eastAsia="en-GB"/>
        </w:rPr>
        <w:t>,</w:t>
      </w:r>
      <w:r w:rsidR="001E516D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if they believe that it is appropr</w:t>
      </w:r>
      <w:r w:rsidR="004E4BA0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iate and, in </w:t>
      </w:r>
      <w:r w:rsidR="00300F73" w:rsidRPr="00300F73">
        <w:rPr>
          <w:rFonts w:ascii="Arial" w:eastAsia="Times New Roman" w:hAnsi="Arial" w:cs="Arial"/>
          <w:sz w:val="18"/>
          <w:szCs w:val="18"/>
          <w:lang w:eastAsia="en-GB"/>
        </w:rPr>
        <w:t>certain</w:t>
      </w:r>
      <w:r w:rsidR="004E4BA0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way</w:t>
      </w:r>
      <w:r w:rsidR="00300F73" w:rsidRPr="00300F73">
        <w:rPr>
          <w:rFonts w:ascii="Arial" w:eastAsia="Times New Roman" w:hAnsi="Arial" w:cs="Arial"/>
          <w:sz w:val="18"/>
          <w:szCs w:val="18"/>
          <w:lang w:eastAsia="en-GB"/>
        </w:rPr>
        <w:t>s</w:t>
      </w:r>
      <w:r w:rsidR="004E4BA0" w:rsidRPr="00300F73">
        <w:rPr>
          <w:rFonts w:ascii="Arial" w:eastAsia="Times New Roman" w:hAnsi="Arial" w:cs="Arial"/>
          <w:sz w:val="18"/>
          <w:szCs w:val="18"/>
          <w:lang w:eastAsia="en-GB"/>
        </w:rPr>
        <w:t>, rewarded (Cook, 2006).                                                                                                                                     In 1963, a study was c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ompiled by Bandura and Walters (1963), which included a ‘Bobo Doll’ and two groups of children. The purpose of the investigation was to emphasise how aggressive behaviour can be socially portrayed.                                                                         </w:t>
      </w:r>
      <w:r w:rsidR="00300F73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                                                                   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A doll was placed in a room, and the first group of children witnessed an adult abusively attacking it. Conversely, the second group acted as the 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>control group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>,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and as such saw no aggr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essive behaviour from the adult 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towards </w:t>
      </w:r>
      <w:r w:rsidR="00E11979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the doll (Cook, 2006). Following the experiment, the children were observed for twenty-minutes. The quantity of hostile behaviour they displayed was compared, and the first group of children demonstrated more aggression than the control group. </w:t>
      </w:r>
      <w:r w:rsidR="00300F73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                                        </w:t>
      </w:r>
      <w:r w:rsidR="00300F73">
        <w:rPr>
          <w:rFonts w:ascii="Arial" w:eastAsia="Times New Roman" w:hAnsi="Arial" w:cs="Arial"/>
          <w:sz w:val="18"/>
          <w:szCs w:val="18"/>
          <w:lang w:eastAsia="en-GB"/>
        </w:rPr>
        <w:t xml:space="preserve">                                                                                                 </w:t>
      </w:r>
      <w:r w:rsidR="00300F73" w:rsidRPr="00300F73">
        <w:rPr>
          <w:rFonts w:ascii="Arial" w:eastAsia="Times New Roman" w:hAnsi="Arial" w:cs="Arial"/>
          <w:sz w:val="18"/>
          <w:szCs w:val="18"/>
          <w:lang w:eastAsia="en-GB"/>
        </w:rPr>
        <w:t xml:space="preserve">  </w:t>
      </w:r>
      <w:r w:rsidR="00E11979" w:rsidRPr="00F3337A">
        <w:rPr>
          <w:rFonts w:ascii="Arial" w:eastAsia="Times New Roman" w:hAnsi="Arial" w:cs="Arial"/>
          <w:sz w:val="18"/>
          <w:szCs w:val="18"/>
          <w:lang w:eastAsia="en-GB"/>
        </w:rPr>
        <w:t xml:space="preserve">According to Bandura, all it takes for someone </w:t>
      </w:r>
      <w:r w:rsidR="00300F73" w:rsidRPr="00F3337A">
        <w:rPr>
          <w:rFonts w:ascii="Arial" w:eastAsia="Times New Roman" w:hAnsi="Arial" w:cs="Arial"/>
          <w:sz w:val="18"/>
          <w:szCs w:val="18"/>
          <w:lang w:eastAsia="en-GB"/>
        </w:rPr>
        <w:t>master criminal</w:t>
      </w:r>
      <w:r w:rsidR="00E11979" w:rsidRPr="00F3337A">
        <w:rPr>
          <w:rFonts w:ascii="Arial" w:eastAsia="Times New Roman" w:hAnsi="Arial" w:cs="Arial"/>
          <w:sz w:val="18"/>
          <w:szCs w:val="18"/>
          <w:lang w:eastAsia="en-GB"/>
        </w:rPr>
        <w:t xml:space="preserve"> behaviour is exposure; nevertheless, reinforcement also plays a role in social learning.</w:t>
      </w:r>
    </w:p>
    <w:p w:rsidR="004F591E" w:rsidRDefault="00727F55" w:rsidP="00300F73">
      <w:pPr>
        <w:rPr>
          <w:rFonts w:ascii="Arial" w:hAnsi="Arial" w:cs="Arial"/>
          <w:sz w:val="18"/>
          <w:szCs w:val="18"/>
        </w:rPr>
      </w:pPr>
      <w:r w:rsidRPr="00F3337A">
        <w:rPr>
          <w:rFonts w:ascii="Arial" w:hAnsi="Arial" w:cs="Arial"/>
          <w:sz w:val="18"/>
          <w:szCs w:val="18"/>
        </w:rPr>
        <w:t xml:space="preserve">A psychodynamic theory compiled by Sigmund Freud suggests how childhood experiences can cause a significant impact on ones’ adult life. Freud suggests that children’s experiences during the psychosexual stages of development, creates the personality of their later life (McLeod, 2024). </w:t>
      </w:r>
      <w:r w:rsidRPr="00F3337A">
        <w:rPr>
          <w:rFonts w:asciiTheme="majorHAnsi" w:eastAsia="Times New Roman" w:hAnsiTheme="majorHAnsi" w:cstheme="majorHAnsi"/>
          <w:sz w:val="18"/>
          <w:szCs w:val="18"/>
          <w:lang w:eastAsia="en-GB"/>
        </w:rPr>
        <w:t xml:space="preserve">                                                                                                   </w:t>
      </w:r>
      <w:r w:rsidRPr="00F3337A">
        <w:rPr>
          <w:rFonts w:ascii="Arial" w:eastAsia="Times New Roman" w:hAnsi="Arial" w:cs="Arial"/>
          <w:sz w:val="18"/>
          <w:szCs w:val="18"/>
          <w:lang w:eastAsia="en-GB"/>
        </w:rPr>
        <w:t>Freud believes that behaviour itself can be analysed in terms of three inner conflicts of the mind; the id, the ego and the superego. In essence, both the conscious mind (the ego) and the unconscious mind (the id and superego) are in constant conflict with one another.</w:t>
      </w:r>
      <w:r w:rsidR="00F3337A" w:rsidRPr="00F3337A">
        <w:rPr>
          <w:rFonts w:ascii="Arial" w:eastAsia="Times New Roman" w:hAnsi="Arial" w:cs="Arial"/>
          <w:sz w:val="18"/>
          <w:szCs w:val="18"/>
          <w:lang w:eastAsia="en-GB"/>
        </w:rPr>
        <w:t xml:space="preserve"> </w:t>
      </w:r>
      <w:r w:rsidR="00F3337A">
        <w:rPr>
          <w:rFonts w:ascii="Arial" w:eastAsia="Times New Roman" w:hAnsi="Arial" w:cs="Arial"/>
          <w:sz w:val="18"/>
          <w:szCs w:val="18"/>
          <w:lang w:eastAsia="en-GB"/>
        </w:rPr>
        <w:t>According to McLeod, t</w:t>
      </w:r>
      <w:r w:rsidR="00F3337A" w:rsidRPr="00F3337A">
        <w:rPr>
          <w:rFonts w:ascii="Arial" w:eastAsia="Times New Roman" w:hAnsi="Arial" w:cs="Arial"/>
          <w:sz w:val="18"/>
          <w:szCs w:val="18"/>
          <w:lang w:eastAsia="en-GB"/>
        </w:rPr>
        <w:t xml:space="preserve">o be mentally healthy, Freud’s theory emphasises that the ego must </w:t>
      </w:r>
      <w:r w:rsidR="00C37284">
        <w:rPr>
          <w:rFonts w:ascii="Arial" w:eastAsia="Times New Roman" w:hAnsi="Arial" w:cs="Arial"/>
          <w:sz w:val="18"/>
          <w:szCs w:val="18"/>
          <w:lang w:eastAsia="en-GB"/>
        </w:rPr>
        <w:t>confidently</w:t>
      </w:r>
      <w:r w:rsidR="00F3337A" w:rsidRPr="00F3337A">
        <w:rPr>
          <w:rFonts w:ascii="Arial" w:eastAsia="Times New Roman" w:hAnsi="Arial" w:cs="Arial"/>
          <w:sz w:val="18"/>
          <w:szCs w:val="18"/>
          <w:lang w:eastAsia="en-GB"/>
        </w:rPr>
        <w:t xml:space="preserve"> strike a balance between its own and the superego's demands.</w:t>
      </w:r>
      <w:r w:rsidR="00F3337A">
        <w:rPr>
          <w:rFonts w:ascii="Arial" w:eastAsia="Times New Roman" w:hAnsi="Arial" w:cs="Arial"/>
          <w:sz w:val="18"/>
          <w:szCs w:val="18"/>
          <w:lang w:eastAsia="en-GB"/>
        </w:rPr>
        <w:t xml:space="preserve"> </w:t>
      </w:r>
      <w:r w:rsidR="00F3337A" w:rsidRPr="00F3337A">
        <w:rPr>
          <w:rFonts w:ascii="Arial" w:eastAsia="Times New Roman" w:hAnsi="Arial" w:cs="Arial"/>
          <w:sz w:val="18"/>
          <w:szCs w:val="24"/>
          <w:lang w:eastAsia="en-GB"/>
        </w:rPr>
        <w:t xml:space="preserve">Should the superego take precedence, the person may experience neuroses such as depression. Should the dominant id take over, the person may experience psychosis, such as </w:t>
      </w:r>
      <w:proofErr w:type="gramStart"/>
      <w:r w:rsidR="00F3337A" w:rsidRPr="00F3337A">
        <w:rPr>
          <w:rFonts w:ascii="Arial" w:eastAsia="Times New Roman" w:hAnsi="Arial" w:cs="Arial"/>
          <w:sz w:val="18"/>
          <w:szCs w:val="24"/>
          <w:lang w:eastAsia="en-GB"/>
        </w:rPr>
        <w:t>schizophrenia</w:t>
      </w:r>
      <w:r w:rsidR="00F3337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  <w:r w:rsidR="00F3337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                                                                </w:t>
      </w:r>
      <w:r w:rsidR="00F3337A">
        <w:rPr>
          <w:rFonts w:ascii="Arial" w:eastAsia="Times New Roman" w:hAnsi="Arial" w:cs="Arial"/>
          <w:sz w:val="18"/>
          <w:szCs w:val="24"/>
          <w:lang w:eastAsia="en-GB"/>
        </w:rPr>
        <w:t>Freud was classed as one of the initial ‘modern therapists’, and he’d</w:t>
      </w:r>
      <w:r w:rsidR="00C37284">
        <w:rPr>
          <w:rFonts w:ascii="Arial" w:eastAsia="Times New Roman" w:hAnsi="Arial" w:cs="Arial"/>
          <w:sz w:val="18"/>
          <w:szCs w:val="24"/>
          <w:lang w:eastAsia="en-GB"/>
        </w:rPr>
        <w:t xml:space="preserve"> utilise </w:t>
      </w:r>
      <w:r w:rsidR="00F3337A">
        <w:rPr>
          <w:rFonts w:ascii="Arial" w:eastAsia="Times New Roman" w:hAnsi="Arial" w:cs="Arial"/>
          <w:sz w:val="18"/>
          <w:szCs w:val="24"/>
          <w:lang w:eastAsia="en-GB"/>
        </w:rPr>
        <w:t xml:space="preserve">his </w:t>
      </w:r>
      <w:r w:rsidR="00C37284">
        <w:rPr>
          <w:rFonts w:ascii="Arial" w:eastAsia="Times New Roman" w:hAnsi="Arial" w:cs="Arial"/>
          <w:sz w:val="18"/>
          <w:szCs w:val="24"/>
          <w:lang w:eastAsia="en-GB"/>
        </w:rPr>
        <w:t xml:space="preserve">theory when treating his patients. Freud would often resolve a client’s mental issue by delving back into their childhood and identify when the problem initially surfaced. </w:t>
      </w:r>
      <w:r w:rsidR="004F591E">
        <w:rPr>
          <w:rFonts w:ascii="Arial" w:eastAsia="Times New Roman" w:hAnsi="Arial" w:cs="Arial"/>
          <w:sz w:val="18"/>
          <w:szCs w:val="24"/>
          <w:lang w:eastAsia="en-GB"/>
        </w:rPr>
        <w:t xml:space="preserve">                                                                                                                                                     </w:t>
      </w:r>
      <w:r w:rsidR="00300F73" w:rsidRPr="00300F73">
        <w:rPr>
          <w:rFonts w:ascii="Arial" w:hAnsi="Arial" w:cs="Arial"/>
          <w:sz w:val="18"/>
          <w:szCs w:val="18"/>
        </w:rPr>
        <w:t>Prior to the birth of her sister in 1946, Myra Hindley grew up in Manchester with her parents, Nellie and Bobbie Hindley</w:t>
      </w:r>
      <w:r w:rsidR="009368F7">
        <w:rPr>
          <w:rFonts w:ascii="Arial" w:hAnsi="Arial" w:cs="Arial"/>
          <w:sz w:val="18"/>
          <w:szCs w:val="18"/>
        </w:rPr>
        <w:t xml:space="preserve">. </w:t>
      </w:r>
      <w:r w:rsidR="009368F7">
        <w:rPr>
          <w:rFonts w:ascii="Arial" w:hAnsi="Arial" w:cs="Arial"/>
          <w:sz w:val="18"/>
          <w:szCs w:val="18"/>
        </w:rPr>
        <w:t>Hindley’s parents were n</w:t>
      </w:r>
      <w:r w:rsidR="009368F7">
        <w:rPr>
          <w:rFonts w:ascii="Arial" w:hAnsi="Arial" w:cs="Arial"/>
          <w:sz w:val="18"/>
          <w:szCs w:val="18"/>
        </w:rPr>
        <w:t>ot financially stable,</w:t>
      </w:r>
      <w:r w:rsidR="009368F7" w:rsidRPr="00300F73">
        <w:rPr>
          <w:rFonts w:ascii="Arial" w:hAnsi="Arial" w:cs="Arial"/>
          <w:sz w:val="18"/>
          <w:szCs w:val="18"/>
        </w:rPr>
        <w:t xml:space="preserve"> </w:t>
      </w:r>
      <w:r w:rsidR="00BF7CCC">
        <w:rPr>
          <w:rFonts w:ascii="Arial" w:hAnsi="Arial" w:cs="Arial"/>
          <w:sz w:val="18"/>
          <w:szCs w:val="18"/>
        </w:rPr>
        <w:t xml:space="preserve">and </w:t>
      </w:r>
      <w:r w:rsidR="009368F7" w:rsidRPr="00300F73">
        <w:rPr>
          <w:rFonts w:ascii="Arial" w:hAnsi="Arial" w:cs="Arial"/>
          <w:sz w:val="18"/>
          <w:szCs w:val="18"/>
        </w:rPr>
        <w:t xml:space="preserve">at the age of five, </w:t>
      </w:r>
      <w:r w:rsidR="009368F7">
        <w:rPr>
          <w:rFonts w:ascii="Arial" w:hAnsi="Arial" w:cs="Arial"/>
          <w:sz w:val="18"/>
          <w:szCs w:val="18"/>
        </w:rPr>
        <w:t xml:space="preserve">when her sister was born, Hindley </w:t>
      </w:r>
      <w:r w:rsidR="009368F7" w:rsidRPr="00300F73">
        <w:rPr>
          <w:rFonts w:ascii="Arial" w:hAnsi="Arial" w:cs="Arial"/>
          <w:sz w:val="18"/>
          <w:szCs w:val="18"/>
        </w:rPr>
        <w:t>went</w:t>
      </w:r>
      <w:r w:rsidR="009368F7">
        <w:rPr>
          <w:rFonts w:ascii="Arial" w:hAnsi="Arial" w:cs="Arial"/>
          <w:sz w:val="18"/>
          <w:szCs w:val="18"/>
        </w:rPr>
        <w:t xml:space="preserve"> to live with her grandmother. </w:t>
      </w:r>
      <w:r w:rsidR="009368F7">
        <w:rPr>
          <w:rFonts w:ascii="Arial" w:hAnsi="Arial" w:cs="Arial"/>
          <w:sz w:val="18"/>
          <w:szCs w:val="18"/>
        </w:rPr>
        <w:t>Her parents were unable to financially afford two children.</w:t>
      </w:r>
      <w:r w:rsidR="00BF7CCC">
        <w:rPr>
          <w:rFonts w:ascii="Arial" w:hAnsi="Arial" w:cs="Arial"/>
          <w:sz w:val="18"/>
          <w:szCs w:val="18"/>
        </w:rPr>
        <w:t xml:space="preserve">                                         This in itself, may be a significant factor that contributed to Hindley’s lack of self-control and her susceptibility to influence and persuasion (</w:t>
      </w:r>
      <w:proofErr w:type="spellStart"/>
      <w:r w:rsidR="00BF7CCC">
        <w:rPr>
          <w:rFonts w:ascii="Arial" w:hAnsi="Arial" w:cs="Arial"/>
          <w:sz w:val="18"/>
          <w:szCs w:val="18"/>
        </w:rPr>
        <w:t>Weare</w:t>
      </w:r>
      <w:proofErr w:type="spellEnd"/>
      <w:r w:rsidR="00BF7CCC">
        <w:rPr>
          <w:rFonts w:ascii="Arial" w:hAnsi="Arial" w:cs="Arial"/>
          <w:sz w:val="18"/>
          <w:szCs w:val="18"/>
        </w:rPr>
        <w:t xml:space="preserve">, 2013).                                                                                                                           </w:t>
      </w:r>
      <w:r w:rsidR="00300F73" w:rsidRPr="00300F73">
        <w:rPr>
          <w:rFonts w:ascii="Arial" w:hAnsi="Arial" w:cs="Arial"/>
          <w:sz w:val="18"/>
          <w:szCs w:val="18"/>
        </w:rPr>
        <w:t xml:space="preserve">Since her father fought in the Second World War, Hindley learned how to defend herself and fight for what she </w:t>
      </w:r>
      <w:r w:rsidR="00300F73" w:rsidRPr="00300F73">
        <w:rPr>
          <w:rFonts w:ascii="Arial" w:hAnsi="Arial" w:cs="Arial"/>
          <w:sz w:val="18"/>
          <w:szCs w:val="18"/>
        </w:rPr>
        <w:lastRenderedPageBreak/>
        <w:t xml:space="preserve">believed in (Lee, 2012). There was, however, a violent connection between them both, and her father’s influence proved to impact Hindley’s behaviour significantly. </w:t>
      </w:r>
    </w:p>
    <w:p w:rsidR="00E654AD" w:rsidRDefault="000F27CE" w:rsidP="00300F73">
      <w:pPr>
        <w:rPr>
          <w:rFonts w:ascii="Arial" w:eastAsia="Times New Roman" w:hAnsi="Arial" w:cs="Arial"/>
          <w:sz w:val="18"/>
          <w:szCs w:val="24"/>
          <w:lang w:eastAsia="en-GB"/>
        </w:rPr>
      </w:pPr>
      <w:r>
        <w:rPr>
          <w:rFonts w:ascii="Arial" w:eastAsia="Times New Roman" w:hAnsi="Arial" w:cs="Arial"/>
          <w:sz w:val="18"/>
          <w:szCs w:val="24"/>
          <w:lang w:eastAsia="en-GB"/>
        </w:rPr>
        <w:t xml:space="preserve">In conclusion, given the </w:t>
      </w:r>
      <w:r w:rsidR="00663D0D">
        <w:rPr>
          <w:rFonts w:ascii="Arial" w:eastAsia="Times New Roman" w:hAnsi="Arial" w:cs="Arial"/>
          <w:sz w:val="18"/>
          <w:szCs w:val="24"/>
          <w:lang w:eastAsia="en-GB"/>
        </w:rPr>
        <w:t>suggested</w:t>
      </w:r>
      <w:r>
        <w:rPr>
          <w:rFonts w:ascii="Arial" w:eastAsia="Times New Roman" w:hAnsi="Arial" w:cs="Arial"/>
          <w:sz w:val="18"/>
          <w:szCs w:val="24"/>
          <w:lang w:eastAsia="en-GB"/>
        </w:rPr>
        <w:t xml:space="preserve"> theories, Hindley was not necessarily ‘born</w:t>
      </w:r>
      <w:r w:rsidR="00663D0D">
        <w:rPr>
          <w:rFonts w:ascii="Arial" w:eastAsia="Times New Roman" w:hAnsi="Arial" w:cs="Arial"/>
          <w:sz w:val="18"/>
          <w:szCs w:val="24"/>
          <w:lang w:eastAsia="en-GB"/>
        </w:rPr>
        <w:t>’</w:t>
      </w:r>
      <w:r>
        <w:rPr>
          <w:rFonts w:ascii="Arial" w:eastAsia="Times New Roman" w:hAnsi="Arial" w:cs="Arial"/>
          <w:sz w:val="18"/>
          <w:szCs w:val="24"/>
          <w:lang w:eastAsia="en-GB"/>
        </w:rPr>
        <w:t xml:space="preserve"> a criminal. There is no evidence to </w:t>
      </w:r>
      <w:r w:rsidR="00663D0D">
        <w:rPr>
          <w:rFonts w:ascii="Arial" w:eastAsia="Times New Roman" w:hAnsi="Arial" w:cs="Arial"/>
          <w:sz w:val="18"/>
          <w:szCs w:val="24"/>
          <w:lang w:eastAsia="en-GB"/>
        </w:rPr>
        <w:t>imply that</w:t>
      </w:r>
      <w:r>
        <w:rPr>
          <w:rFonts w:ascii="Arial" w:eastAsia="Times New Roman" w:hAnsi="Arial" w:cs="Arial"/>
          <w:sz w:val="18"/>
          <w:szCs w:val="24"/>
          <w:lang w:eastAsia="en-GB"/>
        </w:rPr>
        <w:t xml:space="preserve"> biological factors such as </w:t>
      </w:r>
      <w:r w:rsidR="00663D0D">
        <w:rPr>
          <w:rFonts w:ascii="Arial" w:eastAsia="Times New Roman" w:hAnsi="Arial" w:cs="Arial"/>
          <w:sz w:val="18"/>
          <w:szCs w:val="24"/>
          <w:lang w:eastAsia="en-GB"/>
        </w:rPr>
        <w:t xml:space="preserve">her </w:t>
      </w:r>
      <w:r>
        <w:rPr>
          <w:rFonts w:ascii="Arial" w:eastAsia="Times New Roman" w:hAnsi="Arial" w:cs="Arial"/>
          <w:sz w:val="18"/>
          <w:szCs w:val="24"/>
          <w:lang w:eastAsia="en-GB"/>
        </w:rPr>
        <w:t xml:space="preserve">genetics, predisposed her to </w:t>
      </w:r>
      <w:r w:rsidR="00E654AD">
        <w:rPr>
          <w:rFonts w:ascii="Arial" w:eastAsia="Times New Roman" w:hAnsi="Arial" w:cs="Arial"/>
          <w:sz w:val="18"/>
          <w:szCs w:val="24"/>
          <w:lang w:eastAsia="en-GB"/>
        </w:rPr>
        <w:t>become a criminal.</w:t>
      </w:r>
      <w:r w:rsidR="00663D0D">
        <w:rPr>
          <w:rFonts w:ascii="Arial" w:eastAsia="Times New Roman" w:hAnsi="Arial" w:cs="Arial"/>
          <w:sz w:val="18"/>
          <w:szCs w:val="24"/>
          <w:lang w:eastAsia="en-GB"/>
        </w:rPr>
        <w:t xml:space="preserve"> Rather, a complex interaction of social, psychological and environment</w:t>
      </w:r>
      <w:r w:rsidR="00E654AD">
        <w:rPr>
          <w:rFonts w:ascii="Arial" w:eastAsia="Times New Roman" w:hAnsi="Arial" w:cs="Arial"/>
          <w:sz w:val="18"/>
          <w:szCs w:val="24"/>
          <w:lang w:eastAsia="en-GB"/>
        </w:rPr>
        <w:t>al</w:t>
      </w:r>
      <w:r w:rsidR="00663D0D">
        <w:rPr>
          <w:rFonts w:ascii="Arial" w:eastAsia="Times New Roman" w:hAnsi="Arial" w:cs="Arial"/>
          <w:sz w:val="18"/>
          <w:szCs w:val="24"/>
          <w:lang w:eastAsia="en-GB"/>
        </w:rPr>
        <w:t xml:space="preserve"> elements led to her particip</w:t>
      </w:r>
      <w:r w:rsidR="00E654AD">
        <w:rPr>
          <w:rFonts w:ascii="Arial" w:eastAsia="Times New Roman" w:hAnsi="Arial" w:cs="Arial"/>
          <w:sz w:val="18"/>
          <w:szCs w:val="24"/>
          <w:lang w:eastAsia="en-GB"/>
        </w:rPr>
        <w:t xml:space="preserve">ation in the murders. </w:t>
      </w:r>
      <w:r w:rsidR="00663D0D">
        <w:rPr>
          <w:rFonts w:ascii="Arial" w:eastAsia="Times New Roman" w:hAnsi="Arial" w:cs="Arial"/>
          <w:sz w:val="18"/>
          <w:szCs w:val="24"/>
          <w:lang w:eastAsia="en-GB"/>
        </w:rPr>
        <w:t>As mentioned previously, Hindley’s exposure to violence, as well as a turbulent home situation as a child, significantly impact</w:t>
      </w:r>
      <w:r w:rsidR="00E654AD">
        <w:rPr>
          <w:rFonts w:ascii="Arial" w:eastAsia="Times New Roman" w:hAnsi="Arial" w:cs="Arial"/>
          <w:sz w:val="18"/>
          <w:szCs w:val="24"/>
          <w:lang w:eastAsia="en-GB"/>
        </w:rPr>
        <w:t xml:space="preserve">ed her behaviour in later life.                                                                                                                                           With that said, one must appreciate that not all individuals who experience comparable difficulties as a child engage in criminal activity. There are often multiple intricate and varied contributing factors that can stray one towards crime. </w:t>
      </w:r>
    </w:p>
    <w:p w:rsidR="00E654AD" w:rsidRDefault="00E654AD" w:rsidP="00300F73">
      <w:pPr>
        <w:rPr>
          <w:rFonts w:ascii="Arial" w:eastAsia="Times New Roman" w:hAnsi="Arial" w:cs="Arial"/>
          <w:sz w:val="18"/>
          <w:szCs w:val="24"/>
          <w:lang w:eastAsia="en-GB"/>
        </w:rPr>
      </w:pPr>
    </w:p>
    <w:p w:rsidR="00E654AD" w:rsidRDefault="00E654AD" w:rsidP="00300F73">
      <w:pPr>
        <w:rPr>
          <w:rFonts w:ascii="Arial" w:eastAsia="Times New Roman" w:hAnsi="Arial" w:cs="Arial"/>
          <w:sz w:val="18"/>
          <w:szCs w:val="24"/>
          <w:lang w:eastAsia="en-GB"/>
        </w:rPr>
      </w:pPr>
    </w:p>
    <w:p w:rsidR="00537EED" w:rsidRPr="00E654AD" w:rsidRDefault="00537EED" w:rsidP="00300F73">
      <w:pPr>
        <w:rPr>
          <w:rFonts w:ascii="Arial" w:eastAsia="Times New Roman" w:hAnsi="Arial" w:cs="Arial"/>
          <w:sz w:val="18"/>
          <w:szCs w:val="24"/>
          <w:lang w:eastAsia="en-GB"/>
        </w:rPr>
      </w:pPr>
      <w:r w:rsidRPr="009368F7">
        <w:rPr>
          <w:rFonts w:ascii="Arial" w:hAnsi="Arial" w:cs="Arial"/>
          <w:sz w:val="20"/>
          <w:u w:val="single"/>
        </w:rPr>
        <w:t>Reference List</w:t>
      </w:r>
    </w:p>
    <w:p w:rsidR="00C86637" w:rsidRPr="009368F7" w:rsidRDefault="00C86637" w:rsidP="00184A10">
      <w:pPr>
        <w:pStyle w:val="ListParagraph"/>
        <w:numPr>
          <w:ilvl w:val="0"/>
          <w:numId w:val="3"/>
        </w:numPr>
        <w:rPr>
          <w:rFonts w:ascii="Arial" w:hAnsi="Arial" w:cs="Arial"/>
          <w:sz w:val="18"/>
          <w:szCs w:val="18"/>
          <w:u w:val="single"/>
        </w:rPr>
      </w:pP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Benfield, A. (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1968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. The moors murders. </w:t>
      </w:r>
      <w:r w:rsidRPr="009368F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The Police Journal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, </w:t>
      </w:r>
      <w:r w:rsidRPr="009368F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41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(4), pp.147-159.</w:t>
      </w:r>
    </w:p>
    <w:p w:rsidR="00184A10" w:rsidRPr="009368F7" w:rsidRDefault="00184A10" w:rsidP="00184A10">
      <w:pPr>
        <w:pStyle w:val="ListParagraph"/>
        <w:numPr>
          <w:ilvl w:val="0"/>
          <w:numId w:val="3"/>
        </w:numPr>
        <w:rPr>
          <w:rFonts w:ascii="Arial" w:hAnsi="Arial" w:cs="Arial"/>
          <w:sz w:val="18"/>
          <w:szCs w:val="18"/>
          <w:u w:val="single"/>
        </w:rPr>
      </w:pPr>
      <w:r w:rsidRPr="009368F7">
        <w:rPr>
          <w:rFonts w:ascii="Arial" w:hAnsi="Arial" w:cs="Arial"/>
          <w:sz w:val="18"/>
          <w:szCs w:val="18"/>
          <w:shd w:val="clear" w:color="auto" w:fill="FFFFFF"/>
        </w:rPr>
        <w:t>Bourke, J. (</w:t>
      </w:r>
      <w:r w:rsidRPr="009368F7">
        <w:rPr>
          <w:rFonts w:ascii="Arial" w:hAnsi="Arial" w:cs="Arial"/>
          <w:sz w:val="18"/>
          <w:szCs w:val="18"/>
          <w:shd w:val="clear" w:color="auto" w:fill="FFFFFF"/>
        </w:rPr>
        <w:t>2021</w:t>
      </w:r>
      <w:r w:rsidRPr="009368F7">
        <w:rPr>
          <w:rFonts w:ascii="Arial" w:hAnsi="Arial" w:cs="Arial"/>
          <w:sz w:val="18"/>
          <w:szCs w:val="18"/>
          <w:shd w:val="clear" w:color="auto" w:fill="FFFFFF"/>
        </w:rPr>
        <w:t>)</w:t>
      </w:r>
      <w:r w:rsidRPr="009368F7">
        <w:rPr>
          <w:rFonts w:ascii="Arial" w:hAnsi="Arial" w:cs="Arial"/>
          <w:sz w:val="18"/>
          <w:szCs w:val="18"/>
          <w:shd w:val="clear" w:color="auto" w:fill="FFFFFF"/>
        </w:rPr>
        <w:t>. Myra Hindley on the Moors.</w:t>
      </w:r>
    </w:p>
    <w:p w:rsidR="00184A10" w:rsidRPr="009368F7" w:rsidRDefault="00184A10" w:rsidP="00184A10">
      <w:pPr>
        <w:pStyle w:val="ListParagraph"/>
        <w:numPr>
          <w:ilvl w:val="0"/>
          <w:numId w:val="3"/>
        </w:numPr>
        <w:rPr>
          <w:rFonts w:ascii="Arial" w:hAnsi="Arial" w:cs="Arial"/>
          <w:sz w:val="18"/>
          <w:szCs w:val="18"/>
          <w:u w:val="single"/>
        </w:rPr>
      </w:pPr>
      <w:r w:rsidRPr="009368F7">
        <w:rPr>
          <w:rFonts w:ascii="Arial" w:hAnsi="Arial" w:cs="Arial"/>
          <w:sz w:val="18"/>
          <w:szCs w:val="18"/>
          <w:shd w:val="clear" w:color="auto" w:fill="FFFFFF"/>
        </w:rPr>
        <w:t>Bradley, Jeremy, ‘She Lives in Victim Country’: A Feminist Response to Empathy for Violent Offenders (January 20, 2014). University of Leicester School o</w:t>
      </w:r>
      <w:r w:rsidRPr="009368F7">
        <w:rPr>
          <w:rFonts w:ascii="Arial" w:hAnsi="Arial" w:cs="Arial"/>
          <w:sz w:val="18"/>
          <w:szCs w:val="18"/>
          <w:shd w:val="clear" w:color="auto" w:fill="FFFFFF"/>
        </w:rPr>
        <w:t xml:space="preserve">f Law Research Paper No. 14-01. Available at </w:t>
      </w:r>
      <w:r w:rsidRPr="009368F7">
        <w:rPr>
          <w:rFonts w:ascii="Arial" w:hAnsi="Arial" w:cs="Arial"/>
          <w:sz w:val="18"/>
          <w:szCs w:val="18"/>
          <w:shd w:val="clear" w:color="auto" w:fill="FFFFFF"/>
        </w:rPr>
        <w:t>SSRN: </w:t>
      </w:r>
      <w:hyperlink r:id="rId7" w:tgtFrame="_blank" w:history="1">
        <w:r w:rsidRPr="009368F7">
          <w:rPr>
            <w:rStyle w:val="Hyperlink"/>
            <w:rFonts w:ascii="Arial" w:hAnsi="Arial" w:cs="Arial"/>
            <w:color w:val="auto"/>
            <w:sz w:val="18"/>
            <w:szCs w:val="18"/>
            <w:shd w:val="clear" w:color="auto" w:fill="FFFFFF"/>
          </w:rPr>
          <w:t>https://ssrn.com/abstract=2381989</w:t>
        </w:r>
      </w:hyperlink>
      <w:r w:rsidRPr="009368F7">
        <w:rPr>
          <w:rFonts w:ascii="Arial" w:hAnsi="Arial" w:cs="Arial"/>
          <w:sz w:val="18"/>
          <w:szCs w:val="18"/>
          <w:shd w:val="clear" w:color="auto" w:fill="FFFFFF"/>
        </w:rPr>
        <w:t> or </w:t>
      </w:r>
      <w:hyperlink r:id="rId8" w:tgtFrame="_blank" w:history="1">
        <w:r w:rsidRPr="009368F7">
          <w:rPr>
            <w:rStyle w:val="Hyperlink"/>
            <w:rFonts w:ascii="Arial" w:hAnsi="Arial" w:cs="Arial"/>
            <w:color w:val="auto"/>
            <w:sz w:val="18"/>
            <w:szCs w:val="18"/>
            <w:shd w:val="clear" w:color="auto" w:fill="FFFFFF"/>
          </w:rPr>
          <w:t>http://dx.doi.org/10.2139/ssrn.2381989</w:t>
        </w:r>
      </w:hyperlink>
      <w:r w:rsidRPr="009368F7">
        <w:rPr>
          <w:rFonts w:ascii="Arial" w:hAnsi="Arial" w:cs="Arial"/>
          <w:sz w:val="18"/>
          <w:szCs w:val="18"/>
        </w:rPr>
        <w:t>. (Accessed on 11</w:t>
      </w:r>
      <w:r w:rsidRPr="009368F7">
        <w:rPr>
          <w:rFonts w:ascii="Arial" w:hAnsi="Arial" w:cs="Arial"/>
          <w:sz w:val="18"/>
          <w:szCs w:val="18"/>
          <w:vertAlign w:val="superscript"/>
        </w:rPr>
        <w:t>th</w:t>
      </w:r>
      <w:r w:rsidRPr="009368F7">
        <w:rPr>
          <w:rFonts w:ascii="Arial" w:hAnsi="Arial" w:cs="Arial"/>
          <w:sz w:val="18"/>
          <w:szCs w:val="18"/>
        </w:rPr>
        <w:t xml:space="preserve"> March, 2024)</w:t>
      </w:r>
    </w:p>
    <w:p w:rsidR="004E4BA0" w:rsidRPr="009368F7" w:rsidRDefault="004E4BA0" w:rsidP="00184A10">
      <w:pPr>
        <w:pStyle w:val="ListParagraph"/>
        <w:numPr>
          <w:ilvl w:val="0"/>
          <w:numId w:val="3"/>
        </w:numPr>
        <w:rPr>
          <w:rFonts w:ascii="Arial" w:hAnsi="Arial" w:cs="Arial"/>
          <w:sz w:val="18"/>
          <w:szCs w:val="18"/>
          <w:u w:val="single"/>
        </w:rPr>
      </w:pP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Cook, M. (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2006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. The Rage Within</w:t>
      </w:r>
      <w:r w:rsidRPr="009368F7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184A10" w:rsidRPr="009368F7" w:rsidRDefault="00537EED" w:rsidP="00184A10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Cummins, I., Foley, M., King, M., Cummi</w:t>
      </w:r>
      <w:r w:rsidR="00184A10"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ns, I., Foley, M. and King, M. (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2019</w:t>
      </w:r>
      <w:r w:rsidR="00184A10"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. </w:t>
      </w:r>
      <w:proofErr w:type="spellStart"/>
      <w:proofErr w:type="gramStart"/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Hindley:‘</w:t>
      </w:r>
      <w:proofErr w:type="gramEnd"/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The</w:t>
      </w:r>
      <w:proofErr w:type="spellEnd"/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 Most Evil Woman in Britain’?. </w:t>
      </w:r>
      <w:r w:rsidRPr="009368F7">
        <w:rPr>
          <w:rFonts w:ascii="Arial" w:hAnsi="Arial" w:cs="Arial"/>
          <w:iCs/>
          <w:color w:val="222222"/>
          <w:sz w:val="18"/>
          <w:szCs w:val="18"/>
          <w:shd w:val="clear" w:color="auto" w:fill="FFFFFF"/>
        </w:rPr>
        <w:t>Serial Killers and the Media: The Moors Murders Legacy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, pp.115-134.</w:t>
      </w:r>
    </w:p>
    <w:p w:rsidR="003A06A7" w:rsidRPr="009368F7" w:rsidRDefault="00184A10" w:rsidP="003A06A7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Harrison, F. (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2016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. </w:t>
      </w:r>
      <w:r w:rsidRPr="009368F7">
        <w:rPr>
          <w:rFonts w:ascii="Arial" w:hAnsi="Arial" w:cs="Arial"/>
          <w:iCs/>
          <w:color w:val="222222"/>
          <w:sz w:val="18"/>
          <w:szCs w:val="18"/>
          <w:shd w:val="clear" w:color="auto" w:fill="FFFFFF"/>
        </w:rPr>
        <w:t>Brady and Hindley: Genesis of the moors murders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. Open Road Media.</w:t>
      </w:r>
    </w:p>
    <w:p w:rsidR="004B5114" w:rsidRPr="009368F7" w:rsidRDefault="004B5114" w:rsidP="003A06A7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4"/>
          <w:szCs w:val="18"/>
          <w:shd w:val="clear" w:color="auto" w:fill="FFFFFF"/>
        </w:rPr>
      </w:pPr>
      <w:r w:rsidRPr="009368F7">
        <w:rPr>
          <w:rFonts w:ascii="Arial" w:hAnsi="Arial" w:cs="Arial"/>
          <w:sz w:val="18"/>
        </w:rPr>
        <w:t xml:space="preserve">Hoffman, L. W. (1993). Hoffman </w:t>
      </w:r>
      <w:proofErr w:type="spellStart"/>
      <w:r w:rsidRPr="009368F7">
        <w:rPr>
          <w:rFonts w:ascii="Arial" w:hAnsi="Arial" w:cs="Arial"/>
          <w:sz w:val="18"/>
        </w:rPr>
        <w:t>Devlopmental</w:t>
      </w:r>
      <w:proofErr w:type="spellEnd"/>
      <w:r w:rsidRPr="009368F7">
        <w:rPr>
          <w:rFonts w:ascii="Arial" w:hAnsi="Arial" w:cs="Arial"/>
          <w:sz w:val="18"/>
        </w:rPr>
        <w:t xml:space="preserve"> Psychology Today: McGraw-Hill Companies, The</w:t>
      </w:r>
    </w:p>
    <w:p w:rsidR="00184A10" w:rsidRPr="009368F7" w:rsidRDefault="00184A10" w:rsidP="00184A10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proofErr w:type="spellStart"/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Keightley</w:t>
      </w:r>
      <w:proofErr w:type="spellEnd"/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, A. (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2017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. </w:t>
      </w:r>
      <w:r w:rsidRPr="009368F7">
        <w:rPr>
          <w:rFonts w:ascii="Arial" w:hAnsi="Arial" w:cs="Arial"/>
          <w:iCs/>
          <w:color w:val="222222"/>
          <w:sz w:val="18"/>
          <w:szCs w:val="18"/>
          <w:shd w:val="clear" w:color="auto" w:fill="FFFFFF"/>
        </w:rPr>
        <w:t>Ian Brady: The Untold Story of the Moors Murders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. Robson.</w:t>
      </w:r>
    </w:p>
    <w:p w:rsidR="00184A10" w:rsidRPr="009368F7" w:rsidRDefault="00184A10" w:rsidP="00184A10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Lee, C.A. (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2011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. </w:t>
      </w:r>
      <w:r w:rsidRPr="009368F7">
        <w:rPr>
          <w:rFonts w:ascii="Arial" w:hAnsi="Arial" w:cs="Arial"/>
          <w:iCs/>
          <w:color w:val="222222"/>
          <w:sz w:val="18"/>
          <w:szCs w:val="18"/>
          <w:shd w:val="clear" w:color="auto" w:fill="FFFFFF"/>
        </w:rPr>
        <w:t>One of your own: The life and death of Myra Hindley</w:t>
      </w:r>
      <w:r w:rsidRPr="009368F7">
        <w:rPr>
          <w:rFonts w:ascii="Arial" w:hAnsi="Arial" w:cs="Arial"/>
          <w:color w:val="222222"/>
          <w:sz w:val="18"/>
          <w:szCs w:val="18"/>
          <w:shd w:val="clear" w:color="auto" w:fill="FFFFFF"/>
        </w:rPr>
        <w:t>. Random House.</w:t>
      </w:r>
    </w:p>
    <w:p w:rsidR="00470845" w:rsidRPr="00470845" w:rsidRDefault="00556849" w:rsidP="00470845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McLeod, S. (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2011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. Albert Bandura's social learning theory. </w:t>
      </w:r>
      <w:r w:rsidRPr="009368F7">
        <w:rPr>
          <w:rFonts w:ascii="Arial" w:hAnsi="Arial" w:cs="Arial"/>
          <w:i/>
          <w:iCs/>
          <w:color w:val="222222"/>
          <w:sz w:val="18"/>
          <w:szCs w:val="20"/>
          <w:shd w:val="clear" w:color="auto" w:fill="FFFFFF"/>
        </w:rPr>
        <w:t>Simply Psychology. London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.</w:t>
      </w:r>
    </w:p>
    <w:p w:rsidR="00470845" w:rsidRPr="00470845" w:rsidRDefault="00470845" w:rsidP="00470845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proofErr w:type="spellStart"/>
      <w:r w:rsidRPr="00470845">
        <w:rPr>
          <w:rFonts w:ascii="Arial" w:hAnsi="Arial" w:cs="Arial"/>
          <w:sz w:val="18"/>
        </w:rPr>
        <w:t>Mcleod</w:t>
      </w:r>
      <w:proofErr w:type="spellEnd"/>
      <w:r w:rsidRPr="00470845">
        <w:rPr>
          <w:rFonts w:ascii="Arial" w:hAnsi="Arial" w:cs="Arial"/>
          <w:i/>
          <w:iCs/>
          <w:sz w:val="18"/>
        </w:rPr>
        <w:t xml:space="preserve">, S </w:t>
      </w:r>
      <w:r w:rsidRPr="00470845">
        <w:rPr>
          <w:rFonts w:ascii="Arial" w:hAnsi="Arial" w:cs="Arial"/>
          <w:sz w:val="18"/>
        </w:rPr>
        <w:t xml:space="preserve">(2024) </w:t>
      </w:r>
      <w:r w:rsidRPr="00470845">
        <w:rPr>
          <w:rFonts w:ascii="Arial" w:hAnsi="Arial" w:cs="Arial"/>
          <w:i/>
          <w:iCs/>
          <w:sz w:val="18"/>
        </w:rPr>
        <w:t>Psychodynamic approach in psychology</w:t>
      </w:r>
      <w:r w:rsidRPr="00470845">
        <w:rPr>
          <w:rFonts w:ascii="Arial" w:hAnsi="Arial" w:cs="Arial"/>
          <w:sz w:val="18"/>
        </w:rPr>
        <w:t xml:space="preserve">, </w:t>
      </w:r>
      <w:r w:rsidRPr="00470845">
        <w:rPr>
          <w:rFonts w:ascii="Arial" w:hAnsi="Arial" w:cs="Arial"/>
          <w:i/>
          <w:iCs/>
          <w:sz w:val="18"/>
        </w:rPr>
        <w:t>Simply Psychology</w:t>
      </w:r>
      <w:r w:rsidRPr="00470845">
        <w:rPr>
          <w:rFonts w:ascii="Arial" w:hAnsi="Arial" w:cs="Arial"/>
          <w:sz w:val="18"/>
        </w:rPr>
        <w:t xml:space="preserve">. Available at: </w:t>
      </w:r>
      <w:hyperlink r:id="rId9" w:history="1">
        <w:r w:rsidRPr="00182585">
          <w:rPr>
            <w:rStyle w:val="Hyperlink"/>
            <w:rFonts w:ascii="Arial" w:hAnsi="Arial" w:cs="Arial"/>
            <w:sz w:val="18"/>
          </w:rPr>
          <w:t>https://www.simplypsychology.org/psychodynamic.html</w:t>
        </w:r>
      </w:hyperlink>
      <w:r>
        <w:rPr>
          <w:rFonts w:ascii="Arial" w:hAnsi="Arial" w:cs="Arial"/>
          <w:sz w:val="18"/>
        </w:rPr>
        <w:t xml:space="preserve"> </w:t>
      </w:r>
      <w:r w:rsidRPr="00470845">
        <w:rPr>
          <w:rFonts w:ascii="Arial" w:hAnsi="Arial" w:cs="Arial"/>
          <w:sz w:val="18"/>
        </w:rPr>
        <w:t xml:space="preserve">(Accessed: 14 March 2024). </w:t>
      </w:r>
    </w:p>
    <w:p w:rsidR="0055369B" w:rsidRPr="00470845" w:rsidRDefault="0055369B" w:rsidP="00470845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470845">
        <w:rPr>
          <w:rFonts w:ascii="Arial" w:hAnsi="Arial" w:cs="Arial"/>
          <w:sz w:val="18"/>
          <w:szCs w:val="18"/>
        </w:rPr>
        <w:t xml:space="preserve">Murphy, T., and </w:t>
      </w:r>
      <w:proofErr w:type="spellStart"/>
      <w:r w:rsidRPr="00470845">
        <w:rPr>
          <w:rFonts w:ascii="Arial" w:hAnsi="Arial" w:cs="Arial"/>
          <w:sz w:val="18"/>
          <w:szCs w:val="18"/>
        </w:rPr>
        <w:t>Whitty</w:t>
      </w:r>
      <w:proofErr w:type="spellEnd"/>
      <w:r w:rsidRPr="00470845">
        <w:rPr>
          <w:rFonts w:ascii="Arial" w:hAnsi="Arial" w:cs="Arial"/>
          <w:sz w:val="18"/>
          <w:szCs w:val="18"/>
        </w:rPr>
        <w:t>, N. (2006) The question of evil and feminist legal scholarship. Feminist Legal Studies, 14, 1, pp 1-26.</w:t>
      </w:r>
    </w:p>
    <w:p w:rsidR="004B5114" w:rsidRPr="009368F7" w:rsidRDefault="004B5114" w:rsidP="00184A10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6"/>
          <w:szCs w:val="18"/>
          <w:shd w:val="clear" w:color="auto" w:fill="FFFFFF"/>
        </w:rPr>
      </w:pPr>
      <w:proofErr w:type="spellStart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Nabavi</w:t>
      </w:r>
      <w:proofErr w:type="spellEnd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, R.T. (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2012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. Bandura’s social learning theory &amp; social cognitive learning theory. </w:t>
      </w:r>
      <w:r w:rsidRPr="009368F7">
        <w:rPr>
          <w:rFonts w:ascii="Arial" w:hAnsi="Arial" w:cs="Arial"/>
          <w:i/>
          <w:iCs/>
          <w:color w:val="222222"/>
          <w:sz w:val="18"/>
          <w:szCs w:val="20"/>
          <w:shd w:val="clear" w:color="auto" w:fill="FFFFFF"/>
        </w:rPr>
        <w:t>Theory of Developmental Psychology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, </w:t>
      </w:r>
      <w:r w:rsidRPr="009368F7">
        <w:rPr>
          <w:rFonts w:ascii="Arial" w:hAnsi="Arial" w:cs="Arial"/>
          <w:i/>
          <w:iCs/>
          <w:color w:val="222222"/>
          <w:sz w:val="18"/>
          <w:szCs w:val="20"/>
          <w:shd w:val="clear" w:color="auto" w:fill="FFFFFF"/>
        </w:rPr>
        <w:t>1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(1), pp.1-24.</w:t>
      </w:r>
    </w:p>
    <w:p w:rsidR="009368F7" w:rsidRPr="009368F7" w:rsidRDefault="009368F7" w:rsidP="00184A10">
      <w:pPr>
        <w:pStyle w:val="ListParagraph"/>
        <w:numPr>
          <w:ilvl w:val="0"/>
          <w:numId w:val="3"/>
        </w:numPr>
        <w:rPr>
          <w:rFonts w:ascii="Arial" w:hAnsi="Arial" w:cs="Arial"/>
          <w:color w:val="222222"/>
          <w:sz w:val="14"/>
          <w:szCs w:val="18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18"/>
          <w:szCs w:val="20"/>
          <w:shd w:val="clear" w:color="auto" w:fill="FFFFFF"/>
        </w:rPr>
        <w:t>Weare</w:t>
      </w:r>
      <w:proofErr w:type="spellEnd"/>
      <w:r>
        <w:rPr>
          <w:rFonts w:ascii="Arial" w:hAnsi="Arial" w:cs="Arial"/>
          <w:color w:val="222222"/>
          <w:sz w:val="18"/>
          <w:szCs w:val="20"/>
          <w:shd w:val="clear" w:color="auto" w:fill="FFFFFF"/>
        </w:rPr>
        <w:t>, S. (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2013</w:t>
      </w:r>
      <w:r>
        <w:rPr>
          <w:rFonts w:ascii="Arial" w:hAnsi="Arial" w:cs="Arial"/>
          <w:color w:val="222222"/>
          <w:sz w:val="18"/>
          <w:szCs w:val="20"/>
          <w:shd w:val="clear" w:color="auto" w:fill="FFFFFF"/>
        </w:rPr>
        <w:t>)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 xml:space="preserve">. “The </w:t>
      </w:r>
      <w:proofErr w:type="spellStart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mad</w:t>
      </w:r>
      <w:proofErr w:type="gramStart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”,“</w:t>
      </w:r>
      <w:proofErr w:type="gramEnd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the</w:t>
      </w:r>
      <w:proofErr w:type="spellEnd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 xml:space="preserve"> </w:t>
      </w:r>
      <w:proofErr w:type="spellStart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bad”,“the</w:t>
      </w:r>
      <w:proofErr w:type="spellEnd"/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 xml:space="preserve"> victim”: Gendered constructions of women who kill within the criminal justice system. </w:t>
      </w:r>
      <w:r w:rsidRPr="009368F7">
        <w:rPr>
          <w:rFonts w:ascii="Arial" w:hAnsi="Arial" w:cs="Arial"/>
          <w:i/>
          <w:iCs/>
          <w:color w:val="222222"/>
          <w:sz w:val="18"/>
          <w:szCs w:val="20"/>
          <w:shd w:val="clear" w:color="auto" w:fill="FFFFFF"/>
        </w:rPr>
        <w:t>Laws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, </w:t>
      </w:r>
      <w:r w:rsidRPr="009368F7">
        <w:rPr>
          <w:rFonts w:ascii="Arial" w:hAnsi="Arial" w:cs="Arial"/>
          <w:i/>
          <w:iCs/>
          <w:color w:val="222222"/>
          <w:sz w:val="18"/>
          <w:szCs w:val="20"/>
          <w:shd w:val="clear" w:color="auto" w:fill="FFFFFF"/>
        </w:rPr>
        <w:t>2</w:t>
      </w:r>
      <w:r w:rsidRPr="009368F7">
        <w:rPr>
          <w:rFonts w:ascii="Arial" w:hAnsi="Arial" w:cs="Arial"/>
          <w:color w:val="222222"/>
          <w:sz w:val="18"/>
          <w:szCs w:val="20"/>
          <w:shd w:val="clear" w:color="auto" w:fill="FFFFFF"/>
        </w:rPr>
        <w:t>(3), pp.337-361.</w:t>
      </w:r>
      <w:bookmarkStart w:id="0" w:name="_GoBack"/>
      <w:bookmarkEnd w:id="0"/>
    </w:p>
    <w:p w:rsidR="0055369B" w:rsidRDefault="0055369B"/>
    <w:p w:rsidR="00184A10" w:rsidRDefault="00184A10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C37284" w:rsidRDefault="00C37284">
      <w:pPr>
        <w:rPr>
          <w:rFonts w:asciiTheme="majorHAnsi" w:hAnsiTheme="majorHAnsi" w:cstheme="majorHAnsi"/>
          <w:sz w:val="20"/>
          <w:szCs w:val="20"/>
        </w:rPr>
      </w:pPr>
    </w:p>
    <w:p w:rsidR="00C37284" w:rsidRDefault="00C37284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C96652" w:rsidRDefault="00C96652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Pr="0055369B" w:rsidRDefault="0055369B" w:rsidP="0055369B">
      <w:pPr>
        <w:pStyle w:val="NormalWeb"/>
        <w:rPr>
          <w:rFonts w:asciiTheme="majorHAnsi" w:hAnsiTheme="majorHAnsi" w:cstheme="majorHAnsi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Default="0055369B">
      <w:pPr>
        <w:rPr>
          <w:rFonts w:asciiTheme="majorHAnsi" w:hAnsiTheme="majorHAnsi" w:cstheme="majorHAnsi"/>
          <w:sz w:val="20"/>
          <w:szCs w:val="20"/>
        </w:rPr>
      </w:pPr>
    </w:p>
    <w:p w:rsidR="0055369B" w:rsidRPr="0055369B" w:rsidRDefault="0055369B">
      <w:pPr>
        <w:rPr>
          <w:rFonts w:asciiTheme="majorHAnsi" w:hAnsiTheme="majorHAnsi" w:cstheme="majorHAnsi"/>
          <w:sz w:val="20"/>
          <w:szCs w:val="20"/>
        </w:rPr>
      </w:pPr>
    </w:p>
    <w:sectPr w:rsidR="0055369B" w:rsidRPr="0055369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72943" w:rsidRDefault="00372943" w:rsidP="0055369B">
      <w:pPr>
        <w:spacing w:after="0" w:line="240" w:lineRule="auto"/>
      </w:pPr>
      <w:r>
        <w:separator/>
      </w:r>
    </w:p>
  </w:endnote>
  <w:endnote w:type="continuationSeparator" w:id="0">
    <w:p w:rsidR="00372943" w:rsidRDefault="00372943" w:rsidP="005536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72943" w:rsidRDefault="00372943" w:rsidP="0055369B">
      <w:pPr>
        <w:spacing w:after="0" w:line="240" w:lineRule="auto"/>
      </w:pPr>
      <w:r>
        <w:separator/>
      </w:r>
    </w:p>
  </w:footnote>
  <w:footnote w:type="continuationSeparator" w:id="0">
    <w:p w:rsidR="00372943" w:rsidRDefault="00372943" w:rsidP="005536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91269" w:rsidRPr="0055369B" w:rsidRDefault="00491269">
    <w:pPr>
      <w:pStyle w:val="Header"/>
      <w:rPr>
        <w:sz w:val="14"/>
      </w:rPr>
    </w:pPr>
    <w:r w:rsidRPr="0055369B">
      <w:rPr>
        <w:sz w:val="14"/>
      </w:rPr>
      <w:t>Emily Prothero</w:t>
    </w:r>
  </w:p>
  <w:p w:rsidR="00491269" w:rsidRPr="0055369B" w:rsidRDefault="00491269">
    <w:pPr>
      <w:pStyle w:val="Header"/>
      <w:rPr>
        <w:sz w:val="14"/>
      </w:rPr>
    </w:pPr>
    <w:r w:rsidRPr="0055369B">
      <w:rPr>
        <w:sz w:val="14"/>
      </w:rPr>
      <w:t>2202485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095532"/>
    <w:multiLevelType w:val="hybridMultilevel"/>
    <w:tmpl w:val="2DAEFA4A"/>
    <w:lvl w:ilvl="0" w:tplc="1CE84EEC">
      <w:start w:val="7950"/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8E77C6"/>
    <w:multiLevelType w:val="hybridMultilevel"/>
    <w:tmpl w:val="7806DE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FA0195"/>
    <w:multiLevelType w:val="hybridMultilevel"/>
    <w:tmpl w:val="C3343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7ED6"/>
    <w:rsid w:val="0008490E"/>
    <w:rsid w:val="000A78AA"/>
    <w:rsid w:val="000D3677"/>
    <w:rsid w:val="000F27CE"/>
    <w:rsid w:val="00184A10"/>
    <w:rsid w:val="001D2AE6"/>
    <w:rsid w:val="001E36E8"/>
    <w:rsid w:val="001E516D"/>
    <w:rsid w:val="001F566F"/>
    <w:rsid w:val="002266A8"/>
    <w:rsid w:val="002270A9"/>
    <w:rsid w:val="00262CC5"/>
    <w:rsid w:val="002C54D3"/>
    <w:rsid w:val="002F6C45"/>
    <w:rsid w:val="00300F73"/>
    <w:rsid w:val="00372943"/>
    <w:rsid w:val="0038648B"/>
    <w:rsid w:val="003A06A7"/>
    <w:rsid w:val="00470845"/>
    <w:rsid w:val="00491269"/>
    <w:rsid w:val="004B5114"/>
    <w:rsid w:val="004E4BA0"/>
    <w:rsid w:val="004F591E"/>
    <w:rsid w:val="00504CBD"/>
    <w:rsid w:val="00537EED"/>
    <w:rsid w:val="0055369B"/>
    <w:rsid w:val="00556849"/>
    <w:rsid w:val="005608E2"/>
    <w:rsid w:val="00592895"/>
    <w:rsid w:val="005E5EAA"/>
    <w:rsid w:val="005F3F4F"/>
    <w:rsid w:val="00607B6B"/>
    <w:rsid w:val="00663D0D"/>
    <w:rsid w:val="006925F4"/>
    <w:rsid w:val="006F4EED"/>
    <w:rsid w:val="00727F55"/>
    <w:rsid w:val="007466FF"/>
    <w:rsid w:val="008545F3"/>
    <w:rsid w:val="0086400A"/>
    <w:rsid w:val="009368F7"/>
    <w:rsid w:val="00953F5D"/>
    <w:rsid w:val="009A107B"/>
    <w:rsid w:val="009D5FFE"/>
    <w:rsid w:val="00A52819"/>
    <w:rsid w:val="00BF7CCC"/>
    <w:rsid w:val="00C07ED6"/>
    <w:rsid w:val="00C37284"/>
    <w:rsid w:val="00C579EC"/>
    <w:rsid w:val="00C86637"/>
    <w:rsid w:val="00C9030E"/>
    <w:rsid w:val="00C96652"/>
    <w:rsid w:val="00C97408"/>
    <w:rsid w:val="00CF1FD8"/>
    <w:rsid w:val="00D71530"/>
    <w:rsid w:val="00DB0646"/>
    <w:rsid w:val="00E11979"/>
    <w:rsid w:val="00E2019C"/>
    <w:rsid w:val="00E33D3A"/>
    <w:rsid w:val="00E42C25"/>
    <w:rsid w:val="00E654AD"/>
    <w:rsid w:val="00EB2ED5"/>
    <w:rsid w:val="00F13D0C"/>
    <w:rsid w:val="00F3337A"/>
    <w:rsid w:val="00FC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C2E90"/>
  <w15:chartTrackingRefBased/>
  <w15:docId w15:val="{8274D1B0-886A-4A36-90D4-5EE734F50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84A10"/>
  </w:style>
  <w:style w:type="paragraph" w:styleId="Heading1">
    <w:name w:val="heading 1"/>
    <w:basedOn w:val="Normal"/>
    <w:next w:val="Normal"/>
    <w:link w:val="Heading1Char"/>
    <w:uiPriority w:val="9"/>
    <w:qFormat/>
    <w:rsid w:val="005536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153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2270A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2270A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unhideWhenUsed/>
    <w:rsid w:val="001F566F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153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5536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369B"/>
  </w:style>
  <w:style w:type="paragraph" w:styleId="Footer">
    <w:name w:val="footer"/>
    <w:basedOn w:val="Normal"/>
    <w:link w:val="FooterChar"/>
    <w:uiPriority w:val="99"/>
    <w:unhideWhenUsed/>
    <w:rsid w:val="005536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369B"/>
  </w:style>
  <w:style w:type="paragraph" w:styleId="NormalWeb">
    <w:name w:val="Normal (Web)"/>
    <w:basedOn w:val="Normal"/>
    <w:uiPriority w:val="99"/>
    <w:unhideWhenUsed/>
    <w:rsid w:val="005536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5369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84A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87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47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9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1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3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13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4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8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6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9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3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597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7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9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64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0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x.doi.org/10.2139/ssrn.238198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srn.com/abstract=2381989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psychodynamic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20967</TotalTime>
  <Pages>4</Pages>
  <Words>1512</Words>
  <Characters>8623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</dc:creator>
  <cp:keywords/>
  <dc:description/>
  <cp:lastModifiedBy>emily</cp:lastModifiedBy>
  <cp:revision>4</cp:revision>
  <dcterms:created xsi:type="dcterms:W3CDTF">2024-02-29T10:23:00Z</dcterms:created>
  <dcterms:modified xsi:type="dcterms:W3CDTF">2024-03-14T23:57:00Z</dcterms:modified>
</cp:coreProperties>
</file>