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A91064" w:rsidRPr="00330917" w14:paraId="40D562FE" w14:textId="77777777" w:rsidTr="00D346C0">
        <w:trPr>
          <w:trHeight w:val="418"/>
          <w:jc w:val="center"/>
        </w:trPr>
        <w:tc>
          <w:tcPr>
            <w:tcW w:w="5315" w:type="dxa"/>
            <w:vMerge w:val="restart"/>
            <w:tcBorders>
              <w:top w:val="single" w:sz="4" w:space="0" w:color="auto"/>
              <w:left w:val="single" w:sz="4" w:space="0" w:color="auto"/>
              <w:right w:val="single" w:sz="4" w:space="0" w:color="auto"/>
            </w:tcBorders>
          </w:tcPr>
          <w:p w14:paraId="35C298C0" w14:textId="77777777" w:rsidR="00A91064" w:rsidRPr="00330917" w:rsidRDefault="00A91064" w:rsidP="00D346C0">
            <w:pPr>
              <w:keepNext/>
              <w:spacing w:after="0" w:line="240" w:lineRule="auto"/>
              <w:jc w:val="center"/>
              <w:rPr>
                <w:rFonts w:eastAsia="Times New Roman"/>
                <w:b/>
                <w:sz w:val="32"/>
                <w:szCs w:val="32"/>
                <w:lang w:val="en-AU"/>
              </w:rPr>
            </w:pPr>
          </w:p>
          <w:p w14:paraId="056AD2B9" w14:textId="77777777" w:rsidR="00A91064" w:rsidRPr="00330917" w:rsidRDefault="00A91064" w:rsidP="00D346C0">
            <w:pPr>
              <w:keepNext/>
              <w:spacing w:after="0" w:line="240" w:lineRule="auto"/>
              <w:rPr>
                <w:rFonts w:eastAsia="Times New Roman"/>
                <w:b/>
                <w:sz w:val="28"/>
                <w:szCs w:val="28"/>
                <w:lang w:val="en-AU"/>
              </w:rPr>
            </w:pPr>
            <w:r w:rsidRPr="00C13098">
              <w:rPr>
                <w:noProof/>
                <w:lang w:eastAsia="en-GB"/>
              </w:rPr>
              <w:drawing>
                <wp:inline distT="0" distB="0" distL="0" distR="0" wp14:anchorId="5A51F067" wp14:editId="1480882C">
                  <wp:extent cx="2965836" cy="1291786"/>
                  <wp:effectExtent l="0" t="0" r="6350" b="3810"/>
                  <wp:docPr id="1139160750"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b/>
                <w:sz w:val="32"/>
                <w:szCs w:val="32"/>
                <w:lang w:val="en-AU"/>
              </w:rPr>
              <w:br/>
            </w:r>
          </w:p>
          <w:p w14:paraId="6E22B5EE" w14:textId="15D6126C" w:rsidR="00A91064" w:rsidRPr="00330917" w:rsidRDefault="00A91064" w:rsidP="00D346C0">
            <w:pPr>
              <w:rPr>
                <w:rFonts w:eastAsia="Times New Roman"/>
                <w:b/>
                <w:sz w:val="32"/>
                <w:szCs w:val="32"/>
                <w:lang w:val="en-AU"/>
              </w:rPr>
            </w:pPr>
            <w:r>
              <w:rPr>
                <w:rFonts w:eastAsia="Times New Roman"/>
                <w:b/>
                <w:sz w:val="32"/>
                <w:szCs w:val="32"/>
                <w:lang w:val="en-AU"/>
              </w:rPr>
              <w:t>Shift in hotel strategies post-covid with reduced business commuting</w:t>
            </w:r>
            <w:r w:rsidR="004D0BBA">
              <w:rPr>
                <w:rFonts w:eastAsia="Times New Roman"/>
                <w:b/>
                <w:sz w:val="32"/>
                <w:szCs w:val="32"/>
                <w:lang w:val="en-AU"/>
              </w:rPr>
              <w:t xml:space="preserve"> research</w:t>
            </w:r>
          </w:p>
        </w:tc>
        <w:tc>
          <w:tcPr>
            <w:tcW w:w="1430" w:type="dxa"/>
            <w:tcBorders>
              <w:top w:val="single" w:sz="4" w:space="0" w:color="auto"/>
              <w:left w:val="single" w:sz="4" w:space="0" w:color="auto"/>
              <w:bottom w:val="nil"/>
              <w:right w:val="nil"/>
            </w:tcBorders>
            <w:vAlign w:val="center"/>
          </w:tcPr>
          <w:p w14:paraId="44AA6A8A" w14:textId="77777777" w:rsidR="00A91064" w:rsidRPr="00330917" w:rsidRDefault="00A91064" w:rsidP="00D346C0">
            <w:pPr>
              <w:keepNext/>
              <w:spacing w:before="120" w:after="0" w:line="240" w:lineRule="auto"/>
              <w:rPr>
                <w:rFonts w:eastAsia="Times New Roman"/>
                <w:b/>
                <w:bCs/>
                <w:sz w:val="20"/>
                <w:szCs w:val="20"/>
                <w:lang w:val="en-AU"/>
              </w:rPr>
            </w:pPr>
            <w:r>
              <w:rPr>
                <w:rFonts w:eastAsia="Times New Roman"/>
                <w:b/>
                <w:bCs/>
                <w:sz w:val="20"/>
                <w:szCs w:val="20"/>
              </w:rPr>
              <w:t>S</w:t>
            </w:r>
            <w:r w:rsidRPr="00330917">
              <w:rPr>
                <w:rFonts w:eastAsia="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vAlign w:val="center"/>
          </w:tcPr>
          <w:p w14:paraId="58C60C5E" w14:textId="77777777" w:rsidR="00A91064" w:rsidRPr="00330917" w:rsidRDefault="00A91064" w:rsidP="00D346C0">
            <w:pPr>
              <w:keepNext/>
              <w:spacing w:after="0" w:line="240" w:lineRule="auto"/>
              <w:jc w:val="center"/>
              <w:rPr>
                <w:rFonts w:eastAsia="Times New Roman"/>
                <w:b/>
                <w:sz w:val="20"/>
                <w:szCs w:val="20"/>
                <w:lang w:val="en-AU"/>
              </w:rPr>
            </w:pPr>
            <w:r>
              <w:rPr>
                <w:rFonts w:eastAsia="Times New Roman"/>
                <w:b/>
                <w:sz w:val="20"/>
                <w:szCs w:val="20"/>
                <w:lang w:val="en-AU"/>
              </w:rPr>
              <w:t>2240761</w:t>
            </w:r>
          </w:p>
        </w:tc>
      </w:tr>
      <w:tr w:rsidR="00A91064" w:rsidRPr="00330917" w14:paraId="3C395681" w14:textId="77777777" w:rsidTr="00D346C0">
        <w:trPr>
          <w:trHeight w:val="468"/>
          <w:jc w:val="center"/>
        </w:trPr>
        <w:tc>
          <w:tcPr>
            <w:tcW w:w="5315" w:type="dxa"/>
            <w:vMerge/>
            <w:tcBorders>
              <w:left w:val="single" w:sz="4" w:space="0" w:color="auto"/>
              <w:right w:val="single" w:sz="4" w:space="0" w:color="auto"/>
            </w:tcBorders>
          </w:tcPr>
          <w:p w14:paraId="554372E1"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179AFBF4" w14:textId="77777777" w:rsidR="00A91064" w:rsidRPr="00330917" w:rsidRDefault="00A91064" w:rsidP="00D346C0">
            <w:pPr>
              <w:keepNext/>
              <w:spacing w:after="0" w:line="240" w:lineRule="auto"/>
              <w:rPr>
                <w:rFonts w:eastAsia="Times New Roman"/>
                <w:sz w:val="20"/>
                <w:szCs w:val="20"/>
                <w:lang w:val="en-AU"/>
              </w:rPr>
            </w:pPr>
          </w:p>
          <w:p w14:paraId="2FC08DCB" w14:textId="77777777" w:rsidR="00A91064" w:rsidRPr="00330917" w:rsidRDefault="00A91064" w:rsidP="00D346C0">
            <w:pPr>
              <w:keepNext/>
              <w:spacing w:after="0" w:line="240" w:lineRule="auto"/>
              <w:rPr>
                <w:rFonts w:eastAsia="Times New Roman"/>
                <w:sz w:val="20"/>
                <w:szCs w:val="20"/>
                <w:lang w:val="en-AU"/>
              </w:rPr>
            </w:pPr>
            <w:r w:rsidRPr="00330917">
              <w:rPr>
                <w:rFonts w:eastAsia="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vAlign w:val="center"/>
          </w:tcPr>
          <w:p w14:paraId="090C6989" w14:textId="756527AD" w:rsidR="00A91064" w:rsidRPr="00330917" w:rsidRDefault="00A91064" w:rsidP="00D346C0">
            <w:pPr>
              <w:keepNext/>
              <w:spacing w:after="0" w:line="240" w:lineRule="auto"/>
              <w:jc w:val="center"/>
              <w:rPr>
                <w:rFonts w:eastAsia="Times New Roman"/>
                <w:b/>
                <w:sz w:val="20"/>
                <w:szCs w:val="20"/>
                <w:lang w:val="en-AU"/>
              </w:rPr>
            </w:pPr>
            <w:r w:rsidRPr="00A91064">
              <w:rPr>
                <w:rFonts w:eastAsia="Times New Roman"/>
                <w:b/>
                <w:sz w:val="20"/>
                <w:szCs w:val="20"/>
                <w:lang w:val="en-AU"/>
              </w:rPr>
              <w:t>Contemporary Themes in the Hotel and Hospitality Sector</w:t>
            </w:r>
          </w:p>
        </w:tc>
      </w:tr>
      <w:tr w:rsidR="00A91064" w:rsidRPr="00330917" w14:paraId="129ABD09" w14:textId="77777777" w:rsidTr="00D346C0">
        <w:trPr>
          <w:trHeight w:val="468"/>
          <w:jc w:val="center"/>
        </w:trPr>
        <w:tc>
          <w:tcPr>
            <w:tcW w:w="5315" w:type="dxa"/>
            <w:vMerge/>
            <w:tcBorders>
              <w:left w:val="single" w:sz="4" w:space="0" w:color="auto"/>
              <w:right w:val="single" w:sz="4" w:space="0" w:color="auto"/>
            </w:tcBorders>
          </w:tcPr>
          <w:p w14:paraId="7EB8735E"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052EDB8E" w14:textId="77777777" w:rsidR="00A91064" w:rsidRPr="00330917" w:rsidRDefault="00A91064" w:rsidP="00D346C0">
            <w:pPr>
              <w:keepNext/>
              <w:spacing w:after="0" w:line="240" w:lineRule="auto"/>
              <w:rPr>
                <w:rFonts w:eastAsia="Times New Roman"/>
                <w:sz w:val="20"/>
                <w:szCs w:val="20"/>
                <w:lang w:val="en-AU"/>
              </w:rPr>
            </w:pPr>
            <w:r w:rsidRPr="00330917">
              <w:rPr>
                <w:rFonts w:eastAsia="Times New Roman"/>
                <w:sz w:val="20"/>
                <w:szCs w:val="20"/>
                <w:lang w:val="en-AU"/>
              </w:rPr>
              <w:t>Module</w:t>
            </w:r>
            <w:r>
              <w:rPr>
                <w:rFonts w:eastAsia="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vAlign w:val="center"/>
          </w:tcPr>
          <w:p w14:paraId="71A99A8B" w14:textId="34F8D113" w:rsidR="00A91064" w:rsidRPr="00330917" w:rsidRDefault="00A91064" w:rsidP="00D346C0">
            <w:pPr>
              <w:keepNext/>
              <w:spacing w:after="0" w:line="240" w:lineRule="auto"/>
              <w:jc w:val="center"/>
              <w:rPr>
                <w:rFonts w:eastAsia="Times New Roman"/>
                <w:b/>
                <w:sz w:val="20"/>
                <w:szCs w:val="20"/>
                <w:lang w:val="en-AU"/>
              </w:rPr>
            </w:pPr>
            <w:r>
              <w:rPr>
                <w:rFonts w:eastAsia="Times New Roman"/>
                <w:b/>
                <w:sz w:val="20"/>
                <w:szCs w:val="20"/>
                <w:lang w:val="en-AU"/>
              </w:rPr>
              <w:t>BMIH6001</w:t>
            </w:r>
          </w:p>
        </w:tc>
      </w:tr>
      <w:tr w:rsidR="00A91064" w:rsidRPr="00634AA5" w14:paraId="3E0EA5A4" w14:textId="77777777" w:rsidTr="00D346C0">
        <w:trPr>
          <w:trHeight w:val="468"/>
          <w:jc w:val="center"/>
        </w:trPr>
        <w:tc>
          <w:tcPr>
            <w:tcW w:w="5315" w:type="dxa"/>
            <w:vMerge/>
            <w:tcBorders>
              <w:left w:val="single" w:sz="4" w:space="0" w:color="auto"/>
              <w:right w:val="single" w:sz="4" w:space="0" w:color="auto"/>
            </w:tcBorders>
          </w:tcPr>
          <w:p w14:paraId="5552C388"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63241A43" w14:textId="77777777" w:rsidR="00A91064" w:rsidRPr="00330917" w:rsidRDefault="00A91064" w:rsidP="00D346C0">
            <w:pPr>
              <w:keepNext/>
              <w:spacing w:after="0" w:line="240" w:lineRule="auto"/>
              <w:rPr>
                <w:rFonts w:eastAsia="Times New Roman"/>
                <w:sz w:val="20"/>
                <w:szCs w:val="20"/>
                <w:lang w:val="en-AU"/>
              </w:rPr>
            </w:pPr>
            <w:r>
              <w:rPr>
                <w:rFonts w:eastAsia="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vAlign w:val="center"/>
          </w:tcPr>
          <w:p w14:paraId="7B105EB8" w14:textId="634DD67A" w:rsidR="00A91064" w:rsidRPr="00634AA5" w:rsidRDefault="004D0BBA" w:rsidP="00D346C0">
            <w:pPr>
              <w:keepNext/>
              <w:spacing w:after="0" w:line="240" w:lineRule="auto"/>
              <w:jc w:val="center"/>
              <w:rPr>
                <w:rFonts w:eastAsia="Times New Roman"/>
                <w:bCs/>
                <w:lang w:val="en-AU"/>
              </w:rPr>
            </w:pPr>
            <w:r w:rsidRPr="004D0BBA">
              <w:rPr>
                <w:rFonts w:eastAsia="Times New Roman"/>
                <w:bCs/>
                <w:lang w:val="en-AU"/>
              </w:rPr>
              <w:t>Natalie Brailsford</w:t>
            </w:r>
          </w:p>
        </w:tc>
      </w:tr>
      <w:tr w:rsidR="00A91064" w:rsidRPr="00634AA5" w14:paraId="499350ED" w14:textId="77777777" w:rsidTr="00D346C0">
        <w:trPr>
          <w:trHeight w:val="468"/>
          <w:jc w:val="center"/>
        </w:trPr>
        <w:tc>
          <w:tcPr>
            <w:tcW w:w="5315" w:type="dxa"/>
            <w:vMerge/>
            <w:tcBorders>
              <w:left w:val="single" w:sz="4" w:space="0" w:color="auto"/>
              <w:right w:val="single" w:sz="4" w:space="0" w:color="auto"/>
            </w:tcBorders>
          </w:tcPr>
          <w:p w14:paraId="52F55487" w14:textId="77777777" w:rsidR="00A91064" w:rsidRPr="00330917" w:rsidRDefault="00A91064" w:rsidP="00D346C0">
            <w:pPr>
              <w:keepNext/>
              <w:spacing w:after="0" w:line="240" w:lineRule="auto"/>
              <w:jc w:val="center"/>
              <w:rPr>
                <w:rFonts w:eastAsia="Times New Roman"/>
                <w:b/>
                <w:sz w:val="40"/>
                <w:szCs w:val="20"/>
                <w:lang w:val="en-AU"/>
              </w:rPr>
            </w:pPr>
          </w:p>
        </w:tc>
        <w:tc>
          <w:tcPr>
            <w:tcW w:w="1430" w:type="dxa"/>
            <w:tcBorders>
              <w:top w:val="nil"/>
              <w:left w:val="single" w:sz="4" w:space="0" w:color="auto"/>
              <w:bottom w:val="nil"/>
              <w:right w:val="nil"/>
            </w:tcBorders>
            <w:vAlign w:val="center"/>
          </w:tcPr>
          <w:p w14:paraId="28B8919E" w14:textId="77777777" w:rsidR="00A91064" w:rsidRDefault="00A91064" w:rsidP="00D346C0">
            <w:pPr>
              <w:keepNext/>
              <w:spacing w:after="0" w:line="240" w:lineRule="auto"/>
              <w:rPr>
                <w:rFonts w:eastAsia="Times New Roman"/>
                <w:sz w:val="20"/>
                <w:szCs w:val="20"/>
                <w:lang w:val="en-AU"/>
              </w:rPr>
            </w:pPr>
            <w:r>
              <w:rPr>
                <w:rFonts w:eastAsia="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vAlign w:val="center"/>
          </w:tcPr>
          <w:p w14:paraId="4BB71451" w14:textId="2944970D" w:rsidR="00A91064" w:rsidRPr="008B3DE6" w:rsidRDefault="004D0BBA" w:rsidP="00D346C0">
            <w:pPr>
              <w:keepNext/>
              <w:spacing w:after="0" w:line="240" w:lineRule="auto"/>
              <w:jc w:val="center"/>
              <w:rPr>
                <w:rFonts w:eastAsia="Times New Roman"/>
                <w:b/>
                <w:lang w:val="en-AU"/>
              </w:rPr>
            </w:pPr>
            <w:r>
              <w:rPr>
                <w:rFonts w:eastAsia="Times New Roman"/>
                <w:b/>
                <w:lang w:val="en-AU"/>
              </w:rPr>
              <w:t>2</w:t>
            </w:r>
            <w:r w:rsidR="00043F0A">
              <w:rPr>
                <w:rFonts w:eastAsia="Times New Roman"/>
                <w:b/>
                <w:lang w:val="en-AU"/>
              </w:rPr>
              <w:t>996</w:t>
            </w:r>
          </w:p>
        </w:tc>
      </w:tr>
      <w:tr w:rsidR="00A91064" w:rsidRPr="00330917" w14:paraId="049EC756" w14:textId="77777777" w:rsidTr="00D346C0">
        <w:trPr>
          <w:trHeight w:val="20"/>
          <w:jc w:val="center"/>
        </w:trPr>
        <w:tc>
          <w:tcPr>
            <w:tcW w:w="5315" w:type="dxa"/>
            <w:vMerge/>
            <w:tcBorders>
              <w:left w:val="single" w:sz="4" w:space="0" w:color="auto"/>
              <w:bottom w:val="single" w:sz="4" w:space="0" w:color="auto"/>
              <w:right w:val="single" w:sz="4" w:space="0" w:color="auto"/>
            </w:tcBorders>
          </w:tcPr>
          <w:p w14:paraId="33946459" w14:textId="77777777" w:rsidR="00A91064" w:rsidRPr="00330917" w:rsidRDefault="00A91064" w:rsidP="00D346C0">
            <w:pPr>
              <w:keepNext/>
              <w:spacing w:after="0" w:line="240" w:lineRule="auto"/>
              <w:jc w:val="center"/>
              <w:rPr>
                <w:rFonts w:eastAsia="Times New Roman"/>
                <w:b/>
                <w:sz w:val="40"/>
                <w:szCs w:val="20"/>
                <w:lang w:val="en-AU"/>
              </w:rPr>
            </w:pPr>
          </w:p>
        </w:tc>
        <w:tc>
          <w:tcPr>
            <w:tcW w:w="2071" w:type="dxa"/>
            <w:gridSpan w:val="2"/>
            <w:tcBorders>
              <w:top w:val="nil"/>
              <w:left w:val="single" w:sz="4" w:space="0" w:color="auto"/>
              <w:bottom w:val="single" w:sz="4" w:space="0" w:color="auto"/>
              <w:right w:val="nil"/>
            </w:tcBorders>
            <w:vAlign w:val="center"/>
          </w:tcPr>
          <w:p w14:paraId="5EDA7269" w14:textId="77777777" w:rsidR="00A91064" w:rsidRPr="00330917" w:rsidRDefault="00A91064" w:rsidP="00D346C0">
            <w:pPr>
              <w:keepNext/>
              <w:spacing w:after="0" w:line="240" w:lineRule="auto"/>
              <w:rPr>
                <w:rFonts w:eastAsia="Times New Roman"/>
                <w:bCs/>
                <w:sz w:val="20"/>
                <w:szCs w:val="20"/>
                <w:lang w:val="en-AU"/>
              </w:rPr>
            </w:pPr>
          </w:p>
        </w:tc>
        <w:tc>
          <w:tcPr>
            <w:tcW w:w="0" w:type="auto"/>
            <w:tcBorders>
              <w:top w:val="dashed" w:sz="4" w:space="0" w:color="auto"/>
              <w:left w:val="nil"/>
              <w:bottom w:val="single" w:sz="4" w:space="0" w:color="auto"/>
              <w:right w:val="single" w:sz="4" w:space="0" w:color="auto"/>
            </w:tcBorders>
            <w:vAlign w:val="center"/>
          </w:tcPr>
          <w:p w14:paraId="7D641C4E" w14:textId="77777777" w:rsidR="00A91064" w:rsidRPr="00330917" w:rsidRDefault="00A91064" w:rsidP="00D346C0">
            <w:pPr>
              <w:keepNext/>
              <w:spacing w:after="0" w:line="240" w:lineRule="auto"/>
              <w:rPr>
                <w:rFonts w:eastAsia="Times New Roman"/>
                <w:b/>
                <w:sz w:val="16"/>
                <w:szCs w:val="16"/>
                <w:lang w:val="en-AU"/>
              </w:rPr>
            </w:pPr>
          </w:p>
        </w:tc>
      </w:tr>
    </w:tbl>
    <w:p w14:paraId="18640053" w14:textId="56BD4310" w:rsidR="001E3C33" w:rsidRDefault="001E3C33">
      <w:pPr>
        <w:spacing w:line="259" w:lineRule="auto"/>
        <w:jc w:val="left"/>
      </w:pPr>
    </w:p>
    <w:p w14:paraId="4F6D2700" w14:textId="77777777" w:rsidR="001E3C33" w:rsidRDefault="001E3C33" w:rsidP="001E3C33">
      <w:pPr>
        <w:spacing w:line="259" w:lineRule="auto"/>
        <w:jc w:val="center"/>
        <w:rPr>
          <w:sz w:val="40"/>
        </w:rPr>
      </w:pPr>
    </w:p>
    <w:p w14:paraId="297E0358" w14:textId="77777777" w:rsidR="001E3C33" w:rsidRDefault="001E3C33" w:rsidP="001E3C33">
      <w:pPr>
        <w:spacing w:line="259" w:lineRule="auto"/>
        <w:jc w:val="center"/>
        <w:rPr>
          <w:sz w:val="40"/>
        </w:rPr>
      </w:pPr>
    </w:p>
    <w:p w14:paraId="6253005D" w14:textId="77777777" w:rsidR="001E3C33" w:rsidRDefault="001E3C33" w:rsidP="001E3C33">
      <w:pPr>
        <w:spacing w:line="259" w:lineRule="auto"/>
        <w:jc w:val="center"/>
        <w:rPr>
          <w:sz w:val="40"/>
        </w:rPr>
      </w:pPr>
    </w:p>
    <w:p w14:paraId="5DF7EFD8" w14:textId="44B00F82" w:rsidR="00A91064" w:rsidRDefault="00A91064">
      <w:pPr>
        <w:spacing w:line="259" w:lineRule="auto"/>
        <w:jc w:val="left"/>
        <w:rPr>
          <w:b/>
          <w:sz w:val="40"/>
        </w:rPr>
      </w:pPr>
      <w:r>
        <w:rPr>
          <w:b/>
          <w:sz w:val="40"/>
        </w:rPr>
        <w:br w:type="page"/>
      </w:r>
    </w:p>
    <w:p w14:paraId="314FCB37" w14:textId="77777777" w:rsidR="00741258" w:rsidRDefault="00741258" w:rsidP="001E3C33">
      <w:pPr>
        <w:spacing w:line="259" w:lineRule="auto"/>
        <w:jc w:val="center"/>
        <w:rPr>
          <w:b/>
          <w:sz w:val="40"/>
        </w:rPr>
      </w:pPr>
    </w:p>
    <w:p w14:paraId="0BB919EC" w14:textId="77777777" w:rsidR="00741258" w:rsidRDefault="00741258" w:rsidP="001E3C33">
      <w:pPr>
        <w:spacing w:line="259" w:lineRule="auto"/>
        <w:jc w:val="center"/>
        <w:rPr>
          <w:b/>
          <w:sz w:val="40"/>
        </w:rPr>
      </w:pPr>
    </w:p>
    <w:p w14:paraId="57242E27" w14:textId="77777777" w:rsidR="00741258" w:rsidRDefault="00741258" w:rsidP="001E3C33">
      <w:pPr>
        <w:spacing w:line="259" w:lineRule="auto"/>
        <w:jc w:val="center"/>
        <w:rPr>
          <w:b/>
          <w:sz w:val="40"/>
        </w:rPr>
      </w:pPr>
    </w:p>
    <w:p w14:paraId="220B6995" w14:textId="77777777" w:rsidR="00741258" w:rsidRDefault="00741258" w:rsidP="001E3C33">
      <w:pPr>
        <w:spacing w:line="259" w:lineRule="auto"/>
        <w:jc w:val="center"/>
        <w:rPr>
          <w:b/>
          <w:sz w:val="40"/>
        </w:rPr>
      </w:pPr>
      <w:r>
        <w:rPr>
          <w:b/>
          <w:sz w:val="40"/>
        </w:rPr>
        <w:t>AI Acknowledgement</w:t>
      </w:r>
    </w:p>
    <w:p w14:paraId="2ADE43AF" w14:textId="07E99E5F" w:rsidR="00741258" w:rsidRDefault="00741258" w:rsidP="00741258">
      <w:r w:rsidRPr="00EC5D13">
        <w:t>I admit that I used the AI tool (</w:t>
      </w:r>
      <w:r w:rsidR="00EC5D13">
        <w:t>ChatGDP</w:t>
      </w:r>
      <w:r w:rsidRPr="00EC5D13">
        <w:t xml:space="preserve">) to identify any grammatical errors in my </w:t>
      </w:r>
      <w:r w:rsidR="00EC5D13">
        <w:t>research</w:t>
      </w:r>
      <w:r w:rsidRPr="00EC5D13">
        <w:t xml:space="preserve"> </w:t>
      </w:r>
      <w:r w:rsidR="0075762F" w:rsidRPr="00EC5D13">
        <w:t>on</w:t>
      </w:r>
      <w:r w:rsidRPr="00EC5D13">
        <w:t xml:space="preserve"> </w:t>
      </w:r>
      <w:r w:rsidR="001B29B1">
        <w:t>0</w:t>
      </w:r>
      <w:r w:rsidR="00AD2B83">
        <w:t>4</w:t>
      </w:r>
      <w:r w:rsidR="001B29B1">
        <w:t xml:space="preserve"> February</w:t>
      </w:r>
      <w:r w:rsidRPr="00EC5D13">
        <w:t xml:space="preserve"> </w:t>
      </w:r>
      <w:r w:rsidR="0075762F" w:rsidRPr="00EC5D13">
        <w:t>2026 using the following prompt:</w:t>
      </w:r>
    </w:p>
    <w:p w14:paraId="2BD76026" w14:textId="3C3C8CF5" w:rsidR="00741258" w:rsidRDefault="00741258" w:rsidP="00741258">
      <w:pPr>
        <w:pStyle w:val="ListParagraph"/>
        <w:numPr>
          <w:ilvl w:val="0"/>
          <w:numId w:val="1"/>
        </w:numPr>
      </w:pPr>
      <w:r>
        <w:t xml:space="preserve">Please revise the writing effectively and determine whether there </w:t>
      </w:r>
      <w:r w:rsidR="00E20F53">
        <w:t>are</w:t>
      </w:r>
      <w:r>
        <w:t xml:space="preserve"> any grammatical </w:t>
      </w:r>
      <w:r w:rsidR="00E20F53">
        <w:t>errors</w:t>
      </w:r>
      <w:r>
        <w:t xml:space="preserve"> in my </w:t>
      </w:r>
      <w:r w:rsidR="00F85148">
        <w:t>research</w:t>
      </w:r>
      <w:r>
        <w:t>.</w:t>
      </w:r>
    </w:p>
    <w:p w14:paraId="009067E7" w14:textId="355E046F" w:rsidR="0075762F" w:rsidRDefault="00741258" w:rsidP="00741258">
      <w:r>
        <w:t xml:space="preserve">Nonetheless, I can assert that there is no AI-assisted writing in the </w:t>
      </w:r>
      <w:r w:rsidR="00EC5D13">
        <w:t>research</w:t>
      </w:r>
      <w:r>
        <w:t>, and I have appropriately referenced all the references.</w:t>
      </w:r>
    </w:p>
    <w:p w14:paraId="3EEEB114" w14:textId="77777777" w:rsidR="0075762F" w:rsidRDefault="0075762F">
      <w:pPr>
        <w:spacing w:line="259" w:lineRule="auto"/>
        <w:jc w:val="left"/>
      </w:pPr>
      <w:r>
        <w:br w:type="page"/>
      </w:r>
    </w:p>
    <w:p w14:paraId="3D8D62B0" w14:textId="1BAA0895" w:rsidR="00EF5E97" w:rsidRDefault="00EF5E97" w:rsidP="0075762F">
      <w:pPr>
        <w:pStyle w:val="Heading1"/>
      </w:pPr>
      <w:bookmarkStart w:id="0" w:name="_Toc221186962"/>
      <w:r w:rsidRPr="001306A9">
        <w:lastRenderedPageBreak/>
        <w:t>Post-COVID Shifts in Urban Hotel Strategies: Adapting to Reduced Business Commuting through Bleisure Offerings and Co-Working Spaces – A UK and Global Perspective</w:t>
      </w:r>
    </w:p>
    <w:p w14:paraId="660C33E4" w14:textId="21365CA8" w:rsidR="0075762F" w:rsidRDefault="0075762F" w:rsidP="0075762F">
      <w:pPr>
        <w:pStyle w:val="Heading1"/>
      </w:pPr>
      <w:r>
        <w:t>Abstract</w:t>
      </w:r>
      <w:bookmarkEnd w:id="0"/>
    </w:p>
    <w:p w14:paraId="26F94F2C" w14:textId="5C88350C" w:rsidR="0074138E" w:rsidRPr="001E3C33" w:rsidRDefault="004E47E7" w:rsidP="00741258">
      <w:r w:rsidRPr="004E47E7">
        <w:t>Business commuting and corporate travel, which formed 50-60% of revenues in most urban hotels, were dramatically reduced as a result of the COVID-19 pandemic and decreased by 89% in the 2020-2021 timeframe (Wieczorek-Kosmala, 2021). The study critically analyses the manner in which the hotel industry in the UK and other parts of the world has been responding by shifting to bleisure (business-leisure) experiences and co-working integrated features as a way of diversifying revenue streams and increasing resiliency in the sector due to the ongoing trends in hybrid working. Based on secondary qualitative data, including academic journals, industry reports, and statistical data until 2025, the study uses thematic analysis and PESTEL model to assess both opportunities, including growth in both bleisure markets, worth 594 to 685 billion dollars over the last several years, and expected growth, and threats, including economic considerations, employee shortages and uneven recovery where UK business travel is still two-fifths of pre-pandemic levels. Evidence shows that although the ancillary revenues have risen and hybrid traveller demand has been secured with the adoption such as lobbies repurposed and flexible workation packages, restrictions remain since the cost of implementation is quite high and since it is restricted by leisure dominance. The paper has concluded that long-term viability requires strategic spending in technology, sustainability, and targeted marketing. These understandings can be added to modern hospitality discourse as they point to the balanced strategies towards post-pandemic transformation of the industry.</w:t>
      </w:r>
      <w:r w:rsidR="0074138E" w:rsidRPr="001E3C33">
        <w:br w:type="page"/>
      </w:r>
    </w:p>
    <w:p w14:paraId="773403EC" w14:textId="77777777" w:rsidR="001E3C33" w:rsidRDefault="001E3C33" w:rsidP="00FA38D7">
      <w:pPr>
        <w:pStyle w:val="Heading1"/>
        <w:sectPr w:rsidR="001E3C33">
          <w:pgSz w:w="12240" w:h="15840"/>
          <w:pgMar w:top="1440" w:right="1440" w:bottom="1440" w:left="1440" w:header="720" w:footer="720" w:gutter="0"/>
          <w:cols w:space="720"/>
          <w:docGrid w:linePitch="360"/>
        </w:sectPr>
      </w:pPr>
    </w:p>
    <w:p w14:paraId="6122D506" w14:textId="77777777" w:rsidR="003711B8" w:rsidRPr="00FA38D7" w:rsidRDefault="003711B8" w:rsidP="0075762F">
      <w:pPr>
        <w:pStyle w:val="Heading1"/>
      </w:pPr>
      <w:bookmarkStart w:id="1" w:name="_Toc221186963"/>
      <w:r w:rsidRPr="00FA38D7">
        <w:lastRenderedPageBreak/>
        <w:t>Introduction</w:t>
      </w:r>
      <w:bookmarkEnd w:id="1"/>
    </w:p>
    <w:p w14:paraId="62DB4F52" w14:textId="463CF67E" w:rsidR="0074138E" w:rsidRPr="00FA38D7" w:rsidRDefault="004E47E7" w:rsidP="00627F3E">
      <w:r w:rsidRPr="004E47E7">
        <w:t>COVID-19 has radically changed the hotel and hospitality industry, and the slowdown of business commuting prompts strategic changes in the industry towards bleisure or business-leisure products and shared workspace in hotels in metropolitan areas. This re</w:t>
      </w:r>
      <w:r w:rsidR="00401FA1">
        <w:t xml:space="preserve">search </w:t>
      </w:r>
      <w:r w:rsidRPr="004E47E7">
        <w:t>will examine such adoptions in the UK and global contexts, including how hotels can offset the cost of recovering lost revenue in corporate travel and capitalise on the growth of hybrid and leisure markets. It is aimed at critically assessing the obstacles posed by the ongoing remote-work trend against the advantages of a diverse range of guest types, which can be used to deliver sustainable industry practices. Worldwide, business travel, which before the pandemic contributed to 50-60 per cent of urban hotel revenues, due to the pandemic dropped by up to 89 per cent, in 2020-2021(Hutton and Foley, 2022). Revenue forecasts suggest a relatively slight recovery to 1.64 trillion dollars of expenditure, just to exceed 2019 levels in some areas (Anguera-Torrell, Vives-Perez and Aznar-Alarcón, 2021). Business travels are not entirely recovered to 2019 rates in the UK, and this is aggravated by the increase in costs due to the Autumn Budget (GOV.UK, 2023). The main ones include the massive usage of video conferencing, corporate cost-cutting, and work-flexible cultures that have limited commuting but stimulated the growth of leisure, which is estimated to be 15 trillion dollars in the world by the year 2040 (da Silva, Schutte, and Surujlal, 2021). Although this generates monetary burdens, such as workforce demands, it introduces innovations such as the use of spaces to host local events and the implementation of improved health practices to appeal to diverse travellers. The meaning of the theme is in terms of walking a fine line between revenue diversification and business travel recovery in the long-term in order to become robust.</w:t>
      </w:r>
      <w:r w:rsidR="0074138E" w:rsidRPr="00FA38D7">
        <w:br w:type="page"/>
      </w:r>
    </w:p>
    <w:p w14:paraId="127EDA74" w14:textId="77777777" w:rsidR="003711B8" w:rsidRPr="00FA38D7" w:rsidRDefault="003711B8" w:rsidP="00FA38D7">
      <w:pPr>
        <w:pStyle w:val="Heading1"/>
      </w:pPr>
      <w:bookmarkStart w:id="2" w:name="_Toc221186964"/>
      <w:r w:rsidRPr="00FA38D7">
        <w:lastRenderedPageBreak/>
        <w:t>Literature Review</w:t>
      </w:r>
      <w:bookmarkEnd w:id="2"/>
    </w:p>
    <w:p w14:paraId="00A5AE7D" w14:textId="77777777" w:rsidR="004E47E7" w:rsidRPr="004E47E7" w:rsidRDefault="004E47E7" w:rsidP="00572607">
      <w:bookmarkStart w:id="3" w:name="_Toc221186965"/>
      <w:r w:rsidRPr="004E47E7">
        <w:t>Due to the COVID-19 pandemic emerging at the beginning of 2020, business travel experienced a catastrophic fall, and the urban hotels heavily dependent on corporate bookings were hit. By April 2020, air passenger traffic around the world had decreased to less than 2 per cent of the normal levels prior to the pandemic. According to Melas and Melasova (2020), business travel was reduced to 89 per cent, and major losses occurred to properties in the city centres. Robert (2021) claims that, in the UK, 83.8% of all businesses connected with tourism shut down during the government lockdowns that have taken place since March 2020. Initial reaction to the situation in the industry was centred on repurposed spaces to serve local co-workers and day-usebookings to attract remote workers, and implemented flexible policies to encourage bleisure stays involving limited business travel and leisure extensions (Prentice et al., 2023). The advocates of these adaptations claimed that they instilled resilience through putting in diversified revenue streams other than traditional corporate segments and allowing guest trust by amplifying the level of digital personalisation and health measures.</w:t>
      </w:r>
    </w:p>
    <w:p w14:paraId="6F239932" w14:textId="77777777" w:rsidR="004E47E7" w:rsidRPr="004E47E7" w:rsidRDefault="004E47E7" w:rsidP="00572607">
      <w:r w:rsidRPr="004E47E7">
        <w:t>Nevertheless, as critics have pointed out, the number of urban footfall was 15 per cent below pre-pandemic levels, the night-time economies were slow to recover, and heavy reliance on government support became unsustainable due to high fixed costs and the amount of pre-existing debt (Enoch et al., 2021). According to Jones (2022), the Hospitality Strategy by the UK government provided over 352 billion in financial assistance, grants, and VAT cuts to facilitate slow reopenings and resiliency in the long term. Seabra and Bhatt (2022) argued that this can be seen as a great re-opening to more inclusive practice, like encouraging people to stay at home instead of having to travel. Others predicted permanent decline of cities and some permanent jeopardy to overall closure in case the disruption did not stop (England et al., 2022). The existence of this gulf in the literature reflects one essential point of contention. Such positive perceptions of adaptive innovation and such realism about the structural economic limitations constrained the intensity and sustainability of such early reactions.</w:t>
      </w:r>
    </w:p>
    <w:p w14:paraId="43B8FE50" w14:textId="77777777" w:rsidR="004E47E7" w:rsidRPr="004E47E7" w:rsidRDefault="004E47E7" w:rsidP="00572607">
      <w:r w:rsidRPr="004E47E7">
        <w:t xml:space="preserve">With the recovery starting to pick up from mid-2022 to 2023, the focus shifted to purposeful business travel and hybrid working patterns. By the end of 2022, global corporate expenditure recovered to approximately half of the level before the pandemic and focused more on efficiency and expenses incurred (Dube et al., 2023). In the UK, the Tourism Recovery Plan expanded VAT </w:t>
      </w:r>
      <w:r w:rsidRPr="004E47E7">
        <w:lastRenderedPageBreak/>
        <w:t>reliefs and grants to achieve the goal of full recovery of 2019 levels of visitor numbers by 2023. Advocates said this boosted the transition to bleisure, where business travel became added to local experiences and therefore enhanced urban occupancy (Achmad et al., 2023). In the United States and other countries, big chains, like Hilton and Accor, turned lobbies into malleable co-working spaces, cutting down business and traditional commuting by up to 30 per cent in some markets and earning more in ancillary services, including spas and food in places of recreational travel that grew 20-25 per cent every year (Prentice et al., 2023). Although these gains appear, conflicting reports indicate a skewed growth. According to Suhanko (2024), hybrid work still wiped out the UK business travel volumes, inflation-enhanced debt issues, and co-working conversions continued to perform poorly beyond the top city areas because of high set-up expenses. These opposing views demonstrate that having multiple revenue streams with a possible positive contribution would still not be able to entirely limit the continued macroeconomic fragility, as well as the deep-seated trend of non-frequent corporate commuting.</w:t>
      </w:r>
    </w:p>
    <w:p w14:paraId="2B011EB4" w14:textId="77777777" w:rsidR="004E47E7" w:rsidRPr="004E47E7" w:rsidRDefault="004E47E7" w:rsidP="00572607">
      <w:r w:rsidRPr="004E47E7">
        <w:t>As of 2024, a greater resurgence around the globe was reported, international tourism neared the pre-pandemic levels, and business travel spending was estimated at $1.48 trillion, taking a value-oriented meeting as a priority (Chinprateip, 2024). On-demand work areas, such as hotel-based programs like CitizenM membership programs, grew significantly and were welcome among 46% of employees to watch bleisure (The Capturist, 2024). However, certain problems persisted, such as a staffing shortage in the UK that negatively affected the quality of services offered and uncertainties about the global trade that could render the process of further recovery, and only 64 per cent of the workforce started to travel as they did before COVID (CGTN, 2023).</w:t>
      </w:r>
    </w:p>
    <w:p w14:paraId="668D3593" w14:textId="77777777" w:rsidR="004E47E7" w:rsidRDefault="004E47E7" w:rsidP="00572607">
      <w:pPr>
        <w:rPr>
          <w:b/>
        </w:rPr>
      </w:pPr>
      <w:r w:rsidRPr="004E47E7">
        <w:t xml:space="preserve">Projecting to 2025, it is predicted that the spending on business travel will rise worldwide to 1.57 trillion, 6% higher than in 2019, and business trips in the city markets of the UK will grow by 45% (GBTA, 2025). The growth of leisure has increased at a very high rate, with an annual growth of 25 percent and the market is valued between 594 billion and 685 billion, which enables hotels to take advantage of the hybrid trends by developing novel spaces and experience packages (Fortune Business Insights, 2025). The proponents represent that change as a truly transformative one, with excellent ROI and long-term sustainability (PwC, 2025). Conversely, PwC (2025) cites it as sceptical, as UK RevPAR remains under pressure due to economic risks and fiscal changes with demand stalling in 2025 and only small recoveries leisure takes the lead, and business commuting </w:t>
      </w:r>
      <w:r w:rsidRPr="004E47E7">
        <w:lastRenderedPageBreak/>
        <w:t>remains 22 per cent below the level of historic highs, can these adaptations lead to full sustainable equilibrium when balancing the ongoing effects of a hybrid working process and cost pressure.</w:t>
      </w:r>
    </w:p>
    <w:p w14:paraId="5B6015D8" w14:textId="5079AA75" w:rsidR="003711B8" w:rsidRPr="00FA38D7" w:rsidRDefault="003711B8" w:rsidP="004E47E7">
      <w:pPr>
        <w:pStyle w:val="Heading1"/>
      </w:pPr>
      <w:r w:rsidRPr="00FA38D7">
        <w:t>Method</w:t>
      </w:r>
      <w:r w:rsidR="00FA38D7">
        <w:t>ology</w:t>
      </w:r>
      <w:bookmarkEnd w:id="3"/>
    </w:p>
    <w:p w14:paraId="77297CA2" w14:textId="4C139BA4" w:rsidR="00572607" w:rsidRPr="00572607" w:rsidRDefault="00572607" w:rsidP="00572607">
      <w:bookmarkStart w:id="4" w:name="_Toc221186966"/>
      <w:r w:rsidRPr="00572607">
        <w:t>This re</w:t>
      </w:r>
      <w:r w:rsidR="00401FA1">
        <w:t>search</w:t>
      </w:r>
      <w:r w:rsidRPr="00572607">
        <w:t xml:space="preserve"> has utilised the qualitative secondary research design to explore the post-COVID changes in the strategies of urban hotels with references to adapting to lower business commuting by means of bleisure services and co-working facilities. There was systematic desk research, which incorporated academic databases, industry publications, such as WTTC, GBTA, PwC, Cushman and Wakefield, UK Hospitality, peer-reviewed articles, UK government publications, and publications by the hotel chains in order to collect the data. Patterns of strategic changes were determined using thematic analysis with a comparative analysis between the UK and global situations to back them up. The PESTLE analysis enabled the assessment of the external factors, taking opportunities and challenges into account equally. The sources were open to everyone, and the study and research were in line with the university's ethical standards.</w:t>
      </w:r>
    </w:p>
    <w:p w14:paraId="5CB0E71A" w14:textId="77777777" w:rsidR="00572607" w:rsidRDefault="00572607" w:rsidP="00572607">
      <w:pPr>
        <w:rPr>
          <w:b/>
        </w:rPr>
      </w:pPr>
      <w:r w:rsidRPr="00572607">
        <w:t>The use of secondary sources can create a publication bias and restrict access to proprietary up-to-date data. With the quick-paced state of post-COVID developments, certain information in 2025 may become obsolete. The dominant sources were the English language, which might exclude other non-English points of view. Both thematic and PESTLE analysis deal with interpretive judgement, although they are grounded in evidence. The lack of primary data limits the understanding of the internal decision-making in the hotel.</w:t>
      </w:r>
    </w:p>
    <w:p w14:paraId="34F17589" w14:textId="6F885850" w:rsidR="003C6510" w:rsidRPr="00FA38D7" w:rsidRDefault="003C6510" w:rsidP="00572607">
      <w:pPr>
        <w:pStyle w:val="Heading1"/>
      </w:pPr>
      <w:r w:rsidRPr="00FA38D7">
        <w:t>Impact Analysis</w:t>
      </w:r>
      <w:bookmarkEnd w:id="4"/>
    </w:p>
    <w:p w14:paraId="33CA61CC" w14:textId="77777777" w:rsidR="00572607" w:rsidRDefault="00572607" w:rsidP="00572607">
      <w:r w:rsidRPr="00572607">
        <w:t>Through the PESTLE framework, this analysis will critically use the evidence of the long-term decline in business commuting after COVID to redefine urban hotel strategies, specifically the shift to bleisure services and combined co-working facilities. The section analyses the hotels in the United Kingdom and global conditions by focusing on identifying specific cause-and-effect implications on the operations, financial, human, and strategic aspects of the operational level of the hotels.</w:t>
      </w:r>
    </w:p>
    <w:p w14:paraId="0A69AECE" w14:textId="24358209" w:rsidR="00F97069" w:rsidRPr="009C2D9C" w:rsidRDefault="00F97069" w:rsidP="00F97069">
      <w:pPr>
        <w:rPr>
          <w:b/>
        </w:rPr>
      </w:pPr>
      <w:r w:rsidRPr="009C2D9C">
        <w:rPr>
          <w:b/>
        </w:rPr>
        <w:t>Political</w:t>
      </w:r>
    </w:p>
    <w:p w14:paraId="02CFE536" w14:textId="77777777" w:rsidR="00572607" w:rsidRDefault="00572607" w:rsidP="00F97069">
      <w:r w:rsidRPr="00572607">
        <w:lastRenderedPageBreak/>
        <w:t>The effect of lower business commuting is partly due to remote work promotion by the government and restrictions on travelling during the pandemic, which continued via the policies of hybrid work. With the 2025 Autumn Budget, the employer National Insurance premiums and the minimum wage were raised, directly raising the staffing cost crunch on hotels already struggling with 22% fewer business trips than they had in 2019 (Fleming, 2026). The global trade policies have been uncertain, and shifts in the supply chain have resulted in corporations becoming pickier about business travel budgets, shifting towards more high-value trips and focused business travel to 2025, to a total of $1.57 trillion compared to the 2019 levels, but is focused on more high-value business travel trips as opposed to daily commuting (GBTA, 2025). Hotels have long-term uncertainty when trying to predict the corporate demand, and a new strategic turn back to the leisure areas, although the political fluctuation remains a threat to the steady rise back on track (Chkoniya, 2021).</w:t>
      </w:r>
    </w:p>
    <w:p w14:paraId="763394CB" w14:textId="204E9C53" w:rsidR="00F97069" w:rsidRPr="009C2D9C" w:rsidRDefault="00F97069" w:rsidP="00F97069">
      <w:pPr>
        <w:rPr>
          <w:b/>
        </w:rPr>
      </w:pPr>
      <w:r w:rsidRPr="009C2D9C">
        <w:rPr>
          <w:b/>
        </w:rPr>
        <w:t>Economic</w:t>
      </w:r>
    </w:p>
    <w:p w14:paraId="040FD0A7" w14:textId="77777777" w:rsidR="00572607" w:rsidRDefault="00572607" w:rsidP="00572607">
      <w:r w:rsidRPr="00572607">
        <w:t>Before the pandemic period, 50 to 60 per cent of city hotels were generally linked to business travel (Kulakhmetova et al., 2022). The absolute and sustained downward trend in commuting has consequently resulted in a direct and long-lasting revenue loss, especially in the city-centre premises. In the UK, the growth in demand slowed down in 2025, and RevPAR was struggling with inflation and cautious consumer spending that was cautious (PwC, 2024). This disparity in revenue has led to further expansion of leisure diversification by hotels all around the world, considering leisure travel is expected to double to 15 trillion by 2040 (Rappaport, 2025). The answer is that the prevalence of co-working spaces has expanded the global market of flexures by 15 percent starting in 2025 to 42,000 instantaneous (Cushman &amp; Wakefield, 2025). As co-working and bleisure bring in new ancillary revenues, the tremendous investment in physical transformations and technology upgrades usually constrains the cash flow and heightens the cost of debt repayment, particularly in times of economic decline, as the overall occupancy rate diminishes (Cooper and Hall, 2023). The implementation of scalability is still low, which produces an unbalanced financial recovery profile.</w:t>
      </w:r>
    </w:p>
    <w:p w14:paraId="37075834" w14:textId="6C153143" w:rsidR="00F97069" w:rsidRPr="009C2D9C" w:rsidRDefault="00F97069" w:rsidP="00F97069">
      <w:pPr>
        <w:rPr>
          <w:b/>
        </w:rPr>
      </w:pPr>
      <w:r w:rsidRPr="009C2D9C">
        <w:rPr>
          <w:b/>
        </w:rPr>
        <w:t>Social</w:t>
      </w:r>
    </w:p>
    <w:p w14:paraId="417C94CB" w14:textId="77777777" w:rsidR="00572607" w:rsidRDefault="00572607" w:rsidP="00F97069">
      <w:r w:rsidRPr="00572607">
        <w:t xml:space="preserve">The hybrid working has, in a fundamental way, reshaped traveller behaviour where currently 46% of workers mix work and leisure in the same trip, and this has led to the 25% annual growth in the </w:t>
      </w:r>
      <w:r w:rsidRPr="00572607">
        <w:lastRenderedPageBreak/>
        <w:t>bleisure demand (Wilkesmann and Bassyiouny, 2025). City travel in the UK grew by 45 per cent in 2025, divided into business and leisure travel (Polukhina et al., 2025). To tap into this segment, hotels have been forced to redesign their public spaces into community-focused, work-friendly spaces and offer services as a way of accessing this market (Dixit, 2019). This brings in new profiles of guests, but also adds the workload burden on employees who now need not only to provide professional workspace services, but also to provide high-end leisure experiences, which leads to burnout and exacerbation of the existing staffing problems (Batabyal and Das, 2019).</w:t>
      </w:r>
    </w:p>
    <w:p w14:paraId="4C3512AA" w14:textId="3A7F5214" w:rsidR="00F97069" w:rsidRPr="009C2D9C" w:rsidRDefault="00F97069" w:rsidP="00F97069">
      <w:pPr>
        <w:rPr>
          <w:b/>
        </w:rPr>
      </w:pPr>
      <w:r w:rsidRPr="009C2D9C">
        <w:rPr>
          <w:b/>
        </w:rPr>
        <w:t>Technological</w:t>
      </w:r>
    </w:p>
    <w:p w14:paraId="34A16D0F" w14:textId="77777777" w:rsidR="00572607" w:rsidRDefault="00572607" w:rsidP="00572607">
      <w:r w:rsidRPr="00572607">
        <w:t>The use of video conferencing tools by many people meant that people were no longer required to travel to work every day, and this directly decreased the cost of the corporate stay on mid-week (Costa and Costa, 2022). One way the hotels have responded is the implementation of app-based booking of co-working desks and hybrid meeting packages. Technology has now become a key to competitiveness, allowing to personalise bleisure deals, to spend space productively; however, this needs the unceasing investment which small independent hotels can hardly afford.</w:t>
      </w:r>
    </w:p>
    <w:p w14:paraId="19DB6DD1" w14:textId="0854B49C" w:rsidR="00F97069" w:rsidRPr="009C2D9C" w:rsidRDefault="00F97069" w:rsidP="00F97069">
      <w:pPr>
        <w:rPr>
          <w:b/>
        </w:rPr>
      </w:pPr>
      <w:r w:rsidRPr="009C2D9C">
        <w:rPr>
          <w:b/>
        </w:rPr>
        <w:t>Legal &amp; Environmental</w:t>
      </w:r>
    </w:p>
    <w:p w14:paraId="260BEC38" w14:textId="77777777" w:rsidR="00572607" w:rsidRDefault="00572607" w:rsidP="00572607">
      <w:r w:rsidRPr="00572607">
        <w:t>Health and safety policies introduced after the pandemic require flexible, well-ventilated working areas, whereas the ESG pressure brings hotels to carbon-neutral processes (Pavia et al., 2023). The resultant consequence is a higher operational cost, putting financial pressure on it at a time when already narrow business volumes are compressing the margins.</w:t>
      </w:r>
    </w:p>
    <w:p w14:paraId="26179EDF" w14:textId="3324CE52" w:rsidR="00F97069" w:rsidRPr="009C2D9C" w:rsidRDefault="00F97069" w:rsidP="00F97069">
      <w:pPr>
        <w:rPr>
          <w:b/>
        </w:rPr>
      </w:pPr>
      <w:r w:rsidRPr="009C2D9C">
        <w:rPr>
          <w:b/>
        </w:rPr>
        <w:t>Responses and Cr</w:t>
      </w:r>
      <w:r w:rsidR="0075762F">
        <w:rPr>
          <w:b/>
        </w:rPr>
        <w:t>itical Evaluation by Industries</w:t>
      </w:r>
    </w:p>
    <w:p w14:paraId="131F5FAC" w14:textId="77777777" w:rsidR="00572607" w:rsidRPr="00572607" w:rsidRDefault="00572607" w:rsidP="00572607">
      <w:bookmarkStart w:id="5" w:name="_Toc221186967"/>
      <w:r w:rsidRPr="00572607">
        <w:t>By introducing work as a seven-day package through high-speed Wi-Fi and leisure upgrades, Marriott has focused on occupancy as bleisure in the city properties in London and New York, where the industry is significantly gaining momentum (George, 2025). The Hilton WorkSpaces was an out-of-lobby co-working repurposing program in the UK and other parts of the world, which helped Hiltons increase ancillary revenue by partnering with Peloton (Hilton, 2025). Accor also introduced blended living or hybrid meeting rooms, which is why it increased remote-friendly travel by 19.5% (Mahiette, 2021).</w:t>
      </w:r>
    </w:p>
    <w:p w14:paraId="35A6105E" w14:textId="77777777" w:rsidR="00572607" w:rsidRPr="00572607" w:rsidRDefault="00572607" w:rsidP="00572607">
      <w:r w:rsidRPr="00572607">
        <w:lastRenderedPageBreak/>
        <w:t>These adaptations can provide revenue diversification that is quantifiable in terms of bleisure ROI of 1.51 on each dollar spent and decrease business dependence on seasonal business trends, which are more resilient strategically (Chakraborty et al., 2024).</w:t>
      </w:r>
    </w:p>
    <w:p w14:paraId="201076AA" w14:textId="77777777" w:rsidR="00572607" w:rsidRDefault="00572607" w:rsidP="00572607">
      <w:pPr>
        <w:rPr>
          <w:b/>
        </w:rPr>
      </w:pPr>
      <w:r w:rsidRPr="00572607">
        <w:t>The cost of expensive upfront investments is paired with the specifics of the UK market, including the 15 per cent insurance premiums increase, and adverse labour shortages that hinder the expansion (Barnett, 2025). The recovery balance is still not very balanced. Leisure is gaining very well, business commuting is lagging, leaving hotels at risk of economic imbalances. The prevailing passion of bleisure is on the brink of over-optimism in case macroeconomic factors become poor.</w:t>
      </w:r>
    </w:p>
    <w:p w14:paraId="764264F7" w14:textId="77777777" w:rsidR="00572607" w:rsidRDefault="00572607" w:rsidP="00572607">
      <w:pPr>
        <w:rPr>
          <w:rFonts w:eastAsiaTheme="majorEastAsia" w:cstheme="majorBidi"/>
          <w:b/>
          <w:sz w:val="32"/>
          <w:szCs w:val="32"/>
        </w:rPr>
      </w:pPr>
      <w:bookmarkStart w:id="6" w:name="_Toc220357474"/>
      <w:bookmarkEnd w:id="5"/>
    </w:p>
    <w:p w14:paraId="4C7E2FEB" w14:textId="55C4B436" w:rsidR="00572607" w:rsidRPr="00572607" w:rsidRDefault="00572607" w:rsidP="00572607">
      <w:pPr>
        <w:rPr>
          <w:rFonts w:eastAsiaTheme="majorEastAsia" w:cstheme="majorBidi"/>
          <w:b/>
          <w:sz w:val="32"/>
          <w:szCs w:val="32"/>
        </w:rPr>
      </w:pPr>
      <w:r w:rsidRPr="00572607">
        <w:rPr>
          <w:rFonts w:eastAsiaTheme="majorEastAsia" w:cstheme="majorBidi"/>
          <w:b/>
          <w:sz w:val="32"/>
          <w:szCs w:val="32"/>
        </w:rPr>
        <w:t>Conclusion</w:t>
      </w:r>
      <w:bookmarkEnd w:id="6"/>
    </w:p>
    <w:p w14:paraId="75E971BA" w14:textId="50256C6A" w:rsidR="00FA38D7" w:rsidRPr="00FA38D7" w:rsidRDefault="00572607" w:rsidP="00572607">
      <w:r w:rsidRPr="00572607">
        <w:t>Business commuting was clearly curbed by the COVID-19 pandemic, and urban hotels in the UK and around the world had to change their business model to include bleisure experiences and co-working areas to compensate for steadily falling corporate incomes. Though all these strategies have diversified income bases and tapped into a rising demand in leisure and hybrid travel, all the weak points that have seen the strategies fail to address include economic strains, shortages of staff, and an uneven recovery. Analysts suggest investing further in technology, sustainability, and flexible operations to become stronger in the long-term and seize the new opportunities of the market.</w:t>
      </w:r>
      <w:r w:rsidR="00FA38D7" w:rsidRPr="00FA38D7">
        <w:br w:type="page"/>
      </w:r>
    </w:p>
    <w:p w14:paraId="72BA4502" w14:textId="77777777" w:rsidR="00572607" w:rsidRDefault="00572607" w:rsidP="00360D29">
      <w:pPr>
        <w:rPr>
          <w:rFonts w:eastAsiaTheme="majorEastAsia" w:cstheme="majorBidi"/>
          <w:b/>
          <w:sz w:val="32"/>
          <w:szCs w:val="32"/>
        </w:rPr>
      </w:pPr>
      <w:r w:rsidRPr="00572607">
        <w:rPr>
          <w:rFonts w:eastAsiaTheme="majorEastAsia" w:cstheme="majorBidi"/>
          <w:b/>
          <w:sz w:val="32"/>
          <w:szCs w:val="32"/>
        </w:rPr>
        <w:lastRenderedPageBreak/>
        <w:t>Recommendations</w:t>
      </w:r>
    </w:p>
    <w:p w14:paraId="5A9E79FC" w14:textId="1B02EE90" w:rsidR="00572607" w:rsidRDefault="008E0B96" w:rsidP="00572607">
      <w:r>
        <w:t>Continuing</w:t>
      </w:r>
      <w:r w:rsidR="00572607">
        <w:t xml:space="preserve"> the same impacts of less business commuting, including lost corporate bookings, increased staffing and cost pressures, operational challenges due to the hybrid-type of leisure, and extremely high-capital expenses due to co-working conversion, analysts develop relatively narrow-focused actions.</w:t>
      </w:r>
    </w:p>
    <w:p w14:paraId="0CBA977C" w14:textId="77777777" w:rsidR="00572607" w:rsidRDefault="00572607" w:rsidP="00572607">
      <w:r>
        <w:t>UK hotels should focus on automating regular operational activities in direct relation to mitigate any staffing crises and increase in labour expenditure due to the 22nd consecutive drop in business trips. It is also proposed that multi-skilling of the current staff to cover both professional workspace provision and leisure guest demands to alleviate burnout and to serve better in the face of the increase in workload related to the bleisure workload (Price Waterhouse Coopers, 2025).</w:t>
      </w:r>
    </w:p>
    <w:p w14:paraId="6D5228D7" w14:textId="77777777" w:rsidR="00572607" w:rsidRDefault="00572607" w:rsidP="00572607">
      <w:r>
        <w:t>Hospitality Net researchers recommend specific AI investment in personalisation engines and dynamic pricing algorithms at the global level, where sieving the 46% of travellers now seeking bleisure travel will allow hotels to optimise shoulder season bookings and ancillary spend that fills in gaps in mid-week corporate reservations (Zahidi, Kaluvilla, and Mulla, 2024).</w:t>
      </w:r>
    </w:p>
    <w:p w14:paraId="03F5B42C" w14:textId="77777777" w:rsidR="00572607" w:rsidRDefault="00572607" w:rsidP="00572607">
      <w:r>
        <w:t>To mitigate financial risk caused by low conversion costs and unbalanced recovery, it is advised that operators in the UK resort to strategic alliances and regeneration-hub models to receive funding through Innovate UK schemes to share costs on flexible outdoor and event spaces, which will, instead of incurring capital investment, generate non-commuting revenue (PwC, 2025).</w:t>
      </w:r>
    </w:p>
    <w:p w14:paraId="040DBD67" w14:textId="77777777" w:rsidR="00572607" w:rsidRDefault="00572607" w:rsidP="00572607">
      <w:r>
        <w:t>Disciplined expenditure regulation and price separation, putting a premium price on the high-value bleisure and group wellness demand and providing competitive leisure midweek packages are explicitly discussed as a direct counter to the stagnation in the RevPAR and the supremacy of leisure over the business segments lagging (Hotel Management Network, 2024).</w:t>
      </w:r>
    </w:p>
    <w:p w14:paraId="41348C4F" w14:textId="57324DD6" w:rsidR="00FA38D7" w:rsidRDefault="00572607" w:rsidP="00572607">
      <w:r>
        <w:t xml:space="preserve">These are key tips that are well </w:t>
      </w:r>
      <w:r w:rsidR="008E0624">
        <w:t>aligned</w:t>
      </w:r>
      <w:r>
        <w:t xml:space="preserve"> with the fundamental impacts. They expect to </w:t>
      </w:r>
      <w:r w:rsidR="00CB3815">
        <w:t>reduce</w:t>
      </w:r>
      <w:r>
        <w:t xml:space="preserve"> financial pressure through automation and partnership, alleviate human resource stress through multi-skilling and strategically cash in on bleisure growth to re-equip the balance sheet in a hybrid-work environment.</w:t>
      </w:r>
      <w:r w:rsidR="00FA38D7">
        <w:br w:type="page"/>
      </w:r>
    </w:p>
    <w:p w14:paraId="17F778C3" w14:textId="77777777" w:rsidR="003C6510" w:rsidRDefault="00FA38D7" w:rsidP="00FA38D7">
      <w:pPr>
        <w:pStyle w:val="Heading1"/>
      </w:pPr>
      <w:bookmarkStart w:id="7" w:name="_Toc221186969"/>
      <w:r>
        <w:lastRenderedPageBreak/>
        <w:t>References</w:t>
      </w:r>
      <w:bookmarkEnd w:id="7"/>
    </w:p>
    <w:p w14:paraId="0C1596E5" w14:textId="5180DFD9" w:rsidR="00572607" w:rsidRDefault="00572607" w:rsidP="00572607">
      <w:r>
        <w:t xml:space="preserve">Achmad, F., Prambudia, Y. and Rumanti, A.A. (2023) 'Improving tourism industry performance through support system facilities and stakeholders: the role of environmental dynamism', Sustainability, 15(5), p. 4103. Available at: </w:t>
      </w:r>
      <w:hyperlink r:id="rId9" w:history="1">
        <w:r w:rsidRPr="00572607">
          <w:rPr>
            <w:rStyle w:val="Hyperlink"/>
          </w:rPr>
          <w:t>https://www.mdpi.com/2071-1050/15/5/4103</w:t>
        </w:r>
      </w:hyperlink>
      <w:r>
        <w:t xml:space="preserve"> </w:t>
      </w:r>
    </w:p>
    <w:p w14:paraId="334A8537" w14:textId="40F7BC9E" w:rsidR="00572607" w:rsidRDefault="00572607" w:rsidP="00572607">
      <w:r>
        <w:t xml:space="preserve">Anguera-Torrell, O., Vives-Perez, J. and Aznar-Alarcón, J.P. (2021) 'Urban tourism performance index over the COVID-19 pandemic', International Journal of Tourism Cities, 7(3), pp. 622-639. Available at: </w:t>
      </w:r>
      <w:hyperlink r:id="rId10" w:history="1">
        <w:r w:rsidRPr="00572607">
          <w:rPr>
            <w:rStyle w:val="Hyperlink"/>
          </w:rPr>
          <w:t>https://scholar.archive.org/work/xsawv7fv3ng7vn6ydwaybngomm/access/wayback/https://www.emerald.com/insight/content/doi/10.1108/IJTC-09-2020-0206/full/pdf?title=urban-tourism-performance-index-over-the-covid-19-pandemic</w:t>
        </w:r>
      </w:hyperlink>
      <w:r>
        <w:t xml:space="preserve"> </w:t>
      </w:r>
    </w:p>
    <w:p w14:paraId="4CE56765" w14:textId="2F97D891" w:rsidR="00572607" w:rsidRDefault="00572607" w:rsidP="00572607">
      <w:r>
        <w:t xml:space="preserve">Barnett, J. (2025) 'Businesses to cut staff and raise prices after national insurance rise', The Times. Available at: </w:t>
      </w:r>
      <w:hyperlink r:id="rId11" w:history="1">
        <w:r w:rsidRPr="00572607">
          <w:rPr>
            <w:rStyle w:val="Hyperlink"/>
          </w:rPr>
          <w:t>https://www.thetimes.com/business/companies-markets/article/businesses-to-lay-off-staff-and-raise-prices-after-nic-rise-jqpcw6gm7</w:t>
        </w:r>
      </w:hyperlink>
      <w:r>
        <w:t xml:space="preserve"> (Accessed: </w:t>
      </w:r>
      <w:r w:rsidR="00F70CB5">
        <w:t>03</w:t>
      </w:r>
      <w:r>
        <w:t xml:space="preserve"> </w:t>
      </w:r>
      <w:r w:rsidR="00F70CB5">
        <w:t>Febru</w:t>
      </w:r>
      <w:r>
        <w:t>ary 2026).</w:t>
      </w:r>
    </w:p>
    <w:p w14:paraId="17BC746C" w14:textId="77777777" w:rsidR="00572607" w:rsidRDefault="00572607" w:rsidP="00572607">
      <w:r>
        <w:t>Batabyal, D. and Das, D.K. (2019). Global trends, practices, and challenges in contemporary tourism and hospitality management. Hershey, PA: IGI Global.</w:t>
      </w:r>
    </w:p>
    <w:p w14:paraId="33CB07D6" w14:textId="133F2DC5" w:rsidR="00572607" w:rsidRDefault="00572607" w:rsidP="00572607">
      <w:r>
        <w:t xml:space="preserve">CGTN (2023) Paying the price: UK hospitality grapples with staffing crisis as COVID and Brexit bites hard. Available at: </w:t>
      </w:r>
      <w:hyperlink r:id="rId12" w:history="1">
        <w:r w:rsidRPr="00572607">
          <w:rPr>
            <w:rStyle w:val="Hyperlink"/>
          </w:rPr>
          <w:t>https://newseu.cgtn.com/news/2023-07-26/UK-hospitality-grapples-with-staffing-crisis-as-COVID-and-Brexit-bites-1lL0mvKwp1u/index.html</w:t>
        </w:r>
      </w:hyperlink>
      <w:r>
        <w:t xml:space="preserve"> (Accessed: </w:t>
      </w:r>
      <w:r w:rsidR="00F70CB5">
        <w:t>04 February</w:t>
      </w:r>
      <w:r>
        <w:t xml:space="preserve"> 2026).</w:t>
      </w:r>
    </w:p>
    <w:p w14:paraId="0EF863DA" w14:textId="79331141" w:rsidR="00572607" w:rsidRDefault="00572607" w:rsidP="00572607">
      <w:r>
        <w:t xml:space="preserve">Chakraborty, T., S, S.V., Tripathi, M. and Basu, R. (2024) 'Towards a balanced lifestyle: how bleisure travel is reshaping work-life balance among professionals', in Smart travel and sustainable innovations in bleisure tourism. Hershey, PA: IGI Global, pp. 149-178. Available at: </w:t>
      </w:r>
      <w:hyperlink r:id="rId13" w:history="1">
        <w:r w:rsidRPr="00572607">
          <w:rPr>
            <w:rStyle w:val="Hyperlink"/>
          </w:rPr>
          <w:t>https://www.researchgate.net/profile/Ranita-Basu/publication/384850710_Towards_a_Balanced_Lifestyle_How_Bleisure_Travel_Is_Reshaping_Work-Life_Balance_Among_Professionals/links/6764f152c1b0135465eaa680/Towards-a-Balanced-Lifestyle-How-Bleisure-Travel-Is-Reshaping-Work-Life-Balance-Among-Professionals.pdf</w:t>
        </w:r>
      </w:hyperlink>
      <w:r>
        <w:t xml:space="preserve"> </w:t>
      </w:r>
    </w:p>
    <w:p w14:paraId="6A1B6421" w14:textId="11D3DFFD" w:rsidR="00572607" w:rsidRDefault="00572607" w:rsidP="00572607">
      <w:r>
        <w:lastRenderedPageBreak/>
        <w:t xml:space="preserve">Chinprateep, A. (2024) The Covid-19 pandemic: reshaping international commuting and impact on international commuting and management strategies. Available at: </w:t>
      </w:r>
      <w:hyperlink r:id="rId14" w:history="1">
        <w:r w:rsidRPr="00572607">
          <w:rPr>
            <w:rStyle w:val="Hyperlink"/>
          </w:rPr>
          <w:t>https://doi.org/10.2139/ssrn.5304727</w:t>
        </w:r>
      </w:hyperlink>
      <w:r>
        <w:t xml:space="preserve"> (Accessed: 2</w:t>
      </w:r>
      <w:r w:rsidR="00F70CB5">
        <w:t>9</w:t>
      </w:r>
      <w:r>
        <w:t xml:space="preserve"> January 2026).</w:t>
      </w:r>
    </w:p>
    <w:p w14:paraId="37DD4032" w14:textId="77777777" w:rsidR="00572607" w:rsidRDefault="00572607" w:rsidP="00572607">
      <w:r>
        <w:t>Chkoniya, V. (2021) Handbook of research on applied data science and artificial intelligence in business and industry. Hershey, PA: Engineering Science Reference, an imprint of IGI Global.</w:t>
      </w:r>
    </w:p>
    <w:p w14:paraId="3DF4A1D2" w14:textId="77777777" w:rsidR="00572607" w:rsidRDefault="00572607" w:rsidP="00572607">
      <w:r>
        <w:t>Cooper, C. and Hall, C.M. (2023) Contemporary tourism. Oxford: Goodfellow Publishers Ltd.</w:t>
      </w:r>
    </w:p>
    <w:p w14:paraId="6CF0BF17" w14:textId="77777777" w:rsidR="00572607" w:rsidRDefault="00572607" w:rsidP="00572607">
      <w:r>
        <w:t>Costa, V.G. and Costa, C. (2022) Sustainability and competitiveness in the hospitality industry. Hershey, PA: Business Science Reference.</w:t>
      </w:r>
    </w:p>
    <w:p w14:paraId="6ADFD255" w14:textId="589FAC28" w:rsidR="00572607" w:rsidRDefault="00572607" w:rsidP="00572607">
      <w:r>
        <w:t xml:space="preserve">da Silva, D., Schutte, D. and Surujlal, J. (2021) 'Unpacking the IFRS implications of COVID-19 for travel and leisure companies listed on the JSE', Sustainability, 13(14), p. 7942. Available at: </w:t>
      </w:r>
      <w:hyperlink r:id="rId15" w:history="1">
        <w:r w:rsidRPr="00572607">
          <w:rPr>
            <w:rStyle w:val="Hyperlink"/>
          </w:rPr>
          <w:t>https://www.mdpi.com/2071-1050/13/14/7942</w:t>
        </w:r>
      </w:hyperlink>
      <w:r>
        <w:t xml:space="preserve"> </w:t>
      </w:r>
    </w:p>
    <w:p w14:paraId="2795062F" w14:textId="3B92A44C" w:rsidR="00572607" w:rsidRDefault="00572607" w:rsidP="00572607">
      <w:r>
        <w:t xml:space="preserve">Dixit, S.K. (2019) Review of Managing hospitality organizations: achieving excellence in the guest experience (second edition), by Robert C. Ford and Michael C. Sturman. Annals of Leisure Research, 23(2), pp. 1-2. </w:t>
      </w:r>
      <w:r w:rsidRPr="00994D28">
        <w:t>doi:10.1080/11745398.2019.1653205</w:t>
      </w:r>
      <w:r w:rsidRPr="00572607">
        <w:t>.</w:t>
      </w:r>
    </w:p>
    <w:p w14:paraId="1B1B03EE" w14:textId="545E6B7E" w:rsidR="00572607" w:rsidRDefault="00572607" w:rsidP="00572607">
      <w:r>
        <w:t xml:space="preserve">Dube, K., Nhamo, G. and Chikodzi, D. (2023) 'COVID-19 pandemic and prospects for recovery of the global aviation industry', Journal of Air Transport Management, 92, p. 102022. Available at: </w:t>
      </w:r>
      <w:hyperlink r:id="rId16" w:history="1">
        <w:r w:rsidRPr="009E3077">
          <w:rPr>
            <w:rStyle w:val="Hyperlink"/>
          </w:rPr>
          <w:t>https://pmc.ncbi.nlm.nih.gov/articles/PMC9759696/pdf/main.pdf</w:t>
        </w:r>
      </w:hyperlink>
      <w:r>
        <w:t xml:space="preserve"> </w:t>
      </w:r>
    </w:p>
    <w:p w14:paraId="7672868B" w14:textId="0A9A505F" w:rsidR="00572607" w:rsidRDefault="00572607" w:rsidP="00572607">
      <w:r>
        <w:t xml:space="preserve">England, L., Viganò, F., Comunian, R. and Tanghetti, J. (2022) Creative work: possible futures after Covid-19. London: King's College London. Available at: </w:t>
      </w:r>
      <w:hyperlink r:id="rId17" w:history="1">
        <w:r w:rsidRPr="00994D28">
          <w:rPr>
            <w:rStyle w:val="Hyperlink"/>
          </w:rPr>
          <w:t>https://doi.org/10.18742/pub01-080</w:t>
        </w:r>
      </w:hyperlink>
      <w:r>
        <w:t xml:space="preserve"> (Accessed: </w:t>
      </w:r>
      <w:r w:rsidR="00F70CB5">
        <w:t>31</w:t>
      </w:r>
      <w:r>
        <w:t xml:space="preserve"> January 2026).</w:t>
      </w:r>
    </w:p>
    <w:p w14:paraId="22A06E78" w14:textId="21F5E035" w:rsidR="00572607" w:rsidRDefault="00572607" w:rsidP="00572607">
      <w:r>
        <w:t xml:space="preserve">Enoch, M., Monsuur, F., Palaiologou, G., Quddus, M.A., Ellis-Chadwick, F., Morton, C. and Rayner, R. (2021) 'When COVID-19 came to town: measuring the impact of the coronavirus pandemic on footfall on six high streets in England', Environment and Planning B: Urban Analytics and City Science, 49(3), p. 23998083211048497. Available at: </w:t>
      </w:r>
      <w:hyperlink r:id="rId18" w:history="1">
        <w:r w:rsidRPr="00994D28">
          <w:rPr>
            <w:rStyle w:val="Hyperlink"/>
          </w:rPr>
          <w:t>https://journals.sagepub.com/doi/pdf/10.1177/23998083211048497</w:t>
        </w:r>
      </w:hyperlink>
      <w:r>
        <w:t xml:space="preserve"> </w:t>
      </w:r>
    </w:p>
    <w:p w14:paraId="7FBAC1B0" w14:textId="0A669838" w:rsidR="00572607" w:rsidRDefault="00572607" w:rsidP="00572607">
      <w:r>
        <w:t xml:space="preserve">Fleming, P. (2026) Why business rates are becoming a breaking point for UK hotels. Available at: </w:t>
      </w:r>
      <w:hyperlink r:id="rId19" w:history="1">
        <w:r w:rsidRPr="00994D28">
          <w:rPr>
            <w:rStyle w:val="Hyperlink"/>
          </w:rPr>
          <w:t>https://www.blickrothenberg.com/insights/detail/why-business-rates-are-becoming-a-breaking-point-for-uk-hotels/</w:t>
        </w:r>
      </w:hyperlink>
      <w:r>
        <w:t xml:space="preserve"> (Accessed: </w:t>
      </w:r>
      <w:r w:rsidR="00F70CB5">
        <w:t>31</w:t>
      </w:r>
      <w:r>
        <w:t xml:space="preserve"> January 2026).</w:t>
      </w:r>
    </w:p>
    <w:p w14:paraId="3AA583CF" w14:textId="4E59E541" w:rsidR="00572607" w:rsidRDefault="00572607" w:rsidP="00572607">
      <w:r>
        <w:lastRenderedPageBreak/>
        <w:t xml:space="preserve">George, R. (2025) 'Market segmentation, targeting, and positioning', in George, R. (ed.) Marketing tourism and hospitality: concepts and strategies. Cham: Springer, pp. 199-221. Available at: </w:t>
      </w:r>
      <w:hyperlink r:id="rId20" w:history="1">
        <w:r w:rsidRPr="00994D28">
          <w:rPr>
            <w:rStyle w:val="Hyperlink"/>
          </w:rPr>
          <w:t>https://link.springer.com/chapter/10.1007/978-3-031-65983-6_7</w:t>
        </w:r>
      </w:hyperlink>
      <w:r>
        <w:t xml:space="preserve"> </w:t>
      </w:r>
    </w:p>
    <w:p w14:paraId="7ABE743D" w14:textId="36430D3A" w:rsidR="00572607" w:rsidRDefault="00572607" w:rsidP="00572607">
      <w:r>
        <w:t xml:space="preserve">Global Business Travel Association (GBTA) (2025) Global business travel spending to reach $1.57 trillion in 2025 amid trade policy uncertainty and economic risk, according to new GBTA forecast. Available at: </w:t>
      </w:r>
      <w:hyperlink r:id="rId21" w:history="1">
        <w:r w:rsidRPr="00994D28">
          <w:rPr>
            <w:rStyle w:val="Hyperlink"/>
          </w:rPr>
          <w:t>https://gbta.org/global-business-travel-spending-to-reach-1-57-trillion-in-2025-amid-trade-policy-uncertainty-and-economic-risk-according-to-new-gbta-forecast/</w:t>
        </w:r>
      </w:hyperlink>
      <w:r>
        <w:t xml:space="preserve"> (Accessed: </w:t>
      </w:r>
      <w:r w:rsidR="00F70CB5">
        <w:t>31</w:t>
      </w:r>
      <w:r>
        <w:t xml:space="preserve"> January 2026).</w:t>
      </w:r>
    </w:p>
    <w:p w14:paraId="777E3268" w14:textId="3D39BB1C" w:rsidR="00572607" w:rsidRDefault="00572607" w:rsidP="00572607">
      <w:r>
        <w:t xml:space="preserve">GOV.UK (2023) Tourism recovery plan update on delivery. Available at: </w:t>
      </w:r>
      <w:hyperlink r:id="rId22" w:history="1">
        <w:r w:rsidRPr="00994D28">
          <w:rPr>
            <w:rStyle w:val="Hyperlink"/>
          </w:rPr>
          <w:t>https://assets.publishing.service.gov.uk/media/6447ec19814c6600128d061d/Select_Committee__TRP_update.pdf</w:t>
        </w:r>
      </w:hyperlink>
      <w:r>
        <w:t xml:space="preserve"> (Accessed: </w:t>
      </w:r>
      <w:r w:rsidR="00F70CB5">
        <w:t>30</w:t>
      </w:r>
      <w:r>
        <w:t xml:space="preserve"> January 2026).</w:t>
      </w:r>
    </w:p>
    <w:p w14:paraId="3F60AF80" w14:textId="53D6B8D0" w:rsidR="00572607" w:rsidRDefault="00572607" w:rsidP="00572607">
      <w:r>
        <w:t xml:space="preserve">Hilton (2025) Workspaces by Hilton - day use rooms for remote working. Available at: </w:t>
      </w:r>
      <w:hyperlink r:id="rId23" w:history="1">
        <w:r w:rsidRPr="00994D28">
          <w:rPr>
            <w:rStyle w:val="Hyperlink"/>
          </w:rPr>
          <w:t>https://www.hilton.com/en/p/workspaces-by-hilton/</w:t>
        </w:r>
      </w:hyperlink>
      <w:r>
        <w:t xml:space="preserve"> (Accessed: </w:t>
      </w:r>
      <w:r w:rsidR="00F70CB5">
        <w:t>30</w:t>
      </w:r>
      <w:r>
        <w:t xml:space="preserve"> January 2026).</w:t>
      </w:r>
    </w:p>
    <w:p w14:paraId="7B3994BE" w14:textId="7E017FA4" w:rsidR="00572607" w:rsidRDefault="00572607" w:rsidP="00572607">
      <w:r>
        <w:t xml:space="preserve">Hutton, G. and Foley, N. (2022) Hospitality industry and Covid-19. House of Commons Library Briefing, CBP-9111. Available at: </w:t>
      </w:r>
      <w:hyperlink r:id="rId24" w:history="1">
        <w:r w:rsidRPr="00994D28">
          <w:rPr>
            <w:rStyle w:val="Hyperlink"/>
          </w:rPr>
          <w:t>https://researchbriefings.files.parliament.uk/documents/CBP-9111/CBP-9111.pdf</w:t>
        </w:r>
      </w:hyperlink>
      <w:r>
        <w:t xml:space="preserve"> (Accessed: </w:t>
      </w:r>
      <w:r w:rsidR="00F70CB5">
        <w:t xml:space="preserve">31 </w:t>
      </w:r>
      <w:r>
        <w:t>January 2026).</w:t>
      </w:r>
    </w:p>
    <w:p w14:paraId="6B0C35A8" w14:textId="08B072DE" w:rsidR="00572607" w:rsidRDefault="00572607" w:rsidP="00572607">
      <w:r>
        <w:t xml:space="preserve">Jones, P. (2022) 'A review of the UK’s tourism recovery plans post COVID-19', Athens Journal of Tourism, 9(1), pp. 9-18. Available at: </w:t>
      </w:r>
      <w:hyperlink r:id="rId25" w:history="1">
        <w:r w:rsidRPr="00994D28">
          <w:rPr>
            <w:rStyle w:val="Hyperlink"/>
          </w:rPr>
          <w:t>https://eprints.glos.ac.uk/10455/1/10455-Jones-%282021%29-A-review-of-the-UK%27s-tourism-recovery.pdf</w:t>
        </w:r>
      </w:hyperlink>
      <w:r>
        <w:t xml:space="preserve"> </w:t>
      </w:r>
    </w:p>
    <w:p w14:paraId="4E7358F4" w14:textId="2429535A" w:rsidR="00572607" w:rsidRDefault="00572607" w:rsidP="00572607">
      <w:r>
        <w:t xml:space="preserve">Kulakhmetova, G., Aktymbayeva, A., Assipova, Z., Baoleer, B. and Koshkimbayeva, U. (2022) 'Current problems in the tourism and hotel industry taking the world’s tourist cities as an example', GeoJournal of Tourism and Geosites, 43(3), pp. 841-849. Available at: </w:t>
      </w:r>
      <w:hyperlink r:id="rId26" w:history="1">
        <w:r w:rsidRPr="00994D28">
          <w:rPr>
            <w:rStyle w:val="Hyperlink"/>
          </w:rPr>
          <w:t>https://gtg.webhost.uoradea.ro/PDF/GTG-3-2022/gtg.43301-895.pdf</w:t>
        </w:r>
      </w:hyperlink>
      <w:r>
        <w:t xml:space="preserve"> </w:t>
      </w:r>
    </w:p>
    <w:p w14:paraId="3A286A46" w14:textId="55F1EFA5" w:rsidR="00572607" w:rsidRDefault="00572607" w:rsidP="00572607">
      <w:r>
        <w:t xml:space="preserve">Mahiette, M. (2021) Paris – world leading hospitality group Accor today announced it is collaborating with Microsoft. Available at: </w:t>
      </w:r>
      <w:hyperlink r:id="rId27" w:history="1">
        <w:r w:rsidRPr="00994D28">
          <w:rPr>
            <w:rStyle w:val="Hyperlink"/>
          </w:rPr>
          <w:t>https://press.accor.com/accor-launches-all-connect-new-hybrid-meeting-concept-powered-by-microsoft-teams</w:t>
        </w:r>
      </w:hyperlink>
      <w:r>
        <w:t xml:space="preserve"> (Accessed: 2</w:t>
      </w:r>
      <w:r w:rsidR="00F70CB5">
        <w:t>9</w:t>
      </w:r>
      <w:r>
        <w:t xml:space="preserve"> January 2026).</w:t>
      </w:r>
    </w:p>
    <w:p w14:paraId="3B81CCE8" w14:textId="283B3385" w:rsidR="00572607" w:rsidRDefault="00572607" w:rsidP="00572607">
      <w:r>
        <w:lastRenderedPageBreak/>
        <w:t xml:space="preserve">Maisner, S. (2024) 'Chatham: plans approved for creative digital hub', BBC News, 30 January. Available at: </w:t>
      </w:r>
      <w:hyperlink r:id="rId28" w:history="1">
        <w:r w:rsidRPr="00994D28">
          <w:rPr>
            <w:rStyle w:val="Hyperlink"/>
          </w:rPr>
          <w:t>https://www.bbc.co.uk/news/uk-england-kent-68095120</w:t>
        </w:r>
      </w:hyperlink>
      <w:r>
        <w:t xml:space="preserve"> (Accessed: </w:t>
      </w:r>
      <w:r w:rsidR="00F70CB5">
        <w:t>31</w:t>
      </w:r>
      <w:r>
        <w:t xml:space="preserve"> January 2026).</w:t>
      </w:r>
    </w:p>
    <w:p w14:paraId="7D9EB313" w14:textId="515FD046" w:rsidR="00572607" w:rsidRDefault="00572607" w:rsidP="00572607">
      <w:r>
        <w:t xml:space="preserve">Melas, D. and Melasova, K. (2020) The early impact of Covid-19 pandemic on the aviation industry. Available at: </w:t>
      </w:r>
      <w:hyperlink r:id="rId29" w:history="1">
        <w:r w:rsidRPr="00994D28">
          <w:rPr>
            <w:rStyle w:val="Hyperlink"/>
          </w:rPr>
          <w:t>https://www.researchgate.net/publication/343478909_The_Early_Impact_of_Covid-19_Pandemic_on_the_Aviation_Industry</w:t>
        </w:r>
      </w:hyperlink>
      <w:r>
        <w:t xml:space="preserve"> (Accessed: </w:t>
      </w:r>
      <w:r w:rsidR="00F70CB5">
        <w:t>31</w:t>
      </w:r>
      <w:r>
        <w:t xml:space="preserve"> January 2026).</w:t>
      </w:r>
    </w:p>
    <w:p w14:paraId="4C48D517" w14:textId="16F3B205" w:rsidR="00572607" w:rsidRDefault="00572607" w:rsidP="00572607">
      <w:r>
        <w:t xml:space="preserve">Pavia, N., Floričić, T. and Mrnjavac, E. (2023) 'Flexible workspaces and remote work in hotel accommodation offer – competitiveness context', Tourism and hospitality industry 2022, pp. 227-243. Available at: </w:t>
      </w:r>
      <w:hyperlink r:id="rId30" w:history="1">
        <w:r w:rsidRPr="00994D28">
          <w:rPr>
            <w:rStyle w:val="Hyperlink"/>
          </w:rPr>
          <w:t>https://www.unirepository.svkri.uniri.hr/islandora/object/fthm:5898/datastream/FILE0/download</w:t>
        </w:r>
      </w:hyperlink>
      <w:r>
        <w:t xml:space="preserve"> </w:t>
      </w:r>
    </w:p>
    <w:p w14:paraId="2123B07E" w14:textId="17128D3A" w:rsidR="00572607" w:rsidRDefault="00572607" w:rsidP="00572607">
      <w:r>
        <w:t xml:space="preserve">Polukhina, A., Sheresheva, M., Napolskikh, D. and Lezhnin, V. (2025) 'Digital solutions in tourism as a way to boost sustainable development: evidence from a transition economy', Sustainability, 17(3), p. 877. Available at: </w:t>
      </w:r>
      <w:hyperlink r:id="rId31" w:history="1">
        <w:r w:rsidRPr="00994D28">
          <w:rPr>
            <w:rStyle w:val="Hyperlink"/>
          </w:rPr>
          <w:t>https://www.mdpi.com/2071-1050/17/3/877</w:t>
        </w:r>
      </w:hyperlink>
      <w:r>
        <w:t xml:space="preserve"> </w:t>
      </w:r>
    </w:p>
    <w:p w14:paraId="7136A325" w14:textId="50625150" w:rsidR="00572607" w:rsidRDefault="00572607" w:rsidP="00572607">
      <w:r>
        <w:t xml:space="preserve">Prentice, C., Tracogna, A. and Akbar, Y.H. (2023) 'The paths to an enhanced ecosystem for international hotel chains', Journal of the Knowledge Economy. Available at; </w:t>
      </w:r>
      <w:hyperlink r:id="rId32" w:history="1">
        <w:r w:rsidRPr="00994D28">
          <w:rPr>
            <w:rStyle w:val="Hyperlink"/>
          </w:rPr>
          <w:t>https://link.springer.com/article/10.1007/s13132-024-02579-4</w:t>
        </w:r>
      </w:hyperlink>
      <w:r>
        <w:t xml:space="preserve"> </w:t>
      </w:r>
    </w:p>
    <w:p w14:paraId="581DA652" w14:textId="38D96B6F" w:rsidR="00572607" w:rsidRDefault="00572607" w:rsidP="00572607">
      <w:r>
        <w:t xml:space="preserve">Price Waterhouse Coopers (2025) Hospitality industry outlook: PwC. Available at: </w:t>
      </w:r>
      <w:hyperlink r:id="rId33" w:history="1">
        <w:r w:rsidRPr="00994D28">
          <w:rPr>
            <w:rStyle w:val="Hyperlink"/>
          </w:rPr>
          <w:t>https://www.pwc.com/us/en/industries/financial-services/asset-wealth-management/real-estate/emerging-trends-in-real-estate-pwc-uli/property-type-outlook/hospitality.html</w:t>
        </w:r>
      </w:hyperlink>
      <w:r>
        <w:t xml:space="preserve"> (Accessed: </w:t>
      </w:r>
      <w:r w:rsidR="00F70CB5">
        <w:t>30</w:t>
      </w:r>
      <w:r>
        <w:t xml:space="preserve"> January 2026).</w:t>
      </w:r>
    </w:p>
    <w:p w14:paraId="04827694" w14:textId="4FC898BB" w:rsidR="00572607" w:rsidRDefault="00572607" w:rsidP="00572607">
      <w:r>
        <w:t xml:space="preserve">PwC (2024) UK hotels forecast 2024-2025 - PwC UK. Available at: </w:t>
      </w:r>
      <w:hyperlink r:id="rId34" w:history="1">
        <w:r w:rsidRPr="00994D28">
          <w:rPr>
            <w:rStyle w:val="Hyperlink"/>
          </w:rPr>
          <w:t>https://www.pwc.co.uk/industries/hospitality-leisure/insights/uk-hotels-forecast.html</w:t>
        </w:r>
      </w:hyperlink>
      <w:r>
        <w:t xml:space="preserve"> (Accessed: 2</w:t>
      </w:r>
      <w:r w:rsidR="00F70CB5">
        <w:t>9</w:t>
      </w:r>
      <w:r>
        <w:t xml:space="preserve"> January 2026).</w:t>
      </w:r>
    </w:p>
    <w:p w14:paraId="1C0BB6A1" w14:textId="3269CF59" w:rsidR="00572607" w:rsidRDefault="00572607" w:rsidP="00572607">
      <w:r>
        <w:t xml:space="preserve">PwC (2025) PwC UK hotels forecast 2025 - 2026: selective resilience. Available at: </w:t>
      </w:r>
      <w:hyperlink r:id="rId35" w:history="1">
        <w:r w:rsidRPr="00994D28">
          <w:rPr>
            <w:rStyle w:val="Hyperlink"/>
          </w:rPr>
          <w:t>https://www.hospitalitynet.org/news/4129795.html</w:t>
        </w:r>
      </w:hyperlink>
      <w:r>
        <w:t xml:space="preserve"> (Accessed: 2</w:t>
      </w:r>
      <w:r w:rsidR="00F70CB5">
        <w:t>9</w:t>
      </w:r>
      <w:r>
        <w:t xml:space="preserve"> January 2026).</w:t>
      </w:r>
    </w:p>
    <w:p w14:paraId="0869EE12" w14:textId="6E7BDC4B" w:rsidR="00572607" w:rsidRDefault="00572607" w:rsidP="00572607">
      <w:r>
        <w:lastRenderedPageBreak/>
        <w:t xml:space="preserve">Rappaport, S. (2025) 'The leisure travel market will be worth $15 trillion by 2040, report says', Bloomberg, 2 July. Available at: </w:t>
      </w:r>
      <w:hyperlink r:id="rId36" w:history="1">
        <w:r w:rsidRPr="00994D28">
          <w:rPr>
            <w:rStyle w:val="Hyperlink"/>
          </w:rPr>
          <w:t>https://www.bloomberg.com/news/articles/2025-07-02/leisure-travel-market-worth-15-trillion-by-2040-according-to-new-report</w:t>
        </w:r>
      </w:hyperlink>
      <w:r>
        <w:t xml:space="preserve"> (Accessed: 25 January 2026).</w:t>
      </w:r>
    </w:p>
    <w:p w14:paraId="62DEE920" w14:textId="693CC00E" w:rsidR="00572607" w:rsidRDefault="00572607" w:rsidP="00572607">
      <w:r>
        <w:t xml:space="preserve">Road Genius (2024) UK tourism statistics - how many tourists visit? (2023). Available at: </w:t>
      </w:r>
      <w:hyperlink r:id="rId37" w:history="1">
        <w:r w:rsidRPr="00994D28">
          <w:rPr>
            <w:rStyle w:val="Hyperlink"/>
          </w:rPr>
          <w:t>https://roadgenius.com/statistics/tourism/uk/</w:t>
        </w:r>
      </w:hyperlink>
      <w:r>
        <w:t xml:space="preserve"> (Accessed: </w:t>
      </w:r>
      <w:r w:rsidR="00F70CB5">
        <w:t>30</w:t>
      </w:r>
      <w:r>
        <w:t xml:space="preserve"> January 2026).</w:t>
      </w:r>
    </w:p>
    <w:p w14:paraId="1CA2607F" w14:textId="74D588E5" w:rsidR="00572607" w:rsidRDefault="00572607" w:rsidP="00572607">
      <w:r>
        <w:t xml:space="preserve">Roberts, D. (2021) Coronavirus and the impact on the UK travel and tourism industry - Office for National Statistics. Available at: </w:t>
      </w:r>
      <w:hyperlink r:id="rId38" w:history="1">
        <w:r w:rsidRPr="00994D28">
          <w:rPr>
            <w:rStyle w:val="Hyperlink"/>
          </w:rPr>
          <w:t>https://www.ons.gov.uk/businessindustryandtrade/tourismindustry/articles/coronavirusandtheimpactontheuktravelandtourismindustry/2021-02-15</w:t>
        </w:r>
      </w:hyperlink>
      <w:r>
        <w:t xml:space="preserve"> (Accessed: </w:t>
      </w:r>
      <w:r w:rsidR="00F70CB5">
        <w:t>30</w:t>
      </w:r>
      <w:r>
        <w:t xml:space="preserve"> January 2026).</w:t>
      </w:r>
    </w:p>
    <w:p w14:paraId="1C5CA2E2" w14:textId="2FEE6BD2" w:rsidR="00572607" w:rsidRDefault="00572607" w:rsidP="00572607">
      <w:r>
        <w:t xml:space="preserve">Sands, R. (2025) 'Bleisure travel is exploding and hospitality leaders are taking notice', Forbes, 19 August. Available at: </w:t>
      </w:r>
      <w:hyperlink r:id="rId39" w:history="1">
        <w:r w:rsidRPr="00994D28">
          <w:rPr>
            <w:rStyle w:val="Hyperlink"/>
          </w:rPr>
          <w:t>https://www.forbes.com/sites/rogersands/2025/08/19/bleisure-travel-is-exploding-and-hospitality-leaders-are-taking-notice/</w:t>
        </w:r>
      </w:hyperlink>
      <w:r>
        <w:t xml:space="preserve"> (Accessed: </w:t>
      </w:r>
      <w:r w:rsidR="00F70CB5">
        <w:t>31</w:t>
      </w:r>
      <w:r>
        <w:t xml:space="preserve"> January 2026).</w:t>
      </w:r>
    </w:p>
    <w:p w14:paraId="28E17B2A" w14:textId="296638FD" w:rsidR="00572607" w:rsidRDefault="00572607" w:rsidP="00572607">
      <w:r>
        <w:t xml:space="preserve">Seabra, C. and Bhatt, K. (2022) 'Tourism sustainability and COVID-19 pandemic: is there a positive side?', Sustainability, 14(14), p. 8723. Available at: </w:t>
      </w:r>
      <w:hyperlink r:id="rId40" w:history="1">
        <w:r w:rsidRPr="00994D28">
          <w:rPr>
            <w:rStyle w:val="Hyperlink"/>
          </w:rPr>
          <w:t>https://www.researchgate.net/profile/Ketan-Bhatt-7/publication/362046373_Tourism_Sustainability_and_COVID-19_Pandemic_Is_There_a_Positive_Side/links/62d2eb0fa6abd57c6aea09d3/Tourism-Sustainability-and-COVID-19-Pandemic-Is-There-a-Positive-Side.pdf</w:t>
        </w:r>
      </w:hyperlink>
      <w:r>
        <w:t xml:space="preserve"> </w:t>
      </w:r>
    </w:p>
    <w:p w14:paraId="6D3EC389" w14:textId="44144BF0" w:rsidR="00572607" w:rsidRDefault="00572607" w:rsidP="00572607">
      <w:r>
        <w:t xml:space="preserve">Statista (2024) Business travel spending worldwide 2024. Available at: </w:t>
      </w:r>
      <w:hyperlink r:id="rId41" w:history="1">
        <w:r w:rsidRPr="00994D28">
          <w:rPr>
            <w:rStyle w:val="Hyperlink"/>
          </w:rPr>
          <w:t>https://www.statista.com/statistics/1093295/business-travel-spending-worldwide/</w:t>
        </w:r>
      </w:hyperlink>
      <w:r>
        <w:t xml:space="preserve"> (Accessed: </w:t>
      </w:r>
      <w:r w:rsidR="00F70CB5">
        <w:t>31</w:t>
      </w:r>
      <w:r>
        <w:t xml:space="preserve"> January 2026).</w:t>
      </w:r>
    </w:p>
    <w:p w14:paraId="1BE05156" w14:textId="1D65E201" w:rsidR="00572607" w:rsidRDefault="00572607" w:rsidP="00572607">
      <w:r>
        <w:t xml:space="preserve">Suhanko, P.Q. (2024) Business travel and well-being in the post-pandemic world. Master's thesis. Haaga-Helia University of Applied Sciences. Available at: </w:t>
      </w:r>
      <w:hyperlink r:id="rId42" w:history="1">
        <w:r w:rsidRPr="00994D28">
          <w:rPr>
            <w:rStyle w:val="Hyperlink"/>
          </w:rPr>
          <w:t>https://urn.fi/URN:NBN:fi:amk-2024060922434</w:t>
        </w:r>
      </w:hyperlink>
      <w:r>
        <w:t xml:space="preserve"> (Accessed: 2</w:t>
      </w:r>
      <w:r w:rsidR="00F70CB5">
        <w:t>9</w:t>
      </w:r>
      <w:r>
        <w:t xml:space="preserve"> January 2026).</w:t>
      </w:r>
    </w:p>
    <w:p w14:paraId="079D1FBF" w14:textId="35657DF5" w:rsidR="00572607" w:rsidRDefault="00572607" w:rsidP="00572607">
      <w:r>
        <w:t xml:space="preserve">The Capturist (2024) CitizenM elevates hybrid work with global co-working spaces. Available at: </w:t>
      </w:r>
      <w:hyperlink r:id="rId43" w:history="1">
        <w:r w:rsidRPr="00370612">
          <w:rPr>
            <w:rStyle w:val="Hyperlink"/>
          </w:rPr>
          <w:t>https://www.thecapturist.com/posts/citizenm-elevates-hybrid-work-with-global-co-working-spaces</w:t>
        </w:r>
      </w:hyperlink>
      <w:r>
        <w:t xml:space="preserve"> (Accessed: </w:t>
      </w:r>
      <w:r w:rsidR="00F70CB5">
        <w:t>30</w:t>
      </w:r>
      <w:r>
        <w:t xml:space="preserve"> January 2026).</w:t>
      </w:r>
    </w:p>
    <w:p w14:paraId="31D78B26" w14:textId="77777777" w:rsidR="00572607" w:rsidRDefault="00572607" w:rsidP="00572607">
      <w:r>
        <w:lastRenderedPageBreak/>
        <w:t>Vasigh, B. and Pearce, B. (2023) Air transport economics: from theory to applications. London: Routledge.</w:t>
      </w:r>
    </w:p>
    <w:p w14:paraId="35020374" w14:textId="52B38327" w:rsidR="00572607" w:rsidRDefault="00572607" w:rsidP="00572607">
      <w:r>
        <w:t xml:space="preserve">Wieczorek-Kosmala, M. (2021) 'COVID-19 impact on the hospitality industry: exploratory study of financial-slack-driven risk preparedness', International Journal of Hospitality Management, 94, p. 102799. Available at: </w:t>
      </w:r>
      <w:hyperlink r:id="rId44" w:history="1">
        <w:r w:rsidRPr="00370612">
          <w:rPr>
            <w:rStyle w:val="Hyperlink"/>
          </w:rPr>
          <w:t>https://doi.org/10.1016/j.ijhm.2020.102799</w:t>
        </w:r>
      </w:hyperlink>
      <w:r>
        <w:t xml:space="preserve">. </w:t>
      </w:r>
    </w:p>
    <w:p w14:paraId="294B3A08" w14:textId="4B9BCFC0" w:rsidR="00572607" w:rsidRDefault="00572607" w:rsidP="00572607">
      <w:r>
        <w:t xml:space="preserve">Wilkesmann, M. and Bassyiouny, M. (2025) 'From leisure to labor: how workations are reshaping hospitality and destination marketing in the era of New Work', Journal of Destination Marketing &amp; Management, 36, p. 100991. Available at: </w:t>
      </w:r>
      <w:hyperlink r:id="rId45" w:history="1">
        <w:r w:rsidRPr="00370612">
          <w:rPr>
            <w:rStyle w:val="Hyperlink"/>
          </w:rPr>
          <w:t>https://www.sciencedirect.com/science/article/pii/S2212571X25000034</w:t>
        </w:r>
      </w:hyperlink>
      <w:r>
        <w:t xml:space="preserve"> </w:t>
      </w:r>
    </w:p>
    <w:p w14:paraId="01DBBAAE" w14:textId="11D7FB9D" w:rsidR="001E3C33" w:rsidRDefault="00572607" w:rsidP="00572607">
      <w:r>
        <w:t xml:space="preserve">Zahidi, F., Kaluvilla, B.B. and Mulla, T. (2024) 'Embracing the new era: artificial intelligence and its multifaceted impact on the hospitality industry', Journal of Open Innovation: Technology, Market, and Complexity, 10(4), pp. 100390-100390. Available at: </w:t>
      </w:r>
      <w:hyperlink r:id="rId46" w:history="1">
        <w:r w:rsidRPr="00370612">
          <w:rPr>
            <w:rStyle w:val="Hyperlink"/>
          </w:rPr>
          <w:t>https://www.sciencedirect.com/science/article/pii/S2199853124001847</w:t>
        </w:r>
      </w:hyperlink>
      <w:r>
        <w:t xml:space="preserve"> </w:t>
      </w:r>
    </w:p>
    <w:sectPr w:rsidR="001E3C33" w:rsidSect="001E3C33">
      <w:footerReference w:type="default" r:id="rId4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9F396" w14:textId="77777777" w:rsidR="00535B9B" w:rsidRDefault="00535B9B" w:rsidP="001E3C33">
      <w:pPr>
        <w:spacing w:after="0" w:line="240" w:lineRule="auto"/>
      </w:pPr>
      <w:r>
        <w:separator/>
      </w:r>
    </w:p>
  </w:endnote>
  <w:endnote w:type="continuationSeparator" w:id="0">
    <w:p w14:paraId="7C3076F4" w14:textId="77777777" w:rsidR="00535B9B" w:rsidRDefault="00535B9B" w:rsidP="001E3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7545384"/>
      <w:docPartObj>
        <w:docPartGallery w:val="Page Numbers (Bottom of Page)"/>
        <w:docPartUnique/>
      </w:docPartObj>
    </w:sdtPr>
    <w:sdtEndPr>
      <w:rPr>
        <w:noProof/>
      </w:rPr>
    </w:sdtEndPr>
    <w:sdtContent>
      <w:p w14:paraId="11FBA1A7" w14:textId="77777777" w:rsidR="00783CEB" w:rsidRDefault="00783CEB">
        <w:pPr>
          <w:pStyle w:val="Footer"/>
          <w:jc w:val="right"/>
        </w:pPr>
        <w:r>
          <w:fldChar w:fldCharType="begin"/>
        </w:r>
        <w:r>
          <w:instrText xml:space="preserve"> PAGE   \* MERGEFORMAT </w:instrText>
        </w:r>
        <w:r>
          <w:fldChar w:fldCharType="separate"/>
        </w:r>
        <w:r w:rsidR="0075762F">
          <w:rPr>
            <w:noProof/>
          </w:rPr>
          <w:t>7</w:t>
        </w:r>
        <w:r>
          <w:rPr>
            <w:noProof/>
          </w:rPr>
          <w:fldChar w:fldCharType="end"/>
        </w:r>
      </w:p>
    </w:sdtContent>
  </w:sdt>
  <w:p w14:paraId="7D754A9F" w14:textId="77777777" w:rsidR="00783CEB" w:rsidRDefault="00783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0E9E0" w14:textId="77777777" w:rsidR="00535B9B" w:rsidRDefault="00535B9B" w:rsidP="001E3C33">
      <w:pPr>
        <w:spacing w:after="0" w:line="240" w:lineRule="auto"/>
      </w:pPr>
      <w:r>
        <w:separator/>
      </w:r>
    </w:p>
  </w:footnote>
  <w:footnote w:type="continuationSeparator" w:id="0">
    <w:p w14:paraId="7F85292A" w14:textId="77777777" w:rsidR="00535B9B" w:rsidRDefault="00535B9B" w:rsidP="001E3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68030C"/>
    <w:multiLevelType w:val="hybridMultilevel"/>
    <w:tmpl w:val="06E28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5039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2DC"/>
    <w:rsid w:val="000066D3"/>
    <w:rsid w:val="00043F0A"/>
    <w:rsid w:val="000973DD"/>
    <w:rsid w:val="001306A9"/>
    <w:rsid w:val="00176A8D"/>
    <w:rsid w:val="001A5ACD"/>
    <w:rsid w:val="001B29B1"/>
    <w:rsid w:val="001E3C33"/>
    <w:rsid w:val="001E4AAE"/>
    <w:rsid w:val="001E7AAC"/>
    <w:rsid w:val="002E2156"/>
    <w:rsid w:val="00360D29"/>
    <w:rsid w:val="00370612"/>
    <w:rsid w:val="003711B8"/>
    <w:rsid w:val="003C2336"/>
    <w:rsid w:val="003C6510"/>
    <w:rsid w:val="003E70BC"/>
    <w:rsid w:val="00401FA1"/>
    <w:rsid w:val="00450F9A"/>
    <w:rsid w:val="00457016"/>
    <w:rsid w:val="004920E4"/>
    <w:rsid w:val="004D0BBA"/>
    <w:rsid w:val="004E47E7"/>
    <w:rsid w:val="00535B9B"/>
    <w:rsid w:val="00557C0F"/>
    <w:rsid w:val="00572607"/>
    <w:rsid w:val="00595866"/>
    <w:rsid w:val="00627F3E"/>
    <w:rsid w:val="0063094B"/>
    <w:rsid w:val="006A0AF5"/>
    <w:rsid w:val="006E3D54"/>
    <w:rsid w:val="0071008A"/>
    <w:rsid w:val="00726615"/>
    <w:rsid w:val="00741258"/>
    <w:rsid w:val="0074138E"/>
    <w:rsid w:val="0075762F"/>
    <w:rsid w:val="00783CEB"/>
    <w:rsid w:val="007A619B"/>
    <w:rsid w:val="007D7544"/>
    <w:rsid w:val="00820AEB"/>
    <w:rsid w:val="00864E92"/>
    <w:rsid w:val="008A6E76"/>
    <w:rsid w:val="008B08E4"/>
    <w:rsid w:val="008E0624"/>
    <w:rsid w:val="008E0B96"/>
    <w:rsid w:val="0095507D"/>
    <w:rsid w:val="009822DC"/>
    <w:rsid w:val="00994D28"/>
    <w:rsid w:val="009C2D9C"/>
    <w:rsid w:val="009E69D7"/>
    <w:rsid w:val="00A73283"/>
    <w:rsid w:val="00A91064"/>
    <w:rsid w:val="00AC6BE7"/>
    <w:rsid w:val="00AD2B83"/>
    <w:rsid w:val="00B2520B"/>
    <w:rsid w:val="00BA5C9E"/>
    <w:rsid w:val="00C70CF3"/>
    <w:rsid w:val="00CB3815"/>
    <w:rsid w:val="00D31028"/>
    <w:rsid w:val="00D42118"/>
    <w:rsid w:val="00D57A95"/>
    <w:rsid w:val="00DA5E75"/>
    <w:rsid w:val="00DB4B06"/>
    <w:rsid w:val="00E06D35"/>
    <w:rsid w:val="00E20F53"/>
    <w:rsid w:val="00EC5D13"/>
    <w:rsid w:val="00EC5E54"/>
    <w:rsid w:val="00EF5E97"/>
    <w:rsid w:val="00F024F5"/>
    <w:rsid w:val="00F0296D"/>
    <w:rsid w:val="00F55ECB"/>
    <w:rsid w:val="00F56DC0"/>
    <w:rsid w:val="00F70CB5"/>
    <w:rsid w:val="00F85148"/>
    <w:rsid w:val="00F97069"/>
    <w:rsid w:val="00FA38D7"/>
    <w:rsid w:val="00FB5871"/>
    <w:rsid w:val="00FD3E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A304"/>
  <w15:chartTrackingRefBased/>
  <w15:docId w15:val="{8AFD3426-90AF-466A-BD8D-E2FC9ACD7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1B8"/>
    <w:pPr>
      <w:spacing w:line="360" w:lineRule="auto"/>
      <w:jc w:val="both"/>
    </w:pPr>
  </w:style>
  <w:style w:type="paragraph" w:styleId="Heading1">
    <w:name w:val="heading 1"/>
    <w:basedOn w:val="Normal"/>
    <w:next w:val="Normal"/>
    <w:link w:val="Heading1Char"/>
    <w:uiPriority w:val="9"/>
    <w:qFormat/>
    <w:rsid w:val="00FA38D7"/>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8D7"/>
    <w:rPr>
      <w:rFonts w:eastAsiaTheme="majorEastAsia" w:cstheme="majorBidi"/>
      <w:b/>
      <w:sz w:val="32"/>
      <w:szCs w:val="32"/>
    </w:rPr>
  </w:style>
  <w:style w:type="character" w:styleId="Hyperlink">
    <w:name w:val="Hyperlink"/>
    <w:basedOn w:val="DefaultParagraphFont"/>
    <w:uiPriority w:val="99"/>
    <w:unhideWhenUsed/>
    <w:rsid w:val="00FA38D7"/>
    <w:rPr>
      <w:color w:val="0563C1" w:themeColor="hyperlink"/>
      <w:u w:val="single"/>
    </w:rPr>
  </w:style>
  <w:style w:type="paragraph" w:styleId="Header">
    <w:name w:val="header"/>
    <w:basedOn w:val="Normal"/>
    <w:link w:val="HeaderChar"/>
    <w:uiPriority w:val="99"/>
    <w:unhideWhenUsed/>
    <w:rsid w:val="001E3C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C33"/>
  </w:style>
  <w:style w:type="paragraph" w:styleId="Footer">
    <w:name w:val="footer"/>
    <w:basedOn w:val="Normal"/>
    <w:link w:val="FooterChar"/>
    <w:uiPriority w:val="99"/>
    <w:unhideWhenUsed/>
    <w:rsid w:val="001E3C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C33"/>
  </w:style>
  <w:style w:type="paragraph" w:styleId="TOCHeading">
    <w:name w:val="TOC Heading"/>
    <w:basedOn w:val="Heading1"/>
    <w:next w:val="Normal"/>
    <w:uiPriority w:val="39"/>
    <w:unhideWhenUsed/>
    <w:qFormat/>
    <w:rsid w:val="001E3C3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E3C33"/>
    <w:pPr>
      <w:spacing w:after="100"/>
    </w:pPr>
  </w:style>
  <w:style w:type="paragraph" w:styleId="ListParagraph">
    <w:name w:val="List Paragraph"/>
    <w:basedOn w:val="Normal"/>
    <w:uiPriority w:val="34"/>
    <w:qFormat/>
    <w:rsid w:val="00741258"/>
    <w:pPr>
      <w:ind w:left="720"/>
      <w:contextualSpacing/>
    </w:pPr>
  </w:style>
  <w:style w:type="character" w:styleId="CommentReference">
    <w:name w:val="annotation reference"/>
    <w:basedOn w:val="DefaultParagraphFont"/>
    <w:uiPriority w:val="99"/>
    <w:semiHidden/>
    <w:unhideWhenUsed/>
    <w:rsid w:val="001E7AAC"/>
    <w:rPr>
      <w:sz w:val="16"/>
      <w:szCs w:val="16"/>
    </w:rPr>
  </w:style>
  <w:style w:type="paragraph" w:styleId="CommentText">
    <w:name w:val="annotation text"/>
    <w:basedOn w:val="Normal"/>
    <w:link w:val="CommentTextChar"/>
    <w:uiPriority w:val="99"/>
    <w:unhideWhenUsed/>
    <w:rsid w:val="001E7AAC"/>
    <w:pPr>
      <w:spacing w:line="240" w:lineRule="auto"/>
    </w:pPr>
    <w:rPr>
      <w:sz w:val="20"/>
      <w:szCs w:val="20"/>
    </w:rPr>
  </w:style>
  <w:style w:type="character" w:customStyle="1" w:styleId="CommentTextChar">
    <w:name w:val="Comment Text Char"/>
    <w:basedOn w:val="DefaultParagraphFont"/>
    <w:link w:val="CommentText"/>
    <w:uiPriority w:val="99"/>
    <w:rsid w:val="001E7AAC"/>
    <w:rPr>
      <w:sz w:val="20"/>
      <w:szCs w:val="20"/>
    </w:rPr>
  </w:style>
  <w:style w:type="paragraph" w:styleId="CommentSubject">
    <w:name w:val="annotation subject"/>
    <w:basedOn w:val="CommentText"/>
    <w:next w:val="CommentText"/>
    <w:link w:val="CommentSubjectChar"/>
    <w:uiPriority w:val="99"/>
    <w:semiHidden/>
    <w:unhideWhenUsed/>
    <w:rsid w:val="001E7AAC"/>
    <w:rPr>
      <w:b/>
      <w:bCs/>
    </w:rPr>
  </w:style>
  <w:style w:type="character" w:customStyle="1" w:styleId="CommentSubjectChar">
    <w:name w:val="Comment Subject Char"/>
    <w:basedOn w:val="CommentTextChar"/>
    <w:link w:val="CommentSubject"/>
    <w:uiPriority w:val="99"/>
    <w:semiHidden/>
    <w:rsid w:val="001E7AAC"/>
    <w:rPr>
      <w:b/>
      <w:bCs/>
      <w:sz w:val="20"/>
      <w:szCs w:val="20"/>
    </w:rPr>
  </w:style>
  <w:style w:type="character" w:styleId="UnresolvedMention">
    <w:name w:val="Unresolved Mention"/>
    <w:basedOn w:val="DefaultParagraphFont"/>
    <w:uiPriority w:val="99"/>
    <w:semiHidden/>
    <w:unhideWhenUsed/>
    <w:rsid w:val="00627F3E"/>
    <w:rPr>
      <w:color w:val="605E5C"/>
      <w:shd w:val="clear" w:color="auto" w:fill="E1DFDD"/>
    </w:rPr>
  </w:style>
  <w:style w:type="character" w:styleId="FollowedHyperlink">
    <w:name w:val="FollowedHyperlink"/>
    <w:basedOn w:val="DefaultParagraphFont"/>
    <w:uiPriority w:val="99"/>
    <w:semiHidden/>
    <w:unhideWhenUsed/>
    <w:rsid w:val="005726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56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Ranita-Basu/publication/384850710_Towards_a_Balanced_Lifestyle_How_Bleisure_Travel_Is_Reshaping_Work-Life_Balance_Among_Professionals/links/6764f152c1b0135465eaa680/Towards-a-Balanced-Lifestyle-How-Bleisure-Travel-Is-Reshaping-Work-Life-Balance-Among-Professionals.pdf%20" TargetMode="External"/><Relationship Id="rId18" Type="http://schemas.openxmlformats.org/officeDocument/2006/relationships/hyperlink" Target="https://journals.sagepub.com/doi/pdf/10.1177/23998083211048497%20" TargetMode="External"/><Relationship Id="rId26" Type="http://schemas.openxmlformats.org/officeDocument/2006/relationships/hyperlink" Target="https://gtg.webhost.uoradea.ro/PDF/GTG-3-2022/gtg.43301-895.pdf%20" TargetMode="External"/><Relationship Id="rId39" Type="http://schemas.openxmlformats.org/officeDocument/2006/relationships/hyperlink" Target="https://www.forbes.com/sites/rogersands/2025/08/19/bleisure-travel-is-exploding-and-hospitality-leaders-are-taking-notice/%20" TargetMode="External"/><Relationship Id="rId21" Type="http://schemas.openxmlformats.org/officeDocument/2006/relationships/hyperlink" Target="https://gbta.org/global-business-travel-spending-to-reach-1-57-trillion-in-2025-amid-trade-policy-uncertainty-and-economic-risk-according-to-new-gbta-forecast/%20" TargetMode="External"/><Relationship Id="rId34" Type="http://schemas.openxmlformats.org/officeDocument/2006/relationships/hyperlink" Target="https://www.pwc.co.uk/industries/hospitality-leisure/insights/uk-hotels-forecast.html" TargetMode="External"/><Relationship Id="rId42" Type="http://schemas.openxmlformats.org/officeDocument/2006/relationships/hyperlink" Target="https://urn.fi/URN:NBN:fi:amk-2024060922434"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mc.ncbi.nlm.nih.gov/articles/PMC9759696/pdf/main.pdf" TargetMode="External"/><Relationship Id="rId29" Type="http://schemas.openxmlformats.org/officeDocument/2006/relationships/hyperlink" Target="https://www.researchgate.net/publication/343478909_The_Early_Impact_of_Covid-19_Pandemic_on_the_Aviation_Industry" TargetMode="External"/><Relationship Id="rId11" Type="http://schemas.openxmlformats.org/officeDocument/2006/relationships/hyperlink" Target="https://www.thetimes.com/business/companies-markets/article/businesses-to-lay-off-staff-and-raise-prices-after-nic-rise-jqpcw6gm7" TargetMode="External"/><Relationship Id="rId24" Type="http://schemas.openxmlformats.org/officeDocument/2006/relationships/hyperlink" Target="https://researchbriefings.files.parliament.uk/documents/CBP-9111/CBP-9111.pdf" TargetMode="External"/><Relationship Id="rId32" Type="http://schemas.openxmlformats.org/officeDocument/2006/relationships/hyperlink" Target="https://link.springer.com/article/10.1007/s13132-024-02579-4%20" TargetMode="External"/><Relationship Id="rId37" Type="http://schemas.openxmlformats.org/officeDocument/2006/relationships/hyperlink" Target="https://roadgenius.com/statistics/tourism/uk/%20" TargetMode="External"/><Relationship Id="rId40" Type="http://schemas.openxmlformats.org/officeDocument/2006/relationships/hyperlink" Target="https://www.researchgate.net/profile/Ketan-Bhatt-7/publication/362046373_Tourism_Sustainability_and_COVID-19_Pandemic_Is_There_a_Positive_Side/links/62d2eb0fa6abd57c6aea09d3/Tourism-Sustainability-and-COVID-19-Pandemic-Is-There-a-Positive-Side.pdf%20" TargetMode="External"/><Relationship Id="rId45" Type="http://schemas.openxmlformats.org/officeDocument/2006/relationships/hyperlink" Target="https://www.sciencedirect.com/science/article/pii/S2212571X25000034%20" TargetMode="External"/><Relationship Id="rId5" Type="http://schemas.openxmlformats.org/officeDocument/2006/relationships/webSettings" Target="webSettings.xml"/><Relationship Id="rId15" Type="http://schemas.openxmlformats.org/officeDocument/2006/relationships/hyperlink" Target="https://www.mdpi.com/2071-1050/13/14/7942%20" TargetMode="External"/><Relationship Id="rId23" Type="http://schemas.openxmlformats.org/officeDocument/2006/relationships/hyperlink" Target="https://www.hilton.com/en/p/workspaces-by-hilton/%20" TargetMode="External"/><Relationship Id="rId28" Type="http://schemas.openxmlformats.org/officeDocument/2006/relationships/hyperlink" Target="https://www.bbc.co.uk/news/uk-england-kent-68095120" TargetMode="External"/><Relationship Id="rId36" Type="http://schemas.openxmlformats.org/officeDocument/2006/relationships/hyperlink" Target="https://www.bloomberg.com/news/articles/2025-07-02/leisure-travel-market-worth-15-trillion-by-2040-according-to-new-report%20" TargetMode="External"/><Relationship Id="rId49" Type="http://schemas.openxmlformats.org/officeDocument/2006/relationships/theme" Target="theme/theme1.xml"/><Relationship Id="rId10" Type="http://schemas.openxmlformats.org/officeDocument/2006/relationships/hyperlink" Target="https://scholar.archive.org/work/xsawv7fv3ng7vn6ydwaybngomm/access/wayback/https:/www.emerald.com/insight/content/doi/10.1108/IJTC-09-2020-0206/full/pdf?title=urban-tourism-performance-index-over-the-covid-19-pandemic" TargetMode="External"/><Relationship Id="rId19" Type="http://schemas.openxmlformats.org/officeDocument/2006/relationships/hyperlink" Target="https://www.blickrothenberg.com/insights/detail/why-business-rates-are-becoming-a-breaking-point-for-uk-hotels/%20" TargetMode="External"/><Relationship Id="rId31" Type="http://schemas.openxmlformats.org/officeDocument/2006/relationships/hyperlink" Target="https://www.mdpi.com/2071-1050/17/3/877%20" TargetMode="External"/><Relationship Id="rId44" Type="http://schemas.openxmlformats.org/officeDocument/2006/relationships/hyperlink" Target="https://doi.org/10.1016/j.ijhm.2020.102799" TargetMode="External"/><Relationship Id="rId4" Type="http://schemas.openxmlformats.org/officeDocument/2006/relationships/settings" Target="settings.xml"/><Relationship Id="rId9" Type="http://schemas.openxmlformats.org/officeDocument/2006/relationships/hyperlink" Target="https://www.mdpi.com/2071-1050/15/5/4103%20" TargetMode="External"/><Relationship Id="rId14" Type="http://schemas.openxmlformats.org/officeDocument/2006/relationships/hyperlink" Target="https://doi.org/10.2139/ssrn.5304727" TargetMode="External"/><Relationship Id="rId22" Type="http://schemas.openxmlformats.org/officeDocument/2006/relationships/hyperlink" Target="https://assets.publishing.service.gov.uk/media/6447ec19814c6600128d061d/Select_Committee__TRP_update.pdf%20" TargetMode="External"/><Relationship Id="rId27" Type="http://schemas.openxmlformats.org/officeDocument/2006/relationships/hyperlink" Target="https://press.accor.com/accor-launches-all-connect-new-hybrid-meeting-concept-powered-by-microsoft-teams%20" TargetMode="External"/><Relationship Id="rId30" Type="http://schemas.openxmlformats.org/officeDocument/2006/relationships/hyperlink" Target="https://www.unirepository.svkri.uniri.hr/islandora/object/fthm:5898/datastream/FILE0/download%20" TargetMode="External"/><Relationship Id="rId35" Type="http://schemas.openxmlformats.org/officeDocument/2006/relationships/hyperlink" Target="https://www.hospitalitynet.org/news/4129795.html" TargetMode="External"/><Relationship Id="rId43" Type="http://schemas.openxmlformats.org/officeDocument/2006/relationships/hyperlink" Target="https://www.thecapturist.com/posts/citizenm-elevates-hybrid-work-with-global-co-working-space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newseu.cgtn.com/news/2023-07-26/UK-hospitality-grapples-with-staffing-crisis-as-COVID-and-Brexit-bites-1lL0mvKwp1u/index.html" TargetMode="External"/><Relationship Id="rId17" Type="http://schemas.openxmlformats.org/officeDocument/2006/relationships/hyperlink" Target="https://doi.org/10.18742/pub01-080" TargetMode="External"/><Relationship Id="rId25" Type="http://schemas.openxmlformats.org/officeDocument/2006/relationships/hyperlink" Target="https://eprints.glos.ac.uk/10455/1/10455-Jones-%282021%29-A-review-of-the-UK%27s-tourism-recovery.pdf%20" TargetMode="External"/><Relationship Id="rId33" Type="http://schemas.openxmlformats.org/officeDocument/2006/relationships/hyperlink" Target="https://www.pwc.com/us/en/industries/financial-services/asset-wealth-management/real-estate/emerging-trends-in-real-estate-pwc-uli/property-type-outlook/hospitality.html" TargetMode="External"/><Relationship Id="rId38" Type="http://schemas.openxmlformats.org/officeDocument/2006/relationships/hyperlink" Target="https://www.ons.gov.uk/businessindustryandtrade/tourismindustry/articles/coronavirusandtheimpactontheuktravelandtourismindustry/2021-02-15%20" TargetMode="External"/><Relationship Id="rId46" Type="http://schemas.openxmlformats.org/officeDocument/2006/relationships/hyperlink" Target="https://www.sciencedirect.com/science/article/pii/S2199853124001847%20" TargetMode="External"/><Relationship Id="rId20" Type="http://schemas.openxmlformats.org/officeDocument/2006/relationships/hyperlink" Target="https://link.springer.com/chapter/10.1007/978-3-031-65983-6_7" TargetMode="External"/><Relationship Id="rId41" Type="http://schemas.openxmlformats.org/officeDocument/2006/relationships/hyperlink" Target="https://www.statista.com/statistics/1093295/business-travel-spending-worldwid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B9461-1744-465E-B297-055B900F5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1495</TotalTime>
  <Pages>17</Pages>
  <Words>4776</Words>
  <Characters>31331</Characters>
  <Application>Microsoft Office Word</Application>
  <DocSecurity>0</DocSecurity>
  <Lines>482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Daniel Mihalcea (2240761)</cp:lastModifiedBy>
  <cp:revision>631</cp:revision>
  <dcterms:created xsi:type="dcterms:W3CDTF">2026-01-29T17:01:00Z</dcterms:created>
  <dcterms:modified xsi:type="dcterms:W3CDTF">2026-02-12T10:42:00Z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0c844d89-6152-4e1a-a274-eb00b8a702df</vt:lpwstr>
  </property>
</Properties>
</file>