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65FF8F0" w14:textId="65409EAC" w:rsidR="000333BE" w:rsidRDefault="000333BE">
      <w:pPr>
        <w:spacing w:after="200"/>
        <w:rPr>
          <w:b/>
          <w:bCs/>
          <w:sz w:val="28"/>
          <w:szCs w:val="28"/>
        </w:rPr>
      </w:pPr>
      <w:r>
        <w:rPr>
          <w:b/>
          <w:bCs/>
          <w:noProof/>
          <w:sz w:val="28"/>
          <w:szCs w:val="28"/>
        </w:rPr>
        <w:drawing>
          <wp:inline distT="0" distB="0" distL="0" distR="0" wp14:anchorId="7B14086B" wp14:editId="1FA3FE7A">
            <wp:extent cx="5943600" cy="2478405"/>
            <wp:effectExtent l="0" t="0" r="0" b="0"/>
            <wp:docPr id="9541678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4167859" name="Picture 954167859"/>
                    <pic:cNvPicPr/>
                  </pic:nvPicPr>
                  <pic:blipFill>
                    <a:blip r:embed="rId6" cstate="print">
                      <a:extLst>
                        <a:ext uri="{28A0092B-C50C-407E-A947-70E740481C1C}">
                          <a14:useLocalDpi xmlns:a14="http://schemas.microsoft.com/office/drawing/2010/main" val="0"/>
                        </a:ext>
                      </a:extLst>
                    </a:blip>
                    <a:stretch>
                      <a:fillRect/>
                    </a:stretch>
                  </pic:blipFill>
                  <pic:spPr>
                    <a:xfrm>
                      <a:off x="0" y="0"/>
                      <a:ext cx="5943600" cy="2478405"/>
                    </a:xfrm>
                    <a:prstGeom prst="rect">
                      <a:avLst/>
                    </a:prstGeom>
                  </pic:spPr>
                </pic:pic>
              </a:graphicData>
            </a:graphic>
          </wp:inline>
        </w:drawing>
      </w:r>
    </w:p>
    <w:p w14:paraId="3C5E98F1" w14:textId="77777777" w:rsidR="000333BE" w:rsidRDefault="000333BE">
      <w:pPr>
        <w:spacing w:after="200"/>
        <w:rPr>
          <w:b/>
          <w:bCs/>
          <w:sz w:val="28"/>
          <w:szCs w:val="28"/>
        </w:rPr>
      </w:pPr>
    </w:p>
    <w:p w14:paraId="2E264DE4" w14:textId="4ADDDC70" w:rsidR="000C4A14" w:rsidRPr="000604D8" w:rsidRDefault="00227F9E">
      <w:pPr>
        <w:spacing w:after="200"/>
        <w:rPr>
          <w:sz w:val="28"/>
          <w:szCs w:val="28"/>
        </w:rPr>
      </w:pPr>
      <w:r w:rsidRPr="000604D8">
        <w:rPr>
          <w:b/>
          <w:bCs/>
          <w:sz w:val="28"/>
          <w:szCs w:val="28"/>
        </w:rPr>
        <w:t>Component 2 – Essay</w:t>
      </w:r>
    </w:p>
    <w:p w14:paraId="0E86FAAC" w14:textId="77777777" w:rsidR="000C4A14" w:rsidRPr="000604D8" w:rsidRDefault="00227F9E">
      <w:pPr>
        <w:spacing w:after="300"/>
        <w:rPr>
          <w:sz w:val="28"/>
          <w:szCs w:val="28"/>
        </w:rPr>
      </w:pPr>
      <w:r w:rsidRPr="000604D8">
        <w:rPr>
          <w:b/>
          <w:bCs/>
          <w:sz w:val="28"/>
          <w:szCs w:val="28"/>
        </w:rPr>
        <w:t xml:space="preserve">International Business Communication: Managing UK–Japan Communication Differences in the </w:t>
      </w:r>
      <w:proofErr w:type="spellStart"/>
      <w:r w:rsidRPr="000604D8">
        <w:rPr>
          <w:b/>
          <w:bCs/>
          <w:sz w:val="28"/>
          <w:szCs w:val="28"/>
        </w:rPr>
        <w:t>Molton</w:t>
      </w:r>
      <w:proofErr w:type="spellEnd"/>
      <w:r w:rsidRPr="000604D8">
        <w:rPr>
          <w:b/>
          <w:bCs/>
          <w:sz w:val="28"/>
          <w:szCs w:val="28"/>
        </w:rPr>
        <w:t xml:space="preserve"> Brown and Kao Corporation Relationship</w:t>
      </w:r>
    </w:p>
    <w:p w14:paraId="6B4B5FF7" w14:textId="77777777" w:rsidR="000C4A14" w:rsidRPr="000604D8" w:rsidRDefault="00227F9E">
      <w:pPr>
        <w:spacing w:after="200" w:line="300" w:lineRule="auto"/>
        <w:rPr>
          <w:sz w:val="28"/>
          <w:szCs w:val="28"/>
        </w:rPr>
      </w:pPr>
      <w:r w:rsidRPr="000604D8">
        <w:rPr>
          <w:b/>
          <w:bCs/>
          <w:sz w:val="28"/>
          <w:szCs w:val="28"/>
        </w:rPr>
        <w:t xml:space="preserve">Student Name: </w:t>
      </w:r>
      <w:r w:rsidRPr="000604D8">
        <w:rPr>
          <w:sz w:val="28"/>
          <w:szCs w:val="28"/>
        </w:rPr>
        <w:t>Hristina Veskova</w:t>
      </w:r>
    </w:p>
    <w:p w14:paraId="45AD6B82" w14:textId="77777777" w:rsidR="000C4A14" w:rsidRPr="000604D8" w:rsidRDefault="00227F9E">
      <w:pPr>
        <w:spacing w:after="200" w:line="300" w:lineRule="auto"/>
        <w:rPr>
          <w:sz w:val="28"/>
          <w:szCs w:val="28"/>
        </w:rPr>
      </w:pPr>
      <w:r w:rsidRPr="000604D8">
        <w:rPr>
          <w:b/>
          <w:bCs/>
          <w:sz w:val="28"/>
          <w:szCs w:val="28"/>
        </w:rPr>
        <w:t xml:space="preserve">Student Number: </w:t>
      </w:r>
      <w:r w:rsidRPr="000604D8">
        <w:rPr>
          <w:sz w:val="28"/>
          <w:szCs w:val="28"/>
        </w:rPr>
        <w:t>2328970</w:t>
      </w:r>
    </w:p>
    <w:p w14:paraId="29023FE8" w14:textId="77777777" w:rsidR="000C4A14" w:rsidRPr="000604D8" w:rsidRDefault="00227F9E">
      <w:pPr>
        <w:spacing w:after="200" w:line="300" w:lineRule="auto"/>
        <w:rPr>
          <w:sz w:val="28"/>
          <w:szCs w:val="28"/>
        </w:rPr>
      </w:pPr>
      <w:r w:rsidRPr="000604D8">
        <w:rPr>
          <w:b/>
          <w:bCs/>
          <w:sz w:val="28"/>
          <w:szCs w:val="28"/>
        </w:rPr>
        <w:t xml:space="preserve">Module: </w:t>
      </w:r>
      <w:r w:rsidRPr="000604D8">
        <w:rPr>
          <w:sz w:val="28"/>
          <w:szCs w:val="28"/>
        </w:rPr>
        <w:t>International Business Communications (LCBB6023)</w:t>
      </w:r>
    </w:p>
    <w:p w14:paraId="565A6D6A" w14:textId="7B01E8CF" w:rsidR="000C4A14" w:rsidRPr="000604D8" w:rsidRDefault="00227F9E">
      <w:pPr>
        <w:spacing w:after="200" w:line="300" w:lineRule="auto"/>
        <w:rPr>
          <w:sz w:val="28"/>
          <w:szCs w:val="28"/>
        </w:rPr>
      </w:pPr>
      <w:r w:rsidRPr="000604D8">
        <w:rPr>
          <w:b/>
          <w:bCs/>
          <w:sz w:val="28"/>
          <w:szCs w:val="28"/>
        </w:rPr>
        <w:t xml:space="preserve">Lecturer: </w:t>
      </w:r>
      <w:r w:rsidRPr="000604D8">
        <w:rPr>
          <w:sz w:val="28"/>
          <w:szCs w:val="28"/>
        </w:rPr>
        <w:t>Afzal Sayed Munna</w:t>
      </w:r>
      <w:r w:rsidR="00DB0DF3" w:rsidRPr="000604D8">
        <w:rPr>
          <w:sz w:val="28"/>
          <w:szCs w:val="28"/>
        </w:rPr>
        <w:t xml:space="preserve"> </w:t>
      </w:r>
    </w:p>
    <w:p w14:paraId="148B9D9A" w14:textId="77777777" w:rsidR="00DB0DF3" w:rsidRDefault="00DB0DF3">
      <w:pPr>
        <w:spacing w:after="200" w:line="300" w:lineRule="auto"/>
        <w:rPr>
          <w:sz w:val="24"/>
          <w:szCs w:val="24"/>
        </w:rPr>
      </w:pPr>
    </w:p>
    <w:p w14:paraId="21A5C8F2" w14:textId="77777777" w:rsidR="00DB0DF3" w:rsidRDefault="00DB0DF3">
      <w:pPr>
        <w:spacing w:after="200" w:line="300" w:lineRule="auto"/>
        <w:rPr>
          <w:sz w:val="24"/>
          <w:szCs w:val="24"/>
        </w:rPr>
      </w:pPr>
    </w:p>
    <w:p w14:paraId="4CF37C5D" w14:textId="77777777" w:rsidR="00DB0DF3" w:rsidRDefault="00DB0DF3">
      <w:pPr>
        <w:spacing w:after="200" w:line="300" w:lineRule="auto"/>
        <w:rPr>
          <w:sz w:val="24"/>
          <w:szCs w:val="24"/>
        </w:rPr>
      </w:pPr>
    </w:p>
    <w:p w14:paraId="20FADAF4" w14:textId="77777777" w:rsidR="00DB0DF3" w:rsidRDefault="00DB0DF3">
      <w:pPr>
        <w:spacing w:after="200" w:line="300" w:lineRule="auto"/>
        <w:rPr>
          <w:sz w:val="24"/>
          <w:szCs w:val="24"/>
        </w:rPr>
      </w:pPr>
    </w:p>
    <w:p w14:paraId="3F58E956" w14:textId="77777777" w:rsidR="00DB0DF3" w:rsidRDefault="00DB0DF3">
      <w:pPr>
        <w:spacing w:after="200" w:line="300" w:lineRule="auto"/>
        <w:rPr>
          <w:sz w:val="24"/>
          <w:szCs w:val="24"/>
        </w:rPr>
      </w:pPr>
    </w:p>
    <w:p w14:paraId="79EA583A" w14:textId="77777777" w:rsidR="00DB0DF3" w:rsidRDefault="00DB0DF3">
      <w:pPr>
        <w:spacing w:after="200" w:line="300" w:lineRule="auto"/>
        <w:rPr>
          <w:sz w:val="24"/>
          <w:szCs w:val="24"/>
        </w:rPr>
      </w:pPr>
    </w:p>
    <w:p w14:paraId="0A5040FB" w14:textId="77777777" w:rsidR="00DB0DF3" w:rsidRDefault="00DB0DF3">
      <w:pPr>
        <w:spacing w:after="200" w:line="300" w:lineRule="auto"/>
        <w:rPr>
          <w:sz w:val="24"/>
          <w:szCs w:val="24"/>
        </w:rPr>
      </w:pPr>
    </w:p>
    <w:p w14:paraId="662455F2" w14:textId="77777777" w:rsidR="000C4A14" w:rsidRDefault="000C4A14">
      <w:pPr>
        <w:spacing w:after="300"/>
      </w:pPr>
    </w:p>
    <w:sdt>
      <w:sdtPr>
        <w:rPr>
          <w:rFonts w:ascii="Times New Roman" w:eastAsia="Times New Roman" w:hAnsi="Times New Roman" w:cs="Times New Roman"/>
          <w:b w:val="0"/>
          <w:bCs w:val="0"/>
          <w:color w:val="auto"/>
          <w:sz w:val="20"/>
          <w:szCs w:val="20"/>
          <w:lang w:val="en-GB" w:eastAsia="en-GB"/>
        </w:rPr>
        <w:id w:val="-972059604"/>
        <w:docPartObj>
          <w:docPartGallery w:val="Table of Contents"/>
          <w:docPartUnique/>
        </w:docPartObj>
      </w:sdtPr>
      <w:sdtEndPr>
        <w:rPr>
          <w:noProof/>
        </w:rPr>
      </w:sdtEndPr>
      <w:sdtContent>
        <w:p w14:paraId="0A11C81A" w14:textId="7A1B0E56" w:rsidR="000333BE" w:rsidRDefault="000333BE">
          <w:pPr>
            <w:pStyle w:val="TOCHeading"/>
          </w:pPr>
          <w:r>
            <w:t>Table of Contents</w:t>
          </w:r>
        </w:p>
        <w:p w14:paraId="1ECC897A" w14:textId="3E772E2C" w:rsidR="000333BE" w:rsidRDefault="000333BE">
          <w:pPr>
            <w:pStyle w:val="TOC1"/>
            <w:tabs>
              <w:tab w:val="right" w:leader="dot" w:pos="9350"/>
            </w:tabs>
            <w:rPr>
              <w:noProof/>
            </w:rPr>
          </w:pPr>
          <w:r>
            <w:rPr>
              <w:b w:val="0"/>
              <w:bCs w:val="0"/>
            </w:rPr>
            <w:fldChar w:fldCharType="begin"/>
          </w:r>
          <w:r>
            <w:instrText xml:space="preserve"> TOC \o "1-3" \h \z \u </w:instrText>
          </w:r>
          <w:r>
            <w:rPr>
              <w:b w:val="0"/>
              <w:bCs w:val="0"/>
            </w:rPr>
            <w:fldChar w:fldCharType="separate"/>
          </w:r>
          <w:hyperlink w:anchor="_Toc234746701" w:history="1">
            <w:r w:rsidRPr="00A10A72">
              <w:rPr>
                <w:rStyle w:val="Hyperlink"/>
                <w:noProof/>
              </w:rPr>
              <w:t>Background</w:t>
            </w:r>
            <w:r>
              <w:rPr>
                <w:noProof/>
                <w:webHidden/>
              </w:rPr>
              <w:tab/>
            </w:r>
            <w:r>
              <w:rPr>
                <w:noProof/>
                <w:webHidden/>
              </w:rPr>
              <w:fldChar w:fldCharType="begin"/>
            </w:r>
            <w:r>
              <w:rPr>
                <w:noProof/>
                <w:webHidden/>
              </w:rPr>
              <w:instrText xml:space="preserve"> PAGEREF _Toc234746701 \h </w:instrText>
            </w:r>
            <w:r>
              <w:rPr>
                <w:noProof/>
                <w:webHidden/>
              </w:rPr>
            </w:r>
            <w:r>
              <w:rPr>
                <w:noProof/>
                <w:webHidden/>
              </w:rPr>
              <w:fldChar w:fldCharType="separate"/>
            </w:r>
            <w:r>
              <w:rPr>
                <w:noProof/>
                <w:webHidden/>
              </w:rPr>
              <w:t>2</w:t>
            </w:r>
            <w:r>
              <w:rPr>
                <w:noProof/>
                <w:webHidden/>
              </w:rPr>
              <w:fldChar w:fldCharType="end"/>
            </w:r>
          </w:hyperlink>
        </w:p>
        <w:p w14:paraId="27C2D52E" w14:textId="307CE4F4" w:rsidR="000333BE" w:rsidRDefault="000333BE">
          <w:pPr>
            <w:pStyle w:val="TOC1"/>
            <w:tabs>
              <w:tab w:val="right" w:leader="dot" w:pos="9350"/>
            </w:tabs>
            <w:rPr>
              <w:noProof/>
            </w:rPr>
          </w:pPr>
          <w:hyperlink w:anchor="_Toc234746702" w:history="1">
            <w:r w:rsidRPr="00A10A72">
              <w:rPr>
                <w:rStyle w:val="Hyperlink"/>
                <w:noProof/>
              </w:rPr>
              <w:t>Main Body</w:t>
            </w:r>
            <w:r>
              <w:rPr>
                <w:noProof/>
                <w:webHidden/>
              </w:rPr>
              <w:tab/>
            </w:r>
            <w:r>
              <w:rPr>
                <w:noProof/>
                <w:webHidden/>
              </w:rPr>
              <w:fldChar w:fldCharType="begin"/>
            </w:r>
            <w:r>
              <w:rPr>
                <w:noProof/>
                <w:webHidden/>
              </w:rPr>
              <w:instrText xml:space="preserve"> PAGEREF _Toc234746702 \h </w:instrText>
            </w:r>
            <w:r>
              <w:rPr>
                <w:noProof/>
                <w:webHidden/>
              </w:rPr>
            </w:r>
            <w:r>
              <w:rPr>
                <w:noProof/>
                <w:webHidden/>
              </w:rPr>
              <w:fldChar w:fldCharType="separate"/>
            </w:r>
            <w:r>
              <w:rPr>
                <w:noProof/>
                <w:webHidden/>
              </w:rPr>
              <w:t>3</w:t>
            </w:r>
            <w:r>
              <w:rPr>
                <w:noProof/>
                <w:webHidden/>
              </w:rPr>
              <w:fldChar w:fldCharType="end"/>
            </w:r>
          </w:hyperlink>
        </w:p>
        <w:p w14:paraId="7879009A" w14:textId="30C7EDAC" w:rsidR="000333BE" w:rsidRDefault="000333BE">
          <w:pPr>
            <w:pStyle w:val="TOC2"/>
            <w:tabs>
              <w:tab w:val="right" w:leader="dot" w:pos="9350"/>
            </w:tabs>
            <w:rPr>
              <w:noProof/>
            </w:rPr>
          </w:pPr>
          <w:hyperlink w:anchor="_Toc234746703" w:history="1">
            <w:r w:rsidRPr="00A10A72">
              <w:rPr>
                <w:rStyle w:val="Hyperlink"/>
                <w:noProof/>
              </w:rPr>
              <w:t>Theoretical Framework</w:t>
            </w:r>
            <w:r>
              <w:rPr>
                <w:noProof/>
                <w:webHidden/>
              </w:rPr>
              <w:tab/>
            </w:r>
            <w:r>
              <w:rPr>
                <w:noProof/>
                <w:webHidden/>
              </w:rPr>
              <w:fldChar w:fldCharType="begin"/>
            </w:r>
            <w:r>
              <w:rPr>
                <w:noProof/>
                <w:webHidden/>
              </w:rPr>
              <w:instrText xml:space="preserve"> PAGEREF _Toc234746703 \h </w:instrText>
            </w:r>
            <w:r>
              <w:rPr>
                <w:noProof/>
                <w:webHidden/>
              </w:rPr>
            </w:r>
            <w:r>
              <w:rPr>
                <w:noProof/>
                <w:webHidden/>
              </w:rPr>
              <w:fldChar w:fldCharType="separate"/>
            </w:r>
            <w:r>
              <w:rPr>
                <w:noProof/>
                <w:webHidden/>
              </w:rPr>
              <w:t>3</w:t>
            </w:r>
            <w:r>
              <w:rPr>
                <w:noProof/>
                <w:webHidden/>
              </w:rPr>
              <w:fldChar w:fldCharType="end"/>
            </w:r>
          </w:hyperlink>
        </w:p>
        <w:p w14:paraId="55190B4E" w14:textId="6BC84E5C" w:rsidR="000333BE" w:rsidRDefault="000333BE">
          <w:pPr>
            <w:pStyle w:val="TOC2"/>
            <w:tabs>
              <w:tab w:val="right" w:leader="dot" w:pos="9350"/>
            </w:tabs>
            <w:rPr>
              <w:noProof/>
            </w:rPr>
          </w:pPr>
          <w:hyperlink w:anchor="_Toc234746704" w:history="1">
            <w:r w:rsidRPr="00A10A72">
              <w:rPr>
                <w:rStyle w:val="Hyperlink"/>
                <w:noProof/>
              </w:rPr>
              <w:t>Power Distance and Decision-Making</w:t>
            </w:r>
            <w:r>
              <w:rPr>
                <w:noProof/>
                <w:webHidden/>
              </w:rPr>
              <w:tab/>
            </w:r>
            <w:r>
              <w:rPr>
                <w:noProof/>
                <w:webHidden/>
              </w:rPr>
              <w:fldChar w:fldCharType="begin"/>
            </w:r>
            <w:r>
              <w:rPr>
                <w:noProof/>
                <w:webHidden/>
              </w:rPr>
              <w:instrText xml:space="preserve"> PAGEREF _Toc234746704 \h </w:instrText>
            </w:r>
            <w:r>
              <w:rPr>
                <w:noProof/>
                <w:webHidden/>
              </w:rPr>
            </w:r>
            <w:r>
              <w:rPr>
                <w:noProof/>
                <w:webHidden/>
              </w:rPr>
              <w:fldChar w:fldCharType="separate"/>
            </w:r>
            <w:r>
              <w:rPr>
                <w:noProof/>
                <w:webHidden/>
              </w:rPr>
              <w:t>3</w:t>
            </w:r>
            <w:r>
              <w:rPr>
                <w:noProof/>
                <w:webHidden/>
              </w:rPr>
              <w:fldChar w:fldCharType="end"/>
            </w:r>
          </w:hyperlink>
        </w:p>
        <w:p w14:paraId="3CD396D0" w14:textId="1EEAB8C9" w:rsidR="000333BE" w:rsidRDefault="000333BE">
          <w:pPr>
            <w:pStyle w:val="TOC2"/>
            <w:tabs>
              <w:tab w:val="right" w:leader="dot" w:pos="9350"/>
            </w:tabs>
            <w:rPr>
              <w:noProof/>
            </w:rPr>
          </w:pPr>
          <w:hyperlink w:anchor="_Toc234746705" w:history="1">
            <w:r w:rsidRPr="00A10A72">
              <w:rPr>
                <w:rStyle w:val="Hyperlink"/>
                <w:noProof/>
              </w:rPr>
              <w:t>Individualism, Collectivism and Harmony</w:t>
            </w:r>
            <w:r>
              <w:rPr>
                <w:noProof/>
                <w:webHidden/>
              </w:rPr>
              <w:tab/>
            </w:r>
            <w:r>
              <w:rPr>
                <w:noProof/>
                <w:webHidden/>
              </w:rPr>
              <w:fldChar w:fldCharType="begin"/>
            </w:r>
            <w:r>
              <w:rPr>
                <w:noProof/>
                <w:webHidden/>
              </w:rPr>
              <w:instrText xml:space="preserve"> PAGEREF _Toc234746705 \h </w:instrText>
            </w:r>
            <w:r>
              <w:rPr>
                <w:noProof/>
                <w:webHidden/>
              </w:rPr>
            </w:r>
            <w:r>
              <w:rPr>
                <w:noProof/>
                <w:webHidden/>
              </w:rPr>
              <w:fldChar w:fldCharType="separate"/>
            </w:r>
            <w:r>
              <w:rPr>
                <w:noProof/>
                <w:webHidden/>
              </w:rPr>
              <w:t>4</w:t>
            </w:r>
            <w:r>
              <w:rPr>
                <w:noProof/>
                <w:webHidden/>
              </w:rPr>
              <w:fldChar w:fldCharType="end"/>
            </w:r>
          </w:hyperlink>
        </w:p>
        <w:p w14:paraId="1C4D7D7C" w14:textId="2DC01304" w:rsidR="000333BE" w:rsidRDefault="000333BE">
          <w:pPr>
            <w:pStyle w:val="TOC2"/>
            <w:tabs>
              <w:tab w:val="right" w:leader="dot" w:pos="9350"/>
            </w:tabs>
            <w:rPr>
              <w:noProof/>
            </w:rPr>
          </w:pPr>
          <w:hyperlink w:anchor="_Toc234746706" w:history="1">
            <w:r w:rsidRPr="00A10A72">
              <w:rPr>
                <w:rStyle w:val="Hyperlink"/>
                <w:noProof/>
              </w:rPr>
              <w:t>Uncertainty Avoidance and Planning</w:t>
            </w:r>
            <w:r>
              <w:rPr>
                <w:noProof/>
                <w:webHidden/>
              </w:rPr>
              <w:tab/>
            </w:r>
            <w:r>
              <w:rPr>
                <w:noProof/>
                <w:webHidden/>
              </w:rPr>
              <w:fldChar w:fldCharType="begin"/>
            </w:r>
            <w:r>
              <w:rPr>
                <w:noProof/>
                <w:webHidden/>
              </w:rPr>
              <w:instrText xml:space="preserve"> PAGEREF _Toc234746706 \h </w:instrText>
            </w:r>
            <w:r>
              <w:rPr>
                <w:noProof/>
                <w:webHidden/>
              </w:rPr>
            </w:r>
            <w:r>
              <w:rPr>
                <w:noProof/>
                <w:webHidden/>
              </w:rPr>
              <w:fldChar w:fldCharType="separate"/>
            </w:r>
            <w:r>
              <w:rPr>
                <w:noProof/>
                <w:webHidden/>
              </w:rPr>
              <w:t>4</w:t>
            </w:r>
            <w:r>
              <w:rPr>
                <w:noProof/>
                <w:webHidden/>
              </w:rPr>
              <w:fldChar w:fldCharType="end"/>
            </w:r>
          </w:hyperlink>
        </w:p>
        <w:p w14:paraId="63D3C24E" w14:textId="531115DE" w:rsidR="000333BE" w:rsidRDefault="000333BE">
          <w:pPr>
            <w:pStyle w:val="TOC2"/>
            <w:tabs>
              <w:tab w:val="right" w:leader="dot" w:pos="9350"/>
            </w:tabs>
            <w:rPr>
              <w:noProof/>
            </w:rPr>
          </w:pPr>
          <w:hyperlink w:anchor="_Toc234746707" w:history="1">
            <w:r w:rsidRPr="00A10A72">
              <w:rPr>
                <w:rStyle w:val="Hyperlink"/>
                <w:noProof/>
              </w:rPr>
              <w:t>Masculinity and Achievement Orientation</w:t>
            </w:r>
            <w:r>
              <w:rPr>
                <w:noProof/>
                <w:webHidden/>
              </w:rPr>
              <w:tab/>
            </w:r>
            <w:r>
              <w:rPr>
                <w:noProof/>
                <w:webHidden/>
              </w:rPr>
              <w:fldChar w:fldCharType="begin"/>
            </w:r>
            <w:r>
              <w:rPr>
                <w:noProof/>
                <w:webHidden/>
              </w:rPr>
              <w:instrText xml:space="preserve"> PAGEREF _Toc234746707 \h </w:instrText>
            </w:r>
            <w:r>
              <w:rPr>
                <w:noProof/>
                <w:webHidden/>
              </w:rPr>
            </w:r>
            <w:r>
              <w:rPr>
                <w:noProof/>
                <w:webHidden/>
              </w:rPr>
              <w:fldChar w:fldCharType="separate"/>
            </w:r>
            <w:r>
              <w:rPr>
                <w:noProof/>
                <w:webHidden/>
              </w:rPr>
              <w:t>5</w:t>
            </w:r>
            <w:r>
              <w:rPr>
                <w:noProof/>
                <w:webHidden/>
              </w:rPr>
              <w:fldChar w:fldCharType="end"/>
            </w:r>
          </w:hyperlink>
        </w:p>
        <w:p w14:paraId="4DD21662" w14:textId="557DD637" w:rsidR="000333BE" w:rsidRDefault="000333BE">
          <w:pPr>
            <w:pStyle w:val="TOC2"/>
            <w:tabs>
              <w:tab w:val="right" w:leader="dot" w:pos="9350"/>
            </w:tabs>
            <w:rPr>
              <w:noProof/>
            </w:rPr>
          </w:pPr>
          <w:hyperlink w:anchor="_Toc234746708" w:history="1">
            <w:r w:rsidRPr="00A10A72">
              <w:rPr>
                <w:rStyle w:val="Hyperlink"/>
                <w:noProof/>
              </w:rPr>
              <w:t>Long-Term Orientation and Time Horizons</w:t>
            </w:r>
            <w:r>
              <w:rPr>
                <w:noProof/>
                <w:webHidden/>
              </w:rPr>
              <w:tab/>
            </w:r>
            <w:r>
              <w:rPr>
                <w:noProof/>
                <w:webHidden/>
              </w:rPr>
              <w:fldChar w:fldCharType="begin"/>
            </w:r>
            <w:r>
              <w:rPr>
                <w:noProof/>
                <w:webHidden/>
              </w:rPr>
              <w:instrText xml:space="preserve"> PAGEREF _Toc234746708 \h </w:instrText>
            </w:r>
            <w:r>
              <w:rPr>
                <w:noProof/>
                <w:webHidden/>
              </w:rPr>
            </w:r>
            <w:r>
              <w:rPr>
                <w:noProof/>
                <w:webHidden/>
              </w:rPr>
              <w:fldChar w:fldCharType="separate"/>
            </w:r>
            <w:r>
              <w:rPr>
                <w:noProof/>
                <w:webHidden/>
              </w:rPr>
              <w:t>5</w:t>
            </w:r>
            <w:r>
              <w:rPr>
                <w:noProof/>
                <w:webHidden/>
              </w:rPr>
              <w:fldChar w:fldCharType="end"/>
            </w:r>
          </w:hyperlink>
        </w:p>
        <w:p w14:paraId="0FB18499" w14:textId="46F04998" w:rsidR="000333BE" w:rsidRDefault="000333BE">
          <w:pPr>
            <w:pStyle w:val="TOC2"/>
            <w:tabs>
              <w:tab w:val="right" w:leader="dot" w:pos="9350"/>
            </w:tabs>
            <w:rPr>
              <w:noProof/>
            </w:rPr>
          </w:pPr>
          <w:hyperlink w:anchor="_Toc234746709" w:history="1">
            <w:r w:rsidRPr="00A10A72">
              <w:rPr>
                <w:rStyle w:val="Hyperlink"/>
                <w:noProof/>
              </w:rPr>
              <w:t>High-Context Communication in Practice</w:t>
            </w:r>
            <w:r>
              <w:rPr>
                <w:noProof/>
                <w:webHidden/>
              </w:rPr>
              <w:tab/>
            </w:r>
            <w:r>
              <w:rPr>
                <w:noProof/>
                <w:webHidden/>
              </w:rPr>
              <w:fldChar w:fldCharType="begin"/>
            </w:r>
            <w:r>
              <w:rPr>
                <w:noProof/>
                <w:webHidden/>
              </w:rPr>
              <w:instrText xml:space="preserve"> PAGEREF _Toc234746709 \h </w:instrText>
            </w:r>
            <w:r>
              <w:rPr>
                <w:noProof/>
                <w:webHidden/>
              </w:rPr>
            </w:r>
            <w:r>
              <w:rPr>
                <w:noProof/>
                <w:webHidden/>
              </w:rPr>
              <w:fldChar w:fldCharType="separate"/>
            </w:r>
            <w:r>
              <w:rPr>
                <w:noProof/>
                <w:webHidden/>
              </w:rPr>
              <w:t>5</w:t>
            </w:r>
            <w:r>
              <w:rPr>
                <w:noProof/>
                <w:webHidden/>
              </w:rPr>
              <w:fldChar w:fldCharType="end"/>
            </w:r>
          </w:hyperlink>
        </w:p>
        <w:p w14:paraId="283890A4" w14:textId="52074D04" w:rsidR="000333BE" w:rsidRDefault="000333BE">
          <w:pPr>
            <w:pStyle w:val="TOC2"/>
            <w:tabs>
              <w:tab w:val="right" w:leader="dot" w:pos="9350"/>
            </w:tabs>
            <w:rPr>
              <w:noProof/>
            </w:rPr>
          </w:pPr>
          <w:hyperlink w:anchor="_Toc234746710" w:history="1">
            <w:r w:rsidRPr="00A10A72">
              <w:rPr>
                <w:rStyle w:val="Hyperlink"/>
                <w:noProof/>
              </w:rPr>
              <w:t>Managing the Differences</w:t>
            </w:r>
            <w:r>
              <w:rPr>
                <w:noProof/>
                <w:webHidden/>
              </w:rPr>
              <w:tab/>
            </w:r>
            <w:r>
              <w:rPr>
                <w:noProof/>
                <w:webHidden/>
              </w:rPr>
              <w:fldChar w:fldCharType="begin"/>
            </w:r>
            <w:r>
              <w:rPr>
                <w:noProof/>
                <w:webHidden/>
              </w:rPr>
              <w:instrText xml:space="preserve"> PAGEREF _Toc234746710 \h </w:instrText>
            </w:r>
            <w:r>
              <w:rPr>
                <w:noProof/>
                <w:webHidden/>
              </w:rPr>
            </w:r>
            <w:r>
              <w:rPr>
                <w:noProof/>
                <w:webHidden/>
              </w:rPr>
              <w:fldChar w:fldCharType="separate"/>
            </w:r>
            <w:r>
              <w:rPr>
                <w:noProof/>
                <w:webHidden/>
              </w:rPr>
              <w:t>6</w:t>
            </w:r>
            <w:r>
              <w:rPr>
                <w:noProof/>
                <w:webHidden/>
              </w:rPr>
              <w:fldChar w:fldCharType="end"/>
            </w:r>
          </w:hyperlink>
        </w:p>
        <w:p w14:paraId="1D1199C1" w14:textId="2C568E48" w:rsidR="000333BE" w:rsidRDefault="000333BE">
          <w:pPr>
            <w:pStyle w:val="TOC1"/>
            <w:tabs>
              <w:tab w:val="right" w:leader="dot" w:pos="9350"/>
            </w:tabs>
            <w:rPr>
              <w:noProof/>
            </w:rPr>
          </w:pPr>
          <w:hyperlink w:anchor="_Toc234746711" w:history="1">
            <w:r w:rsidRPr="00A10A72">
              <w:rPr>
                <w:rStyle w:val="Hyperlink"/>
                <w:noProof/>
              </w:rPr>
              <w:t>Conclusion</w:t>
            </w:r>
            <w:r>
              <w:rPr>
                <w:noProof/>
                <w:webHidden/>
              </w:rPr>
              <w:tab/>
            </w:r>
            <w:r>
              <w:rPr>
                <w:noProof/>
                <w:webHidden/>
              </w:rPr>
              <w:fldChar w:fldCharType="begin"/>
            </w:r>
            <w:r>
              <w:rPr>
                <w:noProof/>
                <w:webHidden/>
              </w:rPr>
              <w:instrText xml:space="preserve"> PAGEREF _Toc234746711 \h </w:instrText>
            </w:r>
            <w:r>
              <w:rPr>
                <w:noProof/>
                <w:webHidden/>
              </w:rPr>
            </w:r>
            <w:r>
              <w:rPr>
                <w:noProof/>
                <w:webHidden/>
              </w:rPr>
              <w:fldChar w:fldCharType="separate"/>
            </w:r>
            <w:r>
              <w:rPr>
                <w:noProof/>
                <w:webHidden/>
              </w:rPr>
              <w:t>6</w:t>
            </w:r>
            <w:r>
              <w:rPr>
                <w:noProof/>
                <w:webHidden/>
              </w:rPr>
              <w:fldChar w:fldCharType="end"/>
            </w:r>
          </w:hyperlink>
        </w:p>
        <w:p w14:paraId="4744411A" w14:textId="1C84CBCC" w:rsidR="000333BE" w:rsidRDefault="000333BE">
          <w:pPr>
            <w:pStyle w:val="TOC1"/>
            <w:tabs>
              <w:tab w:val="right" w:leader="dot" w:pos="9350"/>
            </w:tabs>
            <w:rPr>
              <w:noProof/>
            </w:rPr>
          </w:pPr>
          <w:hyperlink w:anchor="_Toc234746712" w:history="1">
            <w:r w:rsidRPr="00A10A72">
              <w:rPr>
                <w:rStyle w:val="Hyperlink"/>
                <w:noProof/>
              </w:rPr>
              <w:t>Reference List</w:t>
            </w:r>
            <w:r>
              <w:rPr>
                <w:noProof/>
                <w:webHidden/>
              </w:rPr>
              <w:tab/>
            </w:r>
            <w:r>
              <w:rPr>
                <w:noProof/>
                <w:webHidden/>
              </w:rPr>
              <w:fldChar w:fldCharType="begin"/>
            </w:r>
            <w:r>
              <w:rPr>
                <w:noProof/>
                <w:webHidden/>
              </w:rPr>
              <w:instrText xml:space="preserve"> PAGEREF _Toc234746712 \h </w:instrText>
            </w:r>
            <w:r>
              <w:rPr>
                <w:noProof/>
                <w:webHidden/>
              </w:rPr>
            </w:r>
            <w:r>
              <w:rPr>
                <w:noProof/>
                <w:webHidden/>
              </w:rPr>
              <w:fldChar w:fldCharType="separate"/>
            </w:r>
            <w:r>
              <w:rPr>
                <w:noProof/>
                <w:webHidden/>
              </w:rPr>
              <w:t>7</w:t>
            </w:r>
            <w:r>
              <w:rPr>
                <w:noProof/>
                <w:webHidden/>
              </w:rPr>
              <w:fldChar w:fldCharType="end"/>
            </w:r>
          </w:hyperlink>
        </w:p>
        <w:p w14:paraId="67363D53" w14:textId="2D8B0556" w:rsidR="000333BE" w:rsidRDefault="000333BE">
          <w:r>
            <w:rPr>
              <w:b/>
              <w:bCs/>
              <w:noProof/>
            </w:rPr>
            <w:fldChar w:fldCharType="end"/>
          </w:r>
        </w:p>
      </w:sdtContent>
    </w:sdt>
    <w:p w14:paraId="66A9CD4F" w14:textId="77777777" w:rsidR="000C4A14" w:rsidRDefault="00227F9E">
      <w:pPr>
        <w:pStyle w:val="Heading1"/>
        <w:spacing w:before="300" w:after="200"/>
      </w:pPr>
      <w:bookmarkStart w:id="0" w:name="_Toc234746701"/>
      <w:r>
        <w:rPr>
          <w:b/>
          <w:bCs/>
          <w:sz w:val="30"/>
          <w:szCs w:val="30"/>
        </w:rPr>
        <w:t>Background</w:t>
      </w:r>
      <w:bookmarkEnd w:id="0"/>
    </w:p>
    <w:p w14:paraId="1B363E4C" w14:textId="77777777" w:rsidR="000C4A14" w:rsidRDefault="00227F9E">
      <w:pPr>
        <w:spacing w:after="200" w:line="300" w:lineRule="auto"/>
      </w:pPr>
      <w:r>
        <w:rPr>
          <w:sz w:val="24"/>
          <w:szCs w:val="24"/>
        </w:rPr>
        <w:t xml:space="preserve">This essay considers international business communication challenges through a case scenario involving </w:t>
      </w:r>
      <w:proofErr w:type="spellStart"/>
      <w:r>
        <w:rPr>
          <w:sz w:val="24"/>
          <w:szCs w:val="24"/>
        </w:rPr>
        <w:t>Molton</w:t>
      </w:r>
      <w:proofErr w:type="spellEnd"/>
      <w:r>
        <w:rPr>
          <w:sz w:val="24"/>
          <w:szCs w:val="24"/>
        </w:rPr>
        <w:t xml:space="preserve"> Brown, a British luxury bath, body and fragrance company founded in London in 1971, and Kao Corporation, a Japanese multinational chemicals and cosmetics group headquartered in Tokyo. Kao, whose portfolio also includes </w:t>
      </w:r>
      <w:proofErr w:type="spellStart"/>
      <w:r>
        <w:rPr>
          <w:sz w:val="24"/>
          <w:szCs w:val="24"/>
        </w:rPr>
        <w:t>Kanebo</w:t>
      </w:r>
      <w:proofErr w:type="spellEnd"/>
      <w:r>
        <w:rPr>
          <w:sz w:val="24"/>
          <w:szCs w:val="24"/>
        </w:rPr>
        <w:t xml:space="preserve">, Sofina and </w:t>
      </w:r>
      <w:proofErr w:type="spellStart"/>
      <w:r>
        <w:rPr>
          <w:sz w:val="24"/>
          <w:szCs w:val="24"/>
        </w:rPr>
        <w:t>Bioré</w:t>
      </w:r>
      <w:proofErr w:type="spellEnd"/>
      <w:r>
        <w:rPr>
          <w:sz w:val="24"/>
          <w:szCs w:val="24"/>
        </w:rPr>
        <w:t xml:space="preserve">, acquired </w:t>
      </w:r>
      <w:proofErr w:type="spellStart"/>
      <w:r>
        <w:rPr>
          <w:sz w:val="24"/>
          <w:szCs w:val="24"/>
        </w:rPr>
        <w:t>Molton</w:t>
      </w:r>
      <w:proofErr w:type="spellEnd"/>
      <w:r>
        <w:rPr>
          <w:sz w:val="24"/>
          <w:szCs w:val="24"/>
        </w:rPr>
        <w:t xml:space="preserve"> Brown in July 2005 for approximately £170 million, integrating the British brand into its international luxury lifestyle division (Happi, 2005; Kao Corporation, 2025). Kao Corporation, founded in 1887 and listed on the Tokyo Stock Exchange, is one of Japan's largest consumer goods companies, employing over 33,000 people worldwide and operating a portfolio spanning cosmetics, skincare, haircare and household chemicals across Asia, Europe and the Americas (Kao Corporation, 2025).</w:t>
      </w:r>
    </w:p>
    <w:p w14:paraId="0B00A0FC" w14:textId="77777777" w:rsidR="000C4A14" w:rsidRDefault="00227F9E">
      <w:pPr>
        <w:spacing w:after="200" w:line="300" w:lineRule="auto"/>
      </w:pPr>
      <w:r>
        <w:rPr>
          <w:sz w:val="24"/>
          <w:szCs w:val="24"/>
        </w:rPr>
        <w:t>The scenario also reflects real commercial conditions in the Japanese beauty and personal care market, one of the largest and most quality-conscious in the world. The market was valued at approximately USD 28.7 billion in 2025, with premium products accounting for over a third of retail value and skincare alone representing around half of all premium spending, reflecting Japan's long-standing consumer emphasis on ingredient quality, product efficacy and brand credibility over price (Mordor Intelligence, 202</w:t>
      </w:r>
      <w:r>
        <w:rPr>
          <w:sz w:val="24"/>
          <w:szCs w:val="24"/>
        </w:rPr>
        <w:t>5). Entering this market successfully therefore depends not only on product quality but on effective, culturally attuned communication between the UK team developing the fragrance and the Japanese team responsible for positioning it credibly to Japanese consumers.</w:t>
      </w:r>
    </w:p>
    <w:p w14:paraId="322C9FF1" w14:textId="77777777" w:rsidR="000C4A14" w:rsidRDefault="00227F9E">
      <w:pPr>
        <w:spacing w:after="200" w:line="300" w:lineRule="auto"/>
      </w:pPr>
      <w:r>
        <w:rPr>
          <w:sz w:val="24"/>
          <w:szCs w:val="24"/>
        </w:rPr>
        <w:lastRenderedPageBreak/>
        <w:t xml:space="preserve">In this scenario, the writer is Country Director of </w:t>
      </w:r>
      <w:proofErr w:type="spellStart"/>
      <w:r>
        <w:rPr>
          <w:sz w:val="24"/>
          <w:szCs w:val="24"/>
        </w:rPr>
        <w:t>Molton</w:t>
      </w:r>
      <w:proofErr w:type="spellEnd"/>
      <w:r>
        <w:rPr>
          <w:sz w:val="24"/>
          <w:szCs w:val="24"/>
        </w:rPr>
        <w:t xml:space="preserve"> Brown, tasked with leading a joint project between the London creative and marketing team and Kao's product development and marketing teams in Tokyo to launch a new fragrance line developed specifically for the Japanese market. The project requires close, sustained collaboration between British and Japanese employees at every stage, from formulation and packaging design through to retail marketing, and success depends on the two teams communicating effectively despite operating from markedly different cult</w:t>
      </w:r>
      <w:r>
        <w:rPr>
          <w:sz w:val="24"/>
          <w:szCs w:val="24"/>
        </w:rPr>
        <w:t>ural starting points.</w:t>
      </w:r>
    </w:p>
    <w:p w14:paraId="7500A375" w14:textId="77777777" w:rsidR="000C4A14" w:rsidRDefault="00227F9E">
      <w:pPr>
        <w:spacing w:after="200" w:line="300" w:lineRule="auto"/>
      </w:pPr>
      <w:r>
        <w:rPr>
          <w:sz w:val="24"/>
          <w:szCs w:val="24"/>
        </w:rPr>
        <w:t>The United Kingdom and Japan sit at opposite ends of several influential frameworks used to analyse workplace communication, including Hofstede's cultural dimensions theory and Edward Hall's distinction between high-context and low-context communication (Hofstede, 2001; Hall, 1976). These differences are not merely academic; they shape how instructions are given and understood, how disagreement is expressed, how quickly decisions are made, and how much can safely be left unsaid in a meeting. For a genuinely</w:t>
      </w:r>
      <w:r>
        <w:rPr>
          <w:sz w:val="24"/>
          <w:szCs w:val="24"/>
        </w:rPr>
        <w:t xml:space="preserve"> global brand such as </w:t>
      </w:r>
      <w:proofErr w:type="spellStart"/>
      <w:r>
        <w:rPr>
          <w:sz w:val="24"/>
          <w:szCs w:val="24"/>
        </w:rPr>
        <w:t>Molton</w:t>
      </w:r>
      <w:proofErr w:type="spellEnd"/>
      <w:r>
        <w:rPr>
          <w:sz w:val="24"/>
          <w:szCs w:val="24"/>
        </w:rPr>
        <w:t xml:space="preserve"> Brown, now operating within a Japanese parent group, these differences are a daily operational reality rather than a hypothetical concern.</w:t>
      </w:r>
    </w:p>
    <w:p w14:paraId="348BC793" w14:textId="77777777" w:rsidR="000C4A14" w:rsidRDefault="00227F9E">
      <w:pPr>
        <w:spacing w:after="200" w:line="300" w:lineRule="auto"/>
      </w:pPr>
      <w:r>
        <w:rPr>
          <w:sz w:val="24"/>
          <w:szCs w:val="24"/>
        </w:rPr>
        <w:t xml:space="preserve">This essay applies Hofstede's cultural dimensions and high-context and low-context communication theory to evaluate where UK and Japanese communication styles are most likely to diverge, the specific misunderstandings this can create within the </w:t>
      </w:r>
      <w:proofErr w:type="spellStart"/>
      <w:r>
        <w:rPr>
          <w:sz w:val="24"/>
          <w:szCs w:val="24"/>
        </w:rPr>
        <w:t>Molton</w:t>
      </w:r>
      <w:proofErr w:type="spellEnd"/>
      <w:r>
        <w:rPr>
          <w:sz w:val="24"/>
          <w:szCs w:val="24"/>
        </w:rPr>
        <w:t xml:space="preserve"> Brown and Kao relationship, and how a Country Director might manage these differences to support successful collaboration.</w:t>
      </w:r>
    </w:p>
    <w:p w14:paraId="717426D8" w14:textId="77777777" w:rsidR="000C4A14" w:rsidRDefault="00227F9E">
      <w:pPr>
        <w:pStyle w:val="Heading1"/>
        <w:spacing w:before="300" w:after="200"/>
      </w:pPr>
      <w:bookmarkStart w:id="1" w:name="_Toc234746702"/>
      <w:r>
        <w:rPr>
          <w:b/>
          <w:bCs/>
          <w:sz w:val="30"/>
          <w:szCs w:val="30"/>
        </w:rPr>
        <w:t>Main Body</w:t>
      </w:r>
      <w:bookmarkEnd w:id="1"/>
    </w:p>
    <w:p w14:paraId="10032183" w14:textId="77777777" w:rsidR="000C4A14" w:rsidRDefault="00227F9E">
      <w:pPr>
        <w:pStyle w:val="Heading2"/>
        <w:spacing w:before="220" w:after="160"/>
      </w:pPr>
      <w:bookmarkStart w:id="2" w:name="_Toc234746703"/>
      <w:r>
        <w:rPr>
          <w:b/>
          <w:bCs/>
        </w:rPr>
        <w:t>Theoretical Framework</w:t>
      </w:r>
      <w:bookmarkEnd w:id="2"/>
    </w:p>
    <w:p w14:paraId="6329476D" w14:textId="77777777" w:rsidR="000C4A14" w:rsidRDefault="00227F9E">
      <w:pPr>
        <w:spacing w:after="200" w:line="300" w:lineRule="auto"/>
      </w:pPr>
      <w:r>
        <w:rPr>
          <w:sz w:val="24"/>
          <w:szCs w:val="24"/>
        </w:rPr>
        <w:t xml:space="preserve">Hofstede's cultural dimensions theory, developed from a large-scale study of IBM employees across more than fifty countries, measures national culture along six dimensions: power distance, individualism versus collectivism, masculinity versus femininity, uncertainty avoidance, long-term versus short-term orientation, and indulgence versus restraint (Hofstede, 2001). Each dimension captures a different aspect of how people </w:t>
      </w:r>
      <w:proofErr w:type="gramStart"/>
      <w:r>
        <w:rPr>
          <w:sz w:val="24"/>
          <w:szCs w:val="24"/>
        </w:rPr>
        <w:t>in a given</w:t>
      </w:r>
      <w:proofErr w:type="gramEnd"/>
      <w:r>
        <w:rPr>
          <w:sz w:val="24"/>
          <w:szCs w:val="24"/>
        </w:rPr>
        <w:t xml:space="preserve"> culture relate to authority, group membership, ambiguity and time, all of which influence workplace communication.</w:t>
      </w:r>
    </w:p>
    <w:p w14:paraId="41A5FA36" w14:textId="77777777" w:rsidR="000C4A14" w:rsidRDefault="00227F9E">
      <w:pPr>
        <w:spacing w:after="200" w:line="300" w:lineRule="auto"/>
      </w:pPr>
      <w:r>
        <w:rPr>
          <w:sz w:val="24"/>
          <w:szCs w:val="24"/>
        </w:rPr>
        <w:t>A complementary framework is Hall's distinction between high-context and low-context communication. In high-context cultures, meaning is carried as much by shared background, relationship history, tone and non-verbal cues as by the words themselves; in low-context cultures, communication relies primarily on explicit, literal verbal content (Hall, 1976). Japan is consistently identified as one of the most high-context cultures studied, while the UK sits closer to the low-context end of the spectrum, though l</w:t>
      </w:r>
      <w:r>
        <w:rPr>
          <w:sz w:val="24"/>
          <w:szCs w:val="24"/>
        </w:rPr>
        <w:t xml:space="preserve">ess extremely so than cultures such as Germany </w:t>
      </w:r>
      <w:r>
        <w:rPr>
          <w:sz w:val="24"/>
          <w:szCs w:val="24"/>
        </w:rPr>
        <w:lastRenderedPageBreak/>
        <w:t xml:space="preserve">or the United States (Meyer, 2014). Applying both frameworks together provides a fuller picture of where the </w:t>
      </w:r>
      <w:proofErr w:type="spellStart"/>
      <w:r>
        <w:rPr>
          <w:sz w:val="24"/>
          <w:szCs w:val="24"/>
        </w:rPr>
        <w:t>Molton</w:t>
      </w:r>
      <w:proofErr w:type="spellEnd"/>
      <w:r>
        <w:rPr>
          <w:sz w:val="24"/>
          <w:szCs w:val="24"/>
        </w:rPr>
        <w:t xml:space="preserve"> Brown and Kao teams are likely to experience friction.</w:t>
      </w:r>
    </w:p>
    <w:p w14:paraId="177CCCC0" w14:textId="77777777" w:rsidR="000C4A14" w:rsidRDefault="00227F9E">
      <w:pPr>
        <w:pStyle w:val="Heading2"/>
        <w:spacing w:before="220" w:after="160"/>
      </w:pPr>
      <w:bookmarkStart w:id="3" w:name="_Toc234746704"/>
      <w:r>
        <w:rPr>
          <w:b/>
          <w:bCs/>
        </w:rPr>
        <w:t>Power Distance and Decision-Making</w:t>
      </w:r>
      <w:bookmarkEnd w:id="3"/>
    </w:p>
    <w:p w14:paraId="29C7A124" w14:textId="77777777" w:rsidR="000C4A14" w:rsidRDefault="00227F9E">
      <w:pPr>
        <w:spacing w:after="200" w:line="300" w:lineRule="auto"/>
      </w:pPr>
      <w:r>
        <w:rPr>
          <w:sz w:val="24"/>
          <w:szCs w:val="24"/>
        </w:rPr>
        <w:t xml:space="preserve">Hofstede Insights (2023) scores the UK at 35 for power distance against Japan's 54, indicating that Japanese organisational culture is considerably more comfortable with hierarchy and centralised authority than British culture. In practice, this means decisions at Kao's Tokyo headquarters are more likely to move through several layers of approval, often via the </w:t>
      </w:r>
      <w:proofErr w:type="spellStart"/>
      <w:r>
        <w:rPr>
          <w:sz w:val="24"/>
          <w:szCs w:val="24"/>
        </w:rPr>
        <w:t>ringi-sho</w:t>
      </w:r>
      <w:proofErr w:type="spellEnd"/>
      <w:r>
        <w:rPr>
          <w:sz w:val="24"/>
          <w:szCs w:val="24"/>
        </w:rPr>
        <w:t xml:space="preserve"> system, in which a written proposal circulates for consensus before a final decision is confirmed (</w:t>
      </w:r>
      <w:proofErr w:type="spellStart"/>
      <w:r>
        <w:rPr>
          <w:sz w:val="24"/>
          <w:szCs w:val="24"/>
        </w:rPr>
        <w:t>Barnlund</w:t>
      </w:r>
      <w:proofErr w:type="spellEnd"/>
      <w:r>
        <w:rPr>
          <w:sz w:val="24"/>
          <w:szCs w:val="24"/>
        </w:rPr>
        <w:t>, 1989). British staff accustomed to a flatter structure, where a manager can approve a proposal in a single meeting, may misread this process as excessive caution or a lack of trust, when it in fact reflects a genuine cultural preference for shared accountability.</w:t>
      </w:r>
    </w:p>
    <w:p w14:paraId="6A7DAF2D" w14:textId="77777777" w:rsidR="000C4A14" w:rsidRDefault="00227F9E">
      <w:pPr>
        <w:spacing w:after="200" w:line="300" w:lineRule="auto"/>
      </w:pPr>
      <w:r>
        <w:rPr>
          <w:sz w:val="24"/>
          <w:szCs w:val="24"/>
        </w:rPr>
        <w:t xml:space="preserve">For the fragrance launch, this difference could easily produce a real misunderstanding: a London team member might present a marketing concept expecting a quick verbal decision, then interpret the Tokyo team's silence or request for further internal review as rejection or disengagement, when it is simply the </w:t>
      </w:r>
      <w:proofErr w:type="spellStart"/>
      <w:r>
        <w:rPr>
          <w:sz w:val="24"/>
          <w:szCs w:val="24"/>
        </w:rPr>
        <w:t>ringi</w:t>
      </w:r>
      <w:proofErr w:type="spellEnd"/>
      <w:r>
        <w:rPr>
          <w:sz w:val="24"/>
          <w:szCs w:val="24"/>
        </w:rPr>
        <w:t xml:space="preserve"> process working as intended. A Country Director aware of this dynamic can build additional time into the project schedule for Japanese-side consensus-building and communicate this expectation clearly to the UK team in advance, reducing the risk of frustration on both sides.</w:t>
      </w:r>
    </w:p>
    <w:p w14:paraId="72B64E07" w14:textId="77777777" w:rsidR="000C4A14" w:rsidRDefault="00227F9E">
      <w:pPr>
        <w:pStyle w:val="Heading2"/>
        <w:spacing w:before="220" w:after="160"/>
      </w:pPr>
      <w:bookmarkStart w:id="4" w:name="_Toc234746705"/>
      <w:r>
        <w:rPr>
          <w:b/>
          <w:bCs/>
        </w:rPr>
        <w:t>Individualism, Collectivism and Harmony</w:t>
      </w:r>
      <w:bookmarkEnd w:id="4"/>
    </w:p>
    <w:p w14:paraId="56DC45F9" w14:textId="77777777" w:rsidR="000C4A14" w:rsidRDefault="00227F9E">
      <w:pPr>
        <w:spacing w:after="200" w:line="300" w:lineRule="auto"/>
      </w:pPr>
      <w:r>
        <w:rPr>
          <w:sz w:val="24"/>
          <w:szCs w:val="24"/>
        </w:rPr>
        <w:t xml:space="preserve">Individualism shows the starkest divergence of any dimension: the UK scores 89, among the most individualist cultures measured, while Japan scores 46, reflecting a markedly more collectivist orientation (Hofstede Insights, 2023). British communication style tends to reward individual opinion, direct disagreement in meetings, and personal ownership of ideas. Japanese communication, by contrast, places a higher priority on group harmony, or </w:t>
      </w:r>
      <w:proofErr w:type="spellStart"/>
      <w:r>
        <w:rPr>
          <w:sz w:val="24"/>
          <w:szCs w:val="24"/>
        </w:rPr>
        <w:t>wa</w:t>
      </w:r>
      <w:proofErr w:type="spellEnd"/>
      <w:r>
        <w:rPr>
          <w:sz w:val="24"/>
          <w:szCs w:val="24"/>
        </w:rPr>
        <w:t>, and on avoiding actions that could cause a colleague to lose face in front of others (</w:t>
      </w:r>
      <w:proofErr w:type="spellStart"/>
      <w:r>
        <w:rPr>
          <w:sz w:val="24"/>
          <w:szCs w:val="24"/>
        </w:rPr>
        <w:t>Barnlund</w:t>
      </w:r>
      <w:proofErr w:type="spellEnd"/>
      <w:r>
        <w:rPr>
          <w:sz w:val="24"/>
          <w:szCs w:val="24"/>
        </w:rPr>
        <w:t>, 1989).</w:t>
      </w:r>
    </w:p>
    <w:p w14:paraId="5B753CCB" w14:textId="77777777" w:rsidR="000C4A14" w:rsidRDefault="00227F9E">
      <w:pPr>
        <w:spacing w:after="200" w:line="300" w:lineRule="auto"/>
      </w:pPr>
      <w:r>
        <w:rPr>
          <w:sz w:val="24"/>
          <w:szCs w:val="24"/>
        </w:rPr>
        <w:t xml:space="preserve">This has direct implications for how feedback is given during the joint project. A UK team member reviewing a Japanese product proposal might offer direct criticism in an open meeting, intending this as constructive and efficient. To Japanese colleagues, the same comment delivered publicly could feel confrontational and damaging to the working relationship, regardless of its technical accuracy. Conversely, Japanese team members may avoid stating disagreement outright, instead using softened phrases such as </w:t>
      </w:r>
      <w:r>
        <w:rPr>
          <w:sz w:val="24"/>
          <w:szCs w:val="24"/>
        </w:rPr>
        <w:t>“that could be difficult” to signal a polite no; a British colleague unfamiliar with this convention may take the phrase literally and assume the proposal remains viable, creating a serious misalignment later in the project.</w:t>
      </w:r>
    </w:p>
    <w:p w14:paraId="3BAA21B2" w14:textId="77777777" w:rsidR="000C4A14" w:rsidRDefault="00227F9E">
      <w:pPr>
        <w:spacing w:after="200" w:line="300" w:lineRule="auto"/>
      </w:pPr>
      <w:r>
        <w:rPr>
          <w:sz w:val="24"/>
          <w:szCs w:val="24"/>
        </w:rPr>
        <w:lastRenderedPageBreak/>
        <w:t>Meyer (2014) argues that this is one of the most common failure points in international teams: participants correctly hear the words being used but misjudge the meaning being conveyed, because each side is decoding the message through their own cultural default rather than the speaker's.</w:t>
      </w:r>
    </w:p>
    <w:p w14:paraId="08DB7D5D" w14:textId="77777777" w:rsidR="000C4A14" w:rsidRDefault="00227F9E">
      <w:pPr>
        <w:spacing w:after="200" w:line="300" w:lineRule="auto"/>
      </w:pPr>
      <w:r>
        <w:rPr>
          <w:sz w:val="24"/>
          <w:szCs w:val="24"/>
        </w:rPr>
        <w:t xml:space="preserve">This dynamic is not merely theoretical. </w:t>
      </w:r>
      <w:proofErr w:type="spellStart"/>
      <w:r>
        <w:rPr>
          <w:sz w:val="24"/>
          <w:szCs w:val="24"/>
        </w:rPr>
        <w:t>Peltokorpi's</w:t>
      </w:r>
      <w:proofErr w:type="spellEnd"/>
      <w:r>
        <w:rPr>
          <w:sz w:val="24"/>
          <w:szCs w:val="24"/>
        </w:rPr>
        <w:t xml:space="preserve"> (2007) study of Nordic expatriates working inside Japanese organisations found that divergent communication styles rooted in verticality and collectivism were a persistent, practical source of difficulty, and that expatriates who invested in informal relationship-building and language training adapted more successfully than those who did not. A similar pattern is plausible within a </w:t>
      </w:r>
      <w:proofErr w:type="spellStart"/>
      <w:r>
        <w:rPr>
          <w:sz w:val="24"/>
          <w:szCs w:val="24"/>
        </w:rPr>
        <w:t>Molton</w:t>
      </w:r>
      <w:proofErr w:type="spellEnd"/>
      <w:r>
        <w:rPr>
          <w:sz w:val="24"/>
          <w:szCs w:val="24"/>
        </w:rPr>
        <w:t xml:space="preserve"> Brown and Kao collaboration, where UK staff without prior exposure to Japanese workplace norms might otherwise attribute early friction to individual personality rather than to structural cultural difference.</w:t>
      </w:r>
    </w:p>
    <w:p w14:paraId="67650823" w14:textId="77777777" w:rsidR="000C4A14" w:rsidRDefault="00227F9E">
      <w:pPr>
        <w:pStyle w:val="Heading2"/>
        <w:spacing w:before="220" w:after="160"/>
      </w:pPr>
      <w:bookmarkStart w:id="5" w:name="_Toc234746706"/>
      <w:r>
        <w:rPr>
          <w:b/>
          <w:bCs/>
        </w:rPr>
        <w:t>Uncertainty Avoidance and Planning</w:t>
      </w:r>
      <w:bookmarkEnd w:id="5"/>
    </w:p>
    <w:p w14:paraId="29F61F20" w14:textId="77777777" w:rsidR="000C4A14" w:rsidRDefault="00227F9E">
      <w:pPr>
        <w:spacing w:after="200" w:line="300" w:lineRule="auto"/>
      </w:pPr>
      <w:r>
        <w:rPr>
          <w:sz w:val="24"/>
          <w:szCs w:val="24"/>
        </w:rPr>
        <w:t>Japan's uncertainty avoidance score of 92 is among the highest recorded by Hofstede's research, compared with just 35 for the UK (Hofstede Insights, 2023). This suggests that Japanese colleagues are likely to expect detailed documentation, thorough risk assessment and clearly defined processes before committing to a course of action, while British colleagues are typically comfortable adapting plans as a project evolves.</w:t>
      </w:r>
    </w:p>
    <w:p w14:paraId="6214E47E" w14:textId="77777777" w:rsidR="000C4A14" w:rsidRDefault="00227F9E">
      <w:pPr>
        <w:spacing w:after="200" w:line="300" w:lineRule="auto"/>
      </w:pPr>
      <w:r>
        <w:rPr>
          <w:sz w:val="24"/>
          <w:szCs w:val="24"/>
        </w:rPr>
        <w:t>On a joint new-product launch, this can surface as tension over pacing: the Tokyo team may request extensive written specifications and testing data on fragrance formulation and packaging before agreeing to a launch date, while the London team, used to a more iterative and flexible approach to creative development, may perceive these requests as unnecessary delay. Neither approach is objectively wrong; each reflects a rational response to a different cultural comfort level with ambiguity. Recognising this i</w:t>
      </w:r>
      <w:r>
        <w:rPr>
          <w:sz w:val="24"/>
          <w:szCs w:val="24"/>
        </w:rPr>
        <w:t>n advance allows a Country Director to frame documentation requests as a normal and expected part of the collaboration, rather than a sign of the Tokyo team's reluctance to proceed.</w:t>
      </w:r>
    </w:p>
    <w:p w14:paraId="568E95C1" w14:textId="77777777" w:rsidR="000C4A14" w:rsidRDefault="00227F9E">
      <w:pPr>
        <w:pStyle w:val="Heading2"/>
        <w:spacing w:before="220" w:after="160"/>
      </w:pPr>
      <w:bookmarkStart w:id="6" w:name="_Toc234746707"/>
      <w:r>
        <w:rPr>
          <w:b/>
          <w:bCs/>
        </w:rPr>
        <w:t>Masculinity and Achievement Orientation</w:t>
      </w:r>
      <w:bookmarkEnd w:id="6"/>
    </w:p>
    <w:p w14:paraId="3714011A" w14:textId="77777777" w:rsidR="000C4A14" w:rsidRDefault="00227F9E">
      <w:pPr>
        <w:spacing w:after="200" w:line="300" w:lineRule="auto"/>
      </w:pPr>
      <w:r>
        <w:rPr>
          <w:sz w:val="24"/>
          <w:szCs w:val="24"/>
        </w:rPr>
        <w:t>A further relevant dimension is masculinity versus femininity, which Hofstede uses to describe a culture's emphasis on competitive achievement versus cooperation and quality of life. Japan scores 95 on this dimension, one of the highest in Hofstede's dataset, compared with 66 for the UK (Hofstede Insights, 2023). In practical terms, Japanese workplace culture often places strong emphasis on visible effort, long working hours and dedication to the organisation as markers of professionalism, while British wor</w:t>
      </w:r>
      <w:r>
        <w:rPr>
          <w:sz w:val="24"/>
          <w:szCs w:val="24"/>
        </w:rPr>
        <w:t xml:space="preserve">kplace culture, though still competitive, places relatively more value on efficiency and work-life balance. On a joint project, this can surface as differing expectations around availability outside normal hours or the pace at which each side expects </w:t>
      </w:r>
      <w:r>
        <w:rPr>
          <w:sz w:val="24"/>
          <w:szCs w:val="24"/>
        </w:rPr>
        <w:lastRenderedPageBreak/>
        <w:t>visible progress to be demonstrated. A Country Director should be cautious about assuming that a slower visible response from the Tokyo team reflects lower commitment, since it may instead reflect different norms about when and how effort is displayed.</w:t>
      </w:r>
    </w:p>
    <w:p w14:paraId="157B232E" w14:textId="77777777" w:rsidR="000C4A14" w:rsidRDefault="00227F9E">
      <w:pPr>
        <w:pStyle w:val="Heading2"/>
        <w:spacing w:before="220" w:after="160"/>
      </w:pPr>
      <w:bookmarkStart w:id="7" w:name="_Toc234746708"/>
      <w:r>
        <w:rPr>
          <w:b/>
          <w:bCs/>
        </w:rPr>
        <w:t>Long-Term Orientation and Time Horizons</w:t>
      </w:r>
      <w:bookmarkEnd w:id="7"/>
    </w:p>
    <w:p w14:paraId="3001624B" w14:textId="77777777" w:rsidR="000C4A14" w:rsidRDefault="00227F9E">
      <w:pPr>
        <w:spacing w:after="200" w:line="300" w:lineRule="auto"/>
      </w:pPr>
      <w:r>
        <w:rPr>
          <w:sz w:val="24"/>
          <w:szCs w:val="24"/>
        </w:rPr>
        <w:t>Long-term orientation offers a further useful lens: Japan scores 88, reflecting a strong cultural emphasis on perseverance, thrift and long-range planning, compared with 51 for the UK, a more moderate position (Hofstede Insights, 2023). In business terms, Kao's Tokyo team is likely to evaluate the fragrance launch against multi-year brand-building goals, valuing steady, sustainable market entry over rapid short-term sales. The London team, operating in a UK retail environment often driven by quarterly targe</w:t>
      </w:r>
      <w:r>
        <w:rPr>
          <w:sz w:val="24"/>
          <w:szCs w:val="24"/>
        </w:rPr>
        <w:t>ts and seasonal launches, may push for a faster go-to-market timeline. Neither perspective is wrong, but left unexamined, this difference in time horizon can generate friction over launch scheduling and how success is measured, making it another area where the Country Director should align expectations explicitly and early in the project.</w:t>
      </w:r>
    </w:p>
    <w:p w14:paraId="4024B522" w14:textId="77777777" w:rsidR="000C4A14" w:rsidRDefault="00227F9E">
      <w:pPr>
        <w:pStyle w:val="Heading2"/>
        <w:spacing w:before="220" w:after="160"/>
      </w:pPr>
      <w:bookmarkStart w:id="8" w:name="_Toc234746709"/>
      <w:r>
        <w:rPr>
          <w:b/>
          <w:bCs/>
        </w:rPr>
        <w:t>High-Context Communication in Practice</w:t>
      </w:r>
      <w:bookmarkEnd w:id="8"/>
    </w:p>
    <w:p w14:paraId="5B45A3AE" w14:textId="77777777" w:rsidR="000C4A14" w:rsidRDefault="00227F9E">
      <w:pPr>
        <w:spacing w:after="200" w:line="300" w:lineRule="auto"/>
      </w:pPr>
      <w:r>
        <w:rPr>
          <w:sz w:val="24"/>
          <w:szCs w:val="24"/>
        </w:rPr>
        <w:t>Beyond Hofstede's dimensions, Hall's high-context and low-context framework helps explain more subtle communication breakdowns that are not purely about hierarchy or risk. Japanese business communication often relies on reading unspoken cues, sometimes described as ‘reading the air’, where meaning is inferred from tone, pauses, and shared context rather than stated outright (</w:t>
      </w:r>
      <w:proofErr w:type="spellStart"/>
      <w:r>
        <w:rPr>
          <w:sz w:val="24"/>
          <w:szCs w:val="24"/>
        </w:rPr>
        <w:t>Barnlund</w:t>
      </w:r>
      <w:proofErr w:type="spellEnd"/>
      <w:r>
        <w:rPr>
          <w:sz w:val="24"/>
          <w:szCs w:val="24"/>
        </w:rPr>
        <w:t>, 1989). Silence in a Japanese meeting frequently signals careful consideration rather than agreement or disengagement, and a lengthy pause before answering a question can itself carry meaning.</w:t>
      </w:r>
    </w:p>
    <w:p w14:paraId="19A52B3F" w14:textId="77777777" w:rsidR="000C4A14" w:rsidRDefault="00227F9E">
      <w:pPr>
        <w:spacing w:after="200" w:line="300" w:lineRule="auto"/>
      </w:pPr>
      <w:r>
        <w:rPr>
          <w:sz w:val="24"/>
          <w:szCs w:val="24"/>
        </w:rPr>
        <w:t xml:space="preserve">British communication is comparatively lower-context, favouring more explicit verbal statements, but it retains its own layer of indirectness, particularly around politeness and understatement, which can create a further complication: British indirectness and Japanese indirectness do not operate the same way, so British staff may misread Japanese silence as British-style hesitation rather than a distinct cultural signal, and vice versa. For the </w:t>
      </w:r>
      <w:proofErr w:type="spellStart"/>
      <w:r>
        <w:rPr>
          <w:sz w:val="24"/>
          <w:szCs w:val="24"/>
        </w:rPr>
        <w:t>Molton</w:t>
      </w:r>
      <w:proofErr w:type="spellEnd"/>
      <w:r>
        <w:rPr>
          <w:sz w:val="24"/>
          <w:szCs w:val="24"/>
        </w:rPr>
        <w:t xml:space="preserve"> Brown and Kao project, this means video calls and emails are a particularly high-risk communication channel, since tone and non-verbal context are harder to transmit than in person. A practical response is for the Country Director to build in follow-up written summaries after each joint meeting, explicitly confirming what was agreed, so that ambiguity introduced by context loss is caught and clarified early rather than left to accumulate.</w:t>
      </w:r>
    </w:p>
    <w:p w14:paraId="7078CBFA" w14:textId="77777777" w:rsidR="000C4A14" w:rsidRDefault="00227F9E">
      <w:pPr>
        <w:pStyle w:val="Heading2"/>
        <w:spacing w:before="220" w:after="160"/>
      </w:pPr>
      <w:bookmarkStart w:id="9" w:name="_Toc234746710"/>
      <w:r>
        <w:rPr>
          <w:b/>
          <w:bCs/>
        </w:rPr>
        <w:t>Managing the Differences</w:t>
      </w:r>
      <w:bookmarkEnd w:id="9"/>
    </w:p>
    <w:p w14:paraId="65362995" w14:textId="77777777" w:rsidR="000C4A14" w:rsidRDefault="00227F9E">
      <w:pPr>
        <w:spacing w:after="200" w:line="300" w:lineRule="auto"/>
      </w:pPr>
      <w:r>
        <w:rPr>
          <w:sz w:val="24"/>
          <w:szCs w:val="24"/>
        </w:rPr>
        <w:lastRenderedPageBreak/>
        <w:t xml:space="preserve">Successfully managing this collaboration does not require either team to abandon its own communication style, but it does require deliberate adjustment. Cultural briefings before the project begins can help both teams recognise that differences in pace, directness and hierarchy reflect genuine cultural preference rather than personal style or professional weakness. Building informal relationship-building time into the schedule, mirroring the Japanese practice of </w:t>
      </w:r>
      <w:proofErr w:type="spellStart"/>
      <w:r>
        <w:rPr>
          <w:sz w:val="24"/>
          <w:szCs w:val="24"/>
        </w:rPr>
        <w:t>nemawashi</w:t>
      </w:r>
      <w:proofErr w:type="spellEnd"/>
      <w:r>
        <w:rPr>
          <w:sz w:val="24"/>
          <w:szCs w:val="24"/>
        </w:rPr>
        <w:t>, or quiet groundwork before a decision is formally proposed, can reduce the number of surprises in formal meetings. Written confirmation after verbal discussions, agreed in advance as standard practice for the project, helps close the gap between what is said and what is understood on both sides. Finally, appointing a small number of team members from each side with direct experience of the other's business culture, where possible, can act as an informal bridge during the early stages of the collaboration,</w:t>
      </w:r>
      <w:r>
        <w:rPr>
          <w:sz w:val="24"/>
          <w:szCs w:val="24"/>
        </w:rPr>
        <w:t xml:space="preserve"> before the wider team has built up its own shared working norms.</w:t>
      </w:r>
    </w:p>
    <w:p w14:paraId="69E62B64" w14:textId="77777777" w:rsidR="000C4A14" w:rsidRDefault="00227F9E">
      <w:pPr>
        <w:pStyle w:val="Heading1"/>
        <w:spacing w:before="300" w:after="200"/>
      </w:pPr>
      <w:bookmarkStart w:id="10" w:name="_Toc234746711"/>
      <w:r>
        <w:rPr>
          <w:b/>
          <w:bCs/>
          <w:sz w:val="30"/>
          <w:szCs w:val="30"/>
        </w:rPr>
        <w:t>Conclusion</w:t>
      </w:r>
      <w:bookmarkEnd w:id="10"/>
    </w:p>
    <w:p w14:paraId="3E1B9B9B" w14:textId="77777777" w:rsidR="000C4A14" w:rsidRDefault="00227F9E">
      <w:pPr>
        <w:spacing w:after="200" w:line="300" w:lineRule="auto"/>
      </w:pPr>
      <w:r>
        <w:rPr>
          <w:sz w:val="24"/>
          <w:szCs w:val="24"/>
        </w:rPr>
        <w:t xml:space="preserve">This essay has applied Hofstede's cultural dimensions theory and Hall's high-context and low-context framework to a realistic collaboration between </w:t>
      </w:r>
      <w:proofErr w:type="spellStart"/>
      <w:r>
        <w:rPr>
          <w:sz w:val="24"/>
          <w:szCs w:val="24"/>
        </w:rPr>
        <w:t>Molton</w:t>
      </w:r>
      <w:proofErr w:type="spellEnd"/>
      <w:r>
        <w:rPr>
          <w:sz w:val="24"/>
          <w:szCs w:val="24"/>
        </w:rPr>
        <w:t xml:space="preserve"> Brown's London team and Kao Corporation's Tokyo headquarters. The analysis shows that the two countries differ substantially across power distance, individualism, uncertainty avoidance, masculinity and communication context, and that each of these differences carries a specific, practical risk of misunderstanding: consensus-based decision-making misread as reluctance, direct feedback misread as confrontation, requests for documentation misread as delay, and silence misread as disagreement or its opposite.</w:t>
      </w:r>
    </w:p>
    <w:p w14:paraId="442D61F3" w14:textId="77777777" w:rsidR="000C4A14" w:rsidRDefault="00227F9E">
      <w:pPr>
        <w:spacing w:after="200" w:line="300" w:lineRule="auto"/>
      </w:pPr>
      <w:r>
        <w:rPr>
          <w:sz w:val="24"/>
          <w:szCs w:val="24"/>
        </w:rPr>
        <w:t>None of these differences reflects one culture communicating correctly and the other incorrectly; both British and Japanese communication styles are internally coherent and effective within their own cultural context. The risk for an international business collaboration arises specifically at the interface between the two, where each side defaults to interpreting the other through its own cultural assumptions. As this essay has shown, a Country Director who understands these frameworks in advance, and who b</w:t>
      </w:r>
      <w:r>
        <w:rPr>
          <w:sz w:val="24"/>
          <w:szCs w:val="24"/>
        </w:rPr>
        <w:t xml:space="preserve">uilds practical measures such as written follow-ups, adjusted timelines and informal relationship-building into the project plan, is far better placed to prevent the misunderstandings that would otherwise threaten a joint project such as the </w:t>
      </w:r>
      <w:proofErr w:type="spellStart"/>
      <w:r>
        <w:rPr>
          <w:sz w:val="24"/>
          <w:szCs w:val="24"/>
        </w:rPr>
        <w:t>Molton</w:t>
      </w:r>
      <w:proofErr w:type="spellEnd"/>
      <w:r>
        <w:rPr>
          <w:sz w:val="24"/>
          <w:szCs w:val="24"/>
        </w:rPr>
        <w:t xml:space="preserve"> Brown and Kao fragrance launch. As UK businesses continue to deepen their operational ties with Japanese parent companies and partners, this kind of culturally informed communication management will remain an essential, rather than optional, business skill for the next generation of international managers.</w:t>
      </w:r>
    </w:p>
    <w:p w14:paraId="29F63ED4" w14:textId="77777777" w:rsidR="007B72F5" w:rsidRDefault="007B72F5">
      <w:pPr>
        <w:pStyle w:val="Heading1"/>
        <w:spacing w:before="300" w:after="200"/>
        <w:rPr>
          <w:b/>
          <w:bCs/>
          <w:sz w:val="30"/>
          <w:szCs w:val="30"/>
        </w:rPr>
      </w:pPr>
      <w:bookmarkStart w:id="11" w:name="_Toc234746712"/>
    </w:p>
    <w:p w14:paraId="1C137C8C" w14:textId="2E130010" w:rsidR="000C4A14" w:rsidRDefault="00227F9E">
      <w:pPr>
        <w:pStyle w:val="Heading1"/>
        <w:spacing w:before="300" w:after="200"/>
      </w:pPr>
      <w:r>
        <w:rPr>
          <w:b/>
          <w:bCs/>
          <w:sz w:val="30"/>
          <w:szCs w:val="30"/>
        </w:rPr>
        <w:lastRenderedPageBreak/>
        <w:t>Reference List</w:t>
      </w:r>
      <w:bookmarkEnd w:id="11"/>
    </w:p>
    <w:p w14:paraId="329DD576" w14:textId="77777777" w:rsidR="000C4A14" w:rsidRDefault="00227F9E">
      <w:pPr>
        <w:spacing w:after="200" w:line="300" w:lineRule="auto"/>
      </w:pPr>
      <w:proofErr w:type="spellStart"/>
      <w:r>
        <w:rPr>
          <w:sz w:val="22"/>
          <w:szCs w:val="22"/>
        </w:rPr>
        <w:t>Barnlund</w:t>
      </w:r>
      <w:proofErr w:type="spellEnd"/>
      <w:r>
        <w:rPr>
          <w:sz w:val="22"/>
          <w:szCs w:val="22"/>
        </w:rPr>
        <w:t>, D.C. (1989) Communicative Styles of Japanese and Americans: Images and Realities. Belmont, CA: Wadsworth.</w:t>
      </w:r>
    </w:p>
    <w:p w14:paraId="6C12D818" w14:textId="77777777" w:rsidR="000C4A14" w:rsidRDefault="00227F9E">
      <w:pPr>
        <w:spacing w:after="200" w:line="300" w:lineRule="auto"/>
      </w:pPr>
      <w:r>
        <w:rPr>
          <w:sz w:val="22"/>
          <w:szCs w:val="22"/>
        </w:rPr>
        <w:t>Hall, E.T. (1976) Beyond Culture. New York: Anchor Books.</w:t>
      </w:r>
    </w:p>
    <w:p w14:paraId="29F914D2" w14:textId="77777777" w:rsidR="000C4A14" w:rsidRDefault="00227F9E">
      <w:pPr>
        <w:spacing w:after="200" w:line="300" w:lineRule="auto"/>
      </w:pPr>
      <w:r>
        <w:rPr>
          <w:sz w:val="22"/>
          <w:szCs w:val="22"/>
        </w:rPr>
        <w:t xml:space="preserve">Happi (2005) 'Kao Buys </w:t>
      </w:r>
      <w:proofErr w:type="spellStart"/>
      <w:r>
        <w:rPr>
          <w:sz w:val="22"/>
          <w:szCs w:val="22"/>
        </w:rPr>
        <w:t>Molton</w:t>
      </w:r>
      <w:proofErr w:type="spellEnd"/>
      <w:r>
        <w:rPr>
          <w:sz w:val="22"/>
          <w:szCs w:val="22"/>
        </w:rPr>
        <w:t xml:space="preserve"> Brown', Happi, 18 July. Available at: https://www.happi.com/breaking-news/kao-buys-molton-brown/ (Accessed: 12 July 2026).</w:t>
      </w:r>
    </w:p>
    <w:p w14:paraId="53A078C1" w14:textId="77777777" w:rsidR="000C4A14" w:rsidRDefault="00227F9E">
      <w:pPr>
        <w:spacing w:after="200" w:line="300" w:lineRule="auto"/>
      </w:pPr>
      <w:r>
        <w:rPr>
          <w:sz w:val="22"/>
          <w:szCs w:val="22"/>
        </w:rPr>
        <w:t xml:space="preserve">Hofstede, G. (2001) Culture's Consequences: Comparing Values, </w:t>
      </w:r>
      <w:proofErr w:type="spellStart"/>
      <w:r>
        <w:rPr>
          <w:sz w:val="22"/>
          <w:szCs w:val="22"/>
        </w:rPr>
        <w:t>Behaviors</w:t>
      </w:r>
      <w:proofErr w:type="spellEnd"/>
      <w:r>
        <w:rPr>
          <w:sz w:val="22"/>
          <w:szCs w:val="22"/>
        </w:rPr>
        <w:t xml:space="preserve">, Institutions and Organizations Across Nations. 2nd </w:t>
      </w:r>
      <w:proofErr w:type="spellStart"/>
      <w:r>
        <w:rPr>
          <w:sz w:val="22"/>
          <w:szCs w:val="22"/>
        </w:rPr>
        <w:t>edn</w:t>
      </w:r>
      <w:proofErr w:type="spellEnd"/>
      <w:r>
        <w:rPr>
          <w:sz w:val="22"/>
          <w:szCs w:val="22"/>
        </w:rPr>
        <w:t>. Thousand Oaks, CA: Sage Publications.</w:t>
      </w:r>
    </w:p>
    <w:p w14:paraId="4E45745B" w14:textId="77777777" w:rsidR="000C4A14" w:rsidRDefault="00227F9E">
      <w:pPr>
        <w:spacing w:after="200" w:line="300" w:lineRule="auto"/>
      </w:pPr>
      <w:r>
        <w:rPr>
          <w:sz w:val="22"/>
          <w:szCs w:val="22"/>
        </w:rPr>
        <w:t>Hofstede Insights (2023) Country Comparison Tool: United Kingdom, Japan. Available at: https://www.hofstede-insights.com/country-comparison-tool (Accessed: 12 July 2026).</w:t>
      </w:r>
    </w:p>
    <w:p w14:paraId="598DA4A5" w14:textId="77777777" w:rsidR="000C4A14" w:rsidRDefault="00227F9E">
      <w:pPr>
        <w:spacing w:after="200" w:line="300" w:lineRule="auto"/>
      </w:pPr>
      <w:r>
        <w:rPr>
          <w:sz w:val="22"/>
          <w:szCs w:val="22"/>
        </w:rPr>
        <w:t>Kao Corporation (2025) Corporate History. Available at: https://www.kao.com/global/en/corporate/history/company-history/ (Accessed: 12 July 2026).</w:t>
      </w:r>
    </w:p>
    <w:p w14:paraId="29F222C3" w14:textId="77777777" w:rsidR="000C4A14" w:rsidRDefault="00227F9E">
      <w:pPr>
        <w:spacing w:after="200" w:line="300" w:lineRule="auto"/>
      </w:pPr>
      <w:r>
        <w:rPr>
          <w:sz w:val="22"/>
          <w:szCs w:val="22"/>
        </w:rPr>
        <w:t>Meyer, E. (2014) The Culture Map: Breaking Through the Invisible Boundaries of Global Business. New York: PublicAffairs.</w:t>
      </w:r>
    </w:p>
    <w:p w14:paraId="492C5DFE" w14:textId="77777777" w:rsidR="000C4A14" w:rsidRDefault="00227F9E">
      <w:pPr>
        <w:spacing w:after="200" w:line="300" w:lineRule="auto"/>
      </w:pPr>
      <w:r>
        <w:rPr>
          <w:sz w:val="22"/>
          <w:szCs w:val="22"/>
        </w:rPr>
        <w:t>Mordor Intelligence (2025) Japan Cosmetic Products Market Size &amp; Share Report 2026–2031. Available at: https://www.mordorintelligence.com/industry-reports/japan-cosmetics-products-market-industry (Accessed: 12 July 2026).</w:t>
      </w:r>
    </w:p>
    <w:p w14:paraId="461EBA3B" w14:textId="77777777" w:rsidR="000C4A14" w:rsidRDefault="00227F9E">
      <w:pPr>
        <w:spacing w:after="200" w:line="300" w:lineRule="auto"/>
      </w:pPr>
      <w:r>
        <w:rPr>
          <w:sz w:val="22"/>
          <w:szCs w:val="22"/>
        </w:rPr>
        <w:t>Peltokorpi, V. (2007) 'Intercultural communication patterns and tactics: Nordic expatriates in Japan', International Business Review, 16(1), pp. 68–82.</w:t>
      </w:r>
    </w:p>
    <w:sectPr w:rsidR="000C4A14">
      <w:pgSz w:w="12240" w:h="15840"/>
      <w:pgMar w:top="1440" w:right="1440" w:bottom="144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5785E1B"/>
    <w:multiLevelType w:val="hybridMultilevel"/>
    <w:tmpl w:val="159A1554"/>
    <w:lvl w:ilvl="0" w:tplc="981CFBF6">
      <w:start w:val="1"/>
      <w:numFmt w:val="bullet"/>
      <w:lvlText w:val="●"/>
      <w:lvlJc w:val="left"/>
      <w:pPr>
        <w:ind w:left="720" w:hanging="360"/>
      </w:pPr>
    </w:lvl>
    <w:lvl w:ilvl="1" w:tplc="BE1CB544">
      <w:start w:val="1"/>
      <w:numFmt w:val="bullet"/>
      <w:lvlText w:val="○"/>
      <w:lvlJc w:val="left"/>
      <w:pPr>
        <w:ind w:left="1440" w:hanging="360"/>
      </w:pPr>
    </w:lvl>
    <w:lvl w:ilvl="2" w:tplc="6DF00C8A">
      <w:start w:val="1"/>
      <w:numFmt w:val="bullet"/>
      <w:lvlText w:val="■"/>
      <w:lvlJc w:val="left"/>
      <w:pPr>
        <w:ind w:left="2160" w:hanging="360"/>
      </w:pPr>
    </w:lvl>
    <w:lvl w:ilvl="3" w:tplc="5EBCB0D0">
      <w:start w:val="1"/>
      <w:numFmt w:val="bullet"/>
      <w:lvlText w:val="●"/>
      <w:lvlJc w:val="left"/>
      <w:pPr>
        <w:ind w:left="2880" w:hanging="360"/>
      </w:pPr>
    </w:lvl>
    <w:lvl w:ilvl="4" w:tplc="8E7E07B0">
      <w:start w:val="1"/>
      <w:numFmt w:val="bullet"/>
      <w:lvlText w:val="○"/>
      <w:lvlJc w:val="left"/>
      <w:pPr>
        <w:ind w:left="3600" w:hanging="360"/>
      </w:pPr>
    </w:lvl>
    <w:lvl w:ilvl="5" w:tplc="2A16F36E">
      <w:start w:val="1"/>
      <w:numFmt w:val="bullet"/>
      <w:lvlText w:val="■"/>
      <w:lvlJc w:val="left"/>
      <w:pPr>
        <w:ind w:left="4320" w:hanging="360"/>
      </w:pPr>
    </w:lvl>
    <w:lvl w:ilvl="6" w:tplc="7D0A5F0C">
      <w:start w:val="1"/>
      <w:numFmt w:val="bullet"/>
      <w:lvlText w:val="●"/>
      <w:lvlJc w:val="left"/>
      <w:pPr>
        <w:ind w:left="5040" w:hanging="360"/>
      </w:pPr>
    </w:lvl>
    <w:lvl w:ilvl="7" w:tplc="AFD28F5E">
      <w:start w:val="1"/>
      <w:numFmt w:val="bullet"/>
      <w:lvlText w:val="●"/>
      <w:lvlJc w:val="left"/>
      <w:pPr>
        <w:ind w:left="5760" w:hanging="360"/>
      </w:pPr>
    </w:lvl>
    <w:lvl w:ilvl="8" w:tplc="834C9DDC">
      <w:start w:val="1"/>
      <w:numFmt w:val="bullet"/>
      <w:lvlText w:val="●"/>
      <w:lvlJc w:val="left"/>
      <w:pPr>
        <w:ind w:left="6480" w:hanging="360"/>
      </w:pPr>
    </w:lvl>
  </w:abstractNum>
  <w:num w:numId="1" w16cid:durableId="1503813434">
    <w:abstractNumId w:val="0"/>
    <w:lvlOverride w:ilvl="0">
      <w:startOverride w:val="1"/>
    </w:lvlOverride>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13"/>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4A14"/>
    <w:rsid w:val="000333BE"/>
    <w:rsid w:val="000604D8"/>
    <w:rsid w:val="000C4A14"/>
    <w:rsid w:val="007B72F5"/>
    <w:rsid w:val="008825EC"/>
    <w:rsid w:val="00DB0DF3"/>
    <w:rsid w:val="00F83A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945206D"/>
  <w15:docId w15:val="{114A7885-4A67-8740-918E-980394B23C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 w:type="paragraph" w:styleId="TOCHeading">
    <w:name w:val="TOC Heading"/>
    <w:basedOn w:val="Heading1"/>
    <w:next w:val="Normal"/>
    <w:uiPriority w:val="39"/>
    <w:unhideWhenUsed/>
    <w:qFormat/>
    <w:rsid w:val="000333BE"/>
    <w:pPr>
      <w:keepNext/>
      <w:keepLines/>
      <w:spacing w:before="480" w:line="276" w:lineRule="auto"/>
      <w:outlineLvl w:val="9"/>
    </w:pPr>
    <w:rPr>
      <w:rFonts w:asciiTheme="majorHAnsi" w:eastAsiaTheme="majorEastAsia" w:hAnsiTheme="majorHAnsi" w:cstheme="majorBidi"/>
      <w:b/>
      <w:bCs/>
      <w:color w:val="0F4761" w:themeColor="accent1" w:themeShade="BF"/>
      <w:sz w:val="28"/>
      <w:szCs w:val="28"/>
      <w:lang w:val="en-US" w:eastAsia="en-US"/>
    </w:rPr>
  </w:style>
  <w:style w:type="paragraph" w:styleId="TOC1">
    <w:name w:val="toc 1"/>
    <w:basedOn w:val="Normal"/>
    <w:next w:val="Normal"/>
    <w:autoRedefine/>
    <w:uiPriority w:val="39"/>
    <w:unhideWhenUsed/>
    <w:rsid w:val="000333BE"/>
    <w:pPr>
      <w:spacing w:before="120"/>
    </w:pPr>
    <w:rPr>
      <w:rFonts w:asciiTheme="minorHAnsi" w:hAnsiTheme="minorHAnsi"/>
      <w:b/>
      <w:bCs/>
      <w:i/>
      <w:iCs/>
      <w:sz w:val="24"/>
      <w:szCs w:val="24"/>
    </w:rPr>
  </w:style>
  <w:style w:type="paragraph" w:styleId="TOC2">
    <w:name w:val="toc 2"/>
    <w:basedOn w:val="Normal"/>
    <w:next w:val="Normal"/>
    <w:autoRedefine/>
    <w:uiPriority w:val="39"/>
    <w:unhideWhenUsed/>
    <w:rsid w:val="000333BE"/>
    <w:pPr>
      <w:spacing w:before="120"/>
      <w:ind w:left="200"/>
    </w:pPr>
    <w:rPr>
      <w:rFonts w:asciiTheme="minorHAnsi" w:hAnsiTheme="minorHAnsi"/>
      <w:b/>
      <w:bCs/>
      <w:sz w:val="22"/>
      <w:szCs w:val="22"/>
    </w:rPr>
  </w:style>
  <w:style w:type="paragraph" w:styleId="TOC3">
    <w:name w:val="toc 3"/>
    <w:basedOn w:val="Normal"/>
    <w:next w:val="Normal"/>
    <w:autoRedefine/>
    <w:uiPriority w:val="39"/>
    <w:semiHidden/>
    <w:unhideWhenUsed/>
    <w:rsid w:val="000333BE"/>
    <w:pPr>
      <w:ind w:left="400"/>
    </w:pPr>
    <w:rPr>
      <w:rFonts w:asciiTheme="minorHAnsi" w:hAnsiTheme="minorHAnsi"/>
    </w:rPr>
  </w:style>
  <w:style w:type="paragraph" w:styleId="TOC4">
    <w:name w:val="toc 4"/>
    <w:basedOn w:val="Normal"/>
    <w:next w:val="Normal"/>
    <w:autoRedefine/>
    <w:uiPriority w:val="39"/>
    <w:semiHidden/>
    <w:unhideWhenUsed/>
    <w:rsid w:val="000333BE"/>
    <w:pPr>
      <w:ind w:left="600"/>
    </w:pPr>
    <w:rPr>
      <w:rFonts w:asciiTheme="minorHAnsi" w:hAnsiTheme="minorHAnsi"/>
    </w:rPr>
  </w:style>
  <w:style w:type="paragraph" w:styleId="TOC5">
    <w:name w:val="toc 5"/>
    <w:basedOn w:val="Normal"/>
    <w:next w:val="Normal"/>
    <w:autoRedefine/>
    <w:uiPriority w:val="39"/>
    <w:semiHidden/>
    <w:unhideWhenUsed/>
    <w:rsid w:val="000333BE"/>
    <w:pPr>
      <w:ind w:left="800"/>
    </w:pPr>
    <w:rPr>
      <w:rFonts w:asciiTheme="minorHAnsi" w:hAnsiTheme="minorHAnsi"/>
    </w:rPr>
  </w:style>
  <w:style w:type="paragraph" w:styleId="TOC6">
    <w:name w:val="toc 6"/>
    <w:basedOn w:val="Normal"/>
    <w:next w:val="Normal"/>
    <w:autoRedefine/>
    <w:uiPriority w:val="39"/>
    <w:semiHidden/>
    <w:unhideWhenUsed/>
    <w:rsid w:val="000333BE"/>
    <w:pPr>
      <w:ind w:left="1000"/>
    </w:pPr>
    <w:rPr>
      <w:rFonts w:asciiTheme="minorHAnsi" w:hAnsiTheme="minorHAnsi"/>
    </w:rPr>
  </w:style>
  <w:style w:type="paragraph" w:styleId="TOC7">
    <w:name w:val="toc 7"/>
    <w:basedOn w:val="Normal"/>
    <w:next w:val="Normal"/>
    <w:autoRedefine/>
    <w:uiPriority w:val="39"/>
    <w:semiHidden/>
    <w:unhideWhenUsed/>
    <w:rsid w:val="000333BE"/>
    <w:pPr>
      <w:ind w:left="1200"/>
    </w:pPr>
    <w:rPr>
      <w:rFonts w:asciiTheme="minorHAnsi" w:hAnsiTheme="minorHAnsi"/>
    </w:rPr>
  </w:style>
  <w:style w:type="paragraph" w:styleId="TOC8">
    <w:name w:val="toc 8"/>
    <w:basedOn w:val="Normal"/>
    <w:next w:val="Normal"/>
    <w:autoRedefine/>
    <w:uiPriority w:val="39"/>
    <w:semiHidden/>
    <w:unhideWhenUsed/>
    <w:rsid w:val="000333BE"/>
    <w:pPr>
      <w:ind w:left="1400"/>
    </w:pPr>
    <w:rPr>
      <w:rFonts w:asciiTheme="minorHAnsi" w:hAnsiTheme="minorHAnsi"/>
    </w:rPr>
  </w:style>
  <w:style w:type="paragraph" w:styleId="TOC9">
    <w:name w:val="toc 9"/>
    <w:basedOn w:val="Normal"/>
    <w:next w:val="Normal"/>
    <w:autoRedefine/>
    <w:uiPriority w:val="39"/>
    <w:semiHidden/>
    <w:unhideWhenUsed/>
    <w:rsid w:val="000333BE"/>
    <w:pPr>
      <w:ind w:left="1600"/>
    </w:pPr>
    <w:rPr>
      <w:rFonts w:asciiTheme="minorHAnsi" w:hAnsiTheme="minorHAn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3F7310-675D-1449-88D3-72DC61AB42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8</Pages>
  <Words>2755</Words>
  <Characters>15704</Characters>
  <Application>Microsoft Office Word</Application>
  <DocSecurity>0</DocSecurity>
  <Lines>130</Lines>
  <Paragraphs>36</Paragraphs>
  <ScaleCrop>false</ScaleCrop>
  <Company/>
  <LinksUpToDate>false</LinksUpToDate>
  <CharactersWithSpaces>18423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Hristina Veskova (2328970)</cp:lastModifiedBy>
  <cp:revision>5</cp:revision>
  <dcterms:created xsi:type="dcterms:W3CDTF">2026-07-12T10:05:00Z</dcterms:created>
  <dcterms:modified xsi:type="dcterms:W3CDTF">2026-07-19T17:08:00Z</dcterms:modified>
</cp:coreProperties>
</file>