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1A822D68" w:rsidR="00E478E9" w:rsidRDefault="00000000">
      <w:pPr>
        <w:jc w:val="center"/>
        <w:rPr>
          <w:b/>
          <w:sz w:val="32"/>
          <w:szCs w:val="32"/>
        </w:rPr>
      </w:pPr>
      <w:r>
        <w:rPr>
          <w:b/>
          <w:sz w:val="32"/>
          <w:szCs w:val="32"/>
        </w:rPr>
        <w:t>Student Name</w:t>
      </w:r>
      <w:r w:rsidR="00FA5062">
        <w:rPr>
          <w:b/>
          <w:sz w:val="32"/>
          <w:szCs w:val="32"/>
        </w:rPr>
        <w:t xml:space="preserve"> : Luminita Malanciuc</w:t>
      </w:r>
      <w:r>
        <w:rPr>
          <w:b/>
          <w:sz w:val="32"/>
          <w:szCs w:val="32"/>
        </w:rPr>
        <w:t xml:space="preserve"> </w:t>
      </w:r>
    </w:p>
    <w:p w14:paraId="00000002" w14:textId="7A2BAC7D" w:rsidR="00E478E9" w:rsidRDefault="00000000">
      <w:pPr>
        <w:jc w:val="center"/>
        <w:rPr>
          <w:b/>
          <w:sz w:val="32"/>
          <w:szCs w:val="32"/>
        </w:rPr>
      </w:pPr>
      <w:r>
        <w:rPr>
          <w:b/>
          <w:sz w:val="32"/>
          <w:szCs w:val="32"/>
        </w:rPr>
        <w:t xml:space="preserve">Student number </w:t>
      </w:r>
      <w:r w:rsidR="00FA5062">
        <w:rPr>
          <w:b/>
          <w:sz w:val="32"/>
          <w:szCs w:val="32"/>
        </w:rPr>
        <w:t>: 2211340</w:t>
      </w:r>
    </w:p>
    <w:p w14:paraId="00000003" w14:textId="77777777" w:rsidR="00E478E9" w:rsidRDefault="00000000">
      <w:pPr>
        <w:jc w:val="center"/>
        <w:rPr>
          <w:b/>
          <w:sz w:val="32"/>
          <w:szCs w:val="32"/>
        </w:rPr>
      </w:pPr>
      <w:r>
        <w:rPr>
          <w:b/>
          <w:sz w:val="32"/>
          <w:szCs w:val="32"/>
        </w:rPr>
        <w:t xml:space="preserve">The assignment title: Planning and Delivering an International Meeting/Event. </w:t>
      </w:r>
    </w:p>
    <w:p w14:paraId="00000004" w14:textId="77777777" w:rsidR="00E478E9" w:rsidRDefault="00000000">
      <w:pPr>
        <w:jc w:val="center"/>
        <w:rPr>
          <w:b/>
          <w:sz w:val="32"/>
          <w:szCs w:val="32"/>
        </w:rPr>
      </w:pPr>
      <w:r>
        <w:rPr>
          <w:b/>
          <w:sz w:val="32"/>
          <w:szCs w:val="32"/>
        </w:rPr>
        <w:t xml:space="preserve">The module title: International Meetings Management BMIH6007 </w:t>
      </w:r>
    </w:p>
    <w:p w14:paraId="00000005" w14:textId="1854470C" w:rsidR="00E478E9" w:rsidRDefault="00000000">
      <w:pPr>
        <w:jc w:val="center"/>
        <w:rPr>
          <w:b/>
          <w:sz w:val="32"/>
          <w:szCs w:val="32"/>
        </w:rPr>
      </w:pPr>
      <w:r>
        <w:rPr>
          <w:b/>
          <w:sz w:val="32"/>
          <w:szCs w:val="32"/>
        </w:rPr>
        <w:t>Lecturer’s name</w:t>
      </w:r>
      <w:r w:rsidR="00FA5062">
        <w:rPr>
          <w:b/>
          <w:sz w:val="32"/>
          <w:szCs w:val="32"/>
        </w:rPr>
        <w:t>: Kathryn Flynn</w:t>
      </w:r>
    </w:p>
    <w:p w14:paraId="00000006" w14:textId="77777777" w:rsidR="00E478E9" w:rsidRDefault="00E478E9">
      <w:pPr>
        <w:jc w:val="center"/>
        <w:rPr>
          <w:b/>
          <w:sz w:val="32"/>
          <w:szCs w:val="32"/>
        </w:rPr>
      </w:pPr>
    </w:p>
    <w:p w14:paraId="00000007" w14:textId="77777777" w:rsidR="00E478E9" w:rsidRDefault="00E478E9">
      <w:pPr>
        <w:jc w:val="center"/>
        <w:rPr>
          <w:b/>
          <w:sz w:val="32"/>
          <w:szCs w:val="32"/>
        </w:rPr>
      </w:pPr>
    </w:p>
    <w:p w14:paraId="00000008" w14:textId="77777777" w:rsidR="00E478E9" w:rsidRDefault="00000000">
      <w:pPr>
        <w:jc w:val="left"/>
        <w:rPr>
          <w:b/>
          <w:sz w:val="32"/>
          <w:szCs w:val="32"/>
        </w:rPr>
      </w:pPr>
      <w:r>
        <w:rPr>
          <w:b/>
          <w:sz w:val="32"/>
          <w:szCs w:val="32"/>
        </w:rPr>
        <w:t xml:space="preserve">AI Acknowledgement </w:t>
      </w:r>
    </w:p>
    <w:p w14:paraId="00000009" w14:textId="77777777" w:rsidR="00E478E9" w:rsidRDefault="00000000">
      <w:r>
        <w:t xml:space="preserve">I confirm that I have not used any AI tools in the research and creation of this assignment. I confirm that I have not presented any AI-generated materials as my own work. I confirm that I have copies of my draft, notes and other resources I have used, which I may be asked to provide in evidence.  </w:t>
      </w:r>
    </w:p>
    <w:p w14:paraId="0000000A" w14:textId="77777777" w:rsidR="00E478E9" w:rsidRDefault="00E478E9"/>
    <w:p w14:paraId="0000000B" w14:textId="77777777" w:rsidR="00E478E9" w:rsidRDefault="00000000">
      <w:r>
        <w:br w:type="page"/>
      </w:r>
    </w:p>
    <w:p w14:paraId="0000000C" w14:textId="77777777" w:rsidR="00E478E9" w:rsidRDefault="00000000">
      <w:pPr>
        <w:jc w:val="center"/>
        <w:rPr>
          <w:b/>
        </w:rPr>
      </w:pPr>
      <w:r>
        <w:rPr>
          <w:b/>
        </w:rPr>
        <w:lastRenderedPageBreak/>
        <w:t>Table of Content</w:t>
      </w:r>
    </w:p>
    <w:sdt>
      <w:sdtPr>
        <w:id w:val="-1466190108"/>
        <w:docPartObj>
          <w:docPartGallery w:val="Table of Contents"/>
          <w:docPartUnique/>
        </w:docPartObj>
      </w:sdtPr>
      <w:sdtContent>
        <w:p w14:paraId="0000000D" w14:textId="77777777" w:rsidR="00E478E9" w:rsidRDefault="00000000">
          <w:pPr>
            <w:widowControl w:val="0"/>
            <w:tabs>
              <w:tab w:val="right" w:pos="9360"/>
            </w:tabs>
            <w:rPr>
              <w:color w:val="000000"/>
            </w:rPr>
          </w:pPr>
          <w:r>
            <w:fldChar w:fldCharType="begin"/>
          </w:r>
          <w:r>
            <w:instrText xml:space="preserve"> TOC \h \u \z \t "Heading 1,1,Heading 2,2,Heading 3,3,Heading 4,4,Heading 5,5,Heading 6,6,"</w:instrText>
          </w:r>
          <w:r>
            <w:fldChar w:fldCharType="separate"/>
          </w:r>
          <w:hyperlink w:anchor="_heading=h.gjdgxs">
            <w:r>
              <w:rPr>
                <w:color w:val="000000"/>
              </w:rPr>
              <w:t>Introduction</w:t>
            </w:r>
            <w:r>
              <w:rPr>
                <w:color w:val="000000"/>
              </w:rPr>
              <w:tab/>
            </w:r>
          </w:hyperlink>
          <w:r>
            <w:fldChar w:fldCharType="begin"/>
          </w:r>
          <w:r>
            <w:instrText xml:space="preserve"> PAGEREF _heading=h.gjdgxs \h </w:instrText>
          </w:r>
          <w:r>
            <w:fldChar w:fldCharType="separate"/>
          </w:r>
          <w:r>
            <w:t>3</w:t>
          </w:r>
          <w:r>
            <w:fldChar w:fldCharType="end"/>
          </w:r>
        </w:p>
        <w:p w14:paraId="0000000E" w14:textId="77777777" w:rsidR="00E478E9" w:rsidRDefault="00000000">
          <w:pPr>
            <w:widowControl w:val="0"/>
            <w:tabs>
              <w:tab w:val="right" w:pos="9360"/>
            </w:tabs>
            <w:rPr>
              <w:color w:val="000000"/>
            </w:rPr>
          </w:pPr>
          <w:hyperlink w:anchor="_heading=h.30j0zll">
            <w:r>
              <w:rPr>
                <w:color w:val="000000"/>
              </w:rPr>
              <w:t>The Event Cycle</w:t>
            </w:r>
            <w:r>
              <w:rPr>
                <w:color w:val="000000"/>
              </w:rPr>
              <w:tab/>
            </w:r>
          </w:hyperlink>
          <w:r>
            <w:fldChar w:fldCharType="begin"/>
          </w:r>
          <w:r>
            <w:instrText xml:space="preserve"> PAGEREF _heading=h.30j0zll \h </w:instrText>
          </w:r>
          <w:r>
            <w:fldChar w:fldCharType="separate"/>
          </w:r>
          <w:r>
            <w:t>4</w:t>
          </w:r>
          <w:r>
            <w:fldChar w:fldCharType="end"/>
          </w:r>
        </w:p>
        <w:p w14:paraId="0000000F" w14:textId="77777777" w:rsidR="00E478E9" w:rsidRDefault="00000000">
          <w:pPr>
            <w:widowControl w:val="0"/>
            <w:tabs>
              <w:tab w:val="right" w:pos="9360"/>
            </w:tabs>
            <w:rPr>
              <w:color w:val="000000"/>
            </w:rPr>
          </w:pPr>
          <w:hyperlink w:anchor="_heading=h.1fob9te">
            <w:r>
              <w:rPr>
                <w:color w:val="000000"/>
              </w:rPr>
              <w:t>Event Concept</w:t>
            </w:r>
            <w:r>
              <w:rPr>
                <w:color w:val="000000"/>
              </w:rPr>
              <w:tab/>
            </w:r>
          </w:hyperlink>
          <w:r>
            <w:fldChar w:fldCharType="begin"/>
          </w:r>
          <w:r>
            <w:instrText xml:space="preserve"> PAGEREF _heading=h.1fob9te \h </w:instrText>
          </w:r>
          <w:r>
            <w:fldChar w:fldCharType="separate"/>
          </w:r>
          <w:r>
            <w:t>5</w:t>
          </w:r>
          <w:r>
            <w:fldChar w:fldCharType="end"/>
          </w:r>
        </w:p>
        <w:p w14:paraId="00000010" w14:textId="77777777" w:rsidR="00E478E9" w:rsidRDefault="00000000">
          <w:pPr>
            <w:widowControl w:val="0"/>
            <w:tabs>
              <w:tab w:val="right" w:pos="9360"/>
            </w:tabs>
            <w:rPr>
              <w:color w:val="000000"/>
            </w:rPr>
          </w:pPr>
          <w:hyperlink w:anchor="_heading=h.3znysh7">
            <w:r>
              <w:rPr>
                <w:color w:val="000000"/>
              </w:rPr>
              <w:t>Aim and Objectives of the Event</w:t>
            </w:r>
            <w:r>
              <w:rPr>
                <w:color w:val="000000"/>
              </w:rPr>
              <w:tab/>
            </w:r>
          </w:hyperlink>
          <w:r>
            <w:fldChar w:fldCharType="begin"/>
          </w:r>
          <w:r>
            <w:instrText xml:space="preserve"> PAGEREF _heading=h.3znysh7 \h </w:instrText>
          </w:r>
          <w:r>
            <w:fldChar w:fldCharType="separate"/>
          </w:r>
          <w:r>
            <w:t>6</w:t>
          </w:r>
          <w:r>
            <w:fldChar w:fldCharType="end"/>
          </w:r>
        </w:p>
        <w:p w14:paraId="00000011" w14:textId="77777777" w:rsidR="00E478E9" w:rsidRDefault="00000000">
          <w:pPr>
            <w:widowControl w:val="0"/>
            <w:tabs>
              <w:tab w:val="right" w:pos="9360"/>
            </w:tabs>
            <w:rPr>
              <w:color w:val="000000"/>
            </w:rPr>
          </w:pPr>
          <w:hyperlink w:anchor="_heading=h.2et92p0">
            <w:r>
              <w:rPr>
                <w:color w:val="000000"/>
              </w:rPr>
              <w:t>Event Management</w:t>
            </w:r>
            <w:r>
              <w:rPr>
                <w:color w:val="000000"/>
              </w:rPr>
              <w:tab/>
            </w:r>
          </w:hyperlink>
          <w:r>
            <w:fldChar w:fldCharType="begin"/>
          </w:r>
          <w:r>
            <w:instrText xml:space="preserve"> PAGEREF _heading=h.2et92p0 \h </w:instrText>
          </w:r>
          <w:r>
            <w:fldChar w:fldCharType="separate"/>
          </w:r>
          <w:r>
            <w:t>7</w:t>
          </w:r>
          <w:r>
            <w:fldChar w:fldCharType="end"/>
          </w:r>
        </w:p>
        <w:p w14:paraId="00000012" w14:textId="77777777" w:rsidR="00E478E9" w:rsidRDefault="00000000">
          <w:pPr>
            <w:widowControl w:val="0"/>
            <w:tabs>
              <w:tab w:val="right" w:pos="9360"/>
            </w:tabs>
            <w:rPr>
              <w:color w:val="000000"/>
            </w:rPr>
          </w:pPr>
          <w:hyperlink w:anchor="_heading=h.tyjcwt">
            <w:r>
              <w:rPr>
                <w:color w:val="000000"/>
              </w:rPr>
              <w:t>Event Budget</w:t>
            </w:r>
            <w:r>
              <w:rPr>
                <w:color w:val="000000"/>
              </w:rPr>
              <w:tab/>
            </w:r>
          </w:hyperlink>
          <w:r>
            <w:fldChar w:fldCharType="begin"/>
          </w:r>
          <w:r>
            <w:instrText xml:space="preserve"> PAGEREF _heading=h.tyjcwt \h </w:instrText>
          </w:r>
          <w:r>
            <w:fldChar w:fldCharType="separate"/>
          </w:r>
          <w:r>
            <w:t>8</w:t>
          </w:r>
          <w:r>
            <w:fldChar w:fldCharType="end"/>
          </w:r>
        </w:p>
        <w:p w14:paraId="00000013" w14:textId="77777777" w:rsidR="00E478E9" w:rsidRDefault="00000000">
          <w:pPr>
            <w:widowControl w:val="0"/>
            <w:tabs>
              <w:tab w:val="right" w:pos="9360"/>
            </w:tabs>
            <w:rPr>
              <w:color w:val="000000"/>
            </w:rPr>
          </w:pPr>
          <w:hyperlink w:anchor="_heading=h.1t3h5sf">
            <w:r>
              <w:rPr>
                <w:color w:val="000000"/>
              </w:rPr>
              <w:t>Industry Trends/ Issues/Impacts</w:t>
            </w:r>
            <w:r>
              <w:rPr>
                <w:color w:val="000000"/>
              </w:rPr>
              <w:tab/>
            </w:r>
          </w:hyperlink>
          <w:r>
            <w:fldChar w:fldCharType="begin"/>
          </w:r>
          <w:r>
            <w:instrText xml:space="preserve"> PAGEREF _heading=h.1t3h5sf \h </w:instrText>
          </w:r>
          <w:r>
            <w:fldChar w:fldCharType="separate"/>
          </w:r>
          <w:r>
            <w:t>9</w:t>
          </w:r>
          <w:r>
            <w:fldChar w:fldCharType="end"/>
          </w:r>
        </w:p>
        <w:p w14:paraId="00000014" w14:textId="77777777" w:rsidR="00E478E9" w:rsidRDefault="00000000">
          <w:pPr>
            <w:widowControl w:val="0"/>
            <w:tabs>
              <w:tab w:val="right" w:pos="9360"/>
            </w:tabs>
            <w:rPr>
              <w:color w:val="000000"/>
            </w:rPr>
          </w:pPr>
          <w:hyperlink w:anchor="_heading=h.4d34og8">
            <w:r>
              <w:rPr>
                <w:color w:val="000000"/>
              </w:rPr>
              <w:t>Situational and Cultural Considerations</w:t>
            </w:r>
            <w:r>
              <w:rPr>
                <w:color w:val="000000"/>
              </w:rPr>
              <w:tab/>
            </w:r>
          </w:hyperlink>
          <w:r>
            <w:fldChar w:fldCharType="begin"/>
          </w:r>
          <w:r>
            <w:instrText xml:space="preserve"> PAGEREF _heading=h.4d34og8 \h </w:instrText>
          </w:r>
          <w:r>
            <w:fldChar w:fldCharType="separate"/>
          </w:r>
          <w:r>
            <w:t>9</w:t>
          </w:r>
          <w:r>
            <w:fldChar w:fldCharType="end"/>
          </w:r>
        </w:p>
        <w:p w14:paraId="00000015" w14:textId="77777777" w:rsidR="00E478E9" w:rsidRDefault="00000000">
          <w:pPr>
            <w:widowControl w:val="0"/>
            <w:tabs>
              <w:tab w:val="right" w:pos="9360"/>
            </w:tabs>
            <w:rPr>
              <w:color w:val="000000"/>
            </w:rPr>
          </w:pPr>
          <w:hyperlink w:anchor="_heading=h.2s8eyo1">
            <w:r>
              <w:rPr>
                <w:color w:val="000000"/>
              </w:rPr>
              <w:t>Conclusion</w:t>
            </w:r>
            <w:r>
              <w:rPr>
                <w:color w:val="000000"/>
              </w:rPr>
              <w:tab/>
            </w:r>
          </w:hyperlink>
          <w:r>
            <w:fldChar w:fldCharType="begin"/>
          </w:r>
          <w:r>
            <w:instrText xml:space="preserve"> PAGEREF _heading=h.2s8eyo1 \h </w:instrText>
          </w:r>
          <w:r>
            <w:fldChar w:fldCharType="separate"/>
          </w:r>
          <w:r>
            <w:t>11</w:t>
          </w:r>
          <w:r>
            <w:fldChar w:fldCharType="end"/>
          </w:r>
        </w:p>
        <w:p w14:paraId="00000016" w14:textId="77777777" w:rsidR="00E478E9" w:rsidRDefault="00000000">
          <w:pPr>
            <w:widowControl w:val="0"/>
            <w:tabs>
              <w:tab w:val="right" w:pos="9360"/>
            </w:tabs>
            <w:rPr>
              <w:color w:val="000000"/>
            </w:rPr>
          </w:pPr>
          <w:hyperlink w:anchor="_heading=h.17dp8vu">
            <w:r>
              <w:rPr>
                <w:color w:val="000000"/>
              </w:rPr>
              <w:t>Reference List</w:t>
            </w:r>
            <w:r>
              <w:rPr>
                <w:color w:val="000000"/>
              </w:rPr>
              <w:tab/>
            </w:r>
          </w:hyperlink>
          <w:r>
            <w:fldChar w:fldCharType="begin"/>
          </w:r>
          <w:r>
            <w:instrText xml:space="preserve"> PAGEREF _heading=h.17dp8vu \h </w:instrText>
          </w:r>
          <w:r>
            <w:fldChar w:fldCharType="separate"/>
          </w:r>
          <w:r>
            <w:t>12</w:t>
          </w:r>
          <w:r>
            <w:fldChar w:fldCharType="end"/>
          </w:r>
          <w:r>
            <w:fldChar w:fldCharType="end"/>
          </w:r>
        </w:p>
      </w:sdtContent>
    </w:sdt>
    <w:p w14:paraId="00000017" w14:textId="77777777" w:rsidR="00E478E9" w:rsidRDefault="00000000">
      <w:pPr>
        <w:jc w:val="center"/>
      </w:pPr>
      <w:r>
        <w:br w:type="page"/>
      </w:r>
    </w:p>
    <w:p w14:paraId="00000018" w14:textId="3E33DC33" w:rsidR="00E478E9" w:rsidRDefault="00000000">
      <w:pPr>
        <w:pStyle w:val="Heading1"/>
      </w:pPr>
      <w:bookmarkStart w:id="0" w:name="_heading=h.7wq7fwsrk545" w:colFirst="0" w:colLast="0"/>
      <w:bookmarkEnd w:id="0"/>
      <w:r>
        <w:lastRenderedPageBreak/>
        <w:t>Report</w:t>
      </w:r>
    </w:p>
    <w:p w14:paraId="00000019" w14:textId="77777777" w:rsidR="00E478E9" w:rsidRDefault="00000000">
      <w:pPr>
        <w:pStyle w:val="Heading2"/>
      </w:pPr>
      <w:bookmarkStart w:id="1" w:name="_heading=h.gjdgxs" w:colFirst="0" w:colLast="0"/>
      <w:bookmarkEnd w:id="1"/>
      <w:r>
        <w:t xml:space="preserve">Introduction </w:t>
      </w:r>
    </w:p>
    <w:p w14:paraId="0000001A" w14:textId="77777777" w:rsidR="00E478E9" w:rsidRDefault="00000000">
      <w:r>
        <w:t>“Funfair in a Christmas to Remember” is a festival to be held in Tonbridge, Kent with the intention of encouraging togetherness amongst families and charity during winter. The funfair consists of rides, shows, food outlets and hawker items with particular emphasis on children's materials. It is such an event that has been selected in order to have fun with your families while helping a good cause at the same time because all the tickets and other revenues are used for a children’s charity. For this reason, this activity can be said to be entertaining and creative, and at the same time serves a noble cause of giving back to society; it is therefore much looked forward to in society.</w:t>
      </w:r>
    </w:p>
    <w:p w14:paraId="0000001B" w14:textId="77777777" w:rsidR="00E478E9" w:rsidRDefault="00000000">
      <w:r>
        <w:br w:type="page"/>
      </w:r>
    </w:p>
    <w:p w14:paraId="0000001C" w14:textId="77777777" w:rsidR="00E478E9" w:rsidRDefault="00000000">
      <w:pPr>
        <w:pStyle w:val="Heading2"/>
      </w:pPr>
      <w:bookmarkStart w:id="2" w:name="_heading=h.30j0zll" w:colFirst="0" w:colLast="0"/>
      <w:bookmarkEnd w:id="2"/>
      <w:r>
        <w:lastRenderedPageBreak/>
        <w:t>The Event Cycle</w:t>
      </w:r>
    </w:p>
    <w:p w14:paraId="0000001D" w14:textId="77777777" w:rsidR="00E478E9" w:rsidRDefault="00000000">
      <w:r>
        <w:t>The Event Cycle refers to the structured process of organising and executing an event, encompassing several key stages: Among them, the key planning and managerial processes include; research, planning, coordination, execution and evaluation. The following framework guarantees that the event is well coordinated from planning up to its implementation processes are in harmony with the event objectives. The process usually starts with research in which the organisers establish the event’s objective, audience and market conditions. This stage also requires seeking information that will help in developing the event you are to present and the general strategy to be used, some facets that need to be considered embraced; are venue needs, entertainment, and patrons among others. After research is the design and planning stage which involves the fine-tuning of the idea behind the event, as well as, the arrangements, which go into the event. These are something as fundamental as funds allocation, choosing the supplier, place identification, and time-table. For A Christmas to Remember Funfair, this would require identifying a venue in Tonbridge, Kent, and hours to be spent bargaining for foodstuffs and entertainment from local suppliers and also mounting a convincing appeal for families. The coordination phase also involves the negotiation of contracts, and staffing issues as well as making sure all are ready for the event (Anon, 2020).</w:t>
      </w:r>
    </w:p>
    <w:p w14:paraId="0000001E" w14:textId="77777777" w:rsidR="00E478E9" w:rsidRDefault="00000000">
      <w:r>
        <w:t>The third one is event operationalisation, or, in other words, making an event real. The funfair would involve organising the installation of the key attractions such as the fully-formalised amusement park deluxe ride, refreshment stalls as well as art corners, providing and selling tickets, and making certain that customers can keep their joy going. Coordinators should also be prepared for any real-time incidents that may occur like; system breakdowns or weather changes. Lastly, the assessment phase takes place after the event with subordinate emphasis on its effectiveness. This involves capturing input from participants and reviewing the financial results and prospects for the event versus aims and objectives. For the funfair, it would imply the assessment of the amount of money collected for charity as well as the level of satisfaction of the members of the community. By following the event cycle this can make A Christmas to Remember Funfair have a timely and properly run function during the occasion (Anon, 2020).</w:t>
      </w:r>
    </w:p>
    <w:p w14:paraId="0000001F" w14:textId="77777777" w:rsidR="00E478E9" w:rsidRDefault="00E478E9"/>
    <w:p w14:paraId="00000020" w14:textId="77777777" w:rsidR="00E478E9" w:rsidRDefault="00E478E9"/>
    <w:p w14:paraId="00000021" w14:textId="77777777" w:rsidR="00E478E9" w:rsidRDefault="00000000">
      <w:r>
        <w:br w:type="page"/>
      </w:r>
    </w:p>
    <w:p w14:paraId="00000022" w14:textId="77777777" w:rsidR="00E478E9" w:rsidRDefault="00000000">
      <w:pPr>
        <w:pStyle w:val="Heading2"/>
      </w:pPr>
      <w:bookmarkStart w:id="3" w:name="_heading=h.1fob9te" w:colFirst="0" w:colLast="0"/>
      <w:bookmarkEnd w:id="3"/>
      <w:r>
        <w:lastRenderedPageBreak/>
        <w:t xml:space="preserve">Event Concept </w:t>
      </w:r>
    </w:p>
    <w:p w14:paraId="00000023" w14:textId="77777777" w:rsidR="00E478E9" w:rsidRDefault="00000000">
      <w:r>
        <w:t>On the day of A Christmas to Remember Funfair, delegates and guests will arrive at Tonbridge Castle grounds around 10:06:00 PM, with friendly volunteers to offer directions on the event, as well as, wristbands to gain entry into the event. The festivities kick off with an opening ceremony at 10:8:30 AM, special music with the essence of the holidays and the overarching mission of giving back through the event. At 11:IGLive At 10; 00 PM guests can take part in the funfair thrills of the amusement park and have fun in the various activities of the park including games and mechanical as a form of entertainment. Parents can bring their children to the Arts and Crafts Corner by noon where they will find children making Christmas ornaments on creativity. A lunch break at 1:00 PM brings the availability of more stalls that offer local foods which means that the guests can come together and exchange stories. The afternoon continues with entertainment shows at 2:00 PM including magic tricks, puppet shows, and holiday music to suit all age groups. At 3:On 30 PM a charity auction will be held, which will include such products as those received from kinds gauges, and all the money will be transferred to children’s charities. The day wraps up with a closing ceremony at 5:1 PM, where they will have special occasions to review while at 8 PM, they will have cultural performances; a community group photo will also be taken with everyone decorating the occasion with festivity. Guests will depart around 5:at 30 PM depart with happy memories and hand-made endangered products all these while contributing to a worthy cause (Buhidar, 2024).</w:t>
      </w:r>
      <w:r>
        <w:br w:type="page"/>
      </w:r>
    </w:p>
    <w:p w14:paraId="00000024" w14:textId="77777777" w:rsidR="00E478E9" w:rsidRDefault="00000000">
      <w:pPr>
        <w:pStyle w:val="Heading2"/>
      </w:pPr>
      <w:bookmarkStart w:id="4" w:name="_heading=h.3znysh7" w:colFirst="0" w:colLast="0"/>
      <w:bookmarkEnd w:id="4"/>
      <w:r>
        <w:lastRenderedPageBreak/>
        <w:t>Aim and Objectives of the Event</w:t>
      </w:r>
    </w:p>
    <w:p w14:paraId="00000025" w14:textId="77777777" w:rsidR="00E478E9" w:rsidRDefault="00000000">
      <w:pPr>
        <w:rPr>
          <w:b/>
          <w:i/>
        </w:rPr>
      </w:pPr>
      <w:r>
        <w:rPr>
          <w:b/>
          <w:i/>
        </w:rPr>
        <w:t>Overarching Aim</w:t>
      </w:r>
    </w:p>
    <w:p w14:paraId="00000026" w14:textId="77777777" w:rsidR="00E478E9" w:rsidRDefault="00000000">
      <w:r>
        <w:t>The current study aims to develop an appealing and effective winter festive event for a family audience in Tonbridge with a focus on charitable causes and community engagement- children’s charities in particular.</w:t>
      </w:r>
    </w:p>
    <w:p w14:paraId="00000027" w14:textId="77777777" w:rsidR="00E478E9" w:rsidRDefault="00000000">
      <w:r>
        <w:rPr>
          <w:b/>
          <w:i/>
        </w:rPr>
        <w:t>SMART Objectives</w:t>
      </w:r>
    </w:p>
    <w:p w14:paraId="00000028" w14:textId="77777777" w:rsidR="00E478E9" w:rsidRDefault="00000000">
      <w:r>
        <w:t>1. Increase Attendance: The one, to get 2000 funfair guests by the event date, using social media and local collaborations.</w:t>
      </w:r>
    </w:p>
    <w:p w14:paraId="00000029" w14:textId="77777777" w:rsidR="00E478E9" w:rsidRDefault="00000000">
      <w:r>
        <w:t>2. Fundraising Target: Secure sponsorship of at least £10,000 for children’s charities through ticket receipts, individual sponsorships and a charity auction, keeping records of the receipts and expanding and reporting them after the event.</w:t>
      </w:r>
    </w:p>
    <w:p w14:paraId="0000002A" w14:textId="77777777" w:rsidR="00E478E9" w:rsidRDefault="00000000">
      <w:r>
        <w:t>3. Enhance Participant Engagement: Achieve 75% attendance from at least 75% of the attendee's easy Arts and Crafts Corner and entertainment shows, using a feedback questionnaire given both during and after the event.</w:t>
      </w:r>
    </w:p>
    <w:p w14:paraId="0000002B" w14:textId="77777777" w:rsidR="00E478E9" w:rsidRDefault="00000000">
      <w:r>
        <w:br w:type="page"/>
      </w:r>
    </w:p>
    <w:p w14:paraId="0000002C" w14:textId="77777777" w:rsidR="00E478E9" w:rsidRDefault="00000000">
      <w:pPr>
        <w:pStyle w:val="Heading2"/>
      </w:pPr>
      <w:bookmarkStart w:id="5" w:name="_heading=h.2et92p0" w:colFirst="0" w:colLast="0"/>
      <w:bookmarkEnd w:id="5"/>
      <w:r>
        <w:lastRenderedPageBreak/>
        <w:t>Event Management</w:t>
      </w:r>
    </w:p>
    <w:p w14:paraId="0000002D" w14:textId="77777777" w:rsidR="00E478E9" w:rsidRDefault="00000000">
      <w:r>
        <w:t>With specific reference to the tactical component of A Christmas to Remember Funfair, a variety of operations, planning and marketing skills and resources will be required to implement this tactical plan. Firmyses' event management skills are crucial for the management of the event logistics such as the setting of the venue, management of the rides as well as the vendors. This position requires knowledge about how to handle crowds and prevent the spread of stampedes. Also, employee excellence in volunteer management is crucial this involves leadership in training the volunteers that will help with various activities and offer support services to the guests. When it comes to planning, different project management skills are very important in creating the schedule duration of the project and besides this, managing budgets and resource utilisation. This requires the management to plan and ensure the coordination of various participants and the attainment of the target. Your management skills will also become crucial to establish risks that may appear and come up with contingency plans.</w:t>
      </w:r>
    </w:p>
    <w:p w14:paraId="0000002E" w14:textId="77777777" w:rsidR="00E478E9" w:rsidRDefault="00000000">
      <w:r>
        <w:t xml:space="preserve">On the marketing side, skills in new media marketing competence are vital to reach the target market. For promotions there should be a team who takes care of social media promotions, sending out emails to the society and community and local SEO to create awareness and get people to attend the event. Sponsorship of local businesses and the construction of relationships will necessitate significant networking and participation in the fostering of community support. Lastly, graphic design resources will come in handy in designing attractive fliers, banners, and social media images that increase event observability. Applying these skills and assets, </w:t>
      </w:r>
      <w:r>
        <w:rPr>
          <w:b/>
          <w:i/>
        </w:rPr>
        <w:t xml:space="preserve">A Christmas to Remember Funfair </w:t>
      </w:r>
      <w:r>
        <w:t>will develop an impressive and bright atmosphere that contributes to the formation of people’s unity and helps to gather enough money for children’s charities. This approach will guarantee efficient event implementation and high levels of participant satisfaction (Howard, 2020).</w:t>
      </w:r>
    </w:p>
    <w:p w14:paraId="0000002F" w14:textId="77777777" w:rsidR="00E478E9" w:rsidRDefault="00E478E9"/>
    <w:p w14:paraId="00000030" w14:textId="77777777" w:rsidR="00E478E9" w:rsidRDefault="00000000">
      <w:r>
        <w:br w:type="page"/>
      </w:r>
    </w:p>
    <w:p w14:paraId="00000031" w14:textId="77777777" w:rsidR="00E478E9" w:rsidRDefault="00000000">
      <w:pPr>
        <w:pStyle w:val="Heading2"/>
      </w:pPr>
      <w:bookmarkStart w:id="6" w:name="_heading=h.tyjcwt" w:colFirst="0" w:colLast="0"/>
      <w:bookmarkEnd w:id="6"/>
      <w:r>
        <w:lastRenderedPageBreak/>
        <w:t xml:space="preserve">Event Budget </w:t>
      </w:r>
    </w:p>
    <w:p w14:paraId="00000032" w14:textId="77777777" w:rsidR="00E478E9" w:rsidRDefault="00000000">
      <w:r>
        <w:t>Thus, for A Christmas to Remember Funfair, the identification of income and expenditure can be used as the guide to the financial flow of the business. The total expected income is anticipated to be £13,500 from ticket sales £10,000 from ticket sales at £5 per head, local sponsors £2000 from food stall commission £1000. This will be approximately £5,950: venue (£2,000); funfair rides and attractions (£3,000); arts and crafts materials (£500); and promotion (£800). Furthermore, hem security, events and heating are also proposed to provide comfort and security to the guests. Sources of funding will be from local business sponsors who will be contracted through sales appeals based on the social relevance of the event. This approach serves the purpose of making revenue and at the same time promoting local industries. Income generation shall also emphasise extra activities like the charity auction sale, and this is in addition to the sale of other productions from talents such as the sale of articles made by children. The balance during the event will be in the range of £7,550p, all of which will go to children's charities, thus putting into perspective the cause of the occasion. Through successful control of costs and obtaining as many income sources as possible, the funfair can make the most of the charity it can offer to the community while maintaining the joy of enjoying colourful and bright entertaining facilities.</w:t>
      </w:r>
    </w:p>
    <w:p w14:paraId="00000033" w14:textId="77777777" w:rsidR="00E478E9" w:rsidRDefault="00E478E9"/>
    <w:p w14:paraId="00000034" w14:textId="77777777" w:rsidR="00E478E9" w:rsidRDefault="00E478E9"/>
    <w:p w14:paraId="00000035" w14:textId="77777777" w:rsidR="00E478E9" w:rsidRDefault="00000000">
      <w:pPr>
        <w:pStyle w:val="Heading1"/>
      </w:pPr>
      <w:bookmarkStart w:id="7" w:name="_heading=h.3dy6vkm" w:colFirst="0" w:colLast="0"/>
      <w:bookmarkEnd w:id="7"/>
      <w:r>
        <w:br w:type="page"/>
      </w:r>
    </w:p>
    <w:p w14:paraId="00000036" w14:textId="77777777" w:rsidR="00E478E9" w:rsidRDefault="00000000">
      <w:pPr>
        <w:pStyle w:val="Heading2"/>
      </w:pPr>
      <w:bookmarkStart w:id="8" w:name="_heading=h.1t3h5sf" w:colFirst="0" w:colLast="0"/>
      <w:bookmarkEnd w:id="8"/>
      <w:r>
        <w:lastRenderedPageBreak/>
        <w:t xml:space="preserve">Industry Trends/ Issues/Impacts  </w:t>
      </w:r>
    </w:p>
    <w:p w14:paraId="00000037" w14:textId="77777777" w:rsidR="00E478E9" w:rsidRDefault="00000000">
      <w:r>
        <w:t>Several trends and issues are prevalent in the meetings and events industry at the moment, which have a big impact on events. The first is the use of a combination of live and digital events, especially because of the current pandemic situation and the need for global access. This shift enables more participation but has prerequisite high technology leverages and sound online participation strategy. Another significant theme is sustainability because attendees expect green practices; therefore, organisers move toward environmentally friendly solutions such as reduced waste, green vendors, and carbon-neutral measures. Moreover, custom health and safety measures are important for attendees and the sessions they will attend: health, hygiene, and mental health. Programmes are thus integrating exercise and cleanliness to encourage assure and satisfy those in the event.</w:t>
      </w:r>
    </w:p>
    <w:p w14:paraId="00000038" w14:textId="77777777" w:rsidR="00E478E9" w:rsidRDefault="00000000">
      <w:r>
        <w:t>For the A Christmas to Remember Funfair two of these trends are therefore applicable, whereby virtual engagement can be provided for those who cannot attend in person and the use of environmentally friendly products for crafts and decorations. Health matters especially in a family context will have to be managed and comprehensively addressed, possible strategies include contactless entry and group spaced-out activities. These trends can therefore be adopted by the funfair to boost its attractiveness, security, social activities and Client expectations in the modern world markets.</w:t>
      </w:r>
    </w:p>
    <w:p w14:paraId="00000039" w14:textId="77777777" w:rsidR="00E478E9" w:rsidRDefault="00000000">
      <w:pPr>
        <w:pStyle w:val="Heading2"/>
      </w:pPr>
      <w:bookmarkStart w:id="9" w:name="_heading=h.4d34og8" w:colFirst="0" w:colLast="0"/>
      <w:bookmarkEnd w:id="9"/>
      <w:r>
        <w:t xml:space="preserve">Situational and Cultural Considerations </w:t>
      </w:r>
    </w:p>
    <w:p w14:paraId="0000003A" w14:textId="77777777" w:rsidR="00E478E9" w:rsidRDefault="00000000">
      <w:r>
        <w:t xml:space="preserve">When organising the event A Christmas to Remember Funfair several factors are social and cultural and have to be considered. It is possible to reveal these factors by applying the PESTEL analysis. </w:t>
      </w:r>
    </w:p>
    <w:p w14:paraId="0000003B" w14:textId="77777777" w:rsidR="00E478E9" w:rsidRDefault="00000000">
      <w:r>
        <w:rPr>
          <w:b/>
          <w:i/>
        </w:rPr>
        <w:t xml:space="preserve">Political: </w:t>
      </w:r>
      <w:r>
        <w:t>Information on local event policies, physical security and accessory requirements, and permits to host an event have to be followed and met.</w:t>
      </w:r>
    </w:p>
    <w:p w14:paraId="0000003C" w14:textId="77777777" w:rsidR="00E478E9" w:rsidRDefault="00000000">
      <w:r>
        <w:rPr>
          <w:b/>
          <w:i/>
        </w:rPr>
        <w:t xml:space="preserve">Economic: </w:t>
      </w:r>
      <w:r>
        <w:t>The other factor is the economic climate influences disposable income; during an economic downturn, families will not be willing to spend on events thus affecting turnout and revenue.</w:t>
      </w:r>
    </w:p>
    <w:p w14:paraId="0000003D" w14:textId="77777777" w:rsidR="00E478E9" w:rsidRDefault="00000000">
      <w:r>
        <w:rPr>
          <w:b/>
          <w:i/>
        </w:rPr>
        <w:lastRenderedPageBreak/>
        <w:t xml:space="preserve">Social: </w:t>
      </w:r>
      <w:r>
        <w:t>Evaluating the demographical characteristics of the community and its cultural context is a necessity. The event must be aimed at families, no matter the structure or cultural practice the family embraces.</w:t>
      </w:r>
    </w:p>
    <w:p w14:paraId="0000003E" w14:textId="77777777" w:rsidR="00E478E9" w:rsidRDefault="00000000">
      <w:r>
        <w:rPr>
          <w:b/>
          <w:i/>
        </w:rPr>
        <w:t xml:space="preserve">Technological: </w:t>
      </w:r>
      <w:r>
        <w:t>Most publicity can now be done online through social media marketing, which means more people and tickets could be sold through these platforms.</w:t>
      </w:r>
    </w:p>
    <w:p w14:paraId="0000003F" w14:textId="77777777" w:rsidR="00E478E9" w:rsidRDefault="00000000">
      <w:r>
        <w:t>Environmental: Such sustainability has become highly relevant today. Eco-friendly changes should be made to make the event popular among people with a conscience and create a better image for the event.</w:t>
      </w:r>
    </w:p>
    <w:p w14:paraId="00000040" w14:textId="77777777" w:rsidR="00E478E9" w:rsidRDefault="00000000">
      <w:r>
        <w:rPr>
          <w:b/>
          <w:i/>
        </w:rPr>
        <w:t xml:space="preserve">Legal: </w:t>
      </w:r>
      <w:r>
        <w:t>Paying attention to the health and safety guidelines and measures after the COVID-19 outbreak particularly stress is significant to protect all the participants (Makos, 2024).</w:t>
      </w:r>
    </w:p>
    <w:p w14:paraId="00000041" w14:textId="77777777" w:rsidR="00E478E9" w:rsidRDefault="00000000">
      <w:r>
        <w:t>These elements are important to aim to bring benefits into the community and to have a positive impact on the attendees as well as to avoid legal and ethical issues. With this kind of analysis, one can improve the chances of success towards the event in question by using all the information created above in making decisions and in the formulation of strategic plans (Makos, 2024).</w:t>
      </w:r>
    </w:p>
    <w:p w14:paraId="00000042" w14:textId="77777777" w:rsidR="00E478E9" w:rsidRDefault="00E478E9"/>
    <w:p w14:paraId="00000043" w14:textId="77777777" w:rsidR="00E478E9" w:rsidRDefault="00000000">
      <w:r>
        <w:br w:type="page"/>
      </w:r>
    </w:p>
    <w:p w14:paraId="00000044" w14:textId="77777777" w:rsidR="00E478E9" w:rsidRDefault="00000000">
      <w:pPr>
        <w:pStyle w:val="Heading2"/>
      </w:pPr>
      <w:bookmarkStart w:id="10" w:name="_heading=h.2s8eyo1" w:colFirst="0" w:colLast="0"/>
      <w:bookmarkEnd w:id="10"/>
      <w:r>
        <w:lastRenderedPageBreak/>
        <w:t>Conclusion</w:t>
      </w:r>
    </w:p>
    <w:p w14:paraId="00000045" w14:textId="77777777" w:rsidR="00E478E9" w:rsidRDefault="00000000">
      <w:r>
        <w:t>In the present study, viewers will be informed of the detailed planning and implementation of A Christmas to Remember Funfair highlighting its purpose to encourage fellowship and giving from people whilst, at the same time, giving back to children’s charitable organisations. These are a systematic event cycle inclusive of research, planning, coordination and evaluation. These estimates go further in showing that the expected income for the announcements is £13,500 against expenditures of £5,950 showing the diverse funding sources. Some aspects like the events’ hybridity and sustainability become part of the event planning. The PESTEL analysis looks at significant factors relevant to situation and culture: legal constraints, and population structure. To summarise, it is strategically placed to provoke interaction that will in some ways benefit the local population.</w:t>
      </w:r>
    </w:p>
    <w:p w14:paraId="00000046" w14:textId="77777777" w:rsidR="00E478E9" w:rsidRDefault="00E478E9"/>
    <w:p w14:paraId="00000047" w14:textId="77777777" w:rsidR="00E478E9" w:rsidRDefault="00E478E9"/>
    <w:p w14:paraId="00000048" w14:textId="77777777" w:rsidR="00E478E9" w:rsidRDefault="00E478E9"/>
    <w:p w14:paraId="00000049" w14:textId="77777777" w:rsidR="00E478E9" w:rsidRDefault="00000000">
      <w:r>
        <w:br w:type="page"/>
      </w:r>
    </w:p>
    <w:p w14:paraId="0000004A" w14:textId="77777777" w:rsidR="00E478E9" w:rsidRDefault="00000000">
      <w:pPr>
        <w:pStyle w:val="Heading1"/>
      </w:pPr>
      <w:bookmarkStart w:id="11" w:name="_heading=h.uu6cnwm9s06" w:colFirst="0" w:colLast="0"/>
      <w:bookmarkEnd w:id="11"/>
      <w:r>
        <w:lastRenderedPageBreak/>
        <w:t>Task 2 Presentation</w:t>
      </w:r>
    </w:p>
    <w:p w14:paraId="0000004B" w14:textId="77777777" w:rsidR="00E478E9" w:rsidRDefault="00000000">
      <w:pPr>
        <w:pStyle w:val="Heading2"/>
      </w:pPr>
      <w:bookmarkStart w:id="12" w:name="_heading=h.dxu9m6gk4b25" w:colFirst="0" w:colLast="0"/>
      <w:bookmarkEnd w:id="12"/>
      <w:r>
        <w:t>Introduction</w:t>
      </w:r>
    </w:p>
    <w:p w14:paraId="0000004C" w14:textId="77777777" w:rsidR="00E478E9" w:rsidRDefault="00000000">
      <w:r>
        <w:t>A Christmas to Remember Funfair is one of the exciting winter festive celebrations aimed at revitalising unity and collaboration in the Tonbridge area of Kent. In this family-oriented and children’s fanfare, there is a variety of rides, stalls, shows and crafts, with an appropriate emphasis on social justice. The overall goal is to effectively provide families with a joyful day where they all are provided with wonderful entertainment facilities like the festive rides, games, and shows as well as the Christmas tempting meals Children can enjoy exciting and fun arts and crafts. Beyond entertainment, the event has a charitable mission: the promoters and performers agreed that all of the ticket sales and other income-generating activities will go to the children’s charity. Joined with the funfair, enjoyment of the festive atmosphere is combined with the encouragement of children’s creativity and help for poor children – that is why the event is loved and awaited by all participants.</w:t>
      </w:r>
    </w:p>
    <w:p w14:paraId="0000004D" w14:textId="77777777" w:rsidR="00E478E9" w:rsidRDefault="00E478E9"/>
    <w:p w14:paraId="0000004E" w14:textId="77777777" w:rsidR="00E478E9" w:rsidRDefault="00000000">
      <w:r>
        <w:br w:type="page"/>
      </w:r>
    </w:p>
    <w:p w14:paraId="0000004F" w14:textId="77777777" w:rsidR="00E478E9" w:rsidRDefault="00000000">
      <w:pPr>
        <w:pStyle w:val="Heading2"/>
      </w:pPr>
      <w:bookmarkStart w:id="13" w:name="_heading=h.hr4796w0qvei" w:colFirst="0" w:colLast="0"/>
      <w:bookmarkEnd w:id="13"/>
      <w:r>
        <w:lastRenderedPageBreak/>
        <w:t xml:space="preserve">Event Content and Context </w:t>
      </w:r>
    </w:p>
    <w:p w14:paraId="00000050" w14:textId="77777777" w:rsidR="00E478E9" w:rsidRDefault="00000000">
      <w:r>
        <w:t>A Christmas to Remember Funfair is a funfair that is meant to run during the winter festive season and is meant for all ages in the community; however, it has an additional social responsibility. The particular purpose of the event is to make children and families spend quality time with them and have fun while choosing from a list of funfair attractions, craft works, entertainment events, and foods all with a Christmas and winter feel. The event is not only entertainment but also a social spirit since children are involved directly in the process of creating crafts that will be displayed and sold. The funfair wants to give a memorable day for all people inviting families and enhancing children's creativity mostly in the happy and colourful Carnival style. Besides, it is a good entertaining time, but there is a solid charitable purpose behind the event (Anon, 2023). Any money arising from ticket sales or otherwise will be contributed to a children’s charity organisation as the nature of the event suggests holiday season giving. It also works to have the community gather for a fun day out in the form of a Festival that also has the backing of a non-profit foundation. Rides, games, shows, and food stands will be set up with the spirit of the winter festival. The focus of the event will be Art and Craft Corner which will involve children in making Christmas ornaments to emphasise the importance of creativity, social responsibility and charity. The funfair will operate inside Tonbridge, Kent and not only be a festive landmark event during the winter season but also improve children’s quality of life as the play equipment will benefit nominated charities (Wendt, 2023).</w:t>
      </w:r>
    </w:p>
    <w:p w14:paraId="00000051" w14:textId="77777777" w:rsidR="00E478E9" w:rsidRDefault="00000000">
      <w:pPr>
        <w:pStyle w:val="Heading2"/>
      </w:pPr>
      <w:bookmarkStart w:id="14" w:name="_heading=h.24mkv2uimw6" w:colFirst="0" w:colLast="0"/>
      <w:bookmarkEnd w:id="14"/>
      <w:r>
        <w:t xml:space="preserve">Market factors </w:t>
      </w:r>
    </w:p>
    <w:p w14:paraId="00000052" w14:textId="77777777" w:rsidR="00E478E9" w:rsidRDefault="00000000">
      <w:r>
        <w:t xml:space="preserve">The target customers for A Christmas to Remember Funfair are families, especially those with children and Tonbridge, Kent and its environs. The concept of the event is targeted at creating a festive atmosphere for a family outing for the inhabitants of the city, as well as people living in nearby areas for Christmas Christmas-themed event, combining entertainment activities and creativity to help the charity organisation. Marketing strategists must target those who care about children's activities and events and those who believe in support from the community to the kids as well as philanthropy events goers. This proves that people are looking forward to such an occasion, especially at the end of the year when groups and families are in search of events that will make up the remaining part of the festive season (Anon, 2024). Where it can be fun for </w:t>
      </w:r>
      <w:r>
        <w:lastRenderedPageBreak/>
        <w:t>children while getting to undertake arts and crafts, equally interesting is if it also has a charity feeling akin to donating to a noble cause. This is because there is a holiday mood, and people wish to give their loved ones during this time (Team, 2024). It is an idea that competition may come in the form of other local Christmas markets community funfairs, and other charity events organised during the winter season. Other similar target groups could consist of: children who are acquainted with seasonal products; and families who practise seasonal traditions, for instance, ice rinks or Santa’s grottos. A significant conceptualisation will therefore have to be placed on such factors as children’s activities, local people, and the charity angle towards the event (Medleva, 2021). Marketing communication activities will focus on highlighting the fact that the funfair is local, and family-oriented and serves the aim of raising money for local charity families looking for impressive holiday entertainment (Tilbrook, 2024).</w:t>
      </w:r>
    </w:p>
    <w:p w14:paraId="00000053" w14:textId="77777777" w:rsidR="00E478E9" w:rsidRDefault="00000000">
      <w:pPr>
        <w:pStyle w:val="Heading2"/>
      </w:pPr>
      <w:bookmarkStart w:id="15" w:name="_heading=h.5rl04romy6fs" w:colFirst="0" w:colLast="0"/>
      <w:bookmarkEnd w:id="15"/>
      <w:r>
        <w:t xml:space="preserve">Operational factors </w:t>
      </w:r>
    </w:p>
    <w:p w14:paraId="00000054" w14:textId="77777777" w:rsidR="00E478E9" w:rsidRDefault="00000000">
      <w:r>
        <w:t xml:space="preserve">The proposed location of A Christmas to Remember Funfair is the outside area in Tonbridge, Kent for instance a park of fun fairs. Thus, locations belonging to Tonbridge Castle grounds or other open-air locations are ideal, vast zones for community events. Most of these settings have favourable access that is perceived well by local families; making these settings more manageable. The availability of such locations will have to be negotiated far in advance, especially during December when many organisations book event spaces for their Christmas galas (Iverson </w:t>
      </w:r>
      <w:r>
        <w:rPr>
          <w:i/>
        </w:rPr>
        <w:t>et al.,</w:t>
      </w:r>
      <w:r>
        <w:t xml:space="preserve"> 2023). Consultations with relevant bodies will have to start very early to guarantee that a booking has been secured. The appropriateness of these venues derives from the fact that they have an open space which can hold funfair rides, arts and crafts hampers, entertainment arcades, delicious foods and beverages tables, etc (Timpson, 2020). In addition, they are usually ready with established structures such as power and simple ablution services, which may not require perhaps, temporary amenities. In as much as staffing the event, there will be event managers, logistics Coordinators, security and volunteers. When organising the festival, members of the local community may help the organisation with the handling of children, organisation of different active games for children, as well as with handling of stalls with Children's art and crafts (Saylor Academy, 2021). Haunted organisation staff will be needed for key organisational functions which are ticketing, security, and food selling. Amenities are going to imply such materials as foods and beverages for stalls; lighting for night events; and temporary toilets. There will be the need to provide parking space to be </w:t>
      </w:r>
      <w:r>
        <w:lastRenderedPageBreak/>
        <w:t>provided for people, driver convenience seats will be important to create comfort area for families. Some products, including outdoor heaters, will be useful to make the guests comfortable in winter weather (D.G., 2020).</w:t>
      </w:r>
    </w:p>
    <w:p w14:paraId="00000055" w14:textId="77777777" w:rsidR="00E478E9" w:rsidRDefault="00000000">
      <w:pPr>
        <w:pStyle w:val="Heading2"/>
      </w:pPr>
      <w:bookmarkStart w:id="16" w:name="_heading=h.6xfdkvi0xifp" w:colFirst="0" w:colLast="0"/>
      <w:bookmarkEnd w:id="16"/>
      <w:r>
        <w:t xml:space="preserve">Financial factors </w:t>
      </w:r>
    </w:p>
    <w:p w14:paraId="00000056" w14:textId="77777777" w:rsidR="00E478E9" w:rsidRDefault="00000000">
      <w:r>
        <w:t>The financial planning of A Christmas to Remember Funfair helps the event run in the black and supports all the costs of a charity for children. The forecasted costs of the event are accurately estimated to account for basic recurrent and extraordinary expenditures (Porter, 2024). Hire for the venue is likely to be £2,000 expenses here are rent, electricity, and cleaning. Fun Fairs rides &amp; attractions will cost around £3000 and arts, and crafts materials for children’s creative activities will be costing £500. Security and event coordination staff cost is expected to be £1,500 more within the catering setup where some of the food will be purchased from the local suppliers at £1,000 (Salvatori, 2023). Promotion through social media, fliers, and banners, will cost £800 in total. Lighting and heating equipment, and also important for heating in winter, will be approximately £1,200. Last but not least, other expenses, including transportation insurance and permits for shooting locations and other miscellaneous materials and other logistical requirements are estimated at 700 pounds. In total, the expected revenue for the event is £ 16,450 and the expected cost is £ 5,950, so the expected revenue for the event is £10 700. On the revenue side, there will be ticket sales which is £5 per head for 2000 people which is £10,000 (Nielsen, 2020). Other revenue will be from sponsorship where companies from the local area will be donating £2,000 to gain promotional space. Traders selling food stuffs will pay a commission of £1,000 for their stalls and arts and craftwork for children is expected to pull the remaining £500. This would give them a total expected revenues as follows; a total of £13,500. An end-bending figure has also been estimated based on £ overall projected income of £13,500 and an overall projected expense of £10,700 that would result in an excess of £2,800 which will be taken to children’s charity. The main source of revenue would be ticket sales, sponsors and commissions from the food stalls, guaranteeing that apart from making a profit, the promotional event directly and positively supports its charitable objectives (Fan, 2023).</w:t>
      </w:r>
    </w:p>
    <w:p w14:paraId="00000057" w14:textId="77777777" w:rsidR="00E478E9" w:rsidRDefault="00E478E9"/>
    <w:p w14:paraId="00000058" w14:textId="77777777" w:rsidR="00E478E9" w:rsidRDefault="00E478E9"/>
    <w:p w14:paraId="00000059" w14:textId="77777777" w:rsidR="00E478E9" w:rsidRDefault="00E478E9"/>
    <w:p w14:paraId="0000005B" w14:textId="5B35E8E1" w:rsidR="00E478E9" w:rsidRDefault="00000000" w:rsidP="00FA5062">
      <w:r>
        <w:br w:type="page"/>
      </w:r>
      <w:bookmarkStart w:id="17" w:name="_heading=h.4z82851344kx" w:colFirst="0" w:colLast="0"/>
      <w:bookmarkEnd w:id="17"/>
      <w:r>
        <w:lastRenderedPageBreak/>
        <w:t>Conclusion</w:t>
      </w:r>
    </w:p>
    <w:p w14:paraId="0000005C" w14:textId="77777777" w:rsidR="00E478E9" w:rsidRDefault="00000000">
      <w:r>
        <w:t>A Christmas to Remember Funfair will be unique during the winter festive season in Tonbridge, Kent providing families with entertainment alongside supporting charitable organisations. This event can thus for its entertaining and colourful games but for its promo of creativity in children and support of a noble cause. Each ticket bought and craft that has been sold helps to afford a better future for children by donating to charity. Craft corners provide appropriate interaction for children and igloos as well as balloons in the shape of snowmen guarantee that the visitors will always have something to take home. Bringing the community together for one day of happiness and charity, A Christmas to Remember Funfair is about the essence of Christmas and is enjoyable for everyone.</w:t>
      </w:r>
      <w:r>
        <w:br w:type="page"/>
      </w:r>
    </w:p>
    <w:p w14:paraId="0000005D" w14:textId="77777777" w:rsidR="00E478E9" w:rsidRDefault="00000000">
      <w:pPr>
        <w:pStyle w:val="Heading1"/>
      </w:pPr>
      <w:bookmarkStart w:id="18" w:name="_heading=h.17dp8vu" w:colFirst="0" w:colLast="0"/>
      <w:bookmarkEnd w:id="18"/>
      <w:r>
        <w:lastRenderedPageBreak/>
        <w:t xml:space="preserve">Reference List </w:t>
      </w:r>
    </w:p>
    <w:p w14:paraId="0000005E" w14:textId="77777777" w:rsidR="00E478E9" w:rsidRPr="00FA5062" w:rsidRDefault="00000000">
      <w:pPr>
        <w:rPr>
          <w:color w:val="000000" w:themeColor="text1"/>
        </w:rPr>
      </w:pPr>
      <w:r w:rsidRPr="00FA5062">
        <w:rPr>
          <w:color w:val="000000" w:themeColor="text1"/>
        </w:rPr>
        <w:t>Allen, J. (2020). Event Planning: The Ultimate Guide.</w:t>
      </w:r>
    </w:p>
    <w:p w14:paraId="0000005F" w14:textId="77777777" w:rsidR="00E478E9" w:rsidRPr="00FA5062" w:rsidRDefault="00000000">
      <w:pPr>
        <w:rPr>
          <w:color w:val="000000" w:themeColor="text1"/>
        </w:rPr>
      </w:pPr>
      <w:r w:rsidRPr="00FA5062">
        <w:rPr>
          <w:color w:val="000000" w:themeColor="text1"/>
        </w:rPr>
        <w:t xml:space="preserve">Anon (2020). </w:t>
      </w:r>
      <w:r w:rsidRPr="00FA5062">
        <w:rPr>
          <w:i/>
          <w:color w:val="000000" w:themeColor="text1"/>
        </w:rPr>
        <w:t>Marketing the Event Life Cycle</w:t>
      </w:r>
      <w:r w:rsidRPr="00FA5062">
        <w:rPr>
          <w:color w:val="000000" w:themeColor="text1"/>
        </w:rPr>
        <w:t>. [online] Etix. Available at: https://hello.etix.com/marketing-the-event-life-cycle/.</w:t>
      </w:r>
    </w:p>
    <w:p w14:paraId="00000060" w14:textId="77777777" w:rsidR="00E478E9" w:rsidRPr="00FA5062" w:rsidRDefault="00000000">
      <w:pPr>
        <w:rPr>
          <w:color w:val="000000" w:themeColor="text1"/>
        </w:rPr>
      </w:pPr>
      <w:r w:rsidRPr="00FA5062">
        <w:rPr>
          <w:color w:val="000000" w:themeColor="text1"/>
        </w:rPr>
        <w:t xml:space="preserve">Buhidar, N. (2024). </w:t>
      </w:r>
      <w:r w:rsidRPr="00FA5062">
        <w:rPr>
          <w:i/>
          <w:color w:val="000000" w:themeColor="text1"/>
        </w:rPr>
        <w:t>3 Steps to a Stand-Out Event Concept</w:t>
      </w:r>
      <w:r w:rsidRPr="00FA5062">
        <w:rPr>
          <w:color w:val="000000" w:themeColor="text1"/>
        </w:rPr>
        <w:t>. [online] Eventbrite US Blog. Available at: https://www.eventbrite.com/blog/event-concept-ds00/.</w:t>
      </w:r>
    </w:p>
    <w:p w14:paraId="00000061" w14:textId="77777777" w:rsidR="00E478E9" w:rsidRPr="00FA5062" w:rsidRDefault="00000000">
      <w:pPr>
        <w:rPr>
          <w:color w:val="000000" w:themeColor="text1"/>
        </w:rPr>
      </w:pPr>
      <w:r w:rsidRPr="00FA5062">
        <w:rPr>
          <w:color w:val="000000" w:themeColor="text1"/>
        </w:rPr>
        <w:t xml:space="preserve">Howard, M. (2020). </w:t>
      </w:r>
      <w:r w:rsidRPr="00FA5062">
        <w:rPr>
          <w:i/>
          <w:color w:val="000000" w:themeColor="text1"/>
        </w:rPr>
        <w:t>What is Event Management? | Cvent Blog</w:t>
      </w:r>
      <w:r w:rsidRPr="00FA5062">
        <w:rPr>
          <w:color w:val="000000" w:themeColor="text1"/>
        </w:rPr>
        <w:t>. [online] www.cvent.com. Available at: https://www.cvent.com/en/blog/events/what-is-event-management.</w:t>
      </w:r>
    </w:p>
    <w:p w14:paraId="00000062" w14:textId="77777777" w:rsidR="00E478E9" w:rsidRPr="00FA5062" w:rsidRDefault="00000000">
      <w:pPr>
        <w:rPr>
          <w:color w:val="000000" w:themeColor="text1"/>
        </w:rPr>
      </w:pPr>
      <w:r w:rsidRPr="00FA5062">
        <w:rPr>
          <w:color w:val="000000" w:themeColor="text1"/>
        </w:rPr>
        <w:t xml:space="preserve">Makos, J. (2024). </w:t>
      </w:r>
      <w:r w:rsidRPr="00FA5062">
        <w:rPr>
          <w:i/>
          <w:color w:val="000000" w:themeColor="text1"/>
        </w:rPr>
        <w:t>What Is PESTLE Analysis? A Tool for Business Analysis</w:t>
      </w:r>
      <w:r w:rsidRPr="00FA5062">
        <w:rPr>
          <w:color w:val="000000" w:themeColor="text1"/>
        </w:rPr>
        <w:t xml:space="preserve">. [online] PESTLE Analysis. Available at: </w:t>
      </w:r>
      <w:hyperlink r:id="rId7">
        <w:r w:rsidRPr="00FA5062">
          <w:rPr>
            <w:color w:val="000000" w:themeColor="text1"/>
            <w:u w:val="single"/>
          </w:rPr>
          <w:t>https://pestleanalysis.com/what-is-pestle-analysis/</w:t>
        </w:r>
      </w:hyperlink>
      <w:r w:rsidRPr="00FA5062">
        <w:rPr>
          <w:color w:val="000000" w:themeColor="text1"/>
        </w:rPr>
        <w:t>.</w:t>
      </w:r>
    </w:p>
    <w:p w14:paraId="00000063" w14:textId="77777777" w:rsidR="00E478E9" w:rsidRPr="00FA5062" w:rsidRDefault="00000000">
      <w:pPr>
        <w:rPr>
          <w:color w:val="000000" w:themeColor="text1"/>
        </w:rPr>
      </w:pPr>
      <w:r w:rsidRPr="00FA5062">
        <w:rPr>
          <w:color w:val="000000" w:themeColor="text1"/>
        </w:rPr>
        <w:t xml:space="preserve">D.G., C. (2020). </w:t>
      </w:r>
      <w:r w:rsidRPr="00FA5062">
        <w:rPr>
          <w:i/>
          <w:color w:val="000000" w:themeColor="text1"/>
        </w:rPr>
        <w:t>The Event Manager’s Bible</w:t>
      </w:r>
      <w:r w:rsidRPr="00FA5062">
        <w:rPr>
          <w:color w:val="000000" w:themeColor="text1"/>
        </w:rPr>
        <w:t>. [online] Available at: https://stjohnscollege.edu.in/web/wp-content/uploads/2022/01/D._G._Conway_The_Event_Managers_Bible_The_CompBookFi.pdf.</w:t>
      </w:r>
    </w:p>
    <w:p w14:paraId="00000064" w14:textId="77777777" w:rsidR="00E478E9" w:rsidRPr="00FA5062" w:rsidRDefault="00000000">
      <w:pPr>
        <w:rPr>
          <w:color w:val="000000" w:themeColor="text1"/>
        </w:rPr>
      </w:pPr>
      <w:r w:rsidRPr="00FA5062">
        <w:rPr>
          <w:color w:val="000000" w:themeColor="text1"/>
        </w:rPr>
        <w:t xml:space="preserve">Fan, A. (2023). </w:t>
      </w:r>
      <w:r w:rsidRPr="00FA5062">
        <w:rPr>
          <w:i/>
          <w:color w:val="000000" w:themeColor="text1"/>
        </w:rPr>
        <w:t>Event Budget Planning: A Comprehensive Guide for Organizers and Companies</w:t>
      </w:r>
      <w:r w:rsidRPr="00FA5062">
        <w:rPr>
          <w:color w:val="000000" w:themeColor="text1"/>
        </w:rPr>
        <w:t>. [online] www.eventx.io. Available at: https://www.eventx.io/blog/event-budget-planning-a-comprehensive-guide-for-organizers-and-companies.</w:t>
      </w:r>
    </w:p>
    <w:p w14:paraId="00000065" w14:textId="77777777" w:rsidR="00E478E9" w:rsidRPr="00FA5062" w:rsidRDefault="00000000">
      <w:pPr>
        <w:rPr>
          <w:color w:val="000000" w:themeColor="text1"/>
        </w:rPr>
      </w:pPr>
      <w:r w:rsidRPr="00FA5062">
        <w:rPr>
          <w:color w:val="000000" w:themeColor="text1"/>
        </w:rPr>
        <w:t xml:space="preserve">Tilbrook, T. (2024). </w:t>
      </w:r>
      <w:r w:rsidRPr="00FA5062">
        <w:rPr>
          <w:i/>
          <w:color w:val="000000" w:themeColor="text1"/>
        </w:rPr>
        <w:t>Event Marketing Statistics &amp; Worldwide Trends In 2024 - Event Academy</w:t>
      </w:r>
      <w:r w:rsidRPr="00FA5062">
        <w:rPr>
          <w:color w:val="000000" w:themeColor="text1"/>
        </w:rPr>
        <w:t>. [online] Event Academy. Available at: https://eventacademy.com/resources/event-marketing-statistics/ [Accessed 4 Oct. 2024].</w:t>
      </w:r>
    </w:p>
    <w:p w14:paraId="00000066" w14:textId="77777777" w:rsidR="00E478E9" w:rsidRPr="00FA5062" w:rsidRDefault="00000000">
      <w:pPr>
        <w:rPr>
          <w:color w:val="000000" w:themeColor="text1"/>
        </w:rPr>
      </w:pPr>
      <w:r w:rsidRPr="00FA5062">
        <w:rPr>
          <w:color w:val="000000" w:themeColor="text1"/>
        </w:rPr>
        <w:t xml:space="preserve">Wendt, M. (2023). </w:t>
      </w:r>
      <w:r w:rsidRPr="00FA5062">
        <w:rPr>
          <w:i/>
          <w:color w:val="000000" w:themeColor="text1"/>
        </w:rPr>
        <w:t>6 Components of a Successful Event Content Strategy</w:t>
      </w:r>
      <w:r w:rsidRPr="00FA5062">
        <w:rPr>
          <w:color w:val="000000" w:themeColor="text1"/>
        </w:rPr>
        <w:t>. [online] OVATION. Available at: https://ovationevents.com/blog/components-successful-event-content-strategy-infographic/ [Accessed 4 Oct. 2024].</w:t>
      </w:r>
    </w:p>
    <w:p w14:paraId="00000067" w14:textId="77777777" w:rsidR="00E478E9" w:rsidRPr="00FA5062" w:rsidRDefault="00000000">
      <w:pPr>
        <w:rPr>
          <w:color w:val="000000" w:themeColor="text1"/>
        </w:rPr>
      </w:pPr>
      <w:r w:rsidRPr="00FA5062">
        <w:rPr>
          <w:color w:val="000000" w:themeColor="text1"/>
        </w:rPr>
        <w:t xml:space="preserve">Anon (2023). </w:t>
      </w:r>
      <w:r w:rsidRPr="00FA5062">
        <w:rPr>
          <w:i/>
          <w:color w:val="000000" w:themeColor="text1"/>
        </w:rPr>
        <w:t>Content vs. Context - What’s the Difference? | This vs. That</w:t>
      </w:r>
      <w:r w:rsidRPr="00FA5062">
        <w:rPr>
          <w:color w:val="000000" w:themeColor="text1"/>
        </w:rPr>
        <w:t>. [online] This vs. That. Available at: https://thisvsthat.io/content-vs-context?formCode=MG0AV3 [Accessed 8 Oct. 2024].</w:t>
      </w:r>
    </w:p>
    <w:p w14:paraId="00000068" w14:textId="77777777" w:rsidR="00E478E9" w:rsidRPr="00FA5062" w:rsidRDefault="00000000">
      <w:pPr>
        <w:rPr>
          <w:color w:val="000000" w:themeColor="text1"/>
        </w:rPr>
      </w:pPr>
      <w:r w:rsidRPr="00FA5062">
        <w:rPr>
          <w:color w:val="000000" w:themeColor="text1"/>
        </w:rPr>
        <w:t xml:space="preserve">Anon (2024). </w:t>
      </w:r>
      <w:r w:rsidRPr="00FA5062">
        <w:rPr>
          <w:i/>
          <w:color w:val="000000" w:themeColor="text1"/>
        </w:rPr>
        <w:t>Market Factors - Vocab, Definition, and Must Know Facts | Fiveable</w:t>
      </w:r>
      <w:r w:rsidRPr="00FA5062">
        <w:rPr>
          <w:color w:val="000000" w:themeColor="text1"/>
        </w:rPr>
        <w:t>. [online] Fiveable.me. Available at: https://library.fiveable.me/key-terms/principles-marketing/market-factors?formCode=MG0AV3 [Accessed 8 Oct. 2024].</w:t>
      </w:r>
    </w:p>
    <w:p w14:paraId="00000069" w14:textId="77777777" w:rsidR="00E478E9" w:rsidRPr="00FA5062" w:rsidRDefault="00000000">
      <w:pPr>
        <w:rPr>
          <w:color w:val="000000" w:themeColor="text1"/>
        </w:rPr>
      </w:pPr>
      <w:r w:rsidRPr="00FA5062">
        <w:rPr>
          <w:color w:val="000000" w:themeColor="text1"/>
        </w:rPr>
        <w:t xml:space="preserve">Iverson, T., Pujol, F. and Joris Wijpkema (2023). </w:t>
      </w:r>
      <w:r w:rsidRPr="00FA5062">
        <w:rPr>
          <w:i/>
          <w:color w:val="000000" w:themeColor="text1"/>
        </w:rPr>
        <w:t>Operational excellence: How purpose and technology can power performance</w:t>
      </w:r>
      <w:r w:rsidRPr="00FA5062">
        <w:rPr>
          <w:color w:val="000000" w:themeColor="text1"/>
        </w:rPr>
        <w:t xml:space="preserve">. [online] McKinsey &amp; Company. Available at: </w:t>
      </w:r>
      <w:r w:rsidRPr="00FA5062">
        <w:rPr>
          <w:color w:val="000000" w:themeColor="text1"/>
        </w:rPr>
        <w:lastRenderedPageBreak/>
        <w:t>https://www.mckinsey.com/capabilities/operations/our-insights/operational-excellence-how-purpose-and-technology-can-power-performance?formCode=MG0AV3 [Accessed 8 Oct. 2024].</w:t>
      </w:r>
    </w:p>
    <w:p w14:paraId="0000006A" w14:textId="77777777" w:rsidR="00E478E9" w:rsidRPr="00FA5062" w:rsidRDefault="00000000">
      <w:pPr>
        <w:rPr>
          <w:color w:val="000000" w:themeColor="text1"/>
        </w:rPr>
      </w:pPr>
      <w:r w:rsidRPr="00FA5062">
        <w:rPr>
          <w:color w:val="000000" w:themeColor="text1"/>
        </w:rPr>
        <w:t xml:space="preserve">Medleva, V. (2021). </w:t>
      </w:r>
      <w:r w:rsidRPr="00FA5062">
        <w:rPr>
          <w:i/>
          <w:color w:val="000000" w:themeColor="text1"/>
        </w:rPr>
        <w:t>What are market forces?</w:t>
      </w:r>
      <w:r w:rsidRPr="00FA5062">
        <w:rPr>
          <w:color w:val="000000" w:themeColor="text1"/>
        </w:rPr>
        <w:t xml:space="preserve"> [online] Capital.com. Available at: https://capital.com/market-forces-definition.</w:t>
      </w:r>
    </w:p>
    <w:p w14:paraId="0000006B" w14:textId="77777777" w:rsidR="00E478E9" w:rsidRPr="00FA5062" w:rsidRDefault="00000000">
      <w:pPr>
        <w:rPr>
          <w:color w:val="000000" w:themeColor="text1"/>
        </w:rPr>
      </w:pPr>
      <w:r w:rsidRPr="00FA5062">
        <w:rPr>
          <w:color w:val="000000" w:themeColor="text1"/>
        </w:rPr>
        <w:t xml:space="preserve">Nielsen, F. (2020). </w:t>
      </w:r>
      <w:r w:rsidRPr="00FA5062">
        <w:rPr>
          <w:i/>
          <w:color w:val="000000" w:themeColor="text1"/>
        </w:rPr>
        <w:t>Guide to Evaluating Events: 10 Steps to Measure Your Success</w:t>
      </w:r>
      <w:r w:rsidRPr="00FA5062">
        <w:rPr>
          <w:color w:val="000000" w:themeColor="text1"/>
        </w:rPr>
        <w:t>. [online] Billetto Blog. Available at: https://billetto.co.uk/blog/guide-to-evaluating-events?formCode=MG0AV3 [Accessed 8 Oct. 2024].</w:t>
      </w:r>
    </w:p>
    <w:p w14:paraId="0000006C" w14:textId="77777777" w:rsidR="00E478E9" w:rsidRPr="00FA5062" w:rsidRDefault="00000000">
      <w:pPr>
        <w:rPr>
          <w:color w:val="000000" w:themeColor="text1"/>
        </w:rPr>
      </w:pPr>
      <w:r w:rsidRPr="00FA5062">
        <w:rPr>
          <w:color w:val="000000" w:themeColor="text1"/>
        </w:rPr>
        <w:t xml:space="preserve">Porter, J. (2024). </w:t>
      </w:r>
      <w:r w:rsidRPr="00FA5062">
        <w:rPr>
          <w:i/>
          <w:color w:val="000000" w:themeColor="text1"/>
        </w:rPr>
        <w:t>How to Measure Event ROI: Metrics and Strategies for Maximum Impact [2024]</w:t>
      </w:r>
      <w:r w:rsidRPr="00FA5062">
        <w:rPr>
          <w:color w:val="000000" w:themeColor="text1"/>
        </w:rPr>
        <w:t>. [online] Eventpipe.com. Available at: https://eventpipe.com/blog/measure-event-roi?formCode=MG0AV3 [Accessed 8 Oct. 2024].</w:t>
      </w:r>
    </w:p>
    <w:p w14:paraId="0000006D" w14:textId="77777777" w:rsidR="00E478E9" w:rsidRPr="00FA5062" w:rsidRDefault="00000000">
      <w:pPr>
        <w:rPr>
          <w:color w:val="000000" w:themeColor="text1"/>
        </w:rPr>
      </w:pPr>
      <w:r w:rsidRPr="00FA5062">
        <w:rPr>
          <w:color w:val="000000" w:themeColor="text1"/>
        </w:rPr>
        <w:t xml:space="preserve">Salvatori, H. (2023). </w:t>
      </w:r>
      <w:r w:rsidRPr="00FA5062">
        <w:rPr>
          <w:i/>
          <w:color w:val="000000" w:themeColor="text1"/>
        </w:rPr>
        <w:t>How to Measure Event Success: A Comprehensive Guide to ROI | Cvent Blog</w:t>
      </w:r>
      <w:r w:rsidRPr="00FA5062">
        <w:rPr>
          <w:color w:val="000000" w:themeColor="text1"/>
        </w:rPr>
        <w:t>. [online] Cvent.com. Available at: https://www.cvent.com/en/blog/events/how-to-measure-event-success?formCode=MG0AV3 [Accessed 8 Oct. 2024].</w:t>
      </w:r>
    </w:p>
    <w:p w14:paraId="0000006E" w14:textId="77777777" w:rsidR="00E478E9" w:rsidRPr="00FA5062" w:rsidRDefault="00000000">
      <w:pPr>
        <w:rPr>
          <w:color w:val="000000" w:themeColor="text1"/>
        </w:rPr>
      </w:pPr>
      <w:r w:rsidRPr="00FA5062">
        <w:rPr>
          <w:color w:val="000000" w:themeColor="text1"/>
        </w:rPr>
        <w:t xml:space="preserve">Saylor Academy (2021). </w:t>
      </w:r>
      <w:r w:rsidRPr="00FA5062">
        <w:rPr>
          <w:i/>
          <w:color w:val="000000" w:themeColor="text1"/>
        </w:rPr>
        <w:t>References</w:t>
      </w:r>
      <w:r w:rsidRPr="00FA5062">
        <w:rPr>
          <w:color w:val="000000" w:themeColor="text1"/>
        </w:rPr>
        <w:t>. [online] Nscc.ca. Available at: https://pressbooks.nscc.ca/operationsmanagement2/back-matter/references/?formCode=MG0AV3 [Accessed 8 Oct. 2024].</w:t>
      </w:r>
    </w:p>
    <w:p w14:paraId="0000006F" w14:textId="77777777" w:rsidR="00E478E9" w:rsidRPr="00FA5062" w:rsidRDefault="00000000">
      <w:pPr>
        <w:rPr>
          <w:color w:val="000000" w:themeColor="text1"/>
        </w:rPr>
      </w:pPr>
      <w:r w:rsidRPr="00FA5062">
        <w:rPr>
          <w:color w:val="000000" w:themeColor="text1"/>
        </w:rPr>
        <w:t xml:space="preserve">Team, C. (2024). </w:t>
      </w:r>
      <w:r w:rsidRPr="00FA5062">
        <w:rPr>
          <w:i/>
          <w:color w:val="000000" w:themeColor="text1"/>
        </w:rPr>
        <w:t>Market Structure</w:t>
      </w:r>
      <w:r w:rsidRPr="00FA5062">
        <w:rPr>
          <w:color w:val="000000" w:themeColor="text1"/>
        </w:rPr>
        <w:t>. [online] Corporate Finance Institute. Available at: https://corporatefinanceinstitute.com/resources/economics/market-structure/?formCode=MG0AV3 [Accessed 8 Oct. 2024].</w:t>
      </w:r>
    </w:p>
    <w:p w14:paraId="00000070" w14:textId="77777777" w:rsidR="00E478E9" w:rsidRPr="00FA5062" w:rsidRDefault="00000000">
      <w:pPr>
        <w:rPr>
          <w:color w:val="000000" w:themeColor="text1"/>
        </w:rPr>
      </w:pPr>
      <w:r w:rsidRPr="00FA5062">
        <w:rPr>
          <w:color w:val="000000" w:themeColor="text1"/>
        </w:rPr>
        <w:t xml:space="preserve">Timpson, J. (2020). </w:t>
      </w:r>
      <w:r w:rsidRPr="00FA5062">
        <w:rPr>
          <w:i/>
          <w:color w:val="000000" w:themeColor="text1"/>
        </w:rPr>
        <w:t>5 Critical Success Factors for Evaluating Operational Performance - Kaufman Global</w:t>
      </w:r>
      <w:r w:rsidRPr="00FA5062">
        <w:rPr>
          <w:color w:val="000000" w:themeColor="text1"/>
        </w:rPr>
        <w:t>. [online] Kaufman Global. Available at: https://www.kaufmanglobal.com/5-critical-success-factors-for-evaluating-operational-performance/?formCode=MG0AV3 [Accessed 8 Oct. 2024].</w:t>
      </w:r>
    </w:p>
    <w:p w14:paraId="00000071" w14:textId="77777777" w:rsidR="00E478E9" w:rsidRPr="00FA5062" w:rsidRDefault="00000000">
      <w:pPr>
        <w:rPr>
          <w:color w:val="000000" w:themeColor="text1"/>
        </w:rPr>
      </w:pPr>
      <w:r w:rsidRPr="00FA5062">
        <w:rPr>
          <w:color w:val="000000" w:themeColor="text1"/>
        </w:rPr>
        <w:t>Wendt, M. (2023). 6 Components of a Successful Event Content Strategy. [online] OVATION. Available at: https://ovationevents.com/blog/components-successful-event-content-strategy-infographic/ [Accessed 4 Oct. 2024].</w:t>
      </w:r>
    </w:p>
    <w:sectPr w:rsidR="00E478E9" w:rsidRPr="00FA5062">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BB8DFD9" w14:textId="77777777" w:rsidR="00B72D65" w:rsidRDefault="00B72D65">
      <w:pPr>
        <w:spacing w:line="240" w:lineRule="auto"/>
      </w:pPr>
      <w:r>
        <w:separator/>
      </w:r>
    </w:p>
  </w:endnote>
  <w:endnote w:type="continuationSeparator" w:id="0">
    <w:p w14:paraId="457FF643" w14:textId="77777777" w:rsidR="00B72D65" w:rsidRDefault="00B72D6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72" w14:textId="04FB8F5E" w:rsidR="00E478E9" w:rsidRDefault="00000000">
    <w:pPr>
      <w:jc w:val="right"/>
    </w:pPr>
    <w:r>
      <w:fldChar w:fldCharType="begin"/>
    </w:r>
    <w:r>
      <w:instrText>PAGE</w:instrText>
    </w:r>
    <w:r>
      <w:fldChar w:fldCharType="separate"/>
    </w:r>
    <w:r w:rsidR="00FA5062">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7A56DB" w14:textId="77777777" w:rsidR="00B72D65" w:rsidRDefault="00B72D65">
      <w:pPr>
        <w:spacing w:line="240" w:lineRule="auto"/>
      </w:pPr>
      <w:r>
        <w:separator/>
      </w:r>
    </w:p>
  </w:footnote>
  <w:footnote w:type="continuationSeparator" w:id="0">
    <w:p w14:paraId="3A086695" w14:textId="77777777" w:rsidR="00B72D65" w:rsidRDefault="00B72D6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78E9"/>
    <w:rsid w:val="00091754"/>
    <w:rsid w:val="00B72D65"/>
    <w:rsid w:val="00E478E9"/>
    <w:rsid w:val="00FA50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163F9"/>
  <w15:docId w15:val="{3ED4157B-3ECE-4B3A-85F8-58106E5D26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jc w:val="center"/>
    </w:pPr>
    <w:rPr>
      <w:b/>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pestleanalysis.com/what-is-pestle-analysi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JWuaVYNLADqTcT5uOwX1N4qsavw==">CgMxLjAyDmguN3dxN2Z3c3JrNTQ1MghoLmdqZGd4czIJaC4zMGowemxsMgloLjFmb2I5dGUyCWguM3pueXNoNzIJaC4yZXQ5MnAwMghoLnR5amN3dDIJaC4zZHk2dmttMgloLjF0M2g1c2YyCWguNGQzNG9nODIJaC4yczhleW8xMg1oLnV1NmNud205czA2Mg5oLmR4dTltNmdrNGIyNTIOaC5ocjQ3OTZ3MHF2ZWkyDWguMjRta3YydWltdzYyDmguNXJsMDRyb215NmZzMg5oLjZ4ZmRrdmkweGlmcDIOaC40ejgyODUxMzQ0a3gyCWguMTdkcDh2dTgAciExM0hjWFBJTUlNTjkzSnRCSmZRc0lyYjlMTkVJYTNRbE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4289</Words>
  <Characters>24448</Characters>
  <Application>Microsoft Office Word</Application>
  <DocSecurity>0</DocSecurity>
  <Lines>203</Lines>
  <Paragraphs>57</Paragraphs>
  <ScaleCrop>false</ScaleCrop>
  <Company/>
  <LinksUpToDate>false</LinksUpToDate>
  <CharactersWithSpaces>28680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luminita 2211340</cp:lastModifiedBy>
  <cp:revision>2</cp:revision>
  <dcterms:created xsi:type="dcterms:W3CDTF">2024-11-08T12:56:00Z</dcterms:created>
  <dcterms:modified xsi:type="dcterms:W3CDTF">2024-11-08T12:59:00Z</dcterms:modified>
</cp:coreProperties>
</file>