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A2C1E" w14:textId="2509BE66" w:rsidR="00F37C3A" w:rsidRPr="00F37C3A" w:rsidRDefault="00B9006A" w:rsidP="00F37C3A">
      <w:pPr>
        <w:pStyle w:val="Default"/>
        <w:jc w:val="center"/>
        <w:rPr>
          <w:u w:val="single"/>
        </w:rPr>
      </w:pPr>
      <w:r w:rsidRPr="00F37C3A">
        <w:rPr>
          <w:u w:val="single"/>
        </w:rPr>
        <w:t>Es</w:t>
      </w:r>
      <w:r w:rsidR="00F37C3A" w:rsidRPr="00F37C3A">
        <w:rPr>
          <w:u w:val="single"/>
        </w:rPr>
        <w:t>say 1 - 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5D371411" w14:textId="77777777" w:rsidR="00F37C3A" w:rsidRPr="00F37C3A" w:rsidRDefault="00F37C3A" w:rsidP="00B9006A">
      <w:pPr>
        <w:rPr>
          <w:rFonts w:ascii="Arial" w:hAnsi="Arial" w:cs="Arial"/>
          <w:sz w:val="24"/>
          <w:szCs w:val="24"/>
        </w:rPr>
      </w:pPr>
    </w:p>
    <w:p w14:paraId="2A65B641" w14:textId="73E96E3D"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A 2018 study carried out on behalf of HMICRFS found that is the public do not perceive the police to treat people fairly and with respect then they are far less likely to report a crime whether as a victim or a witness. This essay will assess the effect of measures put in place to ensure that police constables treat members of the public, fairly and with respect whilst acting with integrity. </w:t>
      </w:r>
    </w:p>
    <w:p w14:paraId="1B0DB66E" w14:textId="0B39E5C8"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According to Reiner (2000) It has long been the ideology that the police in the United Kingdom, police by consent. </w:t>
      </w:r>
      <w:proofErr w:type="gramStart"/>
      <w:r w:rsidRPr="00F37C3A">
        <w:rPr>
          <w:rFonts w:ascii="Arial" w:hAnsi="Arial" w:cs="Arial"/>
          <w:sz w:val="24"/>
          <w:szCs w:val="24"/>
        </w:rPr>
        <w:t>Therefore</w:t>
      </w:r>
      <w:proofErr w:type="gramEnd"/>
      <w:r w:rsidRPr="00F37C3A">
        <w:rPr>
          <w:rFonts w:ascii="Arial" w:hAnsi="Arial" w:cs="Arial"/>
          <w:sz w:val="24"/>
          <w:szCs w:val="24"/>
        </w:rPr>
        <w:t xml:space="preserve"> the perception of the public that they police must be positive in order to uphold the respect required to police effectively. Jackson and Sunshine (2007) argue that the term public confidence has become a measure of “trust, legitimacy and consent in policing”. Awan et al (2013)</w:t>
      </w:r>
      <w:r w:rsidR="00F37C3A" w:rsidRPr="00F37C3A">
        <w:rPr>
          <w:rFonts w:ascii="Arial" w:hAnsi="Arial" w:cs="Arial"/>
          <w:sz w:val="24"/>
          <w:szCs w:val="24"/>
        </w:rPr>
        <w:t xml:space="preserve"> </w:t>
      </w:r>
      <w:r w:rsidRPr="00F37C3A">
        <w:rPr>
          <w:rFonts w:ascii="Arial" w:hAnsi="Arial" w:cs="Arial"/>
          <w:sz w:val="24"/>
          <w:szCs w:val="24"/>
        </w:rPr>
        <w:t xml:space="preserve">identify three drivers that determine whether someone is satisfied that they have been treated fairly by police they are trustworthiness, believing that the officers have their best interest in mind. Remaining neutral, making fair and unbiased </w:t>
      </w:r>
      <w:proofErr w:type="gramStart"/>
      <w:r w:rsidRPr="00F37C3A">
        <w:rPr>
          <w:rFonts w:ascii="Arial" w:hAnsi="Arial" w:cs="Arial"/>
          <w:sz w:val="24"/>
          <w:szCs w:val="24"/>
        </w:rPr>
        <w:t>decisions</w:t>
      </w:r>
      <w:proofErr w:type="gramEnd"/>
      <w:r w:rsidRPr="00F37C3A">
        <w:rPr>
          <w:rFonts w:ascii="Arial" w:hAnsi="Arial" w:cs="Arial"/>
          <w:sz w:val="24"/>
          <w:szCs w:val="24"/>
        </w:rPr>
        <w:t xml:space="preserve"> and being dealt with in good standing, which simply means being treated in a respectful manner. </w:t>
      </w:r>
      <w:proofErr w:type="gramStart"/>
      <w:r w:rsidRPr="00F37C3A">
        <w:rPr>
          <w:rFonts w:ascii="Arial" w:hAnsi="Arial" w:cs="Arial"/>
          <w:sz w:val="24"/>
          <w:szCs w:val="24"/>
        </w:rPr>
        <w:t>In order to</w:t>
      </w:r>
      <w:proofErr w:type="gramEnd"/>
      <w:r w:rsidRPr="00F37C3A">
        <w:rPr>
          <w:rFonts w:ascii="Arial" w:hAnsi="Arial" w:cs="Arial"/>
          <w:sz w:val="24"/>
          <w:szCs w:val="24"/>
        </w:rPr>
        <w:t xml:space="preserve"> continually keep the peace and police with consent the police force must put in place measures to ensure that members of the public feel his way after every contact. </w:t>
      </w:r>
    </w:p>
    <w:p w14:paraId="781C5321" w14:textId="77777777" w:rsidR="00B9006A" w:rsidRPr="00F37C3A" w:rsidRDefault="00B9006A" w:rsidP="00111241">
      <w:pPr>
        <w:spacing w:line="480" w:lineRule="auto"/>
        <w:jc w:val="both"/>
        <w:rPr>
          <w:rFonts w:ascii="Arial" w:hAnsi="Arial" w:cs="Arial"/>
          <w:sz w:val="24"/>
          <w:szCs w:val="24"/>
        </w:rPr>
      </w:pPr>
    </w:p>
    <w:p w14:paraId="71AE0987" w14:textId="176167CF"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One of the key measures put in place by forces within England and Wales to ensure that officers treat the public fairly, with integrity and respect is the high level of bespoke training new officers receive. The </w:t>
      </w:r>
      <w:proofErr w:type="spellStart"/>
      <w:r w:rsidRPr="00F37C3A">
        <w:rPr>
          <w:rFonts w:ascii="Arial" w:hAnsi="Arial" w:cs="Arial"/>
          <w:sz w:val="24"/>
          <w:szCs w:val="24"/>
        </w:rPr>
        <w:t>Neyroud</w:t>
      </w:r>
      <w:proofErr w:type="spellEnd"/>
      <w:r w:rsidRPr="00F37C3A">
        <w:rPr>
          <w:rFonts w:ascii="Arial" w:hAnsi="Arial" w:cs="Arial"/>
          <w:sz w:val="24"/>
          <w:szCs w:val="24"/>
        </w:rPr>
        <w:t xml:space="preserve"> Review (2011) brought about the development of the Code of Ethics, authorised applied professional practices and the </w:t>
      </w:r>
      <w:r w:rsidRPr="00F37C3A">
        <w:rPr>
          <w:rFonts w:ascii="Arial" w:hAnsi="Arial" w:cs="Arial"/>
          <w:sz w:val="24"/>
          <w:szCs w:val="24"/>
        </w:rPr>
        <w:lastRenderedPageBreak/>
        <w:t xml:space="preserve">qualification framework, which includes both degree and </w:t>
      </w:r>
      <w:proofErr w:type="spellStart"/>
      <w:r w:rsidRPr="00F37C3A">
        <w:rPr>
          <w:rFonts w:ascii="Arial" w:hAnsi="Arial" w:cs="Arial"/>
          <w:sz w:val="24"/>
          <w:szCs w:val="24"/>
        </w:rPr>
        <w:t>non degree</w:t>
      </w:r>
      <w:proofErr w:type="spellEnd"/>
      <w:r w:rsidRPr="00F37C3A">
        <w:rPr>
          <w:rFonts w:ascii="Arial" w:hAnsi="Arial" w:cs="Arial"/>
          <w:sz w:val="24"/>
          <w:szCs w:val="24"/>
        </w:rPr>
        <w:t xml:space="preserve"> holder pathways for new officers. Training is delivered by the College of </w:t>
      </w:r>
      <w:proofErr w:type="gramStart"/>
      <w:r w:rsidRPr="00F37C3A">
        <w:rPr>
          <w:rFonts w:ascii="Arial" w:hAnsi="Arial" w:cs="Arial"/>
          <w:sz w:val="24"/>
          <w:szCs w:val="24"/>
        </w:rPr>
        <w:t>Policing,</w:t>
      </w:r>
      <w:proofErr w:type="gramEnd"/>
      <w:r w:rsidRPr="00F37C3A">
        <w:rPr>
          <w:rFonts w:ascii="Arial" w:hAnsi="Arial" w:cs="Arial"/>
          <w:sz w:val="24"/>
          <w:szCs w:val="24"/>
        </w:rPr>
        <w:t xml:space="preserve"> it was established in 2012 and is the official professional body for policing. Wood et al, (2022) states that the College of policing focuses on knowledge and good practice, professional development and arguably most important for this topic, standards for police forces and individuals. There are several publications that fall within teaching new officers the required standards for policing, they include the code of ethics. The code of ethics themselves are a set of guidelines that officers must follow which ensures they are respectful, fair and act with integrity. They were launched in 2014.  </w:t>
      </w:r>
    </w:p>
    <w:p w14:paraId="3CB079A7" w14:textId="46215839"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Within the code of ethics is the following “Challenging improper behaviour and practice”, College of Policing (2024). This measure ensures that officers are tasked to not only uphold their own standard but also report colleagues when their standards drop. </w:t>
      </w:r>
      <w:r w:rsidRPr="00F37C3A">
        <w:rPr>
          <w:rFonts w:ascii="Arial" w:hAnsi="Arial" w:cs="Arial"/>
          <w:sz w:val="24"/>
          <w:szCs w:val="24"/>
          <w:shd w:val="clear" w:color="auto" w:fill="FFFFFF"/>
        </w:rPr>
        <w:t xml:space="preserve">An example of this derives from a study conducted by </w:t>
      </w:r>
      <w:proofErr w:type="spellStart"/>
      <w:r w:rsidRPr="00F37C3A">
        <w:rPr>
          <w:rFonts w:ascii="Arial" w:hAnsi="Arial" w:cs="Arial"/>
          <w:sz w:val="24"/>
          <w:szCs w:val="24"/>
          <w:shd w:val="clear" w:color="auto" w:fill="FFFFFF"/>
        </w:rPr>
        <w:t>Westmarland</w:t>
      </w:r>
      <w:proofErr w:type="spellEnd"/>
      <w:r w:rsidRPr="00F37C3A">
        <w:rPr>
          <w:rFonts w:ascii="Arial" w:hAnsi="Arial" w:cs="Arial"/>
          <w:sz w:val="24"/>
          <w:szCs w:val="24"/>
          <w:shd w:val="clear" w:color="auto" w:fill="FFFFFF"/>
        </w:rPr>
        <w:t xml:space="preserve"> and Rowe, (2016) that there has been a notable increase in the percentage of officers who are willing to or have reported or challenged colleagues for behaviour falling foul of the code of ethics. This suggests that this measure of peer review is an effective measure to ensure that </w:t>
      </w:r>
      <w:r w:rsidRPr="00F37C3A">
        <w:rPr>
          <w:rFonts w:ascii="Arial" w:hAnsi="Arial" w:cs="Arial"/>
          <w:sz w:val="24"/>
          <w:szCs w:val="24"/>
        </w:rPr>
        <w:t xml:space="preserve">police constables treat members of the public, fairly and with respect whilst acting with integrity. Further studies by </w:t>
      </w:r>
      <w:proofErr w:type="spellStart"/>
      <w:r w:rsidRPr="00F37C3A">
        <w:rPr>
          <w:rFonts w:ascii="Arial" w:hAnsi="Arial" w:cs="Arial"/>
          <w:sz w:val="24"/>
          <w:szCs w:val="24"/>
        </w:rPr>
        <w:t>Westmarland</w:t>
      </w:r>
      <w:proofErr w:type="spellEnd"/>
      <w:r w:rsidRPr="00F37C3A">
        <w:rPr>
          <w:rFonts w:ascii="Arial" w:hAnsi="Arial" w:cs="Arial"/>
          <w:sz w:val="24"/>
          <w:szCs w:val="24"/>
        </w:rPr>
        <w:t xml:space="preserve"> (2020) highlight their belief that this increase is </w:t>
      </w:r>
      <w:proofErr w:type="gramStart"/>
      <w:r w:rsidRPr="00F37C3A">
        <w:rPr>
          <w:rFonts w:ascii="Arial" w:hAnsi="Arial" w:cs="Arial"/>
          <w:sz w:val="24"/>
          <w:szCs w:val="24"/>
        </w:rPr>
        <w:t>as a result of</w:t>
      </w:r>
      <w:proofErr w:type="gramEnd"/>
      <w:r w:rsidRPr="00F37C3A">
        <w:rPr>
          <w:rFonts w:ascii="Arial" w:hAnsi="Arial" w:cs="Arial"/>
          <w:sz w:val="24"/>
          <w:szCs w:val="24"/>
        </w:rPr>
        <w:t xml:space="preserve"> action taken in 2014 to make the Code of Ethics statute, making it a legal requirement for officers to report misconduct of a colleague.</w:t>
      </w:r>
    </w:p>
    <w:p w14:paraId="4CE73AD5" w14:textId="32DDBC43"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This leads onto another paramount measure to ensuring that officers act with integrity, </w:t>
      </w:r>
      <w:proofErr w:type="gramStart"/>
      <w:r w:rsidRPr="00F37C3A">
        <w:rPr>
          <w:rFonts w:ascii="Arial" w:hAnsi="Arial" w:cs="Arial"/>
          <w:sz w:val="24"/>
          <w:szCs w:val="24"/>
        </w:rPr>
        <w:t>respect</w:t>
      </w:r>
      <w:proofErr w:type="gramEnd"/>
      <w:r w:rsidRPr="00F37C3A">
        <w:rPr>
          <w:rFonts w:ascii="Arial" w:hAnsi="Arial" w:cs="Arial"/>
          <w:sz w:val="24"/>
          <w:szCs w:val="24"/>
        </w:rPr>
        <w:t xml:space="preserve"> and fairness. The disciplinary procedures that commence following a report of misconduct. The Home Office (2014) highlights that the police often police themselves with 88% of dismissals commencing from internal reports. The disciplinary system plays a large role in public perception with Tudor (</w:t>
      </w:r>
      <w:proofErr w:type="gramStart"/>
      <w:r w:rsidRPr="00F37C3A">
        <w:rPr>
          <w:rFonts w:ascii="Arial" w:hAnsi="Arial" w:cs="Arial"/>
          <w:sz w:val="24"/>
          <w:szCs w:val="24"/>
        </w:rPr>
        <w:t>2023)suggesting</w:t>
      </w:r>
      <w:proofErr w:type="gramEnd"/>
      <w:r w:rsidRPr="00F37C3A">
        <w:rPr>
          <w:rFonts w:ascii="Arial" w:hAnsi="Arial" w:cs="Arial"/>
          <w:sz w:val="24"/>
          <w:szCs w:val="24"/>
        </w:rPr>
        <w:t xml:space="preserve"> that public </w:t>
      </w:r>
      <w:r w:rsidRPr="00F37C3A">
        <w:rPr>
          <w:rFonts w:ascii="Arial" w:hAnsi="Arial" w:cs="Arial"/>
          <w:sz w:val="24"/>
          <w:szCs w:val="24"/>
        </w:rPr>
        <w:lastRenderedPageBreak/>
        <w:t xml:space="preserve">confidence in the police is deteriorating due to cases of misconduct and illegal behaviour being publicised in the media. </w:t>
      </w:r>
      <w:proofErr w:type="gramStart"/>
      <w:r w:rsidRPr="00F37C3A">
        <w:rPr>
          <w:rFonts w:ascii="Arial" w:hAnsi="Arial" w:cs="Arial"/>
          <w:sz w:val="24"/>
          <w:szCs w:val="24"/>
        </w:rPr>
        <w:t>In order to</w:t>
      </w:r>
      <w:proofErr w:type="gramEnd"/>
      <w:r w:rsidRPr="00F37C3A">
        <w:rPr>
          <w:rFonts w:ascii="Arial" w:hAnsi="Arial" w:cs="Arial"/>
          <w:sz w:val="24"/>
          <w:szCs w:val="24"/>
        </w:rPr>
        <w:t xml:space="preserve"> combat this a stringent procedure is in place to deal with these officers. The department within the police that deal with disciplinary proceedings is known as the professional standards department (PSD) however there is also an independent body known as the Independent Office for Police Conduct (IPOC) that deal more serious cases of misconduct. Complaints can be made to either the individual for or IPOC by members of the public or from other officers. Results from these investigations can and do lead to officers being dismissed and often they can be blacklisted from ever becoming officers again and placed on the barred list College of Policing (2023), According to Chapman (2014) the disciplinary procedure is feared by officers and often many will resign before a decision is made however since 2013 the College of policing has records of officers who have resigned in order to prevent them from seeking to rejoin in the future. The quality of the discipline procedure is backed by The Home Office (2023) who insist that the public can take confidence in the fact that officers who fall short of what is expected as acceptable standards of behaviour are being removed from policing. Police forces do what they can to ensure officers treat the public fairly, with respect and show integrity however there will inevitably be officers that wish to bend the rules, these officers who fall short of expectation can be sure that they will face justice whether it be criminally or internally to uphold public confidence. </w:t>
      </w:r>
    </w:p>
    <w:p w14:paraId="5DC8CCE0" w14:textId="367541B2" w:rsidR="00B9006A" w:rsidRPr="00F37C3A" w:rsidRDefault="00B9006A" w:rsidP="00111241">
      <w:pPr>
        <w:spacing w:line="480" w:lineRule="auto"/>
        <w:jc w:val="both"/>
        <w:rPr>
          <w:rFonts w:ascii="Arial" w:hAnsi="Arial" w:cs="Arial"/>
          <w:sz w:val="24"/>
          <w:szCs w:val="24"/>
        </w:rPr>
      </w:pPr>
      <w:r w:rsidRPr="00F37C3A">
        <w:rPr>
          <w:rFonts w:ascii="Arial" w:hAnsi="Arial" w:cs="Arial"/>
          <w:sz w:val="24"/>
          <w:szCs w:val="24"/>
        </w:rPr>
        <w:t xml:space="preserve">To conclude it is paramount that officers adhere to the standards set for them in training by operating within the code of ethics, this includes the notion of policing the police as if matters of misconduct are not reported then they cannot hope to gain confidence from the </w:t>
      </w:r>
      <w:proofErr w:type="gramStart"/>
      <w:r w:rsidRPr="00F37C3A">
        <w:rPr>
          <w:rFonts w:ascii="Arial" w:hAnsi="Arial" w:cs="Arial"/>
          <w:sz w:val="24"/>
          <w:szCs w:val="24"/>
        </w:rPr>
        <w:t>public..</w:t>
      </w:r>
      <w:proofErr w:type="gramEnd"/>
      <w:r w:rsidRPr="00F37C3A">
        <w:rPr>
          <w:rFonts w:ascii="Arial" w:hAnsi="Arial" w:cs="Arial"/>
          <w:sz w:val="24"/>
          <w:szCs w:val="24"/>
        </w:rPr>
        <w:t xml:space="preserve"> It is worth noting that the work of Awan et al., (2013) argues that poor relationships between the police and the public are often based on pre-conceived </w:t>
      </w:r>
      <w:r w:rsidRPr="00F37C3A">
        <w:rPr>
          <w:rFonts w:ascii="Arial" w:hAnsi="Arial" w:cs="Arial"/>
          <w:sz w:val="24"/>
          <w:szCs w:val="24"/>
        </w:rPr>
        <w:lastRenderedPageBreak/>
        <w:t xml:space="preserve">attitudes and pre-existing opinions on the police. So even with all the measures put in place to ensure that all contact leave a positive footprint, there are members of the public who have already made their mind up about the quality of their interaction prior to police attendance. This calls for officer more so than ever to act with integrity and treat members of the public fairly and with respect in order to ensure that the narrative is </w:t>
      </w:r>
      <w:proofErr w:type="gramStart"/>
      <w:r w:rsidRPr="00F37C3A">
        <w:rPr>
          <w:rFonts w:ascii="Arial" w:hAnsi="Arial" w:cs="Arial"/>
          <w:sz w:val="24"/>
          <w:szCs w:val="24"/>
        </w:rPr>
        <w:t>changed</w:t>
      </w:r>
      <w:proofErr w:type="gramEnd"/>
      <w:r w:rsidRPr="00F37C3A">
        <w:rPr>
          <w:rFonts w:ascii="Arial" w:hAnsi="Arial" w:cs="Arial"/>
          <w:sz w:val="24"/>
          <w:szCs w:val="24"/>
        </w:rPr>
        <w:t xml:space="preserve"> and they are able to continue to police with consent. </w:t>
      </w:r>
    </w:p>
    <w:p w14:paraId="2B674FFF" w14:textId="7EB904C8" w:rsidR="00B9006A" w:rsidRPr="00F37C3A" w:rsidRDefault="00F37C3A" w:rsidP="00F37C3A">
      <w:pPr>
        <w:tabs>
          <w:tab w:val="left" w:pos="2620"/>
        </w:tabs>
        <w:rPr>
          <w:rFonts w:ascii="Arial" w:hAnsi="Arial" w:cs="Arial"/>
          <w:sz w:val="24"/>
          <w:szCs w:val="24"/>
        </w:rPr>
      </w:pPr>
      <w:r w:rsidRPr="00F37C3A">
        <w:rPr>
          <w:rFonts w:ascii="Arial" w:hAnsi="Arial" w:cs="Arial"/>
          <w:sz w:val="24"/>
          <w:szCs w:val="24"/>
        </w:rPr>
        <w:t>Words 1048</w:t>
      </w:r>
    </w:p>
    <w:p w14:paraId="6616C8B7" w14:textId="77777777" w:rsidR="00111241" w:rsidRDefault="00111241" w:rsidP="00F37C3A">
      <w:pPr>
        <w:pStyle w:val="Default"/>
        <w:jc w:val="center"/>
        <w:rPr>
          <w:u w:val="single"/>
        </w:rPr>
      </w:pPr>
    </w:p>
    <w:p w14:paraId="27EB2BF5" w14:textId="77777777" w:rsidR="00111241" w:rsidRDefault="00111241" w:rsidP="00F37C3A">
      <w:pPr>
        <w:pStyle w:val="Default"/>
        <w:jc w:val="center"/>
        <w:rPr>
          <w:u w:val="single"/>
        </w:rPr>
      </w:pPr>
    </w:p>
    <w:p w14:paraId="6200CE01" w14:textId="77777777" w:rsidR="00111241" w:rsidRDefault="00111241" w:rsidP="00F37C3A">
      <w:pPr>
        <w:pStyle w:val="Default"/>
        <w:jc w:val="center"/>
        <w:rPr>
          <w:u w:val="single"/>
        </w:rPr>
      </w:pPr>
    </w:p>
    <w:p w14:paraId="199699CA" w14:textId="77777777" w:rsidR="00111241" w:rsidRDefault="00111241" w:rsidP="00F37C3A">
      <w:pPr>
        <w:pStyle w:val="Default"/>
        <w:jc w:val="center"/>
        <w:rPr>
          <w:u w:val="single"/>
        </w:rPr>
      </w:pPr>
    </w:p>
    <w:p w14:paraId="49C6EBD5" w14:textId="77777777" w:rsidR="00111241" w:rsidRDefault="00111241" w:rsidP="00F37C3A">
      <w:pPr>
        <w:pStyle w:val="Default"/>
        <w:jc w:val="center"/>
        <w:rPr>
          <w:u w:val="single"/>
        </w:rPr>
      </w:pPr>
    </w:p>
    <w:p w14:paraId="3DBD0496" w14:textId="77777777" w:rsidR="00111241" w:rsidRDefault="00111241" w:rsidP="00F37C3A">
      <w:pPr>
        <w:pStyle w:val="Default"/>
        <w:jc w:val="center"/>
        <w:rPr>
          <w:u w:val="single"/>
        </w:rPr>
      </w:pPr>
    </w:p>
    <w:p w14:paraId="33C0D936" w14:textId="77777777" w:rsidR="00111241" w:rsidRDefault="00111241" w:rsidP="00F37C3A">
      <w:pPr>
        <w:pStyle w:val="Default"/>
        <w:jc w:val="center"/>
        <w:rPr>
          <w:u w:val="single"/>
        </w:rPr>
      </w:pPr>
    </w:p>
    <w:p w14:paraId="75D796EA" w14:textId="77777777" w:rsidR="00111241" w:rsidRDefault="00111241" w:rsidP="00F37C3A">
      <w:pPr>
        <w:pStyle w:val="Default"/>
        <w:jc w:val="center"/>
        <w:rPr>
          <w:u w:val="single"/>
        </w:rPr>
      </w:pPr>
    </w:p>
    <w:p w14:paraId="396CCCD8" w14:textId="77777777" w:rsidR="00111241" w:rsidRDefault="00111241" w:rsidP="00F37C3A">
      <w:pPr>
        <w:pStyle w:val="Default"/>
        <w:jc w:val="center"/>
        <w:rPr>
          <w:u w:val="single"/>
        </w:rPr>
      </w:pPr>
    </w:p>
    <w:p w14:paraId="4F7C19BF" w14:textId="77777777" w:rsidR="00111241" w:rsidRDefault="00111241" w:rsidP="00F37C3A">
      <w:pPr>
        <w:pStyle w:val="Default"/>
        <w:jc w:val="center"/>
        <w:rPr>
          <w:u w:val="single"/>
        </w:rPr>
      </w:pPr>
    </w:p>
    <w:p w14:paraId="51FDB657" w14:textId="77777777" w:rsidR="00111241" w:rsidRDefault="00111241" w:rsidP="00F37C3A">
      <w:pPr>
        <w:pStyle w:val="Default"/>
        <w:jc w:val="center"/>
        <w:rPr>
          <w:u w:val="single"/>
        </w:rPr>
      </w:pPr>
    </w:p>
    <w:p w14:paraId="472AA8AB" w14:textId="77777777" w:rsidR="00111241" w:rsidRDefault="00111241" w:rsidP="00F37C3A">
      <w:pPr>
        <w:pStyle w:val="Default"/>
        <w:jc w:val="center"/>
        <w:rPr>
          <w:u w:val="single"/>
        </w:rPr>
      </w:pPr>
    </w:p>
    <w:p w14:paraId="65E3BDD0" w14:textId="77777777" w:rsidR="00111241" w:rsidRDefault="00111241" w:rsidP="00F37C3A">
      <w:pPr>
        <w:pStyle w:val="Default"/>
        <w:jc w:val="center"/>
        <w:rPr>
          <w:u w:val="single"/>
        </w:rPr>
      </w:pPr>
    </w:p>
    <w:p w14:paraId="292D6BB6" w14:textId="77777777" w:rsidR="00111241" w:rsidRDefault="00111241" w:rsidP="00F37C3A">
      <w:pPr>
        <w:pStyle w:val="Default"/>
        <w:jc w:val="center"/>
        <w:rPr>
          <w:u w:val="single"/>
        </w:rPr>
      </w:pPr>
    </w:p>
    <w:p w14:paraId="1C606D33" w14:textId="77777777" w:rsidR="00111241" w:rsidRDefault="00111241" w:rsidP="00F37C3A">
      <w:pPr>
        <w:pStyle w:val="Default"/>
        <w:jc w:val="center"/>
        <w:rPr>
          <w:u w:val="single"/>
        </w:rPr>
      </w:pPr>
    </w:p>
    <w:p w14:paraId="43A3AE88" w14:textId="77777777" w:rsidR="00111241" w:rsidRDefault="00111241" w:rsidP="00F37C3A">
      <w:pPr>
        <w:pStyle w:val="Default"/>
        <w:jc w:val="center"/>
        <w:rPr>
          <w:u w:val="single"/>
        </w:rPr>
      </w:pPr>
    </w:p>
    <w:p w14:paraId="2B993BE7" w14:textId="77777777" w:rsidR="00111241" w:rsidRDefault="00111241" w:rsidP="00F37C3A">
      <w:pPr>
        <w:pStyle w:val="Default"/>
        <w:jc w:val="center"/>
        <w:rPr>
          <w:u w:val="single"/>
        </w:rPr>
      </w:pPr>
    </w:p>
    <w:p w14:paraId="66020864" w14:textId="77777777" w:rsidR="00111241" w:rsidRDefault="00111241" w:rsidP="00F37C3A">
      <w:pPr>
        <w:pStyle w:val="Default"/>
        <w:jc w:val="center"/>
        <w:rPr>
          <w:u w:val="single"/>
        </w:rPr>
      </w:pPr>
    </w:p>
    <w:p w14:paraId="28206A84" w14:textId="77777777" w:rsidR="00111241" w:rsidRDefault="00111241" w:rsidP="00F37C3A">
      <w:pPr>
        <w:pStyle w:val="Default"/>
        <w:jc w:val="center"/>
        <w:rPr>
          <w:u w:val="single"/>
        </w:rPr>
      </w:pPr>
    </w:p>
    <w:p w14:paraId="504E1AB3" w14:textId="77777777" w:rsidR="00111241" w:rsidRDefault="00111241" w:rsidP="00F37C3A">
      <w:pPr>
        <w:pStyle w:val="Default"/>
        <w:jc w:val="center"/>
        <w:rPr>
          <w:u w:val="single"/>
        </w:rPr>
      </w:pPr>
    </w:p>
    <w:p w14:paraId="776D8A49" w14:textId="77777777" w:rsidR="00111241" w:rsidRDefault="00111241" w:rsidP="00F37C3A">
      <w:pPr>
        <w:pStyle w:val="Default"/>
        <w:jc w:val="center"/>
        <w:rPr>
          <w:u w:val="single"/>
        </w:rPr>
      </w:pPr>
    </w:p>
    <w:p w14:paraId="1802701D" w14:textId="77777777" w:rsidR="00111241" w:rsidRDefault="00111241" w:rsidP="00F37C3A">
      <w:pPr>
        <w:pStyle w:val="Default"/>
        <w:jc w:val="center"/>
        <w:rPr>
          <w:u w:val="single"/>
        </w:rPr>
      </w:pPr>
    </w:p>
    <w:p w14:paraId="32D0C086" w14:textId="77777777" w:rsidR="00111241" w:rsidRDefault="00111241" w:rsidP="00F37C3A">
      <w:pPr>
        <w:pStyle w:val="Default"/>
        <w:jc w:val="center"/>
        <w:rPr>
          <w:u w:val="single"/>
        </w:rPr>
      </w:pPr>
    </w:p>
    <w:p w14:paraId="1C9C1B4B" w14:textId="77777777" w:rsidR="00111241" w:rsidRDefault="00111241" w:rsidP="00F37C3A">
      <w:pPr>
        <w:pStyle w:val="Default"/>
        <w:jc w:val="center"/>
        <w:rPr>
          <w:u w:val="single"/>
        </w:rPr>
      </w:pPr>
    </w:p>
    <w:p w14:paraId="5E3CB3E2" w14:textId="77777777" w:rsidR="00111241" w:rsidRDefault="00111241" w:rsidP="00F37C3A">
      <w:pPr>
        <w:pStyle w:val="Default"/>
        <w:jc w:val="center"/>
        <w:rPr>
          <w:u w:val="single"/>
        </w:rPr>
      </w:pPr>
    </w:p>
    <w:p w14:paraId="476A7AF8" w14:textId="77777777" w:rsidR="00111241" w:rsidRDefault="00111241" w:rsidP="00F37C3A">
      <w:pPr>
        <w:pStyle w:val="Default"/>
        <w:jc w:val="center"/>
        <w:rPr>
          <w:u w:val="single"/>
        </w:rPr>
      </w:pPr>
    </w:p>
    <w:p w14:paraId="1E84D779" w14:textId="77777777" w:rsidR="00111241" w:rsidRDefault="00111241" w:rsidP="00F37C3A">
      <w:pPr>
        <w:pStyle w:val="Default"/>
        <w:jc w:val="center"/>
        <w:rPr>
          <w:u w:val="single"/>
        </w:rPr>
      </w:pPr>
    </w:p>
    <w:p w14:paraId="7AF3C41F" w14:textId="77777777" w:rsidR="00111241" w:rsidRDefault="00111241" w:rsidP="00F37C3A">
      <w:pPr>
        <w:pStyle w:val="Default"/>
        <w:jc w:val="center"/>
        <w:rPr>
          <w:u w:val="single"/>
        </w:rPr>
      </w:pPr>
    </w:p>
    <w:p w14:paraId="4CAB5591" w14:textId="77777777" w:rsidR="00111241" w:rsidRDefault="00111241" w:rsidP="00F37C3A">
      <w:pPr>
        <w:pStyle w:val="Default"/>
        <w:jc w:val="center"/>
        <w:rPr>
          <w:u w:val="single"/>
        </w:rPr>
      </w:pPr>
    </w:p>
    <w:p w14:paraId="325CACBB" w14:textId="77777777" w:rsidR="00111241" w:rsidRDefault="00111241" w:rsidP="00F37C3A">
      <w:pPr>
        <w:pStyle w:val="Default"/>
        <w:jc w:val="center"/>
        <w:rPr>
          <w:u w:val="single"/>
        </w:rPr>
      </w:pPr>
    </w:p>
    <w:p w14:paraId="5404CACA" w14:textId="77777777" w:rsidR="00111241" w:rsidRDefault="00111241" w:rsidP="00F37C3A">
      <w:pPr>
        <w:pStyle w:val="Default"/>
        <w:jc w:val="center"/>
        <w:rPr>
          <w:u w:val="single"/>
        </w:rPr>
      </w:pPr>
    </w:p>
    <w:p w14:paraId="1A07194F" w14:textId="77777777" w:rsidR="00111241" w:rsidRDefault="00111241" w:rsidP="00F37C3A">
      <w:pPr>
        <w:pStyle w:val="Default"/>
        <w:jc w:val="center"/>
        <w:rPr>
          <w:u w:val="single"/>
        </w:rPr>
      </w:pPr>
    </w:p>
    <w:p w14:paraId="6D80FBFF" w14:textId="77777777" w:rsidR="00111241" w:rsidRDefault="00111241" w:rsidP="00F37C3A">
      <w:pPr>
        <w:pStyle w:val="Default"/>
        <w:jc w:val="center"/>
        <w:rPr>
          <w:u w:val="single"/>
        </w:rPr>
      </w:pPr>
    </w:p>
    <w:p w14:paraId="0E9C43A6" w14:textId="77777777" w:rsidR="00111241" w:rsidRDefault="00111241" w:rsidP="00F37C3A">
      <w:pPr>
        <w:pStyle w:val="Default"/>
        <w:jc w:val="center"/>
        <w:rPr>
          <w:u w:val="single"/>
        </w:rPr>
      </w:pPr>
    </w:p>
    <w:p w14:paraId="61854CE6" w14:textId="77777777" w:rsidR="00111241" w:rsidRDefault="00111241" w:rsidP="00F37C3A">
      <w:pPr>
        <w:pStyle w:val="Default"/>
        <w:jc w:val="center"/>
        <w:rPr>
          <w:u w:val="single"/>
        </w:rPr>
      </w:pPr>
    </w:p>
    <w:p w14:paraId="352D32C8" w14:textId="77777777" w:rsidR="00111241" w:rsidRDefault="00111241" w:rsidP="00F37C3A">
      <w:pPr>
        <w:pStyle w:val="Default"/>
        <w:jc w:val="center"/>
        <w:rPr>
          <w:u w:val="single"/>
        </w:rPr>
      </w:pPr>
    </w:p>
    <w:p w14:paraId="336CFAD6" w14:textId="51E40F56" w:rsidR="00F37C3A" w:rsidRPr="00F37C3A" w:rsidRDefault="00F37C3A" w:rsidP="00F37C3A">
      <w:pPr>
        <w:pStyle w:val="Default"/>
        <w:jc w:val="center"/>
        <w:rPr>
          <w:u w:val="single"/>
        </w:rPr>
      </w:pPr>
      <w:r w:rsidRPr="00F37C3A">
        <w:rPr>
          <w:u w:val="single"/>
        </w:rPr>
        <w:lastRenderedPageBreak/>
        <w:t xml:space="preserve">Essay 2 - </w:t>
      </w:r>
      <w:r w:rsidRPr="00F37C3A">
        <w:rPr>
          <w:b/>
          <w:bCs/>
          <w:u w:val="single"/>
        </w:rPr>
        <w:t xml:space="preserve">Response policing </w:t>
      </w:r>
      <w:r w:rsidRPr="00F37C3A">
        <w:rPr>
          <w:u w:val="single"/>
        </w:rPr>
        <w:t>– Assess the extent of response officers’ role in dealing with critical and major incidents.</w:t>
      </w:r>
    </w:p>
    <w:p w14:paraId="3D60B26D" w14:textId="77777777" w:rsidR="00111241" w:rsidRDefault="00111241" w:rsidP="00F37C3A">
      <w:pPr>
        <w:rPr>
          <w:rFonts w:ascii="Arial" w:hAnsi="Arial" w:cs="Arial"/>
          <w:sz w:val="24"/>
          <w:szCs w:val="24"/>
        </w:rPr>
      </w:pPr>
    </w:p>
    <w:p w14:paraId="403F0886" w14:textId="18F64C2E"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t xml:space="preserve">This essay will assess the role of a response officer when attending and dealing with a critical or major incident that may occur during a tour of duty. In order to better understand how to deal with </w:t>
      </w:r>
      <w:proofErr w:type="gramStart"/>
      <w:r w:rsidRPr="00F37C3A">
        <w:rPr>
          <w:rFonts w:ascii="Arial" w:hAnsi="Arial" w:cs="Arial"/>
          <w:sz w:val="24"/>
          <w:szCs w:val="24"/>
        </w:rPr>
        <w:t>these incident</w:t>
      </w:r>
      <w:proofErr w:type="gramEnd"/>
      <w:r w:rsidRPr="00F37C3A">
        <w:rPr>
          <w:rFonts w:ascii="Arial" w:hAnsi="Arial" w:cs="Arial"/>
          <w:sz w:val="24"/>
          <w:szCs w:val="24"/>
        </w:rPr>
        <w:t xml:space="preserve"> and understanding of what they actually are and the difference between the two is needed. A critical incident is defined by (NPIA, 2011) as being “any incident where the effectiveness of the police response is likely to have a significant impact on the confidence of the victim, their family and/or the community”. This definition was later adopted by the College of policing and is used nationally across police forces in England and Wales. Wood (2022)</w:t>
      </w:r>
      <w:r w:rsidR="00111241">
        <w:rPr>
          <w:rFonts w:ascii="Arial" w:hAnsi="Arial" w:cs="Arial"/>
          <w:sz w:val="24"/>
          <w:szCs w:val="24"/>
        </w:rPr>
        <w:t xml:space="preserve"> </w:t>
      </w:r>
      <w:r w:rsidRPr="00F37C3A">
        <w:rPr>
          <w:rFonts w:ascii="Arial" w:hAnsi="Arial" w:cs="Arial"/>
          <w:sz w:val="24"/>
          <w:szCs w:val="24"/>
        </w:rPr>
        <w:t xml:space="preserve">understands the definition to suggest </w:t>
      </w:r>
      <w:proofErr w:type="gramStart"/>
      <w:r w:rsidRPr="00F37C3A">
        <w:rPr>
          <w:rFonts w:ascii="Arial" w:hAnsi="Arial" w:cs="Arial"/>
          <w:sz w:val="24"/>
          <w:szCs w:val="24"/>
        </w:rPr>
        <w:t>that  any</w:t>
      </w:r>
      <w:proofErr w:type="gramEnd"/>
      <w:r w:rsidRPr="00F37C3A">
        <w:rPr>
          <w:rFonts w:ascii="Arial" w:hAnsi="Arial" w:cs="Arial"/>
          <w:sz w:val="24"/>
          <w:szCs w:val="24"/>
        </w:rPr>
        <w:t xml:space="preserve"> incident starting from something as minor as a shop lift all the way to more serious offences such as rape could escalate to become critical, whilst there are also very obvious incidents that are immediately critical for example a murder or a large road traffic collision. The latter brings on the next type of incident, a major incident. </w:t>
      </w:r>
    </w:p>
    <w:p w14:paraId="4D36E01C" w14:textId="27266E65"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t xml:space="preserve">The College of Policing (2018) provide a definition for a major incident, ‘A major incident is an event or situation requiring a response under one or more of the emergency services’ major incident plans. They will usually include involving large numbers of people, either directly or indirectly.” This differs from a critical incident in that they are a lot more obvious and easier to identify, they are spontaneous incidents that cannot be foreseen in many cases. Examples include fires, flash flooding or terror attacks on large events. It is important to remember that the role of a response officer is to collaborate with the additional services required to manage these incidents, it is not a </w:t>
      </w:r>
      <w:proofErr w:type="gramStart"/>
      <w:r w:rsidRPr="00F37C3A">
        <w:rPr>
          <w:rFonts w:ascii="Arial" w:hAnsi="Arial" w:cs="Arial"/>
          <w:sz w:val="24"/>
          <w:szCs w:val="24"/>
        </w:rPr>
        <w:t>one person</w:t>
      </w:r>
      <w:proofErr w:type="gramEnd"/>
      <w:r w:rsidRPr="00F37C3A">
        <w:rPr>
          <w:rFonts w:ascii="Arial" w:hAnsi="Arial" w:cs="Arial"/>
          <w:sz w:val="24"/>
          <w:szCs w:val="24"/>
        </w:rPr>
        <w:t xml:space="preserve"> job. Both types of incidents differ slightly and therefore require response officers to undertake a slightly different role within each type of incident.</w:t>
      </w:r>
    </w:p>
    <w:p w14:paraId="4D406D6F" w14:textId="14553B82"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lastRenderedPageBreak/>
        <w:t xml:space="preserve">Starting with critical incidents, response officer must be aware that whilst they can recognise a critical incident, they </w:t>
      </w:r>
      <w:proofErr w:type="spellStart"/>
      <w:r w:rsidRPr="00F37C3A">
        <w:rPr>
          <w:rFonts w:ascii="Arial" w:hAnsi="Arial" w:cs="Arial"/>
          <w:sz w:val="24"/>
          <w:szCs w:val="24"/>
        </w:rPr>
        <w:t>can not</w:t>
      </w:r>
      <w:proofErr w:type="spellEnd"/>
      <w:r w:rsidRPr="00F37C3A">
        <w:rPr>
          <w:rFonts w:ascii="Arial" w:hAnsi="Arial" w:cs="Arial"/>
          <w:sz w:val="24"/>
          <w:szCs w:val="24"/>
        </w:rPr>
        <w:t xml:space="preserve"> officially declare the incident critical. This must be done by a senior officer</w:t>
      </w:r>
      <w:r w:rsidR="00111241">
        <w:rPr>
          <w:rFonts w:ascii="Arial" w:hAnsi="Arial" w:cs="Arial"/>
          <w:sz w:val="24"/>
          <w:szCs w:val="24"/>
        </w:rPr>
        <w:t>.</w:t>
      </w:r>
      <w:r w:rsidRPr="00F37C3A">
        <w:rPr>
          <w:rFonts w:ascii="Arial" w:hAnsi="Arial" w:cs="Arial"/>
          <w:sz w:val="24"/>
          <w:szCs w:val="24"/>
        </w:rPr>
        <w:t xml:space="preserve"> College of Policing (2024) state there are three phases to critical incident (CI</w:t>
      </w:r>
      <w:proofErr w:type="gramStart"/>
      <w:r w:rsidRPr="00F37C3A">
        <w:rPr>
          <w:rFonts w:ascii="Arial" w:hAnsi="Arial" w:cs="Arial"/>
          <w:sz w:val="24"/>
          <w:szCs w:val="24"/>
        </w:rPr>
        <w:t>)  management</w:t>
      </w:r>
      <w:proofErr w:type="gramEnd"/>
      <w:r w:rsidRPr="00F37C3A">
        <w:rPr>
          <w:rFonts w:ascii="Arial" w:hAnsi="Arial" w:cs="Arial"/>
          <w:sz w:val="24"/>
          <w:szCs w:val="24"/>
        </w:rPr>
        <w:t xml:space="preserve">. Preparing for a CI, managing a CI and Restoring public confidence. A response officer comes in at stage two, they will have received all the training needed in phase one and then must deploy in phase 2 and deal with the incident in a gold standard manner like they would with any call. </w:t>
      </w:r>
      <w:proofErr w:type="spellStart"/>
      <w:r w:rsidRPr="00F37C3A">
        <w:rPr>
          <w:rFonts w:ascii="Arial" w:hAnsi="Arial" w:cs="Arial"/>
          <w:sz w:val="24"/>
          <w:szCs w:val="24"/>
        </w:rPr>
        <w:t>Bonkiewicz</w:t>
      </w:r>
      <w:proofErr w:type="spellEnd"/>
      <w:r w:rsidRPr="00F37C3A">
        <w:rPr>
          <w:rFonts w:ascii="Arial" w:hAnsi="Arial" w:cs="Arial"/>
          <w:sz w:val="24"/>
          <w:szCs w:val="24"/>
        </w:rPr>
        <w:t xml:space="preserve"> and Ruback (2012)</w:t>
      </w:r>
      <w:r w:rsidR="00111241">
        <w:rPr>
          <w:rFonts w:ascii="Arial" w:hAnsi="Arial" w:cs="Arial"/>
          <w:sz w:val="24"/>
          <w:szCs w:val="24"/>
        </w:rPr>
        <w:t xml:space="preserve"> </w:t>
      </w:r>
      <w:r w:rsidRPr="00F37C3A">
        <w:rPr>
          <w:rFonts w:ascii="Arial" w:hAnsi="Arial" w:cs="Arial"/>
          <w:sz w:val="24"/>
          <w:szCs w:val="24"/>
        </w:rPr>
        <w:t xml:space="preserve">argue that the style of policing used when dealing with a critical incident has a major impact on public perception, </w:t>
      </w:r>
      <w:proofErr w:type="spellStart"/>
      <w:r w:rsidRPr="00F37C3A">
        <w:rPr>
          <w:rFonts w:ascii="Arial" w:hAnsi="Arial" w:cs="Arial"/>
          <w:sz w:val="24"/>
          <w:szCs w:val="24"/>
        </w:rPr>
        <w:t>where as</w:t>
      </w:r>
      <w:proofErr w:type="spellEnd"/>
      <w:r w:rsidRPr="00F37C3A">
        <w:rPr>
          <w:rFonts w:ascii="Arial" w:hAnsi="Arial" w:cs="Arial"/>
          <w:sz w:val="24"/>
          <w:szCs w:val="24"/>
        </w:rPr>
        <w:t xml:space="preserve"> officers are encouraged to use discretion where appropriate </w:t>
      </w:r>
      <w:proofErr w:type="spellStart"/>
      <w:r w:rsidRPr="00F37C3A">
        <w:rPr>
          <w:rFonts w:ascii="Arial" w:hAnsi="Arial" w:cs="Arial"/>
          <w:sz w:val="24"/>
          <w:szCs w:val="24"/>
        </w:rPr>
        <w:t>Laufus</w:t>
      </w:r>
      <w:proofErr w:type="spellEnd"/>
      <w:r w:rsidRPr="00F37C3A">
        <w:rPr>
          <w:rFonts w:ascii="Arial" w:hAnsi="Arial" w:cs="Arial"/>
          <w:sz w:val="24"/>
          <w:szCs w:val="24"/>
        </w:rPr>
        <w:t xml:space="preserve"> and </w:t>
      </w:r>
      <w:proofErr w:type="gramStart"/>
      <w:r w:rsidRPr="00F37C3A">
        <w:rPr>
          <w:rFonts w:ascii="Arial" w:hAnsi="Arial" w:cs="Arial"/>
          <w:sz w:val="24"/>
          <w:szCs w:val="24"/>
        </w:rPr>
        <w:t>Waseem(</w:t>
      </w:r>
      <w:proofErr w:type="gramEnd"/>
      <w:r w:rsidRPr="00F37C3A">
        <w:rPr>
          <w:rFonts w:ascii="Arial" w:hAnsi="Arial" w:cs="Arial"/>
          <w:sz w:val="24"/>
          <w:szCs w:val="24"/>
        </w:rPr>
        <w:t>2020)</w:t>
      </w:r>
      <w:r w:rsidR="00111241">
        <w:rPr>
          <w:rFonts w:ascii="Arial" w:hAnsi="Arial" w:cs="Arial"/>
          <w:sz w:val="24"/>
          <w:szCs w:val="24"/>
        </w:rPr>
        <w:t xml:space="preserve"> </w:t>
      </w:r>
      <w:r w:rsidRPr="00F37C3A">
        <w:rPr>
          <w:rFonts w:ascii="Arial" w:hAnsi="Arial" w:cs="Arial"/>
          <w:sz w:val="24"/>
          <w:szCs w:val="24"/>
        </w:rPr>
        <w:t xml:space="preserve">found that discretion used when managing the Covid-19 crisis lead to a lack of confidence in the ability of the officers to police the pandemic. This suggests that response </w:t>
      </w:r>
      <w:proofErr w:type="gramStart"/>
      <w:r w:rsidRPr="00F37C3A">
        <w:rPr>
          <w:rFonts w:ascii="Arial" w:hAnsi="Arial" w:cs="Arial"/>
          <w:sz w:val="24"/>
          <w:szCs w:val="24"/>
        </w:rPr>
        <w:t>officers</w:t>
      </w:r>
      <w:proofErr w:type="gramEnd"/>
      <w:r w:rsidRPr="00F37C3A">
        <w:rPr>
          <w:rFonts w:ascii="Arial" w:hAnsi="Arial" w:cs="Arial"/>
          <w:sz w:val="24"/>
          <w:szCs w:val="24"/>
        </w:rPr>
        <w:t xml:space="preserve"> role within the management of critical incident relies on policing style and making correct decisions.  ACPO (2007) found that decision making in making decisions in these difficult situations is the largest downfall of response officers. Roycroft and Roach (2017)</w:t>
      </w:r>
      <w:r w:rsidR="00111241">
        <w:rPr>
          <w:rFonts w:ascii="Arial" w:hAnsi="Arial" w:cs="Arial"/>
          <w:sz w:val="24"/>
          <w:szCs w:val="24"/>
        </w:rPr>
        <w:t xml:space="preserve"> </w:t>
      </w:r>
      <w:r w:rsidRPr="00F37C3A">
        <w:rPr>
          <w:rFonts w:ascii="Arial" w:hAnsi="Arial" w:cs="Arial"/>
          <w:sz w:val="24"/>
          <w:szCs w:val="24"/>
        </w:rPr>
        <w:t xml:space="preserve">argue that decision making in critical incidents with life threatening consequences becomes innately more difficult and that officers should seek guidance from normative </w:t>
      </w:r>
      <w:proofErr w:type="gramStart"/>
      <w:r w:rsidRPr="00F37C3A">
        <w:rPr>
          <w:rFonts w:ascii="Arial" w:hAnsi="Arial" w:cs="Arial"/>
          <w:sz w:val="24"/>
          <w:szCs w:val="24"/>
        </w:rPr>
        <w:t>decision making</w:t>
      </w:r>
      <w:proofErr w:type="gramEnd"/>
      <w:r w:rsidRPr="00F37C3A">
        <w:rPr>
          <w:rFonts w:ascii="Arial" w:hAnsi="Arial" w:cs="Arial"/>
          <w:sz w:val="24"/>
          <w:szCs w:val="24"/>
        </w:rPr>
        <w:t xml:space="preserve"> models. </w:t>
      </w:r>
      <w:proofErr w:type="gramStart"/>
      <w:r w:rsidRPr="00F37C3A">
        <w:rPr>
          <w:rFonts w:ascii="Arial" w:hAnsi="Arial" w:cs="Arial"/>
          <w:sz w:val="24"/>
          <w:szCs w:val="24"/>
        </w:rPr>
        <w:t>Therefore</w:t>
      </w:r>
      <w:proofErr w:type="gramEnd"/>
      <w:r w:rsidRPr="00F37C3A">
        <w:rPr>
          <w:rFonts w:ascii="Arial" w:hAnsi="Arial" w:cs="Arial"/>
          <w:sz w:val="24"/>
          <w:szCs w:val="24"/>
        </w:rPr>
        <w:t xml:space="preserve"> it is vital that officers have a sound understanding of the National Decision Making model when dealing with critical incidents and make decisions with public perceptions and community/victim satisfaction in mind.  The National </w:t>
      </w:r>
      <w:proofErr w:type="gramStart"/>
      <w:r w:rsidRPr="00F37C3A">
        <w:rPr>
          <w:rFonts w:ascii="Arial" w:hAnsi="Arial" w:cs="Arial"/>
          <w:sz w:val="24"/>
          <w:szCs w:val="24"/>
        </w:rPr>
        <w:t>Decision making</w:t>
      </w:r>
      <w:proofErr w:type="gramEnd"/>
      <w:r w:rsidRPr="00F37C3A">
        <w:rPr>
          <w:rFonts w:ascii="Arial" w:hAnsi="Arial" w:cs="Arial"/>
          <w:sz w:val="24"/>
          <w:szCs w:val="24"/>
        </w:rPr>
        <w:t xml:space="preserve"> model is devised by the College of Policing (2014)</w:t>
      </w:r>
    </w:p>
    <w:p w14:paraId="3BB31E4E" w14:textId="72EFE68C"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t xml:space="preserve">On attendance at a major incident, the role of the response officer is to first and foremost recognise a major incident, this is </w:t>
      </w:r>
      <w:proofErr w:type="gramStart"/>
      <w:r w:rsidRPr="00F37C3A">
        <w:rPr>
          <w:rFonts w:ascii="Arial" w:hAnsi="Arial" w:cs="Arial"/>
          <w:sz w:val="24"/>
          <w:szCs w:val="24"/>
        </w:rPr>
        <w:t>has</w:t>
      </w:r>
      <w:proofErr w:type="gramEnd"/>
      <w:r w:rsidRPr="00F37C3A">
        <w:rPr>
          <w:rFonts w:ascii="Arial" w:hAnsi="Arial" w:cs="Arial"/>
          <w:sz w:val="24"/>
          <w:szCs w:val="24"/>
        </w:rPr>
        <w:t xml:space="preserve"> already been covered by the definitions given previously. They must then declare a major incident. In order to do </w:t>
      </w:r>
      <w:proofErr w:type="gramStart"/>
      <w:r w:rsidRPr="00F37C3A">
        <w:rPr>
          <w:rFonts w:ascii="Arial" w:hAnsi="Arial" w:cs="Arial"/>
          <w:sz w:val="24"/>
          <w:szCs w:val="24"/>
        </w:rPr>
        <w:lastRenderedPageBreak/>
        <w:t>this</w:t>
      </w:r>
      <w:proofErr w:type="gramEnd"/>
      <w:r w:rsidRPr="00F37C3A">
        <w:rPr>
          <w:rFonts w:ascii="Arial" w:hAnsi="Arial" w:cs="Arial"/>
          <w:sz w:val="24"/>
          <w:szCs w:val="24"/>
        </w:rPr>
        <w:t xml:space="preserve"> they must be aware of Joint Emergency Services Interoperability Principles (JESIP). A review by Pollock (2013)</w:t>
      </w:r>
      <w:r w:rsidR="00111241">
        <w:rPr>
          <w:rFonts w:ascii="Arial" w:hAnsi="Arial" w:cs="Arial"/>
          <w:sz w:val="24"/>
          <w:szCs w:val="24"/>
        </w:rPr>
        <w:t xml:space="preserve"> </w:t>
      </w:r>
      <w:r w:rsidRPr="00F37C3A">
        <w:rPr>
          <w:rFonts w:ascii="Arial" w:hAnsi="Arial" w:cs="Arial"/>
          <w:sz w:val="24"/>
          <w:szCs w:val="24"/>
        </w:rPr>
        <w:t>finds the aim of JESIP is simply to ensure that all three emergency services work together effectively at all levels, from the ground to the command rooms. It is based on the findings of reviews from previous major incidents. For the response officer, the biggest message from JESIP is to declare a major incident from scene. JESIP has a standardised mnemonic to declare a major incident, METHANE. JESIP (2024</w:t>
      </w:r>
      <w:proofErr w:type="gramStart"/>
      <w:r w:rsidRPr="00F37C3A">
        <w:rPr>
          <w:rFonts w:ascii="Arial" w:hAnsi="Arial" w:cs="Arial"/>
          <w:sz w:val="24"/>
          <w:szCs w:val="24"/>
        </w:rPr>
        <w:t>)</w:t>
      </w:r>
      <w:r w:rsidR="00111241">
        <w:rPr>
          <w:rFonts w:ascii="Arial" w:hAnsi="Arial" w:cs="Arial"/>
          <w:sz w:val="24"/>
          <w:szCs w:val="24"/>
        </w:rPr>
        <w:t xml:space="preserve"> </w:t>
      </w:r>
      <w:r w:rsidRPr="00F37C3A">
        <w:rPr>
          <w:rFonts w:ascii="Arial" w:hAnsi="Arial" w:cs="Arial"/>
          <w:sz w:val="24"/>
          <w:szCs w:val="24"/>
        </w:rPr>
        <w:t xml:space="preserve"> states</w:t>
      </w:r>
      <w:proofErr w:type="gramEnd"/>
      <w:r w:rsidRPr="00F37C3A">
        <w:rPr>
          <w:rFonts w:ascii="Arial" w:hAnsi="Arial" w:cs="Arial"/>
          <w:sz w:val="24"/>
          <w:szCs w:val="24"/>
        </w:rPr>
        <w:t xml:space="preserve"> that METHANE provides a structured centralised framework that all responders can work from to send messages to their control room, which can then be shared between emergency services. It stands for. Major Incident, Exact location, Type of incident, Hazards, Access, Number of causalities, Emergency services. Once this has been done, as a first response officer the responsibility may be to administer first aid to patients, create a cordon and await further instruction from the command team once they have strategized with ambulance and the fire service. </w:t>
      </w:r>
    </w:p>
    <w:p w14:paraId="15F4A384" w14:textId="40F8B9DC"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t>Finally, a key role of the response officer in dealing with critical incidents is to complete pocket notebook entries detailing their decision making, rationale and actions carried out. As JESIP relies on the findings of previous major incidents, a debrief is paramount following the conclusion of an incident. In line with Criminal Procedure and Investigations Act (1996)</w:t>
      </w:r>
      <w:r w:rsidR="00111241">
        <w:rPr>
          <w:rFonts w:ascii="Arial" w:hAnsi="Arial" w:cs="Arial"/>
          <w:sz w:val="24"/>
          <w:szCs w:val="24"/>
        </w:rPr>
        <w:t xml:space="preserve"> </w:t>
      </w:r>
      <w:r w:rsidRPr="00F37C3A">
        <w:rPr>
          <w:rFonts w:ascii="Arial" w:hAnsi="Arial" w:cs="Arial"/>
          <w:sz w:val="24"/>
          <w:szCs w:val="24"/>
        </w:rPr>
        <w:t>for the purposes of disclosure, the debrief should be structed and fully recorded.</w:t>
      </w:r>
    </w:p>
    <w:p w14:paraId="6531AE28" w14:textId="27ECC2C5" w:rsidR="00F37C3A" w:rsidRPr="00F37C3A" w:rsidRDefault="00F37C3A" w:rsidP="00111241">
      <w:pPr>
        <w:spacing w:line="480" w:lineRule="auto"/>
        <w:jc w:val="both"/>
        <w:rPr>
          <w:rFonts w:ascii="Arial" w:hAnsi="Arial" w:cs="Arial"/>
          <w:sz w:val="24"/>
          <w:szCs w:val="24"/>
        </w:rPr>
      </w:pPr>
      <w:r w:rsidRPr="00F37C3A">
        <w:rPr>
          <w:rFonts w:ascii="Arial" w:hAnsi="Arial" w:cs="Arial"/>
          <w:sz w:val="24"/>
          <w:szCs w:val="24"/>
        </w:rPr>
        <w:t>To conclude, The College of Policing (2020)</w:t>
      </w:r>
      <w:r w:rsidR="00111241">
        <w:rPr>
          <w:rFonts w:ascii="Arial" w:hAnsi="Arial" w:cs="Arial"/>
          <w:sz w:val="24"/>
          <w:szCs w:val="24"/>
        </w:rPr>
        <w:t xml:space="preserve"> </w:t>
      </w:r>
      <w:r w:rsidRPr="00F37C3A">
        <w:rPr>
          <w:rFonts w:ascii="Arial" w:hAnsi="Arial" w:cs="Arial"/>
          <w:sz w:val="24"/>
          <w:szCs w:val="24"/>
        </w:rPr>
        <w:t xml:space="preserve">imply that a although a response </w:t>
      </w:r>
      <w:proofErr w:type="gramStart"/>
      <w:r w:rsidRPr="00F37C3A">
        <w:rPr>
          <w:rFonts w:ascii="Arial" w:hAnsi="Arial" w:cs="Arial"/>
          <w:sz w:val="24"/>
          <w:szCs w:val="24"/>
        </w:rPr>
        <w:t>officers</w:t>
      </w:r>
      <w:proofErr w:type="gramEnd"/>
      <w:r w:rsidRPr="00F37C3A">
        <w:rPr>
          <w:rFonts w:ascii="Arial" w:hAnsi="Arial" w:cs="Arial"/>
          <w:sz w:val="24"/>
          <w:szCs w:val="24"/>
        </w:rPr>
        <w:t xml:space="preserve"> role is to manage these incidents with the intention of providing satisfaction to the victim, their family and the surrounding community; the overarching goal is to achieve an outcome that is both effective and proportionate to the incident they have attended </w:t>
      </w:r>
      <w:proofErr w:type="spellStart"/>
      <w:r w:rsidRPr="00F37C3A">
        <w:rPr>
          <w:rFonts w:ascii="Arial" w:hAnsi="Arial" w:cs="Arial"/>
          <w:sz w:val="24"/>
          <w:szCs w:val="24"/>
        </w:rPr>
        <w:t>inline</w:t>
      </w:r>
      <w:proofErr w:type="spellEnd"/>
      <w:r w:rsidRPr="00F37C3A">
        <w:rPr>
          <w:rFonts w:ascii="Arial" w:hAnsi="Arial" w:cs="Arial"/>
          <w:sz w:val="24"/>
          <w:szCs w:val="24"/>
        </w:rPr>
        <w:t xml:space="preserve"> with policing powers and policy and the legislation available. Such as spinning the NDM whilst at scene and adhering to JESIP principles using the METHAN model. </w:t>
      </w:r>
      <w:r w:rsidRPr="00F37C3A">
        <w:rPr>
          <w:rFonts w:ascii="Arial" w:hAnsi="Arial" w:cs="Arial"/>
          <w:sz w:val="24"/>
          <w:szCs w:val="24"/>
        </w:rPr>
        <w:lastRenderedPageBreak/>
        <w:t xml:space="preserve">This suggests that even though some of these incidents may fall outside of the perceived role of a response officer, many incidents they attend will require other emergency services to be present or even assume primacy whilst police will be there only to assist. Within these scenarios such as a fire or flash floods, their duty to keep the </w:t>
      </w:r>
      <w:proofErr w:type="gramStart"/>
      <w:r w:rsidRPr="00F37C3A">
        <w:rPr>
          <w:rFonts w:ascii="Arial" w:hAnsi="Arial" w:cs="Arial"/>
          <w:sz w:val="24"/>
          <w:szCs w:val="24"/>
        </w:rPr>
        <w:t>kings</w:t>
      </w:r>
      <w:proofErr w:type="gramEnd"/>
      <w:r w:rsidRPr="00F37C3A">
        <w:rPr>
          <w:rFonts w:ascii="Arial" w:hAnsi="Arial" w:cs="Arial"/>
          <w:sz w:val="24"/>
          <w:szCs w:val="24"/>
        </w:rPr>
        <w:t xml:space="preserve"> peace and protect the public will always be present. </w:t>
      </w:r>
    </w:p>
    <w:p w14:paraId="6E1FA240" w14:textId="2DDFCE3F" w:rsidR="00F37C3A" w:rsidRPr="00111241" w:rsidRDefault="00F37C3A" w:rsidP="00F37C3A">
      <w:pPr>
        <w:tabs>
          <w:tab w:val="left" w:pos="2620"/>
        </w:tabs>
        <w:rPr>
          <w:rFonts w:ascii="Arial" w:hAnsi="Arial" w:cs="Arial"/>
          <w:sz w:val="24"/>
          <w:szCs w:val="24"/>
        </w:rPr>
      </w:pPr>
      <w:r w:rsidRPr="00111241">
        <w:rPr>
          <w:rFonts w:ascii="Arial" w:hAnsi="Arial" w:cs="Arial"/>
          <w:sz w:val="24"/>
          <w:szCs w:val="24"/>
        </w:rPr>
        <w:t>Words 1035</w:t>
      </w:r>
    </w:p>
    <w:p w14:paraId="2EA2A412" w14:textId="77777777" w:rsidR="00F37C3A" w:rsidRDefault="00F37C3A" w:rsidP="00F37C3A">
      <w:pPr>
        <w:tabs>
          <w:tab w:val="left" w:pos="2620"/>
        </w:tabs>
      </w:pPr>
    </w:p>
    <w:p w14:paraId="46C0EF6B" w14:textId="77777777" w:rsidR="00F37C3A" w:rsidRDefault="00F37C3A" w:rsidP="00F37C3A">
      <w:pPr>
        <w:tabs>
          <w:tab w:val="left" w:pos="2620"/>
        </w:tabs>
      </w:pPr>
    </w:p>
    <w:p w14:paraId="0AD6732D" w14:textId="77777777" w:rsidR="00F37C3A" w:rsidRDefault="00F37C3A" w:rsidP="00F37C3A">
      <w:pPr>
        <w:tabs>
          <w:tab w:val="left" w:pos="2620"/>
        </w:tabs>
      </w:pPr>
    </w:p>
    <w:p w14:paraId="23A69850" w14:textId="77777777" w:rsidR="00111241" w:rsidRDefault="00111241" w:rsidP="00AD6AD0">
      <w:pPr>
        <w:tabs>
          <w:tab w:val="left" w:pos="2620"/>
        </w:tabs>
        <w:jc w:val="center"/>
        <w:rPr>
          <w:rFonts w:ascii="Arial" w:hAnsi="Arial" w:cs="Arial"/>
          <w:u w:val="single"/>
        </w:rPr>
      </w:pPr>
    </w:p>
    <w:p w14:paraId="0263FA9E" w14:textId="77777777" w:rsidR="00111241" w:rsidRDefault="00111241" w:rsidP="00AD6AD0">
      <w:pPr>
        <w:tabs>
          <w:tab w:val="left" w:pos="2620"/>
        </w:tabs>
        <w:jc w:val="center"/>
        <w:rPr>
          <w:rFonts w:ascii="Arial" w:hAnsi="Arial" w:cs="Arial"/>
          <w:u w:val="single"/>
        </w:rPr>
      </w:pPr>
    </w:p>
    <w:p w14:paraId="13E48AFC" w14:textId="77777777" w:rsidR="00111241" w:rsidRDefault="00111241" w:rsidP="00AD6AD0">
      <w:pPr>
        <w:tabs>
          <w:tab w:val="left" w:pos="2620"/>
        </w:tabs>
        <w:jc w:val="center"/>
        <w:rPr>
          <w:rFonts w:ascii="Arial" w:hAnsi="Arial" w:cs="Arial"/>
          <w:u w:val="single"/>
        </w:rPr>
      </w:pPr>
    </w:p>
    <w:p w14:paraId="479EB584" w14:textId="77777777" w:rsidR="00111241" w:rsidRDefault="00111241" w:rsidP="00AD6AD0">
      <w:pPr>
        <w:tabs>
          <w:tab w:val="left" w:pos="2620"/>
        </w:tabs>
        <w:jc w:val="center"/>
        <w:rPr>
          <w:rFonts w:ascii="Arial" w:hAnsi="Arial" w:cs="Arial"/>
          <w:u w:val="single"/>
        </w:rPr>
      </w:pPr>
    </w:p>
    <w:p w14:paraId="4139EB22" w14:textId="77777777" w:rsidR="00111241" w:rsidRDefault="00111241" w:rsidP="00AD6AD0">
      <w:pPr>
        <w:tabs>
          <w:tab w:val="left" w:pos="2620"/>
        </w:tabs>
        <w:jc w:val="center"/>
        <w:rPr>
          <w:rFonts w:ascii="Arial" w:hAnsi="Arial" w:cs="Arial"/>
          <w:u w:val="single"/>
        </w:rPr>
      </w:pPr>
    </w:p>
    <w:p w14:paraId="673E84D3" w14:textId="77777777" w:rsidR="00111241" w:rsidRDefault="00111241" w:rsidP="00AD6AD0">
      <w:pPr>
        <w:tabs>
          <w:tab w:val="left" w:pos="2620"/>
        </w:tabs>
        <w:jc w:val="center"/>
        <w:rPr>
          <w:rFonts w:ascii="Arial" w:hAnsi="Arial" w:cs="Arial"/>
          <w:u w:val="single"/>
        </w:rPr>
      </w:pPr>
    </w:p>
    <w:p w14:paraId="4CDF530D" w14:textId="77777777" w:rsidR="00111241" w:rsidRDefault="00111241" w:rsidP="00AD6AD0">
      <w:pPr>
        <w:tabs>
          <w:tab w:val="left" w:pos="2620"/>
        </w:tabs>
        <w:jc w:val="center"/>
        <w:rPr>
          <w:rFonts w:ascii="Arial" w:hAnsi="Arial" w:cs="Arial"/>
          <w:u w:val="single"/>
        </w:rPr>
      </w:pPr>
    </w:p>
    <w:p w14:paraId="496418C1" w14:textId="77777777" w:rsidR="00111241" w:rsidRDefault="00111241" w:rsidP="00AD6AD0">
      <w:pPr>
        <w:tabs>
          <w:tab w:val="left" w:pos="2620"/>
        </w:tabs>
        <w:jc w:val="center"/>
        <w:rPr>
          <w:rFonts w:ascii="Arial" w:hAnsi="Arial" w:cs="Arial"/>
          <w:u w:val="single"/>
        </w:rPr>
      </w:pPr>
    </w:p>
    <w:p w14:paraId="188EFAF7" w14:textId="77777777" w:rsidR="00111241" w:rsidRDefault="00111241" w:rsidP="00AD6AD0">
      <w:pPr>
        <w:tabs>
          <w:tab w:val="left" w:pos="2620"/>
        </w:tabs>
        <w:jc w:val="center"/>
        <w:rPr>
          <w:rFonts w:ascii="Arial" w:hAnsi="Arial" w:cs="Arial"/>
          <w:u w:val="single"/>
        </w:rPr>
      </w:pPr>
    </w:p>
    <w:p w14:paraId="3A0E68D5" w14:textId="77777777" w:rsidR="00111241" w:rsidRDefault="00111241" w:rsidP="00AD6AD0">
      <w:pPr>
        <w:tabs>
          <w:tab w:val="left" w:pos="2620"/>
        </w:tabs>
        <w:jc w:val="center"/>
        <w:rPr>
          <w:rFonts w:ascii="Arial" w:hAnsi="Arial" w:cs="Arial"/>
          <w:u w:val="single"/>
        </w:rPr>
      </w:pPr>
    </w:p>
    <w:p w14:paraId="6E302037" w14:textId="77777777" w:rsidR="00111241" w:rsidRDefault="00111241" w:rsidP="00AD6AD0">
      <w:pPr>
        <w:tabs>
          <w:tab w:val="left" w:pos="2620"/>
        </w:tabs>
        <w:jc w:val="center"/>
        <w:rPr>
          <w:rFonts w:ascii="Arial" w:hAnsi="Arial" w:cs="Arial"/>
          <w:u w:val="single"/>
        </w:rPr>
      </w:pPr>
    </w:p>
    <w:p w14:paraId="003E12BB" w14:textId="77777777" w:rsidR="00111241" w:rsidRDefault="00111241" w:rsidP="00AD6AD0">
      <w:pPr>
        <w:tabs>
          <w:tab w:val="left" w:pos="2620"/>
        </w:tabs>
        <w:jc w:val="center"/>
        <w:rPr>
          <w:rFonts w:ascii="Arial" w:hAnsi="Arial" w:cs="Arial"/>
          <w:u w:val="single"/>
        </w:rPr>
      </w:pPr>
    </w:p>
    <w:p w14:paraId="757B0F4A" w14:textId="77777777" w:rsidR="00111241" w:rsidRDefault="00111241" w:rsidP="00AD6AD0">
      <w:pPr>
        <w:tabs>
          <w:tab w:val="left" w:pos="2620"/>
        </w:tabs>
        <w:jc w:val="center"/>
        <w:rPr>
          <w:rFonts w:ascii="Arial" w:hAnsi="Arial" w:cs="Arial"/>
          <w:u w:val="single"/>
        </w:rPr>
      </w:pPr>
    </w:p>
    <w:p w14:paraId="4F4B1B65" w14:textId="77777777" w:rsidR="00111241" w:rsidRDefault="00111241" w:rsidP="00AD6AD0">
      <w:pPr>
        <w:tabs>
          <w:tab w:val="left" w:pos="2620"/>
        </w:tabs>
        <w:jc w:val="center"/>
        <w:rPr>
          <w:rFonts w:ascii="Arial" w:hAnsi="Arial" w:cs="Arial"/>
          <w:u w:val="single"/>
        </w:rPr>
      </w:pPr>
    </w:p>
    <w:p w14:paraId="782774B8" w14:textId="77777777" w:rsidR="00111241" w:rsidRDefault="00111241" w:rsidP="00AD6AD0">
      <w:pPr>
        <w:tabs>
          <w:tab w:val="left" w:pos="2620"/>
        </w:tabs>
        <w:jc w:val="center"/>
        <w:rPr>
          <w:rFonts w:ascii="Arial" w:hAnsi="Arial" w:cs="Arial"/>
          <w:u w:val="single"/>
        </w:rPr>
      </w:pPr>
    </w:p>
    <w:p w14:paraId="7FF49348" w14:textId="77777777" w:rsidR="00111241" w:rsidRDefault="00111241" w:rsidP="00AD6AD0">
      <w:pPr>
        <w:tabs>
          <w:tab w:val="left" w:pos="2620"/>
        </w:tabs>
        <w:jc w:val="center"/>
        <w:rPr>
          <w:rFonts w:ascii="Arial" w:hAnsi="Arial" w:cs="Arial"/>
          <w:u w:val="single"/>
        </w:rPr>
      </w:pPr>
    </w:p>
    <w:p w14:paraId="2E1B95D3" w14:textId="77777777" w:rsidR="00111241" w:rsidRDefault="00111241" w:rsidP="00AD6AD0">
      <w:pPr>
        <w:tabs>
          <w:tab w:val="left" w:pos="2620"/>
        </w:tabs>
        <w:jc w:val="center"/>
        <w:rPr>
          <w:rFonts w:ascii="Arial" w:hAnsi="Arial" w:cs="Arial"/>
          <w:u w:val="single"/>
        </w:rPr>
      </w:pPr>
    </w:p>
    <w:p w14:paraId="4DA100E3" w14:textId="77777777" w:rsidR="00111241" w:rsidRDefault="00111241" w:rsidP="00AD6AD0">
      <w:pPr>
        <w:tabs>
          <w:tab w:val="left" w:pos="2620"/>
        </w:tabs>
        <w:jc w:val="center"/>
        <w:rPr>
          <w:rFonts w:ascii="Arial" w:hAnsi="Arial" w:cs="Arial"/>
          <w:u w:val="single"/>
        </w:rPr>
      </w:pPr>
    </w:p>
    <w:p w14:paraId="422B549C" w14:textId="77777777" w:rsidR="00111241" w:rsidRDefault="00111241" w:rsidP="00AD6AD0">
      <w:pPr>
        <w:tabs>
          <w:tab w:val="left" w:pos="2620"/>
        </w:tabs>
        <w:jc w:val="center"/>
        <w:rPr>
          <w:rFonts w:ascii="Arial" w:hAnsi="Arial" w:cs="Arial"/>
          <w:u w:val="single"/>
        </w:rPr>
      </w:pPr>
    </w:p>
    <w:p w14:paraId="74368189" w14:textId="77777777" w:rsidR="00111241" w:rsidRDefault="00111241" w:rsidP="00AD6AD0">
      <w:pPr>
        <w:tabs>
          <w:tab w:val="left" w:pos="2620"/>
        </w:tabs>
        <w:jc w:val="center"/>
        <w:rPr>
          <w:rFonts w:ascii="Arial" w:hAnsi="Arial" w:cs="Arial"/>
          <w:u w:val="single"/>
        </w:rPr>
      </w:pPr>
    </w:p>
    <w:p w14:paraId="2B10C45F" w14:textId="77777777" w:rsidR="00111241" w:rsidRDefault="00111241" w:rsidP="00AD6AD0">
      <w:pPr>
        <w:tabs>
          <w:tab w:val="left" w:pos="2620"/>
        </w:tabs>
        <w:jc w:val="center"/>
        <w:rPr>
          <w:rFonts w:ascii="Arial" w:hAnsi="Arial" w:cs="Arial"/>
          <w:u w:val="single"/>
        </w:rPr>
      </w:pPr>
    </w:p>
    <w:p w14:paraId="75BFCE87" w14:textId="1BF1ECA9" w:rsidR="00F37C3A" w:rsidRDefault="00F37C3A" w:rsidP="00AD6AD0">
      <w:pPr>
        <w:tabs>
          <w:tab w:val="left" w:pos="2620"/>
        </w:tabs>
        <w:jc w:val="center"/>
      </w:pPr>
      <w:r w:rsidRPr="00AD6AD0">
        <w:rPr>
          <w:rFonts w:ascii="Arial" w:hAnsi="Arial" w:cs="Arial"/>
          <w:u w:val="single"/>
        </w:rPr>
        <w:lastRenderedPageBreak/>
        <w:t>Essay 3 – How effective are cognitive interviews as a means of obtaining initial accounts from victims and witnesses</w:t>
      </w:r>
      <w:r>
        <w:t>?</w:t>
      </w:r>
    </w:p>
    <w:p w14:paraId="307AB5EC" w14:textId="77777777"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This essay will explore the effectiveness of cognitive interviews as a means of obtaining initial accounts from victims and witnesses. Interviews can take place with three types on interviewees, suspect, victim and witnesses although this essay will not account for suspect </w:t>
      </w:r>
      <w:proofErr w:type="gramStart"/>
      <w:r w:rsidRPr="00542EC8">
        <w:rPr>
          <w:rFonts w:ascii="Arial" w:hAnsi="Arial" w:cs="Arial"/>
          <w:sz w:val="24"/>
          <w:szCs w:val="24"/>
        </w:rPr>
        <w:t>interviews</w:t>
      </w:r>
      <w:proofErr w:type="gramEnd"/>
      <w:r w:rsidRPr="00542EC8">
        <w:rPr>
          <w:rFonts w:ascii="Arial" w:hAnsi="Arial" w:cs="Arial"/>
          <w:sz w:val="24"/>
          <w:szCs w:val="24"/>
        </w:rPr>
        <w:t xml:space="preserve"> they are conducted at a police station and done so under caution. Shepard and Griffiths (2021) describe an interview as a means of collecting as much information as possible </w:t>
      </w:r>
      <w:proofErr w:type="gramStart"/>
      <w:r w:rsidRPr="00542EC8">
        <w:rPr>
          <w:rFonts w:ascii="Arial" w:hAnsi="Arial" w:cs="Arial"/>
          <w:sz w:val="24"/>
          <w:szCs w:val="24"/>
        </w:rPr>
        <w:t>in order to</w:t>
      </w:r>
      <w:proofErr w:type="gramEnd"/>
      <w:r w:rsidRPr="00542EC8">
        <w:rPr>
          <w:rFonts w:ascii="Arial" w:hAnsi="Arial" w:cs="Arial"/>
          <w:sz w:val="24"/>
          <w:szCs w:val="24"/>
        </w:rPr>
        <w:t xml:space="preserve"> establish the truth about an incident. A cognitive interviewing, put very simply, is a questioning technique used in everyday interviews. Developed by Fisher and Geiselman (1992) the purpose of a cognitive interview is to enhance the retrieval of information from the memory of a victim or a witness about a specific incident, crime scene or description of a person in response </w:t>
      </w:r>
      <w:proofErr w:type="gramStart"/>
      <w:r w:rsidRPr="00542EC8">
        <w:rPr>
          <w:rFonts w:ascii="Arial" w:hAnsi="Arial" w:cs="Arial"/>
          <w:sz w:val="24"/>
          <w:szCs w:val="24"/>
        </w:rPr>
        <w:t>to  targeted</w:t>
      </w:r>
      <w:proofErr w:type="gramEnd"/>
      <w:r w:rsidRPr="00542EC8">
        <w:rPr>
          <w:rFonts w:ascii="Arial" w:hAnsi="Arial" w:cs="Arial"/>
          <w:sz w:val="24"/>
          <w:szCs w:val="24"/>
        </w:rPr>
        <w:t xml:space="preserve"> questions from an interviewing officer. Wood et al, (2002) suggest this is achieved by using memory enhancing techniques, for example context reinstatement whereby events that took place in around the specific incident are recreating with the aim of remembering more about the actual incident. The </w:t>
      </w:r>
      <w:proofErr w:type="spellStart"/>
      <w:r w:rsidRPr="00542EC8">
        <w:rPr>
          <w:rFonts w:ascii="Arial" w:hAnsi="Arial" w:cs="Arial"/>
          <w:sz w:val="24"/>
          <w:szCs w:val="24"/>
        </w:rPr>
        <w:t>us</w:t>
      </w:r>
      <w:proofErr w:type="spellEnd"/>
      <w:r w:rsidRPr="00542EC8">
        <w:rPr>
          <w:rFonts w:ascii="Arial" w:hAnsi="Arial" w:cs="Arial"/>
          <w:sz w:val="24"/>
          <w:szCs w:val="24"/>
        </w:rPr>
        <w:t xml:space="preserve"> of such interview techniques has seen a switch from integration style questioning to a more informal discussion approach to gathering information.</w:t>
      </w:r>
    </w:p>
    <w:p w14:paraId="5624A882" w14:textId="3D4A3419"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Dando and Wilcock (2009) explain how a Cognitive interviewing is made up for four mnemonics. They are as follows:</w:t>
      </w:r>
      <w:r w:rsidR="00111241">
        <w:rPr>
          <w:rFonts w:ascii="Arial" w:hAnsi="Arial" w:cs="Arial"/>
          <w:sz w:val="24"/>
          <w:szCs w:val="24"/>
        </w:rPr>
        <w:t xml:space="preserve"> </w:t>
      </w:r>
      <w:r w:rsidRPr="00542EC8">
        <w:rPr>
          <w:rFonts w:ascii="Arial" w:hAnsi="Arial" w:cs="Arial"/>
          <w:sz w:val="24"/>
          <w:szCs w:val="24"/>
        </w:rPr>
        <w:t xml:space="preserve">Mental Reinstatement of Context (MRC) the interviewee is asked to explain the environmental context and the personal context of the incident. Report everything (RE) whereby the interviewee is reminded to state everything they remember from the event, not detail is </w:t>
      </w:r>
      <w:proofErr w:type="gramStart"/>
      <w:r w:rsidRPr="00542EC8">
        <w:rPr>
          <w:rFonts w:ascii="Arial" w:hAnsi="Arial" w:cs="Arial"/>
          <w:sz w:val="24"/>
          <w:szCs w:val="24"/>
        </w:rPr>
        <w:t>to</w:t>
      </w:r>
      <w:proofErr w:type="gramEnd"/>
      <w:r w:rsidRPr="00542EC8">
        <w:rPr>
          <w:rFonts w:ascii="Arial" w:hAnsi="Arial" w:cs="Arial"/>
          <w:sz w:val="24"/>
          <w:szCs w:val="24"/>
        </w:rPr>
        <w:t xml:space="preserve"> insignificant to the investigation. Change order (CO) whereby the event Is explained in reverse order or they start at a significant </w:t>
      </w:r>
      <w:proofErr w:type="gramStart"/>
      <w:r w:rsidRPr="00542EC8">
        <w:rPr>
          <w:rFonts w:ascii="Arial" w:hAnsi="Arial" w:cs="Arial"/>
          <w:sz w:val="24"/>
          <w:szCs w:val="24"/>
        </w:rPr>
        <w:t>point .</w:t>
      </w:r>
      <w:proofErr w:type="gramEnd"/>
      <w:r w:rsidRPr="00542EC8">
        <w:rPr>
          <w:rFonts w:ascii="Arial" w:hAnsi="Arial" w:cs="Arial"/>
          <w:sz w:val="24"/>
          <w:szCs w:val="24"/>
        </w:rPr>
        <w:t xml:space="preserve"> Finally Change perspective (CP), whereby the </w:t>
      </w:r>
      <w:r w:rsidRPr="00542EC8">
        <w:rPr>
          <w:rFonts w:ascii="Arial" w:hAnsi="Arial" w:cs="Arial"/>
          <w:sz w:val="24"/>
          <w:szCs w:val="24"/>
        </w:rPr>
        <w:lastRenderedPageBreak/>
        <w:t xml:space="preserve">interviewee may tell the story from another perspective, for example in the third person. </w:t>
      </w:r>
    </w:p>
    <w:p w14:paraId="576176B1" w14:textId="77777777"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The numbers suggest that the cognitive interview method is effective, more so than any </w:t>
      </w:r>
      <w:proofErr w:type="gramStart"/>
      <w:r w:rsidRPr="00542EC8">
        <w:rPr>
          <w:rFonts w:ascii="Arial" w:hAnsi="Arial" w:cs="Arial"/>
          <w:sz w:val="24"/>
          <w:szCs w:val="24"/>
        </w:rPr>
        <w:t>there</w:t>
      </w:r>
      <w:proofErr w:type="gramEnd"/>
      <w:r w:rsidRPr="00542EC8">
        <w:rPr>
          <w:rFonts w:ascii="Arial" w:hAnsi="Arial" w:cs="Arial"/>
          <w:sz w:val="24"/>
          <w:szCs w:val="24"/>
        </w:rPr>
        <w:t xml:space="preserve"> style of standard interviewing. The work of Memon and Highman (</w:t>
      </w:r>
      <w:proofErr w:type="gramStart"/>
      <w:r w:rsidRPr="00542EC8">
        <w:rPr>
          <w:rFonts w:ascii="Arial" w:hAnsi="Arial" w:cs="Arial"/>
          <w:sz w:val="24"/>
          <w:szCs w:val="24"/>
        </w:rPr>
        <w:t>1999)finds</w:t>
      </w:r>
      <w:proofErr w:type="gramEnd"/>
      <w:r w:rsidRPr="00542EC8">
        <w:rPr>
          <w:rFonts w:ascii="Arial" w:hAnsi="Arial" w:cs="Arial"/>
          <w:sz w:val="24"/>
          <w:szCs w:val="24"/>
        </w:rPr>
        <w:t xml:space="preserve"> that cognitive interviewing saw </w:t>
      </w:r>
      <w:proofErr w:type="spellStart"/>
      <w:r w:rsidRPr="00542EC8">
        <w:rPr>
          <w:rFonts w:ascii="Arial" w:hAnsi="Arial" w:cs="Arial"/>
          <w:sz w:val="24"/>
          <w:szCs w:val="24"/>
        </w:rPr>
        <w:t>a</w:t>
      </w:r>
      <w:proofErr w:type="spellEnd"/>
      <w:r w:rsidRPr="00542EC8">
        <w:rPr>
          <w:rFonts w:ascii="Arial" w:hAnsi="Arial" w:cs="Arial"/>
          <w:sz w:val="24"/>
          <w:szCs w:val="24"/>
        </w:rPr>
        <w:t xml:space="preserve"> increase in 46% in regard to how much information a victim or witness is able to recall about an incident. It is not just the amount of information but also the accuracy, the same study found that the accuracy of the information increases by a massive 90% when a cognitive interview approach is used. </w:t>
      </w:r>
    </w:p>
    <w:p w14:paraId="69BCA2D3" w14:textId="058CF4EE" w:rsidR="005D0279" w:rsidRPr="00111241" w:rsidRDefault="005D0279" w:rsidP="00111241">
      <w:pPr>
        <w:spacing w:line="480" w:lineRule="auto"/>
        <w:jc w:val="both"/>
        <w:rPr>
          <w:rFonts w:ascii="Arial" w:hAnsi="Arial" w:cs="Arial"/>
          <w:color w:val="000000"/>
          <w:sz w:val="24"/>
          <w:szCs w:val="24"/>
          <w:shd w:val="clear" w:color="auto" w:fill="FFFFFF"/>
        </w:rPr>
      </w:pPr>
      <w:r w:rsidRPr="00542EC8">
        <w:rPr>
          <w:rFonts w:ascii="Arial" w:hAnsi="Arial" w:cs="Arial"/>
          <w:sz w:val="24"/>
          <w:szCs w:val="24"/>
        </w:rPr>
        <w:t xml:space="preserve">Wright and Holliday (2007) highlight the effectiveness of the cognitive interview approach when interviewing older victims and witnesses, they found that </w:t>
      </w:r>
      <w:proofErr w:type="gramStart"/>
      <w:r w:rsidRPr="00542EC8">
        <w:rPr>
          <w:rFonts w:ascii="Arial" w:hAnsi="Arial" w:cs="Arial"/>
          <w:color w:val="000000"/>
          <w:sz w:val="24"/>
          <w:szCs w:val="24"/>
          <w:shd w:val="clear" w:color="auto" w:fill="FFFFFF"/>
        </w:rPr>
        <w:t>With</w:t>
      </w:r>
      <w:proofErr w:type="gramEnd"/>
      <w:r w:rsidRPr="00542EC8">
        <w:rPr>
          <w:rFonts w:ascii="Arial" w:hAnsi="Arial" w:cs="Arial"/>
          <w:color w:val="000000"/>
          <w:sz w:val="24"/>
          <w:szCs w:val="24"/>
          <w:shd w:val="clear" w:color="auto" w:fill="FFFFFF"/>
        </w:rPr>
        <w:t xml:space="preserve"> most instances the older the interviewee the less of an incident they are able to recall and with that the less accurate that recollection often is. However, the study found a significantly greater increase in the accuracy and amount of detail that older participants were able to recall with very little false details, when the interviewing officer used a cognitive interview approach. </w:t>
      </w:r>
    </w:p>
    <w:p w14:paraId="04BF7A48" w14:textId="77777777"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Sexton et al, (2023) Suggests that one of the </w:t>
      </w:r>
      <w:proofErr w:type="gramStart"/>
      <w:r w:rsidRPr="00542EC8">
        <w:rPr>
          <w:rFonts w:ascii="Arial" w:hAnsi="Arial" w:cs="Arial"/>
          <w:sz w:val="24"/>
          <w:szCs w:val="24"/>
        </w:rPr>
        <w:t>reason</w:t>
      </w:r>
      <w:proofErr w:type="gramEnd"/>
      <w:r w:rsidRPr="00542EC8">
        <w:rPr>
          <w:rFonts w:ascii="Arial" w:hAnsi="Arial" w:cs="Arial"/>
          <w:sz w:val="24"/>
          <w:szCs w:val="24"/>
        </w:rPr>
        <w:t xml:space="preserve"> that the cognitive interview approach is superior to other approaches is due to the structure that is provides to interviewing officers. Some investigations can centre around very complex stories or scenarios with multiple incidents to review, using this method of interviewing allows for a structure to be put in place to ensure that no stone is left </w:t>
      </w:r>
      <w:proofErr w:type="gramStart"/>
      <w:r w:rsidRPr="00542EC8">
        <w:rPr>
          <w:rFonts w:ascii="Arial" w:hAnsi="Arial" w:cs="Arial"/>
          <w:sz w:val="24"/>
          <w:szCs w:val="24"/>
        </w:rPr>
        <w:t>unturned</w:t>
      </w:r>
      <w:proofErr w:type="gramEnd"/>
      <w:r w:rsidRPr="00542EC8">
        <w:rPr>
          <w:rFonts w:ascii="Arial" w:hAnsi="Arial" w:cs="Arial"/>
          <w:sz w:val="24"/>
          <w:szCs w:val="24"/>
        </w:rPr>
        <w:t xml:space="preserve"> and that each individual incident receives the attention it needs to secure the best evidence possible.</w:t>
      </w:r>
    </w:p>
    <w:p w14:paraId="40C2D8C6" w14:textId="77777777"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As with all methods to completing a task, not just interviewing, there are strengths and there are weaknesses. </w:t>
      </w:r>
      <w:proofErr w:type="gramStart"/>
      <w:r w:rsidRPr="00542EC8">
        <w:rPr>
          <w:rFonts w:ascii="Arial" w:hAnsi="Arial" w:cs="Arial"/>
          <w:sz w:val="24"/>
          <w:szCs w:val="24"/>
        </w:rPr>
        <w:t>In order to</w:t>
      </w:r>
      <w:proofErr w:type="gramEnd"/>
      <w:r w:rsidRPr="00542EC8">
        <w:rPr>
          <w:rFonts w:ascii="Arial" w:hAnsi="Arial" w:cs="Arial"/>
          <w:sz w:val="24"/>
          <w:szCs w:val="24"/>
        </w:rPr>
        <w:t xml:space="preserve"> truly establish how effective cognitive interviewing is the weakness of such an approach must be given some consideration to best </w:t>
      </w:r>
      <w:r w:rsidRPr="00542EC8">
        <w:rPr>
          <w:rFonts w:ascii="Arial" w:hAnsi="Arial" w:cs="Arial"/>
          <w:sz w:val="24"/>
          <w:szCs w:val="24"/>
        </w:rPr>
        <w:lastRenderedPageBreak/>
        <w:t xml:space="preserve">understand how and where to use this approach. One of the weaknesses of the cognitive interview approach, is the amount of time that it takes to complete. Given that a full cognitive interview makes use of all four mnemonics it can take a considerable amount of time to go through. The use of cognitive interviewing technique is usually reserved for larger more formal investigations and, by the College of Policing (2019), is not always deemed appropriate for use by officers when obtaining an initial account from a victim or witness. </w:t>
      </w:r>
    </w:p>
    <w:p w14:paraId="2380A3BB" w14:textId="62BD76C6" w:rsidR="005D0279" w:rsidRPr="00542EC8"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An obvious alternative to using the full cognitive interview process would be to use a modified version. This would involve selecting a combination two or even just using one </w:t>
      </w:r>
      <w:proofErr w:type="gramStart"/>
      <w:r w:rsidRPr="00542EC8">
        <w:rPr>
          <w:rFonts w:ascii="Arial" w:hAnsi="Arial" w:cs="Arial"/>
          <w:sz w:val="24"/>
          <w:szCs w:val="24"/>
        </w:rPr>
        <w:t>mnemonics</w:t>
      </w:r>
      <w:proofErr w:type="gramEnd"/>
      <w:r w:rsidRPr="00542EC8">
        <w:rPr>
          <w:rFonts w:ascii="Arial" w:hAnsi="Arial" w:cs="Arial"/>
          <w:sz w:val="24"/>
          <w:szCs w:val="24"/>
        </w:rPr>
        <w:t xml:space="preserve"> to complete the interview saving a considerable amount if tie whilst still obtaining quality information and evidence from the victim or witness. The most common combination of mnemonics would be to use mental reinstatement of context and report everything. Studies analysed by</w:t>
      </w:r>
      <w:r>
        <w:rPr>
          <w:rFonts w:ascii="Arial" w:hAnsi="Arial" w:cs="Arial"/>
          <w:sz w:val="24"/>
          <w:szCs w:val="24"/>
        </w:rPr>
        <w:t xml:space="preserve"> Sharman and Powell</w:t>
      </w:r>
      <w:r w:rsidRPr="00542EC8">
        <w:rPr>
          <w:rFonts w:ascii="Arial" w:hAnsi="Arial" w:cs="Arial"/>
          <w:sz w:val="24"/>
          <w:szCs w:val="24"/>
        </w:rPr>
        <w:t xml:space="preserve"> (</w:t>
      </w:r>
      <w:r>
        <w:rPr>
          <w:rFonts w:ascii="Arial" w:hAnsi="Arial" w:cs="Arial"/>
          <w:sz w:val="24"/>
          <w:szCs w:val="24"/>
        </w:rPr>
        <w:t xml:space="preserve">2012) </w:t>
      </w:r>
      <w:r w:rsidRPr="00542EC8">
        <w:rPr>
          <w:rFonts w:ascii="Arial" w:hAnsi="Arial" w:cs="Arial"/>
          <w:sz w:val="24"/>
          <w:szCs w:val="24"/>
        </w:rPr>
        <w:t xml:space="preserve">believe this is because change of order and change of perspective offer the least benefit to accurate and complete recall of events. Removing these will save on time and limit the effects of the quality of the information obtained. </w:t>
      </w:r>
    </w:p>
    <w:p w14:paraId="19161281" w14:textId="77777777" w:rsidR="005D0279" w:rsidRDefault="005D0279" w:rsidP="00111241">
      <w:pPr>
        <w:spacing w:line="480" w:lineRule="auto"/>
        <w:jc w:val="both"/>
        <w:rPr>
          <w:rFonts w:ascii="Arial" w:hAnsi="Arial" w:cs="Arial"/>
          <w:sz w:val="24"/>
          <w:szCs w:val="24"/>
        </w:rPr>
      </w:pPr>
      <w:r w:rsidRPr="00542EC8">
        <w:rPr>
          <w:rFonts w:ascii="Arial" w:hAnsi="Arial" w:cs="Arial"/>
          <w:sz w:val="24"/>
          <w:szCs w:val="24"/>
        </w:rPr>
        <w:t xml:space="preserve">To conclude is it obvious to see that there are great benefits associated with the use of cognitive interviews when dealing with victims and witnesses. Providing a means tested approach to obtaining accurate and complete recall of an event leads to achieving the best account possible </w:t>
      </w:r>
      <w:proofErr w:type="gramStart"/>
      <w:r w:rsidRPr="00542EC8">
        <w:rPr>
          <w:rFonts w:ascii="Arial" w:hAnsi="Arial" w:cs="Arial"/>
          <w:sz w:val="24"/>
          <w:szCs w:val="24"/>
        </w:rPr>
        <w:t>in order to</w:t>
      </w:r>
      <w:proofErr w:type="gramEnd"/>
      <w:r w:rsidRPr="00542EC8">
        <w:rPr>
          <w:rFonts w:ascii="Arial" w:hAnsi="Arial" w:cs="Arial"/>
          <w:sz w:val="24"/>
          <w:szCs w:val="24"/>
        </w:rPr>
        <w:t xml:space="preserve"> really understanding what has happened at an incident and how to progress the investigation. The structured approach makes this easy for officers to follow however does mean that it is a </w:t>
      </w:r>
      <w:proofErr w:type="gramStart"/>
      <w:r w:rsidRPr="00542EC8">
        <w:rPr>
          <w:rFonts w:ascii="Arial" w:hAnsi="Arial" w:cs="Arial"/>
          <w:sz w:val="24"/>
          <w:szCs w:val="24"/>
        </w:rPr>
        <w:t>time consuming</w:t>
      </w:r>
      <w:proofErr w:type="gramEnd"/>
      <w:r w:rsidRPr="00542EC8">
        <w:rPr>
          <w:rFonts w:ascii="Arial" w:hAnsi="Arial" w:cs="Arial"/>
          <w:sz w:val="24"/>
          <w:szCs w:val="24"/>
        </w:rPr>
        <w:t xml:space="preserve"> process. Response officers are already buried in workload and with the additional time it takes to conduct a full cognitive interview the decision must be made based on the type of investigation and the seriousness of the allegation as to whether </w:t>
      </w:r>
      <w:r w:rsidRPr="00542EC8">
        <w:rPr>
          <w:rFonts w:ascii="Arial" w:hAnsi="Arial" w:cs="Arial"/>
          <w:sz w:val="24"/>
          <w:szCs w:val="24"/>
        </w:rPr>
        <w:lastRenderedPageBreak/>
        <w:t xml:space="preserve">cognitive interview approach is taken or whether or a modified cognitive interview approach would suffice. Response officers often deal with volume crimes, Wood et al (2002) argue that the cognitive approach is not often used for volume crimes. </w:t>
      </w:r>
      <w:proofErr w:type="gramStart"/>
      <w:r w:rsidRPr="00542EC8">
        <w:rPr>
          <w:rFonts w:ascii="Arial" w:hAnsi="Arial" w:cs="Arial"/>
          <w:sz w:val="24"/>
          <w:szCs w:val="24"/>
        </w:rPr>
        <w:t xml:space="preserve">With this in mind </w:t>
      </w:r>
      <w:r>
        <w:rPr>
          <w:rFonts w:ascii="Arial" w:hAnsi="Arial" w:cs="Arial"/>
          <w:sz w:val="24"/>
          <w:szCs w:val="24"/>
        </w:rPr>
        <w:t>along</w:t>
      </w:r>
      <w:proofErr w:type="gramEnd"/>
      <w:r>
        <w:rPr>
          <w:rFonts w:ascii="Arial" w:hAnsi="Arial" w:cs="Arial"/>
          <w:sz w:val="24"/>
          <w:szCs w:val="24"/>
        </w:rPr>
        <w:t xml:space="preserve"> with</w:t>
      </w:r>
      <w:r w:rsidRPr="00542EC8">
        <w:rPr>
          <w:rFonts w:ascii="Arial" w:hAnsi="Arial" w:cs="Arial"/>
          <w:sz w:val="24"/>
          <w:szCs w:val="24"/>
        </w:rPr>
        <w:t xml:space="preserve"> the time constraint the effectiveness of cognitive interview for response officers is called into question therefore alternative methods for interviewing should be explored by response officers. </w:t>
      </w:r>
    </w:p>
    <w:p w14:paraId="669A81E8" w14:textId="6705915D" w:rsidR="005D0279" w:rsidRPr="00542EC8" w:rsidRDefault="005D0279" w:rsidP="005D0279">
      <w:pPr>
        <w:rPr>
          <w:rFonts w:ascii="Arial" w:hAnsi="Arial" w:cs="Arial"/>
          <w:sz w:val="24"/>
          <w:szCs w:val="24"/>
        </w:rPr>
      </w:pPr>
      <w:r>
        <w:rPr>
          <w:rFonts w:ascii="Arial" w:hAnsi="Arial" w:cs="Arial"/>
          <w:sz w:val="24"/>
          <w:szCs w:val="24"/>
        </w:rPr>
        <w:t>1001 words</w:t>
      </w:r>
    </w:p>
    <w:p w14:paraId="6869A896" w14:textId="77777777" w:rsidR="00AD6AD0" w:rsidRDefault="00AD6AD0" w:rsidP="00F37C3A">
      <w:pPr>
        <w:tabs>
          <w:tab w:val="left" w:pos="2620"/>
        </w:tabs>
      </w:pPr>
    </w:p>
    <w:p w14:paraId="0D43ADF0" w14:textId="77777777" w:rsidR="00AD6AD0" w:rsidRDefault="00AD6AD0" w:rsidP="00F37C3A">
      <w:pPr>
        <w:tabs>
          <w:tab w:val="left" w:pos="2620"/>
        </w:tabs>
      </w:pPr>
    </w:p>
    <w:p w14:paraId="28818737" w14:textId="77777777" w:rsidR="00AD6AD0" w:rsidRDefault="00AD6AD0" w:rsidP="00F37C3A">
      <w:pPr>
        <w:tabs>
          <w:tab w:val="left" w:pos="2620"/>
        </w:tabs>
      </w:pPr>
    </w:p>
    <w:p w14:paraId="3A69E64A" w14:textId="77777777" w:rsidR="00AD6AD0" w:rsidRDefault="00AD6AD0" w:rsidP="00F37C3A">
      <w:pPr>
        <w:tabs>
          <w:tab w:val="left" w:pos="2620"/>
        </w:tabs>
      </w:pPr>
    </w:p>
    <w:p w14:paraId="25FB560E" w14:textId="77777777" w:rsidR="00AD6AD0" w:rsidRDefault="00AD6AD0" w:rsidP="00F37C3A">
      <w:pPr>
        <w:tabs>
          <w:tab w:val="left" w:pos="2620"/>
        </w:tabs>
      </w:pPr>
    </w:p>
    <w:p w14:paraId="2E42B51B" w14:textId="77777777" w:rsidR="00AD6AD0" w:rsidRDefault="00AD6AD0" w:rsidP="00F37C3A">
      <w:pPr>
        <w:tabs>
          <w:tab w:val="left" w:pos="2620"/>
        </w:tabs>
      </w:pPr>
    </w:p>
    <w:p w14:paraId="0B48AE05" w14:textId="77777777" w:rsidR="00AD6AD0" w:rsidRDefault="00AD6AD0" w:rsidP="00F37C3A">
      <w:pPr>
        <w:tabs>
          <w:tab w:val="left" w:pos="2620"/>
        </w:tabs>
      </w:pPr>
    </w:p>
    <w:p w14:paraId="45E6A4A8" w14:textId="77777777" w:rsidR="00AD6AD0" w:rsidRDefault="00AD6AD0" w:rsidP="00F37C3A">
      <w:pPr>
        <w:tabs>
          <w:tab w:val="left" w:pos="2620"/>
        </w:tabs>
      </w:pPr>
    </w:p>
    <w:p w14:paraId="23D919FE" w14:textId="77777777" w:rsidR="00AD6AD0" w:rsidRDefault="00AD6AD0" w:rsidP="00F37C3A">
      <w:pPr>
        <w:tabs>
          <w:tab w:val="left" w:pos="2620"/>
        </w:tabs>
      </w:pPr>
    </w:p>
    <w:p w14:paraId="1E109A67" w14:textId="77777777" w:rsidR="00AD6AD0" w:rsidRDefault="00AD6AD0" w:rsidP="00F37C3A">
      <w:pPr>
        <w:tabs>
          <w:tab w:val="left" w:pos="2620"/>
        </w:tabs>
      </w:pPr>
    </w:p>
    <w:p w14:paraId="63DDEA7C" w14:textId="77777777" w:rsidR="00AD6AD0" w:rsidRDefault="00AD6AD0" w:rsidP="00F37C3A">
      <w:pPr>
        <w:tabs>
          <w:tab w:val="left" w:pos="2620"/>
        </w:tabs>
      </w:pPr>
    </w:p>
    <w:p w14:paraId="74EC8622" w14:textId="77777777" w:rsidR="00AD6AD0" w:rsidRDefault="00AD6AD0" w:rsidP="00F37C3A">
      <w:pPr>
        <w:tabs>
          <w:tab w:val="left" w:pos="2620"/>
        </w:tabs>
      </w:pPr>
    </w:p>
    <w:p w14:paraId="06D6C81D" w14:textId="77777777" w:rsidR="00AD6AD0" w:rsidRDefault="00AD6AD0" w:rsidP="00F37C3A">
      <w:pPr>
        <w:tabs>
          <w:tab w:val="left" w:pos="2620"/>
        </w:tabs>
      </w:pPr>
    </w:p>
    <w:p w14:paraId="1F40950D" w14:textId="77777777" w:rsidR="00AD6AD0" w:rsidRDefault="00AD6AD0" w:rsidP="00F37C3A">
      <w:pPr>
        <w:tabs>
          <w:tab w:val="left" w:pos="2620"/>
        </w:tabs>
      </w:pPr>
    </w:p>
    <w:p w14:paraId="7FE03443" w14:textId="77777777" w:rsidR="00AD6AD0" w:rsidRDefault="00AD6AD0" w:rsidP="00F37C3A">
      <w:pPr>
        <w:tabs>
          <w:tab w:val="left" w:pos="2620"/>
        </w:tabs>
      </w:pPr>
    </w:p>
    <w:p w14:paraId="18D34BF3" w14:textId="77777777" w:rsidR="00AD6AD0" w:rsidRDefault="00AD6AD0" w:rsidP="00F37C3A">
      <w:pPr>
        <w:tabs>
          <w:tab w:val="left" w:pos="2620"/>
        </w:tabs>
      </w:pPr>
    </w:p>
    <w:p w14:paraId="3B3A5FC1" w14:textId="77777777" w:rsidR="00AD6AD0" w:rsidRDefault="00AD6AD0" w:rsidP="00F37C3A">
      <w:pPr>
        <w:tabs>
          <w:tab w:val="left" w:pos="2620"/>
        </w:tabs>
      </w:pPr>
    </w:p>
    <w:p w14:paraId="27068524" w14:textId="77777777" w:rsidR="00AD6AD0" w:rsidRDefault="00AD6AD0" w:rsidP="00F37C3A">
      <w:pPr>
        <w:tabs>
          <w:tab w:val="left" w:pos="2620"/>
        </w:tabs>
      </w:pPr>
    </w:p>
    <w:p w14:paraId="538DD07A" w14:textId="77777777" w:rsidR="00AD6AD0" w:rsidRDefault="00AD6AD0" w:rsidP="00F37C3A">
      <w:pPr>
        <w:tabs>
          <w:tab w:val="left" w:pos="2620"/>
        </w:tabs>
      </w:pPr>
    </w:p>
    <w:p w14:paraId="111D2328" w14:textId="77777777" w:rsidR="00AD6AD0" w:rsidRDefault="00AD6AD0" w:rsidP="00F37C3A">
      <w:pPr>
        <w:tabs>
          <w:tab w:val="left" w:pos="2620"/>
        </w:tabs>
      </w:pPr>
    </w:p>
    <w:p w14:paraId="22741972" w14:textId="77777777" w:rsidR="00111241" w:rsidRDefault="00111241" w:rsidP="00111241">
      <w:pPr>
        <w:tabs>
          <w:tab w:val="left" w:pos="2620"/>
        </w:tabs>
      </w:pPr>
    </w:p>
    <w:p w14:paraId="01102975" w14:textId="0B9D0922" w:rsidR="00AD6AD0" w:rsidRDefault="00AD6AD0" w:rsidP="00111241">
      <w:pPr>
        <w:tabs>
          <w:tab w:val="left" w:pos="2620"/>
        </w:tabs>
        <w:jc w:val="center"/>
        <w:rPr>
          <w:rFonts w:ascii="Arial" w:hAnsi="Arial" w:cs="Arial"/>
          <w:u w:val="single"/>
        </w:rPr>
      </w:pPr>
      <w:r w:rsidRPr="00AD6AD0">
        <w:rPr>
          <w:rFonts w:ascii="Arial" w:hAnsi="Arial" w:cs="Arial"/>
          <w:u w:val="single"/>
        </w:rPr>
        <w:lastRenderedPageBreak/>
        <w:t>Essay 5 – Critically assess the effectiveness of options available to reduce re-offending. You may choose a specific type of offence for this answer e.g. domestic violence, anti-social behaviour, knife crime.</w:t>
      </w:r>
    </w:p>
    <w:p w14:paraId="2F3F3419" w14:textId="77777777" w:rsidR="00AD6AD0" w:rsidRDefault="00AD6AD0" w:rsidP="00AD6AD0">
      <w:pPr>
        <w:tabs>
          <w:tab w:val="left" w:pos="2620"/>
        </w:tabs>
        <w:jc w:val="center"/>
        <w:rPr>
          <w:rFonts w:ascii="Arial" w:hAnsi="Arial" w:cs="Arial"/>
          <w:u w:val="single"/>
        </w:rPr>
      </w:pPr>
    </w:p>
    <w:p w14:paraId="566AFB4F" w14:textId="5B00F7D0"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t xml:space="preserve">This essay will critically assess the measures available to reduce reoffending in relation to </w:t>
      </w:r>
      <w:proofErr w:type="spellStart"/>
      <w:r w:rsidRPr="00C375F1">
        <w:rPr>
          <w:rFonts w:ascii="Arial" w:hAnsi="Arial" w:cs="Arial"/>
          <w:sz w:val="24"/>
          <w:szCs w:val="24"/>
        </w:rPr>
        <w:t>anti social</w:t>
      </w:r>
      <w:proofErr w:type="spellEnd"/>
      <w:r w:rsidRPr="00C375F1">
        <w:rPr>
          <w:rFonts w:ascii="Arial" w:hAnsi="Arial" w:cs="Arial"/>
          <w:sz w:val="24"/>
          <w:szCs w:val="24"/>
        </w:rPr>
        <w:t xml:space="preserve"> behaviour from offenders in the </w:t>
      </w:r>
      <w:proofErr w:type="gramStart"/>
      <w:r w:rsidRPr="00C375F1">
        <w:rPr>
          <w:rFonts w:ascii="Arial" w:hAnsi="Arial" w:cs="Arial"/>
          <w:sz w:val="24"/>
          <w:szCs w:val="24"/>
        </w:rPr>
        <w:t>united kingdom</w:t>
      </w:r>
      <w:proofErr w:type="gramEnd"/>
      <w:r w:rsidRPr="00C375F1">
        <w:rPr>
          <w:rFonts w:ascii="Arial" w:hAnsi="Arial" w:cs="Arial"/>
          <w:sz w:val="24"/>
          <w:szCs w:val="24"/>
        </w:rPr>
        <w:t xml:space="preserve">. The importance or reducing the of reoffending will be explored along with the effects of </w:t>
      </w:r>
      <w:proofErr w:type="spellStart"/>
      <w:r w:rsidRPr="00C375F1">
        <w:rPr>
          <w:rFonts w:ascii="Arial" w:hAnsi="Arial" w:cs="Arial"/>
          <w:sz w:val="24"/>
          <w:szCs w:val="24"/>
        </w:rPr>
        <w:t>anti social</w:t>
      </w:r>
      <w:proofErr w:type="spellEnd"/>
      <w:r w:rsidRPr="00C375F1">
        <w:rPr>
          <w:rFonts w:ascii="Arial" w:hAnsi="Arial" w:cs="Arial"/>
          <w:sz w:val="24"/>
          <w:szCs w:val="24"/>
        </w:rPr>
        <w:t xml:space="preserve"> behaviour and individuals and the community. </w:t>
      </w:r>
    </w:p>
    <w:p w14:paraId="6137DE0A" w14:textId="054414EA"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t xml:space="preserve">The Ministry of </w:t>
      </w:r>
      <w:proofErr w:type="gramStart"/>
      <w:r w:rsidRPr="00C375F1">
        <w:rPr>
          <w:rFonts w:ascii="Arial" w:hAnsi="Arial" w:cs="Arial"/>
          <w:sz w:val="24"/>
          <w:szCs w:val="24"/>
        </w:rPr>
        <w:t>Justice(</w:t>
      </w:r>
      <w:proofErr w:type="gramEnd"/>
      <w:r w:rsidRPr="00C375F1">
        <w:rPr>
          <w:rFonts w:ascii="Arial" w:hAnsi="Arial" w:cs="Arial"/>
          <w:sz w:val="24"/>
          <w:szCs w:val="24"/>
        </w:rPr>
        <w:t xml:space="preserve">2010)defines reoffending as “any offence committed in a one year follow-up period that leads to a court conviction, caution, reprimand or warning in the one year follow-up or within a further six month waiting period, to allow the offence to be proven in court.” There are </w:t>
      </w:r>
      <w:proofErr w:type="gramStart"/>
      <w:r w:rsidRPr="00C375F1">
        <w:rPr>
          <w:rFonts w:ascii="Arial" w:hAnsi="Arial" w:cs="Arial"/>
          <w:sz w:val="24"/>
          <w:szCs w:val="24"/>
        </w:rPr>
        <w:t>a number of</w:t>
      </w:r>
      <w:proofErr w:type="gramEnd"/>
      <w:r w:rsidRPr="00C375F1">
        <w:rPr>
          <w:rFonts w:ascii="Arial" w:hAnsi="Arial" w:cs="Arial"/>
          <w:sz w:val="24"/>
          <w:szCs w:val="24"/>
        </w:rPr>
        <w:t xml:space="preserve"> individual or social factors that influence a person to reoffend. Andrews and Botana (2010) describe that they can be split into two categories. Static influences, that cannot be changed and are factors such as age or criminal </w:t>
      </w:r>
      <w:proofErr w:type="gramStart"/>
      <w:r w:rsidRPr="00C375F1">
        <w:rPr>
          <w:rFonts w:ascii="Arial" w:hAnsi="Arial" w:cs="Arial"/>
          <w:sz w:val="24"/>
          <w:szCs w:val="24"/>
        </w:rPr>
        <w:t>history .</w:t>
      </w:r>
      <w:proofErr w:type="gramEnd"/>
      <w:r w:rsidRPr="00C375F1">
        <w:rPr>
          <w:rFonts w:ascii="Arial" w:hAnsi="Arial" w:cs="Arial"/>
          <w:sz w:val="24"/>
          <w:szCs w:val="24"/>
        </w:rPr>
        <w:t xml:space="preserve"> Dynamic influences, things that are more amenable to change, such as drug or alcohol misuse, </w:t>
      </w:r>
      <w:proofErr w:type="gramStart"/>
      <w:r w:rsidRPr="00C375F1">
        <w:rPr>
          <w:rFonts w:ascii="Arial" w:hAnsi="Arial" w:cs="Arial"/>
          <w:sz w:val="24"/>
          <w:szCs w:val="24"/>
        </w:rPr>
        <w:t>education</w:t>
      </w:r>
      <w:proofErr w:type="gramEnd"/>
      <w:r w:rsidRPr="00C375F1">
        <w:rPr>
          <w:rFonts w:ascii="Arial" w:hAnsi="Arial" w:cs="Arial"/>
          <w:sz w:val="24"/>
          <w:szCs w:val="24"/>
        </w:rPr>
        <w:t xml:space="preserve"> and employment status. Reducing the rate of reoffending has a multitude of benefits mainly the reduction in crime and the satisfaction of victims. The Ministry of </w:t>
      </w:r>
      <w:proofErr w:type="gramStart"/>
      <w:r w:rsidRPr="00C375F1">
        <w:rPr>
          <w:rFonts w:ascii="Arial" w:hAnsi="Arial" w:cs="Arial"/>
          <w:sz w:val="24"/>
          <w:szCs w:val="24"/>
        </w:rPr>
        <w:t>Justice(</w:t>
      </w:r>
      <w:proofErr w:type="gramEnd"/>
      <w:r w:rsidRPr="00C375F1">
        <w:rPr>
          <w:rFonts w:ascii="Arial" w:hAnsi="Arial" w:cs="Arial"/>
          <w:sz w:val="24"/>
          <w:szCs w:val="24"/>
        </w:rPr>
        <w:t>2015) estimate that between 2010  and 2015 the cost of reoffending to the UK tax payer is at around £9.5 to £13 billion a year.</w:t>
      </w:r>
    </w:p>
    <w:p w14:paraId="374E0564" w14:textId="77777777" w:rsidR="00AD6AD0" w:rsidRPr="00C375F1" w:rsidRDefault="00AD6AD0" w:rsidP="00C375F1">
      <w:pPr>
        <w:spacing w:line="480" w:lineRule="auto"/>
        <w:jc w:val="both"/>
        <w:rPr>
          <w:rFonts w:ascii="Arial" w:hAnsi="Arial" w:cs="Arial"/>
          <w:sz w:val="24"/>
          <w:szCs w:val="24"/>
        </w:rPr>
      </w:pPr>
    </w:p>
    <w:p w14:paraId="4731AC69" w14:textId="18640362"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t xml:space="preserve">Anti-social behaviour is real problem in the United Kingdom and a drain on police resources. It is defined as ‘behaviour by a person which causes, or is likely to cause, harassment alarm or distress’ (Antisocial Behaviour Act, 2003). Deery and Jago (2010) provide examples of what constitutes antisocial behaviour, these examples include behaviours such as street drinking, rowdy and inconsiderate behaviour, begging and vehicle nuisance to name but a few. It can be committed against individual, </w:t>
      </w:r>
      <w:r w:rsidRPr="00C375F1">
        <w:rPr>
          <w:rFonts w:ascii="Arial" w:hAnsi="Arial" w:cs="Arial"/>
          <w:sz w:val="24"/>
          <w:szCs w:val="24"/>
        </w:rPr>
        <w:lastRenderedPageBreak/>
        <w:t xml:space="preserve">communities and </w:t>
      </w:r>
      <w:proofErr w:type="gramStart"/>
      <w:r w:rsidRPr="00C375F1">
        <w:rPr>
          <w:rFonts w:ascii="Arial" w:hAnsi="Arial" w:cs="Arial"/>
          <w:sz w:val="24"/>
          <w:szCs w:val="24"/>
        </w:rPr>
        <w:t>environmentally .</w:t>
      </w:r>
      <w:proofErr w:type="gramEnd"/>
      <w:r w:rsidRPr="00C375F1">
        <w:rPr>
          <w:rFonts w:ascii="Arial" w:hAnsi="Arial" w:cs="Arial"/>
          <w:sz w:val="24"/>
          <w:szCs w:val="24"/>
        </w:rPr>
        <w:t xml:space="preserve"> Baird (2022) argues that not only does antisocial behaviour ruin lives of the victims, resulting in them living in fear, losing </w:t>
      </w:r>
      <w:proofErr w:type="gramStart"/>
      <w:r w:rsidRPr="00C375F1">
        <w:rPr>
          <w:rFonts w:ascii="Arial" w:hAnsi="Arial" w:cs="Arial"/>
          <w:sz w:val="24"/>
          <w:szCs w:val="24"/>
        </w:rPr>
        <w:t>sleep</w:t>
      </w:r>
      <w:proofErr w:type="gramEnd"/>
      <w:r w:rsidRPr="00C375F1">
        <w:rPr>
          <w:rFonts w:ascii="Arial" w:hAnsi="Arial" w:cs="Arial"/>
          <w:sz w:val="24"/>
          <w:szCs w:val="24"/>
        </w:rPr>
        <w:t xml:space="preserve"> and feeling anxious, it also serves as precursor to serious criminality such as knife crime and gang culture. This makes reducing re offending </w:t>
      </w:r>
      <w:proofErr w:type="gramStart"/>
      <w:r w:rsidRPr="00C375F1">
        <w:rPr>
          <w:rFonts w:ascii="Arial" w:hAnsi="Arial" w:cs="Arial"/>
          <w:sz w:val="24"/>
          <w:szCs w:val="24"/>
        </w:rPr>
        <w:t>all the more</w:t>
      </w:r>
      <w:proofErr w:type="gramEnd"/>
      <w:r w:rsidRPr="00C375F1">
        <w:rPr>
          <w:rFonts w:ascii="Arial" w:hAnsi="Arial" w:cs="Arial"/>
          <w:sz w:val="24"/>
          <w:szCs w:val="24"/>
        </w:rPr>
        <w:t xml:space="preserve"> important. </w:t>
      </w:r>
    </w:p>
    <w:p w14:paraId="57B0253D" w14:textId="77777777" w:rsidR="00AD6AD0" w:rsidRPr="00C375F1" w:rsidRDefault="00AD6AD0" w:rsidP="00C375F1">
      <w:pPr>
        <w:spacing w:line="480" w:lineRule="auto"/>
        <w:jc w:val="both"/>
        <w:rPr>
          <w:rFonts w:ascii="Arial" w:hAnsi="Arial" w:cs="Arial"/>
          <w:sz w:val="24"/>
          <w:szCs w:val="24"/>
        </w:rPr>
      </w:pPr>
    </w:p>
    <w:p w14:paraId="380E05A2" w14:textId="08E3DC27"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t>The restorative justice (RJ) approach to reducing reoffending in low level offences related to antisocial behaviour is a tried and tested measure. Marshall (1999)</w:t>
      </w:r>
      <w:r w:rsidR="00111241" w:rsidRPr="00C375F1">
        <w:rPr>
          <w:rFonts w:ascii="Arial" w:hAnsi="Arial" w:cs="Arial"/>
          <w:sz w:val="24"/>
          <w:szCs w:val="24"/>
        </w:rPr>
        <w:t xml:space="preserve"> </w:t>
      </w:r>
      <w:r w:rsidRPr="00C375F1">
        <w:rPr>
          <w:rFonts w:ascii="Arial" w:hAnsi="Arial" w:cs="Arial"/>
          <w:sz w:val="24"/>
          <w:szCs w:val="24"/>
        </w:rPr>
        <w:t xml:space="preserve">states that the RJ approach consists of a conference between all parties involved in the reported incident. It allows victims to outline the impact of an </w:t>
      </w:r>
      <w:proofErr w:type="gramStart"/>
      <w:r w:rsidRPr="00C375F1">
        <w:rPr>
          <w:rFonts w:ascii="Arial" w:hAnsi="Arial" w:cs="Arial"/>
          <w:sz w:val="24"/>
          <w:szCs w:val="24"/>
        </w:rPr>
        <w:t>offenders</w:t>
      </w:r>
      <w:proofErr w:type="gramEnd"/>
      <w:r w:rsidRPr="00C375F1">
        <w:rPr>
          <w:rFonts w:ascii="Arial" w:hAnsi="Arial" w:cs="Arial"/>
          <w:sz w:val="24"/>
          <w:szCs w:val="24"/>
        </w:rPr>
        <w:t xml:space="preserve"> actions on their livelihood and play a part in agreeing a restorative approach to crime. The offender is able to offer an explanation and apology to the victim, holding them accountable in a </w:t>
      </w:r>
      <w:proofErr w:type="gramStart"/>
      <w:r w:rsidRPr="00C375F1">
        <w:rPr>
          <w:rFonts w:ascii="Arial" w:hAnsi="Arial" w:cs="Arial"/>
          <w:sz w:val="24"/>
          <w:szCs w:val="24"/>
        </w:rPr>
        <w:t>face to face</w:t>
      </w:r>
      <w:proofErr w:type="gramEnd"/>
      <w:r w:rsidRPr="00C375F1">
        <w:rPr>
          <w:rFonts w:ascii="Arial" w:hAnsi="Arial" w:cs="Arial"/>
          <w:sz w:val="24"/>
          <w:szCs w:val="24"/>
        </w:rPr>
        <w:t xml:space="preserve"> setting in the hope that understanding the impact of their actions will deter them from reoffending. Research conducted by Shapland et al., (2011) depicts the effectiveness of the RJ approach as currently being mixed/promising, highlighting the drop of 14 percentage </w:t>
      </w:r>
      <w:proofErr w:type="gramStart"/>
      <w:r w:rsidRPr="00C375F1">
        <w:rPr>
          <w:rFonts w:ascii="Arial" w:hAnsi="Arial" w:cs="Arial"/>
          <w:sz w:val="24"/>
          <w:szCs w:val="24"/>
        </w:rPr>
        <w:t>points  in</w:t>
      </w:r>
      <w:proofErr w:type="gramEnd"/>
      <w:r w:rsidRPr="00C375F1">
        <w:rPr>
          <w:rFonts w:ascii="Arial" w:hAnsi="Arial" w:cs="Arial"/>
          <w:sz w:val="24"/>
          <w:szCs w:val="24"/>
        </w:rPr>
        <w:t xml:space="preserve"> reoffending rates when the RJ is used. However, in a bid to critically assess the effectiveness of the RJ, research by Wright (2013) argues that RJ approach works best when there is a </w:t>
      </w:r>
      <w:proofErr w:type="gramStart"/>
      <w:r w:rsidRPr="00C375F1">
        <w:rPr>
          <w:rFonts w:ascii="Arial" w:hAnsi="Arial" w:cs="Arial"/>
          <w:sz w:val="24"/>
          <w:szCs w:val="24"/>
        </w:rPr>
        <w:t>clear  and</w:t>
      </w:r>
      <w:proofErr w:type="gramEnd"/>
      <w:r w:rsidRPr="00C375F1">
        <w:rPr>
          <w:rFonts w:ascii="Arial" w:hAnsi="Arial" w:cs="Arial"/>
          <w:sz w:val="24"/>
          <w:szCs w:val="24"/>
        </w:rPr>
        <w:t xml:space="preserve"> identifiable victim therefore this may only be appropriate in certain cases of antisocial behaviour where it affects and individual rather than the community or the environment. </w:t>
      </w:r>
    </w:p>
    <w:p w14:paraId="13479744" w14:textId="7936C7CA"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t xml:space="preserve">One of the biggest strategies for reducing the reoffending rate of antisocial behaviour offenders is the deployment of neighbourhood policing teams (NPT). NPT consist of Police Community Support Officers (PCSO) and Neighbourhood beat managers (NBM). The College of Policing (2024) explain the role of a PCSO to be a vital one in preventing ASB in the first instance and affect repeat offenders as they patrol ASB </w:t>
      </w:r>
      <w:r w:rsidRPr="00C375F1">
        <w:rPr>
          <w:rFonts w:ascii="Arial" w:hAnsi="Arial" w:cs="Arial"/>
          <w:sz w:val="24"/>
          <w:szCs w:val="24"/>
        </w:rPr>
        <w:lastRenderedPageBreak/>
        <w:t xml:space="preserve">hotspots and act as a deterrent, police presence is often enough to deter crime. In some forces they can issue fixed penalty notices for minor ASB offences, seize alcohol from street drinkers and seize vehicles used in ASB offences. The College of Policing (2024) states that the role of a beat managers is to engage with partners to solve problems in a sustainable manner with the aim of diverting those who are most likely to reoffend </w:t>
      </w:r>
      <w:proofErr w:type="gramStart"/>
      <w:r w:rsidRPr="00C375F1">
        <w:rPr>
          <w:rFonts w:ascii="Arial" w:hAnsi="Arial" w:cs="Arial"/>
          <w:sz w:val="24"/>
          <w:szCs w:val="24"/>
        </w:rPr>
        <w:t>in order to</w:t>
      </w:r>
      <w:proofErr w:type="gramEnd"/>
      <w:r w:rsidRPr="00C375F1">
        <w:rPr>
          <w:rFonts w:ascii="Arial" w:hAnsi="Arial" w:cs="Arial"/>
          <w:sz w:val="24"/>
          <w:szCs w:val="24"/>
        </w:rPr>
        <w:t xml:space="preserve"> reduce the impact of crime.</w:t>
      </w:r>
    </w:p>
    <w:p w14:paraId="0262718E" w14:textId="112CA807" w:rsidR="00AD6AD0" w:rsidRPr="00C375F1" w:rsidRDefault="00AD6AD0" w:rsidP="00C375F1">
      <w:pPr>
        <w:spacing w:line="480" w:lineRule="auto"/>
        <w:jc w:val="both"/>
        <w:rPr>
          <w:rFonts w:ascii="Arial" w:hAnsi="Arial" w:cs="Arial"/>
          <w:sz w:val="24"/>
          <w:szCs w:val="24"/>
        </w:rPr>
      </w:pPr>
      <w:proofErr w:type="gramStart"/>
      <w:r w:rsidRPr="00C375F1">
        <w:rPr>
          <w:rFonts w:ascii="Arial" w:hAnsi="Arial" w:cs="Arial"/>
          <w:sz w:val="24"/>
          <w:szCs w:val="24"/>
        </w:rPr>
        <w:t>Finally</w:t>
      </w:r>
      <w:proofErr w:type="gramEnd"/>
      <w:r w:rsidRPr="00C375F1">
        <w:rPr>
          <w:rFonts w:ascii="Arial" w:hAnsi="Arial" w:cs="Arial"/>
          <w:sz w:val="24"/>
          <w:szCs w:val="24"/>
        </w:rPr>
        <w:t xml:space="preserve"> there is legislation in place that allows police to place conditions on people who commit ASB and ASB related a offences. Heap et al., (2002) argues the effectiveness of a community protection notice (CPW), this is in three stages, firstly offenders receive a written warning outlining required actions and timescales, this gives opportunity for offenders to change their behaviour before being criminalised. Mills and Ford (2018) explain how offenders who fail to follow a CPW are liable to a community protection notice (CPN), it is a criminal offence to breach a CPN and offenders are liable to fixed penalty notices, prosecution, seizure or forfeit and remedial action. This process serves as a deterrent in the first instance warning offenders of the consequences of reoffending and then providing punishment if this order is no obeyed. In more serious cases a judge can impose a criminal behaviour order (CBO). The Crown Prosecution Service (2020) state that these orders are aimed specifically at reducing antisocial behaviour, following a conviction for a criminal offence a judge can order an offender to do certain things or prohibit them from doing certain things. It is a criminal offence to breach a CBO, it carries with it a power of arrest and can lead to custodial sentences being passed on repeat offenders. This much harsher punishment for repeat offending is regarded as an effective measure of reducing reoffending putting offenders in fear of doing prison time for the actions. </w:t>
      </w:r>
    </w:p>
    <w:p w14:paraId="15AB0451" w14:textId="77777777" w:rsidR="00AD6AD0" w:rsidRPr="00C375F1" w:rsidRDefault="00AD6AD0" w:rsidP="00C375F1">
      <w:pPr>
        <w:spacing w:line="480" w:lineRule="auto"/>
        <w:jc w:val="both"/>
        <w:rPr>
          <w:rFonts w:ascii="Arial" w:hAnsi="Arial" w:cs="Arial"/>
          <w:sz w:val="24"/>
          <w:szCs w:val="24"/>
        </w:rPr>
      </w:pPr>
      <w:r w:rsidRPr="00C375F1">
        <w:rPr>
          <w:rFonts w:ascii="Arial" w:hAnsi="Arial" w:cs="Arial"/>
          <w:sz w:val="24"/>
          <w:szCs w:val="24"/>
        </w:rPr>
        <w:lastRenderedPageBreak/>
        <w:t xml:space="preserve">To conclude, the effects of ASB can be life changing or even threatening and do pose a serious threat to the resources of the police forces within the UK therefore reducing the reoffending rates in antisocial related offences is paramount for the wellbeing of the British public and the ability for police forces to continue to operate effectively. There are </w:t>
      </w:r>
      <w:proofErr w:type="gramStart"/>
      <w:r w:rsidRPr="00C375F1">
        <w:rPr>
          <w:rFonts w:ascii="Arial" w:hAnsi="Arial" w:cs="Arial"/>
          <w:sz w:val="24"/>
          <w:szCs w:val="24"/>
        </w:rPr>
        <w:t>a number of</w:t>
      </w:r>
      <w:proofErr w:type="gramEnd"/>
      <w:r w:rsidRPr="00C375F1">
        <w:rPr>
          <w:rFonts w:ascii="Arial" w:hAnsi="Arial" w:cs="Arial"/>
          <w:sz w:val="24"/>
          <w:szCs w:val="24"/>
        </w:rPr>
        <w:t xml:space="preserve"> effective ways to reduce reoffending ranging from deterrent to custodial sentences with hefty fines in between. Engaging with offenders and understanding the impact on the victims </w:t>
      </w:r>
      <w:proofErr w:type="gramStart"/>
      <w:r w:rsidRPr="00C375F1">
        <w:rPr>
          <w:rFonts w:ascii="Arial" w:hAnsi="Arial" w:cs="Arial"/>
          <w:sz w:val="24"/>
          <w:szCs w:val="24"/>
        </w:rPr>
        <w:t>in order to</w:t>
      </w:r>
      <w:proofErr w:type="gramEnd"/>
      <w:r w:rsidRPr="00C375F1">
        <w:rPr>
          <w:rFonts w:ascii="Arial" w:hAnsi="Arial" w:cs="Arial"/>
          <w:sz w:val="24"/>
          <w:szCs w:val="24"/>
        </w:rPr>
        <w:t xml:space="preserve"> select a method of reduction to reoffending is key and will determine the success of any intervention. </w:t>
      </w:r>
    </w:p>
    <w:p w14:paraId="72F6B07C" w14:textId="362FB6E6" w:rsidR="00AD6AD0" w:rsidRDefault="00AD6AD0" w:rsidP="00AD6AD0">
      <w:pPr>
        <w:tabs>
          <w:tab w:val="left" w:pos="2620"/>
        </w:tabs>
        <w:rPr>
          <w:rFonts w:ascii="Arial" w:hAnsi="Arial" w:cs="Arial"/>
        </w:rPr>
      </w:pPr>
      <w:r w:rsidRPr="00AD6AD0">
        <w:rPr>
          <w:rFonts w:ascii="Arial" w:hAnsi="Arial" w:cs="Arial"/>
        </w:rPr>
        <w:t>1028 words</w:t>
      </w:r>
    </w:p>
    <w:p w14:paraId="1117BC81" w14:textId="77777777" w:rsidR="00AD6AD0" w:rsidRDefault="00AD6AD0" w:rsidP="00AD6AD0">
      <w:pPr>
        <w:tabs>
          <w:tab w:val="left" w:pos="2620"/>
        </w:tabs>
        <w:rPr>
          <w:rFonts w:ascii="Arial" w:hAnsi="Arial" w:cs="Arial"/>
        </w:rPr>
      </w:pPr>
    </w:p>
    <w:p w14:paraId="6C27A19A" w14:textId="77777777" w:rsidR="00AD6AD0" w:rsidRDefault="00AD6AD0" w:rsidP="00AD6AD0">
      <w:pPr>
        <w:tabs>
          <w:tab w:val="left" w:pos="2620"/>
        </w:tabs>
        <w:rPr>
          <w:rFonts w:ascii="Arial" w:hAnsi="Arial" w:cs="Arial"/>
        </w:rPr>
      </w:pPr>
    </w:p>
    <w:p w14:paraId="1DAD35BA" w14:textId="77777777" w:rsidR="00AD6AD0" w:rsidRDefault="00AD6AD0" w:rsidP="00AD6AD0">
      <w:pPr>
        <w:tabs>
          <w:tab w:val="left" w:pos="2620"/>
        </w:tabs>
        <w:rPr>
          <w:rFonts w:ascii="Arial" w:hAnsi="Arial" w:cs="Arial"/>
        </w:rPr>
      </w:pPr>
    </w:p>
    <w:p w14:paraId="396CA320" w14:textId="77777777" w:rsidR="00AD6AD0" w:rsidRDefault="00AD6AD0" w:rsidP="00AD6AD0">
      <w:pPr>
        <w:tabs>
          <w:tab w:val="left" w:pos="2620"/>
        </w:tabs>
        <w:rPr>
          <w:rFonts w:ascii="Arial" w:hAnsi="Arial" w:cs="Arial"/>
        </w:rPr>
      </w:pPr>
    </w:p>
    <w:p w14:paraId="72B7A04B" w14:textId="77777777" w:rsidR="00AD6AD0" w:rsidRDefault="00AD6AD0" w:rsidP="00AD6AD0">
      <w:pPr>
        <w:tabs>
          <w:tab w:val="left" w:pos="2620"/>
        </w:tabs>
        <w:rPr>
          <w:rFonts w:ascii="Arial" w:hAnsi="Arial" w:cs="Arial"/>
        </w:rPr>
      </w:pPr>
    </w:p>
    <w:p w14:paraId="0D838AE8" w14:textId="56C702FD" w:rsidR="00AD6AD0" w:rsidRDefault="00AD6AD0" w:rsidP="00AD6AD0">
      <w:pPr>
        <w:tabs>
          <w:tab w:val="left" w:pos="2620"/>
        </w:tabs>
        <w:rPr>
          <w:rFonts w:ascii="Arial" w:hAnsi="Arial" w:cs="Arial"/>
        </w:rPr>
      </w:pPr>
    </w:p>
    <w:p w14:paraId="1557BD1E" w14:textId="77777777" w:rsidR="00111241" w:rsidRDefault="00111241" w:rsidP="00AD6AD0">
      <w:pPr>
        <w:tabs>
          <w:tab w:val="left" w:pos="2620"/>
        </w:tabs>
        <w:rPr>
          <w:rFonts w:ascii="Arial" w:hAnsi="Arial" w:cs="Arial"/>
        </w:rPr>
      </w:pPr>
    </w:p>
    <w:p w14:paraId="0D0137B5" w14:textId="77777777" w:rsidR="00111241" w:rsidRDefault="00111241" w:rsidP="00AD6AD0">
      <w:pPr>
        <w:tabs>
          <w:tab w:val="left" w:pos="2620"/>
        </w:tabs>
        <w:rPr>
          <w:rFonts w:ascii="Arial" w:hAnsi="Arial" w:cs="Arial"/>
        </w:rPr>
      </w:pPr>
    </w:p>
    <w:p w14:paraId="6F8444D6" w14:textId="77777777" w:rsidR="00C375F1" w:rsidRDefault="00C375F1" w:rsidP="00111241">
      <w:pPr>
        <w:rPr>
          <w:rFonts w:ascii="Arial" w:hAnsi="Arial" w:cs="Arial"/>
          <w:sz w:val="24"/>
          <w:szCs w:val="24"/>
        </w:rPr>
      </w:pPr>
    </w:p>
    <w:p w14:paraId="1A0FDEAA" w14:textId="77777777" w:rsidR="00C375F1" w:rsidRDefault="00C375F1" w:rsidP="00111241">
      <w:pPr>
        <w:rPr>
          <w:rFonts w:ascii="Arial" w:hAnsi="Arial" w:cs="Arial"/>
          <w:sz w:val="24"/>
          <w:szCs w:val="24"/>
        </w:rPr>
      </w:pPr>
    </w:p>
    <w:p w14:paraId="73480798" w14:textId="77777777" w:rsidR="00C375F1" w:rsidRDefault="00C375F1" w:rsidP="00111241">
      <w:pPr>
        <w:rPr>
          <w:rFonts w:ascii="Arial" w:hAnsi="Arial" w:cs="Arial"/>
          <w:sz w:val="24"/>
          <w:szCs w:val="24"/>
        </w:rPr>
      </w:pPr>
    </w:p>
    <w:p w14:paraId="2E48230A" w14:textId="77777777" w:rsidR="00C375F1" w:rsidRDefault="00C375F1" w:rsidP="00111241">
      <w:pPr>
        <w:rPr>
          <w:rFonts w:ascii="Arial" w:hAnsi="Arial" w:cs="Arial"/>
          <w:sz w:val="24"/>
          <w:szCs w:val="24"/>
        </w:rPr>
      </w:pPr>
    </w:p>
    <w:p w14:paraId="41235BE3" w14:textId="77777777" w:rsidR="00C375F1" w:rsidRDefault="00C375F1" w:rsidP="00111241">
      <w:pPr>
        <w:rPr>
          <w:rFonts w:ascii="Arial" w:hAnsi="Arial" w:cs="Arial"/>
          <w:sz w:val="24"/>
          <w:szCs w:val="24"/>
        </w:rPr>
      </w:pPr>
    </w:p>
    <w:p w14:paraId="1263CDC3" w14:textId="77777777" w:rsidR="00C375F1" w:rsidRDefault="00C375F1" w:rsidP="00111241">
      <w:pPr>
        <w:rPr>
          <w:rFonts w:ascii="Arial" w:hAnsi="Arial" w:cs="Arial"/>
          <w:sz w:val="24"/>
          <w:szCs w:val="24"/>
        </w:rPr>
      </w:pPr>
    </w:p>
    <w:p w14:paraId="474F60B9" w14:textId="77777777" w:rsidR="00C375F1" w:rsidRDefault="00C375F1" w:rsidP="00111241">
      <w:pPr>
        <w:rPr>
          <w:rFonts w:ascii="Arial" w:hAnsi="Arial" w:cs="Arial"/>
          <w:sz w:val="24"/>
          <w:szCs w:val="24"/>
        </w:rPr>
      </w:pPr>
    </w:p>
    <w:p w14:paraId="357D08C8" w14:textId="77777777" w:rsidR="00C375F1" w:rsidRDefault="00C375F1" w:rsidP="00111241">
      <w:pPr>
        <w:rPr>
          <w:rFonts w:ascii="Arial" w:hAnsi="Arial" w:cs="Arial"/>
          <w:sz w:val="24"/>
          <w:szCs w:val="24"/>
        </w:rPr>
      </w:pPr>
    </w:p>
    <w:p w14:paraId="1B85C4F5" w14:textId="77777777" w:rsidR="00C375F1" w:rsidRDefault="00C375F1" w:rsidP="00111241">
      <w:pPr>
        <w:rPr>
          <w:rFonts w:ascii="Arial" w:hAnsi="Arial" w:cs="Arial"/>
          <w:sz w:val="24"/>
          <w:szCs w:val="24"/>
        </w:rPr>
      </w:pPr>
    </w:p>
    <w:p w14:paraId="6D3BB2D3" w14:textId="77777777" w:rsidR="00C375F1" w:rsidRDefault="00C375F1" w:rsidP="00111241">
      <w:pPr>
        <w:rPr>
          <w:rFonts w:ascii="Arial" w:hAnsi="Arial" w:cs="Arial"/>
          <w:sz w:val="24"/>
          <w:szCs w:val="24"/>
        </w:rPr>
      </w:pPr>
    </w:p>
    <w:p w14:paraId="3CCC9A91" w14:textId="77777777" w:rsidR="00C375F1" w:rsidRDefault="00C375F1" w:rsidP="00111241">
      <w:pPr>
        <w:rPr>
          <w:rFonts w:ascii="Arial" w:hAnsi="Arial" w:cs="Arial"/>
          <w:sz w:val="24"/>
          <w:szCs w:val="24"/>
        </w:rPr>
      </w:pPr>
    </w:p>
    <w:p w14:paraId="481C31D7" w14:textId="77777777" w:rsidR="00C375F1" w:rsidRDefault="00C375F1" w:rsidP="00111241">
      <w:pPr>
        <w:rPr>
          <w:rFonts w:ascii="Arial" w:hAnsi="Arial" w:cs="Arial"/>
          <w:sz w:val="24"/>
          <w:szCs w:val="24"/>
        </w:rPr>
      </w:pPr>
    </w:p>
    <w:p w14:paraId="65676D3A" w14:textId="10528099" w:rsidR="00111241" w:rsidRPr="00671FD6" w:rsidRDefault="00111241" w:rsidP="00111241">
      <w:pPr>
        <w:rPr>
          <w:rFonts w:ascii="Arial" w:hAnsi="Arial" w:cs="Arial"/>
          <w:sz w:val="24"/>
          <w:szCs w:val="24"/>
        </w:rPr>
      </w:pPr>
      <w:r w:rsidRPr="00671FD6">
        <w:rPr>
          <w:rFonts w:ascii="Arial" w:hAnsi="Arial" w:cs="Arial"/>
          <w:sz w:val="24"/>
          <w:szCs w:val="24"/>
        </w:rPr>
        <w:lastRenderedPageBreak/>
        <w:t xml:space="preserve">Reference list </w:t>
      </w:r>
    </w:p>
    <w:p w14:paraId="4BD62854" w14:textId="77777777" w:rsidR="00111241" w:rsidRPr="00671FD6" w:rsidRDefault="00111241" w:rsidP="00111241">
      <w:r w:rsidRPr="00671FD6">
        <w:rPr>
          <w:rFonts w:ascii="Arial" w:hAnsi="Arial" w:cs="Arial"/>
          <w:color w:val="000000"/>
          <w:sz w:val="24"/>
          <w:szCs w:val="24"/>
        </w:rPr>
        <w:t>ACPO (2007) Practice Advice on Critical Incident Management, p7-12</w:t>
      </w:r>
    </w:p>
    <w:p w14:paraId="71D60BAF" w14:textId="77777777" w:rsidR="00111241" w:rsidRPr="00671FD6" w:rsidRDefault="00111241" w:rsidP="00111241">
      <w:pPr>
        <w:rPr>
          <w:rFonts w:ascii="Arial" w:hAnsi="Arial" w:cs="Arial"/>
          <w:sz w:val="24"/>
          <w:szCs w:val="24"/>
        </w:rPr>
      </w:pPr>
      <w:r w:rsidRPr="00671FD6">
        <w:rPr>
          <w:rFonts w:ascii="Arial" w:hAnsi="Arial" w:cs="Arial"/>
          <w:sz w:val="24"/>
          <w:szCs w:val="24"/>
        </w:rPr>
        <w:t>Andrews &amp; Bonta (2010) The Psychology of Criminal Conduct, Anderson publishing. Criminogenic needs tend to be ‘dynamic’, but also include criminal history as a main determinant of future reoffending.</w:t>
      </w:r>
    </w:p>
    <w:p w14:paraId="3B8B2B5D"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Antisocial Behaviour Act (2003) Available at: https://www.legislation.gov.uk/ukpga/2003/38/contents Accessed on 20 May 2024 </w:t>
      </w:r>
    </w:p>
    <w:p w14:paraId="650B731D"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Awan, I., Blakemore, B., &amp; Simpson, K. (2013). Muslim </w:t>
      </w:r>
      <w:proofErr w:type="gramStart"/>
      <w:r w:rsidRPr="00671FD6">
        <w:rPr>
          <w:rFonts w:ascii="Arial" w:hAnsi="Arial" w:cs="Arial"/>
          <w:color w:val="000000"/>
          <w:sz w:val="24"/>
          <w:szCs w:val="24"/>
        </w:rPr>
        <w:t>communities</w:t>
      </w:r>
      <w:proofErr w:type="gramEnd"/>
      <w:r w:rsidRPr="00671FD6">
        <w:rPr>
          <w:rFonts w:ascii="Arial" w:hAnsi="Arial" w:cs="Arial"/>
          <w:color w:val="000000"/>
          <w:sz w:val="24"/>
          <w:szCs w:val="24"/>
        </w:rPr>
        <w:t xml:space="preserve"> attitudes towards and recruitment into the British police service. International Journal of Law, Crime and Justice,41(4), 421–437</w:t>
      </w:r>
    </w:p>
    <w:p w14:paraId="034C01B2"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t>Barred list</w:t>
      </w:r>
      <w:r w:rsidRPr="00671FD6">
        <w:rPr>
          <w:rFonts w:ascii="Arial" w:hAnsi="Arial" w:cs="Arial"/>
          <w:color w:val="000000"/>
          <w:sz w:val="24"/>
          <w:szCs w:val="24"/>
        </w:rPr>
        <w:t xml:space="preserve"> (2024) </w:t>
      </w:r>
      <w:r w:rsidRPr="00671FD6">
        <w:rPr>
          <w:rFonts w:ascii="Arial" w:hAnsi="Arial" w:cs="Arial"/>
          <w:i/>
          <w:iCs/>
          <w:color w:val="000000"/>
          <w:sz w:val="24"/>
          <w:szCs w:val="24"/>
        </w:rPr>
        <w:t>College of Policing</w:t>
      </w:r>
      <w:r w:rsidRPr="00671FD6">
        <w:rPr>
          <w:rFonts w:ascii="Arial" w:hAnsi="Arial" w:cs="Arial"/>
          <w:color w:val="000000"/>
          <w:sz w:val="24"/>
          <w:szCs w:val="24"/>
        </w:rPr>
        <w:t>. Available at: https://www.college.police.uk/ethics/barred-list (Accessed: 15 May 2024). </w:t>
      </w:r>
    </w:p>
    <w:p w14:paraId="15E9BB32" w14:textId="77777777" w:rsidR="00111241" w:rsidRPr="00671FD6" w:rsidRDefault="00111241" w:rsidP="00111241">
      <w:pPr>
        <w:rPr>
          <w:rFonts w:ascii="Arial" w:hAnsi="Arial" w:cs="Arial"/>
          <w:color w:val="000000"/>
          <w:sz w:val="24"/>
          <w:szCs w:val="24"/>
        </w:rPr>
      </w:pPr>
      <w:proofErr w:type="spellStart"/>
      <w:r w:rsidRPr="00671FD6">
        <w:rPr>
          <w:rFonts w:ascii="Arial" w:hAnsi="Arial" w:cs="Arial"/>
          <w:color w:val="000000"/>
          <w:sz w:val="24"/>
          <w:szCs w:val="24"/>
        </w:rPr>
        <w:t>Bonkiewicz</w:t>
      </w:r>
      <w:proofErr w:type="spellEnd"/>
      <w:r w:rsidRPr="00671FD6">
        <w:rPr>
          <w:rFonts w:ascii="Arial" w:hAnsi="Arial" w:cs="Arial"/>
          <w:color w:val="000000"/>
          <w:sz w:val="24"/>
          <w:szCs w:val="24"/>
        </w:rPr>
        <w:t xml:space="preserve">, L., &amp; Ruback, R. B. (2012). The Role of the Police in Evacuations: Responding to the Social Impact of a Disaster. </w:t>
      </w:r>
      <w:r w:rsidRPr="00671FD6">
        <w:rPr>
          <w:rFonts w:ascii="Arial" w:hAnsi="Arial" w:cs="Arial"/>
          <w:i/>
          <w:iCs/>
          <w:color w:val="000000"/>
          <w:sz w:val="24"/>
          <w:szCs w:val="24"/>
        </w:rPr>
        <w:t>Police Quarterly</w:t>
      </w:r>
      <w:r w:rsidRPr="00671FD6">
        <w:rPr>
          <w:rFonts w:ascii="Arial" w:hAnsi="Arial" w:cs="Arial"/>
          <w:color w:val="000000"/>
          <w:sz w:val="24"/>
          <w:szCs w:val="24"/>
        </w:rPr>
        <w:t xml:space="preserve">, </w:t>
      </w:r>
      <w:r w:rsidRPr="00671FD6">
        <w:rPr>
          <w:rFonts w:ascii="Arial" w:hAnsi="Arial" w:cs="Arial"/>
          <w:i/>
          <w:iCs/>
          <w:color w:val="000000"/>
          <w:sz w:val="24"/>
          <w:szCs w:val="24"/>
        </w:rPr>
        <w:t>15</w:t>
      </w:r>
      <w:r w:rsidRPr="00671FD6">
        <w:rPr>
          <w:rFonts w:ascii="Arial" w:hAnsi="Arial" w:cs="Arial"/>
          <w:color w:val="000000"/>
          <w:sz w:val="24"/>
          <w:szCs w:val="24"/>
        </w:rPr>
        <w:t>(2), 137–156. https://doi.org/10.1177/1098611112442808</w:t>
      </w:r>
    </w:p>
    <w:p w14:paraId="42BF231D"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Chapman, C., (2015). Improving police integrity: Reforming the police complaints and disciplinary systems.</w:t>
      </w:r>
    </w:p>
    <w:p w14:paraId="39B2F7FC"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t>Code of ethics</w:t>
      </w:r>
      <w:r w:rsidRPr="00671FD6">
        <w:rPr>
          <w:rFonts w:ascii="Arial" w:hAnsi="Arial" w:cs="Arial"/>
          <w:color w:val="000000"/>
          <w:sz w:val="24"/>
          <w:szCs w:val="24"/>
        </w:rPr>
        <w:t xml:space="preserve"> (2024) </w:t>
      </w:r>
      <w:r w:rsidRPr="00671FD6">
        <w:rPr>
          <w:rFonts w:ascii="Arial" w:hAnsi="Arial" w:cs="Arial"/>
          <w:i/>
          <w:iCs/>
          <w:color w:val="000000"/>
          <w:sz w:val="24"/>
          <w:szCs w:val="24"/>
        </w:rPr>
        <w:t>College of Policing</w:t>
      </w:r>
      <w:r w:rsidRPr="00671FD6">
        <w:rPr>
          <w:rFonts w:ascii="Arial" w:hAnsi="Arial" w:cs="Arial"/>
          <w:color w:val="000000"/>
          <w:sz w:val="24"/>
          <w:szCs w:val="24"/>
        </w:rPr>
        <w:t>. Available at: https://www.college.police.uk/ethics/code-of-ethics (Accessed: 09 May 2024). </w:t>
      </w:r>
    </w:p>
    <w:p w14:paraId="21E06055"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t>College of Policing</w:t>
      </w:r>
      <w:r w:rsidRPr="00671FD6">
        <w:rPr>
          <w:rFonts w:ascii="Arial" w:hAnsi="Arial" w:cs="Arial"/>
          <w:color w:val="000000"/>
          <w:sz w:val="24"/>
          <w:szCs w:val="24"/>
        </w:rPr>
        <w:t>. Available at: https://www.college.police.uk/app/national-decision-model/national-decision-model (Accessed: 19 May 2024). </w:t>
      </w:r>
    </w:p>
    <w:p w14:paraId="37DC51EE"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t>Criminal behaviour orders</w:t>
      </w:r>
      <w:r w:rsidRPr="00671FD6">
        <w:rPr>
          <w:rFonts w:ascii="Arial" w:hAnsi="Arial" w:cs="Arial"/>
          <w:color w:val="000000"/>
          <w:sz w:val="24"/>
          <w:szCs w:val="24"/>
        </w:rPr>
        <w:t xml:space="preserve"> (2024) </w:t>
      </w:r>
      <w:r w:rsidRPr="00671FD6">
        <w:rPr>
          <w:rFonts w:ascii="Arial" w:hAnsi="Arial" w:cs="Arial"/>
          <w:i/>
          <w:iCs/>
          <w:color w:val="000000"/>
          <w:sz w:val="24"/>
          <w:szCs w:val="24"/>
        </w:rPr>
        <w:t>Criminal Behaviour Orders | The Crown Prosecution Service</w:t>
      </w:r>
      <w:r w:rsidRPr="00671FD6">
        <w:rPr>
          <w:rFonts w:ascii="Arial" w:hAnsi="Arial" w:cs="Arial"/>
          <w:color w:val="000000"/>
          <w:sz w:val="24"/>
          <w:szCs w:val="24"/>
        </w:rPr>
        <w:t>. Available at: https://www.cps.gov.uk/legal-guidance/criminal-behaviour-orders (Accessed: 24 May 2024). </w:t>
      </w:r>
    </w:p>
    <w:p w14:paraId="1A3FE204"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Criminal Procedure and Investigation Act (1996) Available at: https://www.legislation.gov.uk/ukpga/1996/25/contents Accessed on: 02 May 2024</w:t>
      </w:r>
    </w:p>
    <w:p w14:paraId="1FCE8307"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Dando, C.J. Wilcock, R. and Milne, R. (2008) The cognitive interview: Inexperienced police</w:t>
      </w:r>
    </w:p>
    <w:p w14:paraId="508579A3"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Deery, M. and Jago, L., 2010. Social impacts of events and the role of anti</w:t>
      </w:r>
      <w:r w:rsidRPr="00671FD6">
        <w:rPr>
          <w:rFonts w:ascii="Cambria Math" w:hAnsi="Cambria Math" w:cs="Cambria Math"/>
          <w:color w:val="000000"/>
          <w:sz w:val="24"/>
          <w:szCs w:val="24"/>
        </w:rPr>
        <w:t>‐</w:t>
      </w:r>
      <w:r w:rsidRPr="00671FD6">
        <w:rPr>
          <w:rFonts w:ascii="Arial" w:hAnsi="Arial" w:cs="Arial"/>
          <w:color w:val="000000"/>
          <w:sz w:val="24"/>
          <w:szCs w:val="24"/>
        </w:rPr>
        <w:t xml:space="preserve">social behaviour. </w:t>
      </w:r>
      <w:r w:rsidRPr="00671FD6">
        <w:rPr>
          <w:rFonts w:ascii="Arial" w:hAnsi="Arial" w:cs="Arial"/>
          <w:i/>
          <w:iCs/>
          <w:color w:val="000000"/>
          <w:sz w:val="24"/>
          <w:szCs w:val="24"/>
        </w:rPr>
        <w:t>International Journal of Event and Festival Management</w:t>
      </w:r>
      <w:r w:rsidRPr="00671FD6">
        <w:rPr>
          <w:rFonts w:ascii="Arial" w:hAnsi="Arial" w:cs="Arial"/>
          <w:color w:val="000000"/>
          <w:sz w:val="24"/>
          <w:szCs w:val="24"/>
        </w:rPr>
        <w:t xml:space="preserve">, </w:t>
      </w:r>
      <w:r w:rsidRPr="00671FD6">
        <w:rPr>
          <w:rFonts w:ascii="Arial" w:hAnsi="Arial" w:cs="Arial"/>
          <w:i/>
          <w:iCs/>
          <w:color w:val="000000"/>
          <w:sz w:val="24"/>
          <w:szCs w:val="24"/>
        </w:rPr>
        <w:t>1</w:t>
      </w:r>
      <w:r w:rsidRPr="00671FD6">
        <w:rPr>
          <w:rFonts w:ascii="Arial" w:hAnsi="Arial" w:cs="Arial"/>
          <w:color w:val="000000"/>
          <w:sz w:val="24"/>
          <w:szCs w:val="24"/>
        </w:rPr>
        <w:t>(1), pp.8-28.</w:t>
      </w:r>
    </w:p>
    <w:p w14:paraId="2B9830BE"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t>Early stages of an incident &amp; m/ethane</w:t>
      </w:r>
      <w:r w:rsidRPr="00671FD6">
        <w:rPr>
          <w:rFonts w:ascii="Arial" w:hAnsi="Arial" w:cs="Arial"/>
          <w:color w:val="000000"/>
          <w:sz w:val="24"/>
          <w:szCs w:val="24"/>
        </w:rPr>
        <w:t xml:space="preserve"> (2022) </w:t>
      </w:r>
      <w:r w:rsidRPr="00671FD6">
        <w:rPr>
          <w:rFonts w:ascii="Arial" w:hAnsi="Arial" w:cs="Arial"/>
          <w:i/>
          <w:iCs/>
          <w:color w:val="000000"/>
          <w:sz w:val="24"/>
          <w:szCs w:val="24"/>
        </w:rPr>
        <w:t>JESIP Website</w:t>
      </w:r>
      <w:r w:rsidRPr="00671FD6">
        <w:rPr>
          <w:rFonts w:ascii="Arial" w:hAnsi="Arial" w:cs="Arial"/>
          <w:color w:val="000000"/>
          <w:sz w:val="24"/>
          <w:szCs w:val="24"/>
        </w:rPr>
        <w:t>. Available at: https://www.jesip.org.uk/joint-doctrine/early-stages-of-an-incident-m-ethane/#reference (Accessed: 2 May 2024). </w:t>
      </w:r>
    </w:p>
    <w:p w14:paraId="0892AA4A"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Fisher, R., &amp; Geiselman, R. (1992). Memory-enhancing techniques for investigative</w:t>
      </w:r>
      <w:r w:rsidRPr="00671FD6">
        <w:rPr>
          <w:rFonts w:ascii="Arial" w:hAnsi="Arial" w:cs="Arial"/>
          <w:color w:val="000000"/>
          <w:sz w:val="24"/>
          <w:szCs w:val="24"/>
        </w:rPr>
        <w:br/>
        <w:t>interviewing: The cognitive interview. Springfield, IL: Charles Thomas.</w:t>
      </w:r>
    </w:p>
    <w:p w14:paraId="7D9B945F" w14:textId="77777777" w:rsidR="00111241" w:rsidRPr="00671FD6" w:rsidRDefault="00111241" w:rsidP="00111241">
      <w:pPr>
        <w:rPr>
          <w:rFonts w:ascii="Arial" w:hAnsi="Arial" w:cs="Arial"/>
          <w:sz w:val="24"/>
          <w:szCs w:val="24"/>
        </w:rPr>
      </w:pPr>
      <w:r w:rsidRPr="00671FD6">
        <w:rPr>
          <w:rFonts w:ascii="Arial" w:hAnsi="Arial" w:cs="Arial"/>
          <w:color w:val="333333"/>
          <w:sz w:val="24"/>
          <w:szCs w:val="24"/>
          <w:shd w:val="clear" w:color="auto" w:fill="FFFFFF"/>
        </w:rPr>
        <w:t>Heap, V., Black, A., &amp; Rodgers, Z. (2022). Preventive justice: Exploring the coercive power of community protection notices to tackle anti-social behaviour. </w:t>
      </w:r>
      <w:r w:rsidRPr="00671FD6">
        <w:rPr>
          <w:rFonts w:ascii="Arial" w:hAnsi="Arial" w:cs="Arial"/>
          <w:i/>
          <w:iCs/>
          <w:color w:val="333333"/>
          <w:sz w:val="24"/>
          <w:szCs w:val="24"/>
          <w:shd w:val="clear" w:color="auto" w:fill="FFFFFF"/>
        </w:rPr>
        <w:t>Punishment &amp; Society</w:t>
      </w:r>
      <w:r w:rsidRPr="00671FD6">
        <w:rPr>
          <w:rFonts w:ascii="Arial" w:hAnsi="Arial" w:cs="Arial"/>
          <w:color w:val="333333"/>
          <w:sz w:val="24"/>
          <w:szCs w:val="24"/>
          <w:shd w:val="clear" w:color="auto" w:fill="FFFFFF"/>
        </w:rPr>
        <w:t>, </w:t>
      </w:r>
      <w:r w:rsidRPr="00671FD6">
        <w:rPr>
          <w:rFonts w:ascii="Arial" w:hAnsi="Arial" w:cs="Arial"/>
          <w:i/>
          <w:iCs/>
          <w:color w:val="333333"/>
          <w:sz w:val="24"/>
          <w:szCs w:val="24"/>
          <w:shd w:val="clear" w:color="auto" w:fill="FFFFFF"/>
        </w:rPr>
        <w:t>24</w:t>
      </w:r>
      <w:r w:rsidRPr="00671FD6">
        <w:rPr>
          <w:rFonts w:ascii="Arial" w:hAnsi="Arial" w:cs="Arial"/>
          <w:color w:val="333333"/>
          <w:sz w:val="24"/>
          <w:szCs w:val="24"/>
          <w:shd w:val="clear" w:color="auto" w:fill="FFFFFF"/>
        </w:rPr>
        <w:t>(3), 305-323. </w:t>
      </w:r>
      <w:r w:rsidRPr="00671FD6">
        <w:rPr>
          <w:rFonts w:ascii="Arial" w:hAnsi="Arial" w:cs="Arial"/>
          <w:sz w:val="24"/>
          <w:szCs w:val="24"/>
          <w:shd w:val="clear" w:color="auto" w:fill="FFFFFF"/>
        </w:rPr>
        <w:t>https://doi.org/10.1177/1462474521989801</w:t>
      </w:r>
    </w:p>
    <w:p w14:paraId="54980941" w14:textId="77777777" w:rsidR="00111241" w:rsidRPr="00671FD6" w:rsidRDefault="00111241" w:rsidP="00111241">
      <w:pPr>
        <w:rPr>
          <w:rFonts w:ascii="Arial" w:hAnsi="Arial" w:cs="Arial"/>
          <w:color w:val="000000"/>
          <w:sz w:val="24"/>
          <w:szCs w:val="24"/>
        </w:rPr>
      </w:pPr>
      <w:r w:rsidRPr="00671FD6">
        <w:rPr>
          <w:rFonts w:ascii="Arial" w:hAnsi="Arial" w:cs="Arial"/>
          <w:i/>
          <w:iCs/>
          <w:color w:val="000000"/>
          <w:sz w:val="24"/>
          <w:szCs w:val="24"/>
        </w:rPr>
        <w:lastRenderedPageBreak/>
        <w:t>Introduction and types of critical incidents</w:t>
      </w:r>
      <w:r w:rsidRPr="00671FD6">
        <w:rPr>
          <w:rFonts w:ascii="Arial" w:hAnsi="Arial" w:cs="Arial"/>
          <w:color w:val="000000"/>
          <w:sz w:val="24"/>
          <w:szCs w:val="24"/>
        </w:rPr>
        <w:t xml:space="preserve"> (2024) </w:t>
      </w:r>
      <w:r w:rsidRPr="00671FD6">
        <w:rPr>
          <w:rFonts w:ascii="Arial" w:hAnsi="Arial" w:cs="Arial"/>
          <w:i/>
          <w:iCs/>
          <w:color w:val="000000"/>
          <w:sz w:val="24"/>
          <w:szCs w:val="24"/>
        </w:rPr>
        <w:t>College of Policing</w:t>
      </w:r>
      <w:r w:rsidRPr="00671FD6">
        <w:rPr>
          <w:rFonts w:ascii="Arial" w:hAnsi="Arial" w:cs="Arial"/>
          <w:color w:val="000000"/>
          <w:sz w:val="24"/>
          <w:szCs w:val="24"/>
        </w:rPr>
        <w:t>. Available at: https://www.college.police.uk/app/critical-incident-management/introduction-and-types-critical-incidents#three-phases-of-critical-incident-management (Accessed: 27 April 2024). </w:t>
      </w:r>
    </w:p>
    <w:p w14:paraId="67A7EF7B"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Jackson, J., &amp; Sunshine, J. (2007). Public confidence in policing: A neo-</w:t>
      </w:r>
      <w:proofErr w:type="spellStart"/>
      <w:r w:rsidRPr="00671FD6">
        <w:rPr>
          <w:rFonts w:ascii="Arial" w:hAnsi="Arial" w:cs="Arial"/>
          <w:color w:val="000000"/>
          <w:sz w:val="24"/>
          <w:szCs w:val="24"/>
        </w:rPr>
        <w:t>Durkheimperspective</w:t>
      </w:r>
      <w:proofErr w:type="spellEnd"/>
      <w:r w:rsidRPr="00671FD6">
        <w:rPr>
          <w:rFonts w:ascii="Arial" w:hAnsi="Arial" w:cs="Arial"/>
          <w:color w:val="000000"/>
          <w:sz w:val="24"/>
          <w:szCs w:val="24"/>
        </w:rPr>
        <w:t>. Oxford: Oxford University Press</w:t>
      </w:r>
    </w:p>
    <w:p w14:paraId="309B3EF7" w14:textId="77777777" w:rsidR="00111241" w:rsidRPr="00671FD6" w:rsidRDefault="00111241" w:rsidP="00111241">
      <w:pPr>
        <w:rPr>
          <w:rFonts w:ascii="Arial" w:hAnsi="Arial" w:cs="Arial"/>
          <w:color w:val="000000"/>
          <w:sz w:val="24"/>
          <w:szCs w:val="24"/>
        </w:rPr>
      </w:pPr>
      <w:proofErr w:type="spellStart"/>
      <w:r w:rsidRPr="00671FD6">
        <w:rPr>
          <w:rFonts w:ascii="Arial" w:hAnsi="Arial" w:cs="Arial"/>
          <w:color w:val="000000"/>
          <w:sz w:val="24"/>
          <w:szCs w:val="24"/>
        </w:rPr>
        <w:t>Laufs</w:t>
      </w:r>
      <w:proofErr w:type="spellEnd"/>
      <w:r w:rsidRPr="00671FD6">
        <w:rPr>
          <w:rFonts w:ascii="Arial" w:hAnsi="Arial" w:cs="Arial"/>
          <w:color w:val="000000"/>
          <w:sz w:val="24"/>
          <w:szCs w:val="24"/>
        </w:rPr>
        <w:t xml:space="preserve">, J., &amp; Waseem, Z. (2020). Policing in pandemics: A systematic review and best practices for police response to COVID-19. </w:t>
      </w:r>
      <w:r w:rsidRPr="00671FD6">
        <w:rPr>
          <w:rFonts w:ascii="Arial" w:hAnsi="Arial" w:cs="Arial"/>
          <w:i/>
          <w:iCs/>
          <w:color w:val="000000"/>
          <w:sz w:val="24"/>
          <w:szCs w:val="24"/>
        </w:rPr>
        <w:t>International Journal of Disaster Risk Reduction</w:t>
      </w:r>
      <w:r w:rsidRPr="00671FD6">
        <w:rPr>
          <w:rFonts w:ascii="Arial" w:hAnsi="Arial" w:cs="Arial"/>
          <w:color w:val="000000"/>
          <w:sz w:val="24"/>
          <w:szCs w:val="24"/>
        </w:rPr>
        <w:t xml:space="preserve">, </w:t>
      </w:r>
      <w:r w:rsidRPr="00671FD6">
        <w:rPr>
          <w:rFonts w:ascii="Arial" w:hAnsi="Arial" w:cs="Arial"/>
          <w:i/>
          <w:iCs/>
          <w:color w:val="000000"/>
          <w:sz w:val="24"/>
          <w:szCs w:val="24"/>
        </w:rPr>
        <w:t>51</w:t>
      </w:r>
      <w:r w:rsidRPr="00671FD6">
        <w:rPr>
          <w:rFonts w:ascii="Arial" w:hAnsi="Arial" w:cs="Arial"/>
          <w:color w:val="000000"/>
          <w:sz w:val="24"/>
          <w:szCs w:val="24"/>
        </w:rPr>
        <w:t>, 101812–101812. https://doi.org/10.1016/j.ijdrr.2020.101812 </w:t>
      </w:r>
    </w:p>
    <w:p w14:paraId="4ECB582E" w14:textId="77777777" w:rsidR="00111241" w:rsidRPr="00671FD6" w:rsidRDefault="00111241" w:rsidP="00111241">
      <w:pPr>
        <w:rPr>
          <w:rFonts w:ascii="Arial" w:hAnsi="Arial" w:cs="Arial"/>
          <w:sz w:val="24"/>
          <w:szCs w:val="24"/>
        </w:rPr>
      </w:pPr>
      <w:r w:rsidRPr="00671FD6">
        <w:rPr>
          <w:rFonts w:ascii="Arial" w:hAnsi="Arial" w:cs="Arial"/>
          <w:sz w:val="24"/>
          <w:szCs w:val="24"/>
        </w:rPr>
        <w:t>Marshall (1999) Restorative Justice: An overview, London: Home Office.</w:t>
      </w:r>
    </w:p>
    <w:p w14:paraId="6A02BD5E" w14:textId="77777777" w:rsidR="00111241" w:rsidRPr="00671FD6" w:rsidRDefault="004A6C85" w:rsidP="00111241">
      <w:pPr>
        <w:rPr>
          <w:rStyle w:val="Hyperlink"/>
          <w:rFonts w:ascii="Arial" w:hAnsi="Arial" w:cs="Arial"/>
          <w:sz w:val="24"/>
          <w:szCs w:val="24"/>
          <w:shd w:val="clear" w:color="auto" w:fill="FFFFFF"/>
        </w:rPr>
      </w:pPr>
      <w:hyperlink r:id="rId7" w:tgtFrame="_blank" w:history="1">
        <w:r w:rsidR="00111241" w:rsidRPr="00671FD6">
          <w:rPr>
            <w:rStyle w:val="Hyperlink"/>
            <w:rFonts w:ascii="Arial" w:hAnsi="Arial" w:cs="Arial"/>
            <w:color w:val="auto"/>
            <w:sz w:val="24"/>
            <w:szCs w:val="24"/>
            <w:u w:val="none"/>
            <w:shd w:val="clear" w:color="auto" w:fill="FFFFFF"/>
          </w:rPr>
          <w:t>Memon, A., &amp; Higham, P. A. (1999). A review of the cognitive interview. Psychology, Crime and Law, 5(1-2), 177-196.</w:t>
        </w:r>
      </w:hyperlink>
    </w:p>
    <w:p w14:paraId="0627A521" w14:textId="77777777" w:rsidR="00111241" w:rsidRPr="00671FD6" w:rsidRDefault="00111241" w:rsidP="00111241">
      <w:pPr>
        <w:rPr>
          <w:rFonts w:ascii="Arial" w:hAnsi="Arial" w:cs="Arial"/>
          <w:sz w:val="24"/>
          <w:szCs w:val="24"/>
        </w:rPr>
      </w:pPr>
      <w:r w:rsidRPr="00671FD6">
        <w:rPr>
          <w:rFonts w:ascii="Arial" w:hAnsi="Arial" w:cs="Arial"/>
          <w:color w:val="333333"/>
          <w:sz w:val="24"/>
          <w:szCs w:val="24"/>
          <w:shd w:val="clear" w:color="auto" w:fill="FFFFFF"/>
        </w:rPr>
        <w:t>Mills and Ford (2018) </w:t>
      </w:r>
      <w:r w:rsidRPr="00671FD6">
        <w:rPr>
          <w:rStyle w:val="Emphasis"/>
          <w:rFonts w:ascii="Arial" w:hAnsi="Arial" w:cs="Arial"/>
          <w:color w:val="333333"/>
          <w:sz w:val="24"/>
          <w:szCs w:val="24"/>
          <w:shd w:val="clear" w:color="auto" w:fill="FFFFFF"/>
        </w:rPr>
        <w:t>Anti-Social Behaviour Powers and Young Adults</w:t>
      </w:r>
      <w:r w:rsidRPr="00671FD6">
        <w:rPr>
          <w:rFonts w:ascii="Arial" w:hAnsi="Arial" w:cs="Arial"/>
          <w:color w:val="333333"/>
          <w:sz w:val="24"/>
          <w:szCs w:val="24"/>
          <w:shd w:val="clear" w:color="auto" w:fill="FFFFFF"/>
        </w:rPr>
        <w:t>. London: Centre for Crime and Justice Studies.</w:t>
      </w:r>
    </w:p>
    <w:p w14:paraId="39F69EA2" w14:textId="77777777" w:rsidR="00111241" w:rsidRPr="00671FD6" w:rsidRDefault="00111241" w:rsidP="00111241">
      <w:pPr>
        <w:rPr>
          <w:rFonts w:ascii="Arial" w:hAnsi="Arial" w:cs="Arial"/>
          <w:sz w:val="24"/>
          <w:szCs w:val="24"/>
        </w:rPr>
      </w:pPr>
      <w:r w:rsidRPr="00671FD6">
        <w:rPr>
          <w:rFonts w:ascii="Arial" w:hAnsi="Arial" w:cs="Arial"/>
          <w:sz w:val="24"/>
          <w:szCs w:val="24"/>
        </w:rPr>
        <w:t>Ministry of Justice (2012) Proven reoffending statistics: definitions and measurement: London, Ministry of Justice: https://www.gov.uk/government/uploads/system/uploads/attachment_data/file/192407/provenreoffending-definitions-measurement.pdf</w:t>
      </w:r>
    </w:p>
    <w:p w14:paraId="453076CE"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N</w:t>
      </w:r>
      <w:r w:rsidRPr="00671FD6">
        <w:rPr>
          <w:rFonts w:ascii="Arial" w:hAnsi="Arial" w:cs="Arial"/>
          <w:i/>
          <w:iCs/>
          <w:color w:val="000000"/>
          <w:sz w:val="24"/>
          <w:szCs w:val="24"/>
        </w:rPr>
        <w:t>eighbourhood policing constable</w:t>
      </w:r>
      <w:r w:rsidRPr="00671FD6">
        <w:rPr>
          <w:rFonts w:ascii="Arial" w:hAnsi="Arial" w:cs="Arial"/>
          <w:color w:val="000000"/>
          <w:sz w:val="24"/>
          <w:szCs w:val="24"/>
        </w:rPr>
        <w:t xml:space="preserve"> (2019) </w:t>
      </w:r>
      <w:r w:rsidRPr="00671FD6">
        <w:rPr>
          <w:rFonts w:ascii="Arial" w:hAnsi="Arial" w:cs="Arial"/>
          <w:i/>
          <w:iCs/>
          <w:color w:val="000000"/>
          <w:sz w:val="24"/>
          <w:szCs w:val="24"/>
        </w:rPr>
        <w:t>College of Policing</w:t>
      </w:r>
      <w:r w:rsidRPr="00671FD6">
        <w:rPr>
          <w:rFonts w:ascii="Arial" w:hAnsi="Arial" w:cs="Arial"/>
          <w:color w:val="000000"/>
          <w:sz w:val="24"/>
          <w:szCs w:val="24"/>
        </w:rPr>
        <w:t>. Available at: https://profdev.college.police.uk/professional-profile/neighbourhood-policing-constable/ (Accessed: 27 May 2024). </w:t>
      </w:r>
    </w:p>
    <w:p w14:paraId="6F4AA163"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officers’ perceptions of their witness interviewing behaviour, Legal and Criminological</w:t>
      </w:r>
    </w:p>
    <w:p w14:paraId="1D1E4A07" w14:textId="77777777" w:rsidR="00111241" w:rsidRPr="00671FD6" w:rsidRDefault="00111241" w:rsidP="00111241">
      <w:pPr>
        <w:rPr>
          <w:rFonts w:ascii="Arial" w:hAnsi="Arial" w:cs="Arial"/>
          <w:sz w:val="24"/>
          <w:szCs w:val="24"/>
          <w:shd w:val="clear" w:color="auto" w:fill="FFFFFF"/>
        </w:rPr>
      </w:pPr>
      <w:r w:rsidRPr="00671FD6">
        <w:rPr>
          <w:rFonts w:ascii="Arial" w:hAnsi="Arial" w:cs="Arial"/>
          <w:sz w:val="24"/>
          <w:szCs w:val="24"/>
          <w:shd w:val="clear" w:color="auto" w:fill="FFFFFF"/>
        </w:rPr>
        <w:t xml:space="preserve">Olivia Sexton, Sophie Pilley, Jo </w:t>
      </w:r>
      <w:proofErr w:type="spellStart"/>
      <w:r w:rsidRPr="00671FD6">
        <w:rPr>
          <w:rFonts w:ascii="Arial" w:hAnsi="Arial" w:cs="Arial"/>
          <w:sz w:val="24"/>
          <w:szCs w:val="24"/>
          <w:shd w:val="clear" w:color="auto" w:fill="FFFFFF"/>
        </w:rPr>
        <w:t>d’Ardenne</w:t>
      </w:r>
      <w:proofErr w:type="spellEnd"/>
      <w:r w:rsidRPr="00671FD6">
        <w:rPr>
          <w:rFonts w:ascii="Arial" w:hAnsi="Arial" w:cs="Arial"/>
          <w:sz w:val="24"/>
          <w:szCs w:val="24"/>
          <w:shd w:val="clear" w:color="auto" w:fill="FFFFFF"/>
        </w:rPr>
        <w:t xml:space="preserve"> and Richard Bull. (2023). </w:t>
      </w:r>
      <w:r w:rsidRPr="00671FD6">
        <w:rPr>
          <w:rFonts w:ascii="Arial" w:hAnsi="Arial" w:cs="Arial"/>
          <w:i/>
          <w:iCs/>
          <w:sz w:val="24"/>
          <w:szCs w:val="24"/>
          <w:shd w:val="clear" w:color="auto" w:fill="FFFFFF"/>
        </w:rPr>
        <w:t>Cognitive Interviewing and what it can be used for</w:t>
      </w:r>
      <w:r w:rsidRPr="00671FD6">
        <w:rPr>
          <w:rFonts w:ascii="Arial" w:hAnsi="Arial" w:cs="Arial"/>
          <w:sz w:val="24"/>
          <w:szCs w:val="24"/>
          <w:shd w:val="clear" w:color="auto" w:fill="FFFFFF"/>
        </w:rPr>
        <w:t>. National Centre for Research Methods online learning resource. Available at https://www.ncrm.ac.uk/resources/online/all/?id=20816 [accessed: 19 May 2024]</w:t>
      </w:r>
    </w:p>
    <w:p w14:paraId="2E0ABA26"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Pollock, K., 2013. Review of persistent lessons identified relating to interoperability from emergencies and major incidents since 1986. </w:t>
      </w:r>
      <w:r w:rsidRPr="00671FD6">
        <w:rPr>
          <w:rFonts w:ascii="Arial" w:hAnsi="Arial" w:cs="Arial"/>
          <w:i/>
          <w:iCs/>
          <w:color w:val="000000"/>
          <w:sz w:val="24"/>
          <w:szCs w:val="24"/>
        </w:rPr>
        <w:t>Occasional Paper</w:t>
      </w:r>
      <w:r w:rsidRPr="00671FD6">
        <w:rPr>
          <w:rFonts w:ascii="Arial" w:hAnsi="Arial" w:cs="Arial"/>
          <w:color w:val="000000"/>
          <w:sz w:val="24"/>
          <w:szCs w:val="24"/>
        </w:rPr>
        <w:t xml:space="preserve">, </w:t>
      </w:r>
      <w:proofErr w:type="gramStart"/>
      <w:r w:rsidRPr="00671FD6">
        <w:rPr>
          <w:rFonts w:ascii="Arial" w:hAnsi="Arial" w:cs="Arial"/>
          <w:i/>
          <w:iCs/>
          <w:color w:val="000000"/>
          <w:sz w:val="24"/>
          <w:szCs w:val="24"/>
        </w:rPr>
        <w:t>6</w:t>
      </w:r>
      <w:r w:rsidRPr="00671FD6">
        <w:rPr>
          <w:rFonts w:ascii="Arial" w:hAnsi="Arial" w:cs="Arial"/>
          <w:color w:val="000000"/>
          <w:sz w:val="24"/>
          <w:szCs w:val="24"/>
        </w:rPr>
        <w:t>.(</w:t>
      </w:r>
      <w:proofErr w:type="gramEnd"/>
      <w:r w:rsidRPr="00671FD6">
        <w:rPr>
          <w:rFonts w:ascii="Arial" w:hAnsi="Arial" w:cs="Arial"/>
          <w:color w:val="000000"/>
          <w:sz w:val="24"/>
          <w:szCs w:val="24"/>
        </w:rPr>
        <w:t>14)</w:t>
      </w:r>
    </w:p>
    <w:p w14:paraId="6C9401D8"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Psychology, (13): 59-70 DOI: 10.1348/135532506X162498</w:t>
      </w:r>
    </w:p>
    <w:p w14:paraId="0517A499"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Reiner, R. (2000). The politics of the police(3rded). Oxford: Oxford University </w:t>
      </w:r>
      <w:proofErr w:type="spellStart"/>
      <w:proofErr w:type="gramStart"/>
      <w:r w:rsidRPr="00671FD6">
        <w:rPr>
          <w:rFonts w:ascii="Arial" w:hAnsi="Arial" w:cs="Arial"/>
          <w:color w:val="000000"/>
          <w:sz w:val="24"/>
          <w:szCs w:val="24"/>
        </w:rPr>
        <w:t>Press.Drivers</w:t>
      </w:r>
      <w:proofErr w:type="spellEnd"/>
      <w:r w:rsidRPr="00671FD6">
        <w:rPr>
          <w:rFonts w:ascii="Arial" w:hAnsi="Arial" w:cs="Arial"/>
          <w:color w:val="000000"/>
          <w:sz w:val="24"/>
          <w:szCs w:val="24"/>
        </w:rPr>
        <w:t>  of</w:t>
      </w:r>
      <w:proofErr w:type="gramEnd"/>
      <w:r w:rsidRPr="00671FD6">
        <w:rPr>
          <w:rFonts w:ascii="Arial" w:hAnsi="Arial" w:cs="Arial"/>
          <w:color w:val="000000"/>
          <w:sz w:val="24"/>
          <w:szCs w:val="24"/>
        </w:rPr>
        <w:t>  public  trust  and  confidence  in  police  in  the  UK Page  134</w:t>
      </w:r>
    </w:p>
    <w:p w14:paraId="77122F0F"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Review of Police Leadership and Training. (2001). </w:t>
      </w:r>
      <w:r w:rsidRPr="00671FD6">
        <w:rPr>
          <w:rFonts w:ascii="Arial" w:hAnsi="Arial" w:cs="Arial"/>
          <w:i/>
          <w:iCs/>
          <w:color w:val="000000"/>
          <w:sz w:val="24"/>
          <w:szCs w:val="24"/>
        </w:rPr>
        <w:t xml:space="preserve">Peter </w:t>
      </w:r>
      <w:proofErr w:type="spellStart"/>
      <w:proofErr w:type="gramStart"/>
      <w:r w:rsidRPr="00671FD6">
        <w:rPr>
          <w:rFonts w:ascii="Arial" w:hAnsi="Arial" w:cs="Arial"/>
          <w:i/>
          <w:iCs/>
          <w:color w:val="000000"/>
          <w:sz w:val="24"/>
          <w:szCs w:val="24"/>
        </w:rPr>
        <w:t>Neyroud</w:t>
      </w:r>
      <w:proofErr w:type="spellEnd"/>
      <w:r w:rsidRPr="00671FD6">
        <w:rPr>
          <w:rFonts w:ascii="Arial" w:hAnsi="Arial" w:cs="Arial"/>
          <w:i/>
          <w:iCs/>
          <w:color w:val="000000"/>
          <w:sz w:val="24"/>
          <w:szCs w:val="24"/>
        </w:rPr>
        <w:t xml:space="preserve"> </w:t>
      </w:r>
      <w:r w:rsidRPr="00671FD6">
        <w:rPr>
          <w:rFonts w:ascii="Arial" w:hAnsi="Arial" w:cs="Arial"/>
          <w:color w:val="000000"/>
          <w:sz w:val="24"/>
          <w:szCs w:val="24"/>
        </w:rPr>
        <w:t>,</w:t>
      </w:r>
      <w:proofErr w:type="gramEnd"/>
      <w:r w:rsidRPr="00671FD6">
        <w:rPr>
          <w:rFonts w:ascii="Arial" w:hAnsi="Arial" w:cs="Arial"/>
          <w:color w:val="000000"/>
          <w:sz w:val="24"/>
          <w:szCs w:val="24"/>
        </w:rPr>
        <w:t xml:space="preserve"> Available at: http://data.parliament.uk/DepositedPapers/Files/DEP2011-2092/DEP2011-2092.pdf [Accessed 10 May 2024].</w:t>
      </w:r>
    </w:p>
    <w:p w14:paraId="0FA45C78"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Roycroft, Mark., &amp; Roach, Jason. (Eds.). (2019). </w:t>
      </w:r>
      <w:r w:rsidRPr="00671FD6">
        <w:rPr>
          <w:rFonts w:ascii="Arial" w:hAnsi="Arial" w:cs="Arial"/>
          <w:i/>
          <w:iCs/>
          <w:color w:val="000000"/>
          <w:sz w:val="24"/>
          <w:szCs w:val="24"/>
        </w:rPr>
        <w:t>Decision Making in Police Enquiries and Critical Incidents What Really Works?</w:t>
      </w:r>
      <w:r w:rsidRPr="00671FD6">
        <w:rPr>
          <w:rFonts w:ascii="Arial" w:hAnsi="Arial" w:cs="Arial"/>
          <w:color w:val="000000"/>
          <w:sz w:val="24"/>
          <w:szCs w:val="24"/>
        </w:rPr>
        <w:t> (1st ed. 2019.). Palgrave Macmillan UK. https://doi.org/10.1057/978-1-349-95847-4 (6)</w:t>
      </w:r>
    </w:p>
    <w:p w14:paraId="2F7C318D" w14:textId="77777777" w:rsidR="00111241" w:rsidRPr="00671FD6" w:rsidRDefault="00111241" w:rsidP="00111241">
      <w:pPr>
        <w:rPr>
          <w:rFonts w:ascii="Arial" w:hAnsi="Arial" w:cs="Arial"/>
          <w:sz w:val="24"/>
          <w:szCs w:val="24"/>
        </w:rPr>
      </w:pPr>
      <w:r w:rsidRPr="00671FD6">
        <w:rPr>
          <w:rFonts w:ascii="Arial" w:hAnsi="Arial" w:cs="Arial"/>
          <w:sz w:val="24"/>
          <w:szCs w:val="24"/>
        </w:rPr>
        <w:t>Shapland et al. (2011) Restorative Justice in Practice. London: Routledge.</w:t>
      </w:r>
    </w:p>
    <w:p w14:paraId="4A85AC6A"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lastRenderedPageBreak/>
        <w:t>Sharman, S.J., and Powell, M.B. (2012) A comparison of adult witnesses’ suggestibility</w:t>
      </w:r>
      <w:r w:rsidRPr="00671FD6">
        <w:rPr>
          <w:rFonts w:ascii="Arial" w:hAnsi="Arial" w:cs="Arial"/>
          <w:color w:val="000000"/>
          <w:sz w:val="24"/>
          <w:szCs w:val="24"/>
        </w:rPr>
        <w:br/>
        <w:t>across various types of leading questions. Applied Cognitive Psychology, 26, pp: 48-53.</w:t>
      </w:r>
    </w:p>
    <w:p w14:paraId="05342F36"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Shepherd, E. and Griffiths, A., 2021. </w:t>
      </w:r>
      <w:r w:rsidRPr="00671FD6">
        <w:rPr>
          <w:rFonts w:ascii="Arial" w:hAnsi="Arial" w:cs="Arial"/>
          <w:i/>
          <w:iCs/>
          <w:color w:val="000000"/>
          <w:sz w:val="24"/>
          <w:szCs w:val="24"/>
        </w:rPr>
        <w:t>Investigative interviewing: The conversation management approach</w:t>
      </w:r>
      <w:r w:rsidRPr="00671FD6">
        <w:rPr>
          <w:rFonts w:ascii="Arial" w:hAnsi="Arial" w:cs="Arial"/>
          <w:color w:val="000000"/>
          <w:sz w:val="24"/>
          <w:szCs w:val="24"/>
        </w:rPr>
        <w:t>. Oxford University Press.</w:t>
      </w:r>
    </w:p>
    <w:p w14:paraId="3E03CFC8"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 xml:space="preserve">Tudor, S., 2023. Police standards and culture: restoring public trust. </w:t>
      </w:r>
      <w:r w:rsidRPr="00671FD6">
        <w:rPr>
          <w:rFonts w:ascii="Arial" w:hAnsi="Arial" w:cs="Arial"/>
          <w:i/>
          <w:iCs/>
          <w:color w:val="000000"/>
          <w:sz w:val="24"/>
          <w:szCs w:val="24"/>
        </w:rPr>
        <w:t>UK Parliament</w:t>
      </w:r>
      <w:r w:rsidRPr="00671FD6">
        <w:rPr>
          <w:rFonts w:ascii="Arial" w:hAnsi="Arial" w:cs="Arial"/>
          <w:color w:val="000000"/>
          <w:sz w:val="24"/>
          <w:szCs w:val="24"/>
        </w:rPr>
        <w:t>.</w:t>
      </w:r>
    </w:p>
    <w:p w14:paraId="33470918" w14:textId="77777777" w:rsidR="00111241" w:rsidRPr="00671FD6" w:rsidRDefault="00111241" w:rsidP="00111241">
      <w:pPr>
        <w:rPr>
          <w:rFonts w:ascii="Arial" w:hAnsi="Arial" w:cs="Arial"/>
          <w:strike/>
          <w:sz w:val="24"/>
          <w:szCs w:val="24"/>
        </w:rPr>
      </w:pPr>
      <w:proofErr w:type="spellStart"/>
      <w:r w:rsidRPr="00671FD6">
        <w:rPr>
          <w:rFonts w:ascii="Arial" w:hAnsi="Arial" w:cs="Arial"/>
          <w:color w:val="222222"/>
          <w:sz w:val="24"/>
          <w:szCs w:val="24"/>
          <w:shd w:val="clear" w:color="auto" w:fill="FFFFFF"/>
        </w:rPr>
        <w:t>Westmarland</w:t>
      </w:r>
      <w:proofErr w:type="spellEnd"/>
      <w:r w:rsidRPr="00671FD6">
        <w:rPr>
          <w:rFonts w:ascii="Arial" w:hAnsi="Arial" w:cs="Arial"/>
          <w:color w:val="222222"/>
          <w:sz w:val="24"/>
          <w:szCs w:val="24"/>
          <w:shd w:val="clear" w:color="auto" w:fill="FFFFFF"/>
        </w:rPr>
        <w:t xml:space="preserve">, L. and Rowe, M., (2018). Police ethics and integrity: can a new code overturn the blue </w:t>
      </w:r>
      <w:proofErr w:type="gramStart"/>
      <w:r w:rsidRPr="00671FD6">
        <w:rPr>
          <w:rFonts w:ascii="Arial" w:hAnsi="Arial" w:cs="Arial"/>
          <w:color w:val="222222"/>
          <w:sz w:val="24"/>
          <w:szCs w:val="24"/>
          <w:shd w:val="clear" w:color="auto" w:fill="FFFFFF"/>
        </w:rPr>
        <w:t>code?.</w:t>
      </w:r>
      <w:proofErr w:type="gramEnd"/>
      <w:r w:rsidRPr="00671FD6">
        <w:rPr>
          <w:rFonts w:ascii="Arial" w:hAnsi="Arial" w:cs="Arial"/>
          <w:color w:val="222222"/>
          <w:sz w:val="24"/>
          <w:szCs w:val="24"/>
          <w:shd w:val="clear" w:color="auto" w:fill="FFFFFF"/>
        </w:rPr>
        <w:t> </w:t>
      </w:r>
      <w:r w:rsidRPr="00671FD6">
        <w:rPr>
          <w:rFonts w:ascii="Arial" w:hAnsi="Arial" w:cs="Arial"/>
          <w:i/>
          <w:iCs/>
          <w:color w:val="222222"/>
          <w:sz w:val="24"/>
          <w:szCs w:val="24"/>
          <w:shd w:val="clear" w:color="auto" w:fill="FFFFFF"/>
        </w:rPr>
        <w:t>Policing and society</w:t>
      </w:r>
      <w:r w:rsidRPr="00671FD6">
        <w:rPr>
          <w:rFonts w:ascii="Arial" w:hAnsi="Arial" w:cs="Arial"/>
          <w:color w:val="222222"/>
          <w:sz w:val="24"/>
          <w:szCs w:val="24"/>
          <w:shd w:val="clear" w:color="auto" w:fill="FFFFFF"/>
        </w:rPr>
        <w:t>, </w:t>
      </w:r>
      <w:r w:rsidRPr="00671FD6">
        <w:rPr>
          <w:rFonts w:ascii="Arial" w:hAnsi="Arial" w:cs="Arial"/>
          <w:i/>
          <w:iCs/>
          <w:color w:val="222222"/>
          <w:sz w:val="24"/>
          <w:szCs w:val="24"/>
          <w:shd w:val="clear" w:color="auto" w:fill="FFFFFF"/>
        </w:rPr>
        <w:t>28</w:t>
      </w:r>
      <w:r w:rsidRPr="00671FD6">
        <w:rPr>
          <w:rFonts w:ascii="Arial" w:hAnsi="Arial" w:cs="Arial"/>
          <w:color w:val="222222"/>
          <w:sz w:val="24"/>
          <w:szCs w:val="24"/>
          <w:shd w:val="clear" w:color="auto" w:fill="FFFFFF"/>
        </w:rPr>
        <w:t>(7), pp.854-870.</w:t>
      </w:r>
    </w:p>
    <w:p w14:paraId="4734A49A" w14:textId="77777777" w:rsidR="00111241" w:rsidRPr="00671FD6" w:rsidRDefault="00111241" w:rsidP="00111241">
      <w:pPr>
        <w:rPr>
          <w:rFonts w:ascii="Arial" w:hAnsi="Arial" w:cs="Arial"/>
          <w:strike/>
          <w:sz w:val="24"/>
          <w:szCs w:val="24"/>
        </w:rPr>
      </w:pPr>
      <w:proofErr w:type="spellStart"/>
      <w:r w:rsidRPr="00671FD6">
        <w:rPr>
          <w:rFonts w:ascii="Arial" w:hAnsi="Arial" w:cs="Arial"/>
          <w:color w:val="333333"/>
          <w:sz w:val="24"/>
          <w:szCs w:val="24"/>
          <w:shd w:val="clear" w:color="auto" w:fill="FFFFFF"/>
        </w:rPr>
        <w:t>Westmarland</w:t>
      </w:r>
      <w:proofErr w:type="spellEnd"/>
      <w:r w:rsidRPr="00671FD6">
        <w:rPr>
          <w:rFonts w:ascii="Arial" w:hAnsi="Arial" w:cs="Arial"/>
          <w:color w:val="333333"/>
          <w:sz w:val="24"/>
          <w:szCs w:val="24"/>
          <w:shd w:val="clear" w:color="auto" w:fill="FFFFFF"/>
        </w:rPr>
        <w:t>, L., &amp; Conway, S. (2020). Police ethics and integrity: Keeping the ‘blue code’ of silence. </w:t>
      </w:r>
      <w:r w:rsidRPr="00671FD6">
        <w:rPr>
          <w:rFonts w:ascii="Arial" w:hAnsi="Arial" w:cs="Arial"/>
          <w:i/>
          <w:iCs/>
          <w:color w:val="333333"/>
          <w:sz w:val="24"/>
          <w:szCs w:val="24"/>
          <w:shd w:val="clear" w:color="auto" w:fill="FFFFFF"/>
        </w:rPr>
        <w:t>International Journal of Police Science &amp; Management</w:t>
      </w:r>
      <w:r w:rsidRPr="00671FD6">
        <w:rPr>
          <w:rFonts w:ascii="Arial" w:hAnsi="Arial" w:cs="Arial"/>
          <w:color w:val="333333"/>
          <w:sz w:val="24"/>
          <w:szCs w:val="24"/>
          <w:shd w:val="clear" w:color="auto" w:fill="FFFFFF"/>
        </w:rPr>
        <w:t>, </w:t>
      </w:r>
      <w:r w:rsidRPr="00671FD6">
        <w:rPr>
          <w:rFonts w:ascii="Arial" w:hAnsi="Arial" w:cs="Arial"/>
          <w:i/>
          <w:iCs/>
          <w:color w:val="333333"/>
          <w:sz w:val="24"/>
          <w:szCs w:val="24"/>
          <w:shd w:val="clear" w:color="auto" w:fill="FFFFFF"/>
        </w:rPr>
        <w:t>22</w:t>
      </w:r>
      <w:r w:rsidRPr="00671FD6">
        <w:rPr>
          <w:rFonts w:ascii="Arial" w:hAnsi="Arial" w:cs="Arial"/>
          <w:color w:val="333333"/>
          <w:sz w:val="24"/>
          <w:szCs w:val="24"/>
          <w:shd w:val="clear" w:color="auto" w:fill="FFFFFF"/>
        </w:rPr>
        <w:t>(4), 378-392. </w:t>
      </w:r>
      <w:r w:rsidRPr="00671FD6">
        <w:rPr>
          <w:rFonts w:ascii="Arial" w:hAnsi="Arial" w:cs="Arial"/>
          <w:sz w:val="24"/>
          <w:szCs w:val="24"/>
          <w:shd w:val="clear" w:color="auto" w:fill="FFFFFF"/>
        </w:rPr>
        <w:t>https://doi.org/10.1177/1461355720947762</w:t>
      </w:r>
    </w:p>
    <w:p w14:paraId="499B7B57"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Wood, D., Bradshaw, S., Dickens, T., Parker-</w:t>
      </w:r>
      <w:proofErr w:type="spellStart"/>
      <w:r w:rsidRPr="00671FD6">
        <w:rPr>
          <w:rFonts w:ascii="Arial" w:hAnsi="Arial" w:cs="Arial"/>
          <w:color w:val="000000"/>
          <w:sz w:val="24"/>
          <w:szCs w:val="24"/>
        </w:rPr>
        <w:t>Mcleod</w:t>
      </w:r>
      <w:proofErr w:type="spellEnd"/>
      <w:r w:rsidRPr="00671FD6">
        <w:rPr>
          <w:rFonts w:ascii="Arial" w:hAnsi="Arial" w:cs="Arial"/>
          <w:color w:val="000000"/>
          <w:sz w:val="24"/>
          <w:szCs w:val="24"/>
        </w:rPr>
        <w:t xml:space="preserve">, J., Simpson, F. and Weaver, G. (2022). Blackstone’s Handbook </w:t>
      </w:r>
      <w:proofErr w:type="gramStart"/>
      <w:r w:rsidRPr="00671FD6">
        <w:rPr>
          <w:rFonts w:ascii="Arial" w:hAnsi="Arial" w:cs="Arial"/>
          <w:color w:val="000000"/>
          <w:sz w:val="24"/>
          <w:szCs w:val="24"/>
        </w:rPr>
        <w:t>For</w:t>
      </w:r>
      <w:proofErr w:type="gramEnd"/>
      <w:r w:rsidRPr="00671FD6">
        <w:rPr>
          <w:rFonts w:ascii="Arial" w:hAnsi="Arial" w:cs="Arial"/>
          <w:color w:val="000000"/>
          <w:sz w:val="24"/>
          <w:szCs w:val="24"/>
        </w:rPr>
        <w:t xml:space="preserve"> Policing Students 2022. S.L.: Oxford </w:t>
      </w:r>
      <w:proofErr w:type="spellStart"/>
      <w:r w:rsidRPr="00671FD6">
        <w:rPr>
          <w:rFonts w:ascii="Arial" w:hAnsi="Arial" w:cs="Arial"/>
          <w:color w:val="000000"/>
          <w:sz w:val="24"/>
          <w:szCs w:val="24"/>
        </w:rPr>
        <w:t>Univ</w:t>
      </w:r>
      <w:proofErr w:type="spellEnd"/>
      <w:r w:rsidRPr="00671FD6">
        <w:rPr>
          <w:rFonts w:ascii="Arial" w:hAnsi="Arial" w:cs="Arial"/>
          <w:color w:val="000000"/>
          <w:sz w:val="24"/>
          <w:szCs w:val="24"/>
        </w:rPr>
        <w:t xml:space="preserve"> Press.</w:t>
      </w:r>
    </w:p>
    <w:p w14:paraId="6CD798D0" w14:textId="77777777" w:rsidR="00111241" w:rsidRPr="00671FD6" w:rsidRDefault="00111241" w:rsidP="00111241">
      <w:pPr>
        <w:rPr>
          <w:rFonts w:ascii="Arial" w:hAnsi="Arial" w:cs="Arial"/>
          <w:color w:val="000000"/>
          <w:sz w:val="24"/>
          <w:szCs w:val="24"/>
          <w:shd w:val="clear" w:color="auto" w:fill="FFFFFF"/>
        </w:rPr>
      </w:pPr>
      <w:r w:rsidRPr="00671FD6">
        <w:rPr>
          <w:rFonts w:ascii="Arial" w:hAnsi="Arial" w:cs="Arial"/>
          <w:color w:val="000000"/>
          <w:sz w:val="24"/>
          <w:szCs w:val="24"/>
          <w:shd w:val="clear" w:color="auto" w:fill="FFFFFF"/>
        </w:rPr>
        <w:t>Wright, A. M., &amp; Holliday, R. E. (2007). </w:t>
      </w:r>
      <w:r w:rsidRPr="00671FD6">
        <w:rPr>
          <w:rFonts w:ascii="Arial" w:hAnsi="Arial" w:cs="Arial"/>
          <w:sz w:val="24"/>
          <w:szCs w:val="24"/>
          <w:shd w:val="clear" w:color="auto" w:fill="FFFFFF"/>
        </w:rPr>
        <w:t>Interviewing cognitively impaired older adults: How useful is a Cognitive Interview</w:t>
      </w:r>
      <w:r w:rsidRPr="00671FD6">
        <w:rPr>
          <w:rFonts w:ascii="Arial" w:hAnsi="Arial" w:cs="Arial"/>
          <w:color w:val="000000"/>
          <w:sz w:val="24"/>
          <w:szCs w:val="24"/>
          <w:shd w:val="clear" w:color="auto" w:fill="FFFFFF"/>
        </w:rPr>
        <w:t>? </w:t>
      </w:r>
      <w:r w:rsidRPr="00671FD6">
        <w:rPr>
          <w:rStyle w:val="Emphasis"/>
          <w:rFonts w:ascii="Arial" w:hAnsi="Arial" w:cs="Arial"/>
          <w:color w:val="000000"/>
          <w:sz w:val="24"/>
          <w:szCs w:val="24"/>
          <w:shd w:val="clear" w:color="auto" w:fill="FFFFFF"/>
        </w:rPr>
        <w:t>Memory, 15</w:t>
      </w:r>
      <w:r w:rsidRPr="00671FD6">
        <w:rPr>
          <w:rFonts w:ascii="Arial" w:hAnsi="Arial" w:cs="Arial"/>
          <w:color w:val="000000"/>
          <w:sz w:val="24"/>
          <w:szCs w:val="24"/>
          <w:shd w:val="clear" w:color="auto" w:fill="FFFFFF"/>
        </w:rPr>
        <w:t xml:space="preserve"> (1), 17-33. (7) </w:t>
      </w:r>
    </w:p>
    <w:p w14:paraId="260E4618" w14:textId="77777777" w:rsidR="00111241" w:rsidRPr="00671FD6" w:rsidRDefault="00111241" w:rsidP="00111241">
      <w:pPr>
        <w:rPr>
          <w:rFonts w:ascii="Arial" w:hAnsi="Arial" w:cs="Arial"/>
          <w:color w:val="000000"/>
          <w:sz w:val="24"/>
          <w:szCs w:val="24"/>
        </w:rPr>
      </w:pPr>
      <w:r w:rsidRPr="00671FD6">
        <w:rPr>
          <w:rFonts w:ascii="Arial" w:hAnsi="Arial" w:cs="Arial"/>
          <w:color w:val="000000"/>
          <w:sz w:val="24"/>
          <w:szCs w:val="24"/>
        </w:rPr>
        <w:t>Wright, J., (2013). Transforming Rehabilitation: a summary of evidence on reducing reoffending. </w:t>
      </w:r>
    </w:p>
    <w:p w14:paraId="09B8B937" w14:textId="77777777" w:rsidR="00111241" w:rsidRPr="00AD6AD0" w:rsidRDefault="00111241" w:rsidP="00AD6AD0">
      <w:pPr>
        <w:tabs>
          <w:tab w:val="left" w:pos="2620"/>
        </w:tabs>
        <w:rPr>
          <w:rFonts w:ascii="Arial" w:hAnsi="Arial" w:cs="Arial"/>
        </w:rPr>
      </w:pPr>
    </w:p>
    <w:sectPr w:rsidR="00111241" w:rsidRPr="00AD6AD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D89E7" w14:textId="77777777" w:rsidR="004A6C85" w:rsidRDefault="004A6C85" w:rsidP="004A6C85">
      <w:pPr>
        <w:spacing w:after="0" w:line="240" w:lineRule="auto"/>
      </w:pPr>
      <w:r>
        <w:separator/>
      </w:r>
    </w:p>
  </w:endnote>
  <w:endnote w:type="continuationSeparator" w:id="0">
    <w:p w14:paraId="3F060DA4" w14:textId="77777777" w:rsidR="004A6C85" w:rsidRDefault="004A6C85" w:rsidP="004A6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00521" w14:textId="35C17976" w:rsidR="004A6C85" w:rsidRDefault="004A6C85">
    <w:pPr>
      <w:pStyle w:val="Footer"/>
    </w:pPr>
    <w:r>
      <w:t>2222281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73027" w14:textId="77777777" w:rsidR="004A6C85" w:rsidRDefault="004A6C85" w:rsidP="004A6C85">
      <w:pPr>
        <w:spacing w:after="0" w:line="240" w:lineRule="auto"/>
      </w:pPr>
      <w:r>
        <w:separator/>
      </w:r>
    </w:p>
  </w:footnote>
  <w:footnote w:type="continuationSeparator" w:id="0">
    <w:p w14:paraId="115F5CC7" w14:textId="77777777" w:rsidR="004A6C85" w:rsidRDefault="004A6C85" w:rsidP="004A6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06A"/>
    <w:rsid w:val="00111241"/>
    <w:rsid w:val="00224682"/>
    <w:rsid w:val="00245400"/>
    <w:rsid w:val="004A6C85"/>
    <w:rsid w:val="005D0279"/>
    <w:rsid w:val="00AD6AD0"/>
    <w:rsid w:val="00B9006A"/>
    <w:rsid w:val="00BA5D70"/>
    <w:rsid w:val="00C375F1"/>
    <w:rsid w:val="00F37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9FBFC"/>
  <w15:chartTrackingRefBased/>
  <w15:docId w15:val="{345DF9DD-6E68-48AD-80DE-B144C6A89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0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0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0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0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0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0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0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0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0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0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0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06A"/>
    <w:rPr>
      <w:rFonts w:eastAsiaTheme="majorEastAsia" w:cstheme="majorBidi"/>
      <w:color w:val="272727" w:themeColor="text1" w:themeTint="D8"/>
    </w:rPr>
  </w:style>
  <w:style w:type="paragraph" w:styleId="Title">
    <w:name w:val="Title"/>
    <w:basedOn w:val="Normal"/>
    <w:next w:val="Normal"/>
    <w:link w:val="TitleChar"/>
    <w:uiPriority w:val="10"/>
    <w:qFormat/>
    <w:rsid w:val="00B900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06A"/>
    <w:pPr>
      <w:spacing w:before="160"/>
      <w:jc w:val="center"/>
    </w:pPr>
    <w:rPr>
      <w:i/>
      <w:iCs/>
      <w:color w:val="404040" w:themeColor="text1" w:themeTint="BF"/>
    </w:rPr>
  </w:style>
  <w:style w:type="character" w:customStyle="1" w:styleId="QuoteChar">
    <w:name w:val="Quote Char"/>
    <w:basedOn w:val="DefaultParagraphFont"/>
    <w:link w:val="Quote"/>
    <w:uiPriority w:val="29"/>
    <w:rsid w:val="00B9006A"/>
    <w:rPr>
      <w:i/>
      <w:iCs/>
      <w:color w:val="404040" w:themeColor="text1" w:themeTint="BF"/>
    </w:rPr>
  </w:style>
  <w:style w:type="paragraph" w:styleId="ListParagraph">
    <w:name w:val="List Paragraph"/>
    <w:basedOn w:val="Normal"/>
    <w:uiPriority w:val="34"/>
    <w:qFormat/>
    <w:rsid w:val="00B9006A"/>
    <w:pPr>
      <w:ind w:left="720"/>
      <w:contextualSpacing/>
    </w:pPr>
  </w:style>
  <w:style w:type="character" w:styleId="IntenseEmphasis">
    <w:name w:val="Intense Emphasis"/>
    <w:basedOn w:val="DefaultParagraphFont"/>
    <w:uiPriority w:val="21"/>
    <w:qFormat/>
    <w:rsid w:val="00B9006A"/>
    <w:rPr>
      <w:i/>
      <w:iCs/>
      <w:color w:val="0F4761" w:themeColor="accent1" w:themeShade="BF"/>
    </w:rPr>
  </w:style>
  <w:style w:type="paragraph" w:styleId="IntenseQuote">
    <w:name w:val="Intense Quote"/>
    <w:basedOn w:val="Normal"/>
    <w:next w:val="Normal"/>
    <w:link w:val="IntenseQuoteChar"/>
    <w:uiPriority w:val="30"/>
    <w:qFormat/>
    <w:rsid w:val="00B90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06A"/>
    <w:rPr>
      <w:i/>
      <w:iCs/>
      <w:color w:val="0F4761" w:themeColor="accent1" w:themeShade="BF"/>
    </w:rPr>
  </w:style>
  <w:style w:type="character" w:styleId="IntenseReference">
    <w:name w:val="Intense Reference"/>
    <w:basedOn w:val="DefaultParagraphFont"/>
    <w:uiPriority w:val="32"/>
    <w:qFormat/>
    <w:rsid w:val="00B9006A"/>
    <w:rPr>
      <w:b/>
      <w:bCs/>
      <w:smallCaps/>
      <w:color w:val="0F4761" w:themeColor="accent1" w:themeShade="BF"/>
      <w:spacing w:val="5"/>
    </w:rPr>
  </w:style>
  <w:style w:type="paragraph" w:customStyle="1" w:styleId="Default">
    <w:name w:val="Default"/>
    <w:rsid w:val="00F37C3A"/>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semiHidden/>
    <w:unhideWhenUsed/>
    <w:rsid w:val="00111241"/>
    <w:rPr>
      <w:color w:val="0000FF"/>
      <w:u w:val="single"/>
    </w:rPr>
  </w:style>
  <w:style w:type="character" w:styleId="Emphasis">
    <w:name w:val="Emphasis"/>
    <w:basedOn w:val="DefaultParagraphFont"/>
    <w:uiPriority w:val="20"/>
    <w:qFormat/>
    <w:rsid w:val="00111241"/>
    <w:rPr>
      <w:i/>
      <w:iCs/>
    </w:rPr>
  </w:style>
  <w:style w:type="paragraph" w:styleId="Header">
    <w:name w:val="header"/>
    <w:basedOn w:val="Normal"/>
    <w:link w:val="HeaderChar"/>
    <w:uiPriority w:val="99"/>
    <w:unhideWhenUsed/>
    <w:rsid w:val="004A6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C85"/>
  </w:style>
  <w:style w:type="paragraph" w:styleId="Footer">
    <w:name w:val="footer"/>
    <w:basedOn w:val="Normal"/>
    <w:link w:val="FooterChar"/>
    <w:uiPriority w:val="99"/>
    <w:unhideWhenUsed/>
    <w:rsid w:val="004A6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554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ndfonline.com/doi/pdf/10.1080/10683169908415000?casa_token=8CZcXfV6sLsAAAAA:ljJc4EyU5nuTikfmN3kPfl7hleV5X34g3i0xgSMDJwY8QVk0GjweKE00ilMbsq2MWC4_txQni2sv"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4E4DD-DDF5-41C1-8092-6D2F7A1EC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4894</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Rees,Callum swp8421</dc:creator>
  <cp:keywords/>
  <dc:description/>
  <cp:lastModifiedBy>Rees,Callum swp8421</cp:lastModifiedBy>
  <cp:revision>3</cp:revision>
  <dcterms:created xsi:type="dcterms:W3CDTF">2024-05-27T20:06:00Z</dcterms:created>
  <dcterms:modified xsi:type="dcterms:W3CDTF">2024-05-27T21:21:00Z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2024-05-27T20:30:25Z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ff426ed0-d38e-4300-a1a2-bc332f39c9af</vt:lpwstr>
  </property>
  <property fmtid="{D5CDD505-2E9C-101B-9397-08002B2CF9AE}" pid="8" name="MSIP_Label_66cf8fe5-b7b7-4df7-b38d-1c61ac2f6639_ContentBits">
    <vt:lpwstr>0</vt:lpwstr>
  </property>
</Properties>
</file>