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C39CE" w14:textId="03269E79" w:rsidR="004E7BBD" w:rsidRPr="00EA452B" w:rsidRDefault="00982A62" w:rsidP="00982A62">
      <w:pPr>
        <w:spacing w:before="120" w:after="120" w:line="360" w:lineRule="auto"/>
        <w:jc w:val="center"/>
        <w:rPr>
          <w:rFonts w:ascii="Arial" w:hAnsi="Arial" w:cs="Arial"/>
          <w:b/>
          <w:bCs/>
        </w:rPr>
      </w:pPr>
      <w:r>
        <w:rPr>
          <w:noProof/>
        </w:rPr>
        <w:drawing>
          <wp:inline distT="0" distB="0" distL="0" distR="0" wp14:anchorId="30EBE528" wp14:editId="611D04B2">
            <wp:extent cx="2393950" cy="1328789"/>
            <wp:effectExtent l="0" t="0" r="6350" b="5080"/>
            <wp:docPr id="684637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5309" cy="1335094"/>
                    </a:xfrm>
                    <a:prstGeom prst="rect">
                      <a:avLst/>
                    </a:prstGeom>
                    <a:noFill/>
                    <a:ln>
                      <a:noFill/>
                    </a:ln>
                  </pic:spPr>
                </pic:pic>
              </a:graphicData>
            </a:graphic>
          </wp:inline>
        </w:drawing>
      </w:r>
    </w:p>
    <w:p w14:paraId="029B9005" w14:textId="77777777" w:rsidR="004E7BBD" w:rsidRPr="00982A62" w:rsidRDefault="004E7BBD" w:rsidP="004E7BBD">
      <w:pPr>
        <w:spacing w:before="120" w:after="120" w:line="360" w:lineRule="auto"/>
        <w:jc w:val="center"/>
        <w:rPr>
          <w:rFonts w:ascii="Arial" w:hAnsi="Arial" w:cs="Arial"/>
          <w:b/>
          <w:bCs/>
          <w:sz w:val="28"/>
          <w:szCs w:val="28"/>
        </w:rPr>
      </w:pPr>
      <w:r w:rsidRPr="00982A62">
        <w:rPr>
          <w:rFonts w:ascii="Arial" w:hAnsi="Arial" w:cs="Arial"/>
          <w:b/>
          <w:bCs/>
          <w:sz w:val="28"/>
          <w:szCs w:val="28"/>
        </w:rPr>
        <w:t>Programme: MSc Public Health and Social Care in Practice</w:t>
      </w:r>
    </w:p>
    <w:p w14:paraId="24F0D3B4" w14:textId="77777777" w:rsidR="004E7BBD" w:rsidRPr="00982A62" w:rsidRDefault="004E7BBD" w:rsidP="004E7BBD">
      <w:pPr>
        <w:spacing w:before="120" w:after="120" w:line="360" w:lineRule="auto"/>
        <w:jc w:val="center"/>
        <w:rPr>
          <w:rFonts w:ascii="Arial" w:hAnsi="Arial" w:cs="Arial"/>
          <w:b/>
          <w:bCs/>
          <w:sz w:val="28"/>
          <w:szCs w:val="28"/>
        </w:rPr>
      </w:pPr>
      <w:r w:rsidRPr="00982A62">
        <w:rPr>
          <w:rFonts w:ascii="Arial" w:hAnsi="Arial" w:cs="Arial"/>
          <w:b/>
          <w:bCs/>
          <w:sz w:val="28"/>
          <w:szCs w:val="28"/>
        </w:rPr>
        <w:t>Social Epidemiology and Public Health Development</w:t>
      </w:r>
    </w:p>
    <w:p w14:paraId="45F66999" w14:textId="117A0410" w:rsidR="004E7BBD" w:rsidRPr="00982A62" w:rsidRDefault="004E7BBD" w:rsidP="004E7BBD">
      <w:pPr>
        <w:spacing w:before="120" w:after="120" w:line="360" w:lineRule="auto"/>
        <w:jc w:val="center"/>
        <w:rPr>
          <w:rFonts w:ascii="Arial" w:hAnsi="Arial" w:cs="Arial"/>
          <w:b/>
          <w:bCs/>
          <w:sz w:val="24"/>
          <w:szCs w:val="24"/>
        </w:rPr>
      </w:pPr>
    </w:p>
    <w:p w14:paraId="1FFDD36D" w14:textId="77777777" w:rsidR="004E7BBD" w:rsidRPr="00982A62" w:rsidRDefault="004E7BBD" w:rsidP="004E7BBD">
      <w:pPr>
        <w:spacing w:before="120" w:after="120" w:line="360" w:lineRule="auto"/>
        <w:jc w:val="center"/>
        <w:rPr>
          <w:rFonts w:ascii="Arial" w:hAnsi="Arial" w:cs="Arial"/>
          <w:b/>
          <w:bCs/>
          <w:sz w:val="24"/>
          <w:szCs w:val="24"/>
        </w:rPr>
      </w:pPr>
    </w:p>
    <w:p w14:paraId="193DEED2" w14:textId="77777777" w:rsidR="004E7BBD" w:rsidRPr="00982A62" w:rsidRDefault="004E7BBD" w:rsidP="004E7BBD">
      <w:pPr>
        <w:spacing w:before="120" w:after="120" w:line="360" w:lineRule="auto"/>
        <w:jc w:val="center"/>
        <w:rPr>
          <w:rFonts w:ascii="Arial" w:hAnsi="Arial" w:cs="Arial"/>
          <w:b/>
          <w:bCs/>
          <w:sz w:val="24"/>
          <w:szCs w:val="24"/>
        </w:rPr>
      </w:pPr>
      <w:r w:rsidRPr="00982A62">
        <w:rPr>
          <w:rFonts w:ascii="Arial" w:hAnsi="Arial" w:cs="Arial"/>
          <w:b/>
          <w:bCs/>
          <w:sz w:val="24"/>
          <w:szCs w:val="24"/>
        </w:rPr>
        <w:t>Assignment Title: Component 2: Analytical Report</w:t>
      </w:r>
    </w:p>
    <w:p w14:paraId="77FFB8C4" w14:textId="67A4CE31" w:rsidR="004E7BBD" w:rsidRPr="00982A62" w:rsidRDefault="004E7BBD" w:rsidP="004E7BBD">
      <w:pPr>
        <w:spacing w:before="120" w:after="120" w:line="360" w:lineRule="auto"/>
        <w:jc w:val="center"/>
        <w:rPr>
          <w:rFonts w:ascii="Arial" w:hAnsi="Arial" w:cs="Arial"/>
          <w:b/>
          <w:bCs/>
          <w:sz w:val="24"/>
          <w:szCs w:val="24"/>
        </w:rPr>
      </w:pPr>
    </w:p>
    <w:p w14:paraId="38872696" w14:textId="77777777" w:rsidR="004E7BBD" w:rsidRPr="00982A62" w:rsidRDefault="004E7BBD" w:rsidP="004E7BBD">
      <w:pPr>
        <w:spacing w:before="120" w:after="120" w:line="360" w:lineRule="auto"/>
        <w:jc w:val="center"/>
        <w:rPr>
          <w:rFonts w:ascii="Arial" w:hAnsi="Arial" w:cs="Arial"/>
          <w:b/>
          <w:bCs/>
          <w:sz w:val="24"/>
          <w:szCs w:val="24"/>
        </w:rPr>
      </w:pPr>
    </w:p>
    <w:p w14:paraId="2860262C" w14:textId="52D3A735" w:rsidR="004E7BBD" w:rsidRPr="00982A62" w:rsidRDefault="004E7BBD" w:rsidP="004E7BBD">
      <w:pPr>
        <w:spacing w:before="120" w:after="120" w:line="360" w:lineRule="auto"/>
        <w:jc w:val="center"/>
        <w:rPr>
          <w:rFonts w:ascii="Arial" w:hAnsi="Arial" w:cs="Arial"/>
          <w:b/>
          <w:bCs/>
          <w:sz w:val="24"/>
          <w:szCs w:val="24"/>
        </w:rPr>
      </w:pPr>
      <w:r w:rsidRPr="00982A62">
        <w:rPr>
          <w:rFonts w:ascii="Arial" w:hAnsi="Arial" w:cs="Arial"/>
          <w:b/>
          <w:bCs/>
          <w:sz w:val="24"/>
          <w:szCs w:val="24"/>
        </w:rPr>
        <w:t>Student Name:</w:t>
      </w:r>
      <w:r w:rsidR="00982A62" w:rsidRPr="00982A62">
        <w:rPr>
          <w:rFonts w:ascii="Arial" w:hAnsi="Arial" w:cs="Arial"/>
          <w:b/>
          <w:bCs/>
          <w:sz w:val="24"/>
          <w:szCs w:val="24"/>
        </w:rPr>
        <w:t xml:space="preserve"> </w:t>
      </w:r>
      <w:r w:rsidR="00982A62" w:rsidRPr="00982A62">
        <w:rPr>
          <w:rFonts w:ascii="Arial" w:hAnsi="Arial" w:cs="Arial"/>
          <w:b/>
          <w:bCs/>
          <w:sz w:val="24"/>
          <w:szCs w:val="24"/>
        </w:rPr>
        <w:t xml:space="preserve">Raj </w:t>
      </w:r>
      <w:proofErr w:type="spellStart"/>
      <w:r w:rsidR="00982A62" w:rsidRPr="00982A62">
        <w:rPr>
          <w:rFonts w:ascii="Arial" w:hAnsi="Arial" w:cs="Arial"/>
          <w:b/>
          <w:bCs/>
          <w:sz w:val="24"/>
          <w:szCs w:val="24"/>
        </w:rPr>
        <w:t>N</w:t>
      </w:r>
      <w:r w:rsidR="00982A62" w:rsidRPr="00982A62">
        <w:rPr>
          <w:rFonts w:ascii="Arial" w:hAnsi="Arial" w:cs="Arial"/>
          <w:b/>
          <w:bCs/>
          <w:sz w:val="24"/>
          <w:szCs w:val="24"/>
        </w:rPr>
        <w:t>ileshbhai</w:t>
      </w:r>
      <w:proofErr w:type="spellEnd"/>
      <w:r w:rsidR="00982A62" w:rsidRPr="00982A62">
        <w:rPr>
          <w:rFonts w:ascii="Arial" w:hAnsi="Arial" w:cs="Arial"/>
          <w:b/>
          <w:bCs/>
          <w:sz w:val="24"/>
          <w:szCs w:val="24"/>
        </w:rPr>
        <w:t xml:space="preserve"> </w:t>
      </w:r>
      <w:r w:rsidR="00982A62" w:rsidRPr="00982A62">
        <w:rPr>
          <w:rFonts w:ascii="Arial" w:hAnsi="Arial" w:cs="Arial"/>
          <w:b/>
          <w:bCs/>
          <w:sz w:val="24"/>
          <w:szCs w:val="24"/>
        </w:rPr>
        <w:t>P</w:t>
      </w:r>
      <w:r w:rsidR="00982A62" w:rsidRPr="00982A62">
        <w:rPr>
          <w:rFonts w:ascii="Arial" w:hAnsi="Arial" w:cs="Arial"/>
          <w:b/>
          <w:bCs/>
          <w:sz w:val="24"/>
          <w:szCs w:val="24"/>
        </w:rPr>
        <w:t xml:space="preserve">anchal </w:t>
      </w:r>
    </w:p>
    <w:p w14:paraId="0BA54047" w14:textId="159D67F9" w:rsidR="004E7BBD" w:rsidRPr="00982A62" w:rsidRDefault="004E7BBD" w:rsidP="004E7BBD">
      <w:pPr>
        <w:spacing w:before="120" w:after="120" w:line="360" w:lineRule="auto"/>
        <w:jc w:val="center"/>
        <w:rPr>
          <w:rFonts w:ascii="Arial" w:hAnsi="Arial" w:cs="Arial"/>
          <w:b/>
          <w:bCs/>
          <w:sz w:val="24"/>
          <w:szCs w:val="24"/>
        </w:rPr>
      </w:pPr>
      <w:r w:rsidRPr="00982A62">
        <w:rPr>
          <w:rFonts w:ascii="Arial" w:hAnsi="Arial" w:cs="Arial"/>
          <w:b/>
          <w:bCs/>
          <w:sz w:val="24"/>
          <w:szCs w:val="24"/>
        </w:rPr>
        <w:t>Student Number:</w:t>
      </w:r>
      <w:r w:rsidR="00982A62" w:rsidRPr="00982A62">
        <w:rPr>
          <w:rFonts w:ascii="Arial" w:hAnsi="Arial" w:cs="Arial"/>
          <w:b/>
          <w:bCs/>
          <w:sz w:val="24"/>
          <w:szCs w:val="24"/>
        </w:rPr>
        <w:t xml:space="preserve"> </w:t>
      </w:r>
      <w:r w:rsidR="00982A62" w:rsidRPr="00982A62">
        <w:rPr>
          <w:rFonts w:ascii="Arial" w:hAnsi="Arial" w:cs="Arial"/>
          <w:b/>
          <w:bCs/>
          <w:sz w:val="24"/>
          <w:szCs w:val="24"/>
        </w:rPr>
        <w:t>2539936</w:t>
      </w:r>
    </w:p>
    <w:p w14:paraId="5D9F928C" w14:textId="33E01AD7" w:rsidR="004E7BBD" w:rsidRPr="00982A62" w:rsidRDefault="004E7BBD" w:rsidP="004E7BBD">
      <w:pPr>
        <w:spacing w:before="120" w:after="120" w:line="360" w:lineRule="auto"/>
        <w:jc w:val="center"/>
        <w:rPr>
          <w:rFonts w:ascii="Arial" w:hAnsi="Arial" w:cs="Arial"/>
          <w:b/>
          <w:bCs/>
          <w:sz w:val="24"/>
          <w:szCs w:val="24"/>
        </w:rPr>
      </w:pPr>
    </w:p>
    <w:p w14:paraId="3772757C" w14:textId="3D11E58C" w:rsidR="004E7BBD" w:rsidRPr="00982A62" w:rsidRDefault="004E7BBD" w:rsidP="004E7BBD">
      <w:pPr>
        <w:spacing w:before="120" w:after="120" w:line="360" w:lineRule="auto"/>
        <w:jc w:val="center"/>
        <w:rPr>
          <w:rFonts w:ascii="Arial" w:hAnsi="Arial" w:cs="Arial"/>
          <w:b/>
          <w:bCs/>
          <w:sz w:val="24"/>
          <w:szCs w:val="24"/>
        </w:rPr>
      </w:pPr>
    </w:p>
    <w:p w14:paraId="729FFAFB" w14:textId="77777777" w:rsidR="004E7BBD" w:rsidRPr="00982A62" w:rsidRDefault="004E7BBD" w:rsidP="004E7BBD">
      <w:pPr>
        <w:spacing w:before="120" w:after="120" w:line="360" w:lineRule="auto"/>
        <w:jc w:val="center"/>
        <w:rPr>
          <w:rFonts w:ascii="Arial" w:hAnsi="Arial" w:cs="Arial"/>
          <w:b/>
          <w:bCs/>
          <w:sz w:val="24"/>
          <w:szCs w:val="24"/>
        </w:rPr>
      </w:pPr>
    </w:p>
    <w:p w14:paraId="3CF733F0" w14:textId="7E6C6830" w:rsidR="004E7BBD" w:rsidRPr="00982A62" w:rsidRDefault="004E7BBD" w:rsidP="004E7BBD">
      <w:pPr>
        <w:spacing w:before="120" w:after="120" w:line="360" w:lineRule="auto"/>
        <w:jc w:val="center"/>
        <w:rPr>
          <w:rFonts w:ascii="Arial" w:hAnsi="Arial" w:cs="Arial"/>
          <w:b/>
          <w:bCs/>
          <w:sz w:val="24"/>
          <w:szCs w:val="24"/>
        </w:rPr>
      </w:pPr>
    </w:p>
    <w:p w14:paraId="1FE60721" w14:textId="56AC430C" w:rsidR="004E7BBD" w:rsidRPr="00982A62" w:rsidRDefault="004E7BBD" w:rsidP="004E7BBD">
      <w:pPr>
        <w:spacing w:before="120" w:after="120" w:line="360" w:lineRule="auto"/>
        <w:jc w:val="center"/>
        <w:rPr>
          <w:rFonts w:ascii="Arial" w:hAnsi="Arial" w:cs="Arial"/>
          <w:b/>
          <w:bCs/>
          <w:sz w:val="24"/>
          <w:szCs w:val="24"/>
        </w:rPr>
      </w:pPr>
    </w:p>
    <w:p w14:paraId="2994F6D5" w14:textId="77777777" w:rsidR="004E7BBD" w:rsidRPr="00982A62" w:rsidRDefault="004E7BBD" w:rsidP="004E7BBD">
      <w:pPr>
        <w:spacing w:before="120" w:after="120" w:line="360" w:lineRule="auto"/>
        <w:jc w:val="center"/>
        <w:rPr>
          <w:rFonts w:ascii="Arial" w:hAnsi="Arial" w:cs="Arial"/>
          <w:b/>
          <w:bCs/>
          <w:sz w:val="24"/>
          <w:szCs w:val="24"/>
        </w:rPr>
      </w:pPr>
    </w:p>
    <w:p w14:paraId="254F4A3E" w14:textId="6FF664E7" w:rsidR="004E7BBD" w:rsidRPr="00EA452B" w:rsidRDefault="004E7BBD" w:rsidP="004E7BBD">
      <w:pPr>
        <w:spacing w:before="120" w:after="120" w:line="360" w:lineRule="auto"/>
        <w:jc w:val="center"/>
        <w:rPr>
          <w:rFonts w:ascii="Arial" w:hAnsi="Arial" w:cs="Arial"/>
          <w:b/>
          <w:bCs/>
        </w:rPr>
      </w:pPr>
      <w:r w:rsidRPr="00982A62">
        <w:rPr>
          <w:rFonts w:ascii="Arial" w:hAnsi="Arial" w:cs="Arial"/>
          <w:b/>
          <w:bCs/>
          <w:sz w:val="24"/>
          <w:szCs w:val="24"/>
        </w:rPr>
        <w:t>Word Count: 26</w:t>
      </w:r>
      <w:bookmarkStart w:id="0" w:name="_heading=h.3ml4nbrapgvo" w:colFirst="0" w:colLast="0"/>
      <w:bookmarkEnd w:id="0"/>
      <w:r w:rsidR="00F15113" w:rsidRPr="00982A62">
        <w:rPr>
          <w:rFonts w:ascii="Arial" w:hAnsi="Arial" w:cs="Arial"/>
          <w:b/>
          <w:bCs/>
          <w:sz w:val="24"/>
          <w:szCs w:val="24"/>
        </w:rPr>
        <w:t>06</w:t>
      </w:r>
      <w:r w:rsidRPr="00EA452B">
        <w:rPr>
          <w:rFonts w:ascii="Arial" w:hAnsi="Arial" w:cs="Arial"/>
        </w:rPr>
        <w:br w:type="page"/>
      </w:r>
    </w:p>
    <w:sdt>
      <w:sdtPr>
        <w:rPr>
          <w:rFonts w:ascii="Calibri" w:eastAsia="Calibri" w:hAnsi="Calibri" w:cs="Calibri"/>
          <w:b/>
          <w:bCs/>
          <w:color w:val="auto"/>
          <w:sz w:val="24"/>
          <w:szCs w:val="24"/>
          <w:lang w:val="en-GB" w:eastAsia="en-IN"/>
        </w:rPr>
        <w:id w:val="645408784"/>
        <w:docPartObj>
          <w:docPartGallery w:val="Table of Contents"/>
          <w:docPartUnique/>
        </w:docPartObj>
      </w:sdtPr>
      <w:sdtEndPr>
        <w:rPr>
          <w:rFonts w:ascii="Arial" w:hAnsi="Arial" w:cs="Arial"/>
          <w:sz w:val="22"/>
          <w:szCs w:val="22"/>
        </w:rPr>
      </w:sdtEndPr>
      <w:sdtContent>
        <w:p w14:paraId="6DDFE8D7" w14:textId="77777777" w:rsidR="004E7BBD" w:rsidRPr="00F52D00" w:rsidRDefault="004E7BBD" w:rsidP="00CB646F">
          <w:pPr>
            <w:pStyle w:val="TOCHeading"/>
            <w:jc w:val="center"/>
            <w:rPr>
              <w:rFonts w:ascii="Arial" w:hAnsi="Arial" w:cs="Arial"/>
              <w:b/>
              <w:bCs/>
              <w:color w:val="auto"/>
              <w:sz w:val="24"/>
              <w:szCs w:val="24"/>
              <w:lang w:val="en-GB"/>
            </w:rPr>
          </w:pPr>
          <w:r w:rsidRPr="00F52D00">
            <w:rPr>
              <w:rFonts w:ascii="Arial" w:hAnsi="Arial" w:cs="Arial"/>
              <w:b/>
              <w:bCs/>
              <w:color w:val="auto"/>
              <w:sz w:val="24"/>
              <w:szCs w:val="24"/>
              <w:lang w:val="en-GB"/>
            </w:rPr>
            <w:t>Table of Contents</w:t>
          </w:r>
        </w:p>
        <w:p w14:paraId="617DC5E2" w14:textId="5E921C90" w:rsidR="004D4CB1" w:rsidRPr="00F52D00" w:rsidRDefault="004E7BBD">
          <w:pPr>
            <w:pStyle w:val="TOC1"/>
            <w:tabs>
              <w:tab w:val="right" w:leader="dot" w:pos="9350"/>
            </w:tabs>
            <w:rPr>
              <w:rFonts w:ascii="Arial" w:eastAsiaTheme="minorEastAsia" w:hAnsi="Arial" w:cs="Arial"/>
              <w:noProof/>
              <w:lang w:eastAsia="en-US"/>
            </w:rPr>
          </w:pPr>
          <w:r w:rsidRPr="00F52D00">
            <w:rPr>
              <w:rFonts w:ascii="Arial" w:hAnsi="Arial" w:cs="Arial"/>
            </w:rPr>
            <w:fldChar w:fldCharType="begin"/>
          </w:r>
          <w:r w:rsidRPr="00F52D00">
            <w:rPr>
              <w:rFonts w:ascii="Arial" w:hAnsi="Arial" w:cs="Arial"/>
            </w:rPr>
            <w:instrText xml:space="preserve"> TOC \o "1-3" \h \z \u </w:instrText>
          </w:r>
          <w:r w:rsidRPr="00F52D00">
            <w:rPr>
              <w:rFonts w:ascii="Arial" w:hAnsi="Arial" w:cs="Arial"/>
            </w:rPr>
            <w:fldChar w:fldCharType="separate"/>
          </w:r>
          <w:hyperlink w:anchor="_Toc236947690" w:history="1">
            <w:r w:rsidR="004D4CB1" w:rsidRPr="00F52D00">
              <w:rPr>
                <w:rStyle w:val="Hyperlink"/>
                <w:rFonts w:ascii="Arial" w:hAnsi="Arial" w:cs="Arial"/>
                <w:noProof/>
              </w:rPr>
              <w:t>Task 1: Social Epidemiological Analysis of Ethnicity Inequalities in Health among Ethnic Minority Communities in England</w:t>
            </w:r>
            <w:r w:rsidR="004D4CB1" w:rsidRPr="00F52D00">
              <w:rPr>
                <w:rFonts w:ascii="Arial" w:hAnsi="Arial" w:cs="Arial"/>
                <w:noProof/>
                <w:webHidden/>
              </w:rPr>
              <w:tab/>
            </w:r>
            <w:r w:rsidR="004D4CB1" w:rsidRPr="00F52D00">
              <w:rPr>
                <w:rFonts w:ascii="Arial" w:hAnsi="Arial" w:cs="Arial"/>
                <w:noProof/>
                <w:webHidden/>
              </w:rPr>
              <w:fldChar w:fldCharType="begin"/>
            </w:r>
            <w:r w:rsidR="004D4CB1" w:rsidRPr="00F52D00">
              <w:rPr>
                <w:rFonts w:ascii="Arial" w:hAnsi="Arial" w:cs="Arial"/>
                <w:noProof/>
                <w:webHidden/>
              </w:rPr>
              <w:instrText xml:space="preserve"> PAGEREF _Toc236947690 \h </w:instrText>
            </w:r>
            <w:r w:rsidR="004D4CB1" w:rsidRPr="00F52D00">
              <w:rPr>
                <w:rFonts w:ascii="Arial" w:hAnsi="Arial" w:cs="Arial"/>
                <w:noProof/>
                <w:webHidden/>
              </w:rPr>
            </w:r>
            <w:r w:rsidR="004D4CB1" w:rsidRPr="00F52D00">
              <w:rPr>
                <w:rFonts w:ascii="Arial" w:hAnsi="Arial" w:cs="Arial"/>
                <w:noProof/>
                <w:webHidden/>
              </w:rPr>
              <w:fldChar w:fldCharType="separate"/>
            </w:r>
            <w:r w:rsidR="00F15113" w:rsidRPr="00F52D00">
              <w:rPr>
                <w:rFonts w:ascii="Arial" w:hAnsi="Arial" w:cs="Arial"/>
                <w:noProof/>
                <w:webHidden/>
              </w:rPr>
              <w:t>3</w:t>
            </w:r>
            <w:r w:rsidR="004D4CB1" w:rsidRPr="00F52D00">
              <w:rPr>
                <w:rFonts w:ascii="Arial" w:hAnsi="Arial" w:cs="Arial"/>
                <w:noProof/>
                <w:webHidden/>
              </w:rPr>
              <w:fldChar w:fldCharType="end"/>
            </w:r>
          </w:hyperlink>
        </w:p>
        <w:p w14:paraId="311D5CF3" w14:textId="1B227C53" w:rsidR="004D4CB1" w:rsidRPr="00F52D00" w:rsidRDefault="004D4CB1">
          <w:pPr>
            <w:pStyle w:val="TOC2"/>
            <w:tabs>
              <w:tab w:val="right" w:leader="dot" w:pos="9350"/>
            </w:tabs>
            <w:rPr>
              <w:rFonts w:ascii="Arial" w:eastAsiaTheme="minorEastAsia" w:hAnsi="Arial" w:cs="Arial"/>
              <w:noProof/>
              <w:lang w:eastAsia="en-US"/>
            </w:rPr>
          </w:pPr>
          <w:hyperlink w:anchor="_Toc236947691" w:history="1">
            <w:r w:rsidRPr="00F52D00">
              <w:rPr>
                <w:rStyle w:val="Hyperlink"/>
                <w:rFonts w:ascii="Arial" w:hAnsi="Arial" w:cs="Arial"/>
                <w:noProof/>
              </w:rPr>
              <w:t>Introduction</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_Toc236947691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3</w:t>
            </w:r>
            <w:r w:rsidRPr="00F52D00">
              <w:rPr>
                <w:rFonts w:ascii="Arial" w:hAnsi="Arial" w:cs="Arial"/>
                <w:noProof/>
                <w:webHidden/>
              </w:rPr>
              <w:fldChar w:fldCharType="end"/>
            </w:r>
          </w:hyperlink>
        </w:p>
        <w:p w14:paraId="4E8394B1" w14:textId="4B08E550" w:rsidR="004D4CB1" w:rsidRPr="00F52D00" w:rsidRDefault="004D4CB1">
          <w:pPr>
            <w:pStyle w:val="TOC2"/>
            <w:tabs>
              <w:tab w:val="right" w:leader="dot" w:pos="9350"/>
            </w:tabs>
            <w:rPr>
              <w:rFonts w:ascii="Arial" w:eastAsiaTheme="minorEastAsia" w:hAnsi="Arial" w:cs="Arial"/>
              <w:noProof/>
              <w:lang w:eastAsia="en-US"/>
            </w:rPr>
          </w:pPr>
          <w:hyperlink w:anchor="_Toc236947692" w:history="1">
            <w:r w:rsidRPr="00F52D00">
              <w:rPr>
                <w:rStyle w:val="Hyperlink"/>
                <w:rFonts w:ascii="Arial" w:hAnsi="Arial" w:cs="Arial"/>
                <w:noProof/>
              </w:rPr>
              <w:t>Contextual Background and Underlying Factors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_Toc236947692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3</w:t>
            </w:r>
            <w:r w:rsidRPr="00F52D00">
              <w:rPr>
                <w:rFonts w:ascii="Arial" w:hAnsi="Arial" w:cs="Arial"/>
                <w:noProof/>
                <w:webHidden/>
              </w:rPr>
              <w:fldChar w:fldCharType="end"/>
            </w:r>
          </w:hyperlink>
        </w:p>
        <w:p w14:paraId="28EC2FE8" w14:textId="0151190F" w:rsidR="004D4CB1" w:rsidRPr="00F52D00" w:rsidRDefault="004D4CB1">
          <w:pPr>
            <w:pStyle w:val="TOC3"/>
            <w:tabs>
              <w:tab w:val="right" w:leader="dot" w:pos="9350"/>
            </w:tabs>
            <w:rPr>
              <w:rFonts w:ascii="Arial" w:eastAsiaTheme="minorEastAsia" w:hAnsi="Arial" w:cs="Arial"/>
              <w:noProof/>
              <w:lang w:eastAsia="en-US"/>
            </w:rPr>
          </w:pPr>
          <w:hyperlink w:anchor="_Toc236947693" w:history="1">
            <w:r w:rsidRPr="00F52D00">
              <w:rPr>
                <w:rStyle w:val="Hyperlink"/>
                <w:rFonts w:ascii="Arial" w:hAnsi="Arial" w:cs="Arial"/>
                <w:noProof/>
              </w:rPr>
              <w:t>Health Issue 1: Hypertension</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_Toc236947693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3</w:t>
            </w:r>
            <w:r w:rsidRPr="00F52D00">
              <w:rPr>
                <w:rFonts w:ascii="Arial" w:hAnsi="Arial" w:cs="Arial"/>
                <w:noProof/>
                <w:webHidden/>
              </w:rPr>
              <w:fldChar w:fldCharType="end"/>
            </w:r>
          </w:hyperlink>
        </w:p>
        <w:p w14:paraId="07F69673" w14:textId="6CCFDF5E" w:rsidR="004D4CB1" w:rsidRPr="00F52D00" w:rsidRDefault="004D4CB1">
          <w:pPr>
            <w:pStyle w:val="TOC3"/>
            <w:tabs>
              <w:tab w:val="right" w:leader="dot" w:pos="9350"/>
            </w:tabs>
            <w:rPr>
              <w:rFonts w:ascii="Arial" w:eastAsiaTheme="minorEastAsia" w:hAnsi="Arial" w:cs="Arial"/>
              <w:noProof/>
              <w:lang w:eastAsia="en-US"/>
            </w:rPr>
          </w:pPr>
          <w:hyperlink w:anchor="_Toc236947694" w:history="1">
            <w:r w:rsidRPr="00F52D00">
              <w:rPr>
                <w:rStyle w:val="Hyperlink"/>
                <w:rFonts w:ascii="Arial" w:hAnsi="Arial" w:cs="Arial"/>
                <w:noProof/>
              </w:rPr>
              <w:t>Health Issue 2: Stroke</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_Toc236947694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3</w:t>
            </w:r>
            <w:r w:rsidRPr="00F52D00">
              <w:rPr>
                <w:rFonts w:ascii="Arial" w:hAnsi="Arial" w:cs="Arial"/>
                <w:noProof/>
                <w:webHidden/>
              </w:rPr>
              <w:fldChar w:fldCharType="end"/>
            </w:r>
          </w:hyperlink>
        </w:p>
        <w:p w14:paraId="19F671FA" w14:textId="29757464" w:rsidR="004D4CB1" w:rsidRPr="00F52D00" w:rsidRDefault="004D4CB1">
          <w:pPr>
            <w:pStyle w:val="TOC3"/>
            <w:tabs>
              <w:tab w:val="right" w:leader="dot" w:pos="9350"/>
            </w:tabs>
            <w:rPr>
              <w:rFonts w:ascii="Arial" w:eastAsiaTheme="minorEastAsia" w:hAnsi="Arial" w:cs="Arial"/>
              <w:noProof/>
              <w:lang w:eastAsia="en-US"/>
            </w:rPr>
          </w:pPr>
          <w:hyperlink w:anchor="_Toc236947695" w:history="1">
            <w:r w:rsidRPr="00F52D00">
              <w:rPr>
                <w:rStyle w:val="Hyperlink"/>
                <w:rFonts w:ascii="Arial" w:hAnsi="Arial" w:cs="Arial"/>
                <w:noProof/>
              </w:rPr>
              <w:t>Health Issue 3: Chronic Kidney Disease</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_Toc236947695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4</w:t>
            </w:r>
            <w:r w:rsidRPr="00F52D00">
              <w:rPr>
                <w:rFonts w:ascii="Arial" w:hAnsi="Arial" w:cs="Arial"/>
                <w:noProof/>
                <w:webHidden/>
              </w:rPr>
              <w:fldChar w:fldCharType="end"/>
            </w:r>
          </w:hyperlink>
        </w:p>
        <w:p w14:paraId="1E7F4024" w14:textId="7905F0AD" w:rsidR="004D4CB1" w:rsidRPr="00F52D00" w:rsidRDefault="004D4CB1">
          <w:pPr>
            <w:pStyle w:val="TOC3"/>
            <w:tabs>
              <w:tab w:val="right" w:leader="dot" w:pos="9350"/>
            </w:tabs>
            <w:rPr>
              <w:rFonts w:ascii="Arial" w:eastAsiaTheme="minorEastAsia" w:hAnsi="Arial" w:cs="Arial"/>
              <w:noProof/>
              <w:lang w:eastAsia="en-US"/>
            </w:rPr>
          </w:pPr>
          <w:hyperlink w:anchor="_Toc236947696" w:history="1">
            <w:r w:rsidRPr="00F52D00">
              <w:rPr>
                <w:rStyle w:val="Hyperlink"/>
                <w:rFonts w:ascii="Arial" w:hAnsi="Arial" w:cs="Arial"/>
                <w:noProof/>
              </w:rPr>
              <w:t>Social Issue 1: Language Barriers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_Toc236947696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4</w:t>
            </w:r>
            <w:r w:rsidRPr="00F52D00">
              <w:rPr>
                <w:rFonts w:ascii="Arial" w:hAnsi="Arial" w:cs="Arial"/>
                <w:noProof/>
                <w:webHidden/>
              </w:rPr>
              <w:fldChar w:fldCharType="end"/>
            </w:r>
          </w:hyperlink>
        </w:p>
        <w:p w14:paraId="12CC6106" w14:textId="12059D36" w:rsidR="004D4CB1" w:rsidRPr="00F52D00" w:rsidRDefault="004D4CB1">
          <w:pPr>
            <w:pStyle w:val="TOC3"/>
            <w:tabs>
              <w:tab w:val="right" w:leader="dot" w:pos="9350"/>
            </w:tabs>
            <w:rPr>
              <w:rFonts w:ascii="Arial" w:eastAsiaTheme="minorEastAsia" w:hAnsi="Arial" w:cs="Arial"/>
              <w:noProof/>
              <w:lang w:eastAsia="en-US"/>
            </w:rPr>
          </w:pPr>
          <w:hyperlink w:anchor="_Toc236947697" w:history="1">
            <w:r w:rsidRPr="00F52D00">
              <w:rPr>
                <w:rStyle w:val="Hyperlink"/>
                <w:rFonts w:ascii="Arial" w:hAnsi="Arial" w:cs="Arial"/>
                <w:noProof/>
              </w:rPr>
              <w:t>Social Issue 2: Socioeconomic Deprivation</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_Toc236947697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5</w:t>
            </w:r>
            <w:r w:rsidRPr="00F52D00">
              <w:rPr>
                <w:rFonts w:ascii="Arial" w:hAnsi="Arial" w:cs="Arial"/>
                <w:noProof/>
                <w:webHidden/>
              </w:rPr>
              <w:fldChar w:fldCharType="end"/>
            </w:r>
          </w:hyperlink>
        </w:p>
        <w:p w14:paraId="45B2E2A5" w14:textId="05B3DF8A" w:rsidR="004D4CB1" w:rsidRPr="00F52D00" w:rsidRDefault="004D4CB1">
          <w:pPr>
            <w:pStyle w:val="TOC3"/>
            <w:tabs>
              <w:tab w:val="right" w:leader="dot" w:pos="9350"/>
            </w:tabs>
            <w:rPr>
              <w:rFonts w:ascii="Arial" w:eastAsiaTheme="minorEastAsia" w:hAnsi="Arial" w:cs="Arial"/>
              <w:noProof/>
              <w:lang w:eastAsia="en-US"/>
            </w:rPr>
          </w:pPr>
          <w:hyperlink w:anchor="_Toc236947698" w:history="1">
            <w:r w:rsidRPr="00F52D00">
              <w:rPr>
                <w:rStyle w:val="Hyperlink"/>
                <w:rFonts w:ascii="Arial" w:hAnsi="Arial" w:cs="Arial"/>
                <w:noProof/>
              </w:rPr>
              <w:t>Social Issue 3: Healthcare Access Inequalities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_Toc236947698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5</w:t>
            </w:r>
            <w:r w:rsidRPr="00F52D00">
              <w:rPr>
                <w:rFonts w:ascii="Arial" w:hAnsi="Arial" w:cs="Arial"/>
                <w:noProof/>
                <w:webHidden/>
              </w:rPr>
              <w:fldChar w:fldCharType="end"/>
            </w:r>
          </w:hyperlink>
        </w:p>
        <w:p w14:paraId="7AADA802" w14:textId="66764EB1" w:rsidR="004D4CB1" w:rsidRPr="00F52D00" w:rsidRDefault="004D4CB1">
          <w:pPr>
            <w:pStyle w:val="TOC2"/>
            <w:tabs>
              <w:tab w:val="right" w:leader="dot" w:pos="9350"/>
            </w:tabs>
            <w:rPr>
              <w:rFonts w:ascii="Arial" w:eastAsiaTheme="minorEastAsia" w:hAnsi="Arial" w:cs="Arial"/>
              <w:noProof/>
              <w:lang w:eastAsia="en-US"/>
            </w:rPr>
          </w:pPr>
          <w:hyperlink w:anchor="_Toc236947699" w:history="1">
            <w:r w:rsidRPr="00F52D00">
              <w:rPr>
                <w:rStyle w:val="Hyperlink"/>
                <w:rFonts w:ascii="Arial" w:hAnsi="Arial" w:cs="Arial"/>
                <w:noProof/>
              </w:rPr>
              <w:t>National Response to Reduce Health Inequalities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_Toc236947699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5</w:t>
            </w:r>
            <w:r w:rsidRPr="00F52D00">
              <w:rPr>
                <w:rFonts w:ascii="Arial" w:hAnsi="Arial" w:cs="Arial"/>
                <w:noProof/>
                <w:webHidden/>
              </w:rPr>
              <w:fldChar w:fldCharType="end"/>
            </w:r>
          </w:hyperlink>
        </w:p>
        <w:p w14:paraId="73134D49" w14:textId="4DDD52D1" w:rsidR="004D4CB1" w:rsidRPr="00F52D00" w:rsidRDefault="004D4CB1">
          <w:pPr>
            <w:pStyle w:val="TOC2"/>
            <w:tabs>
              <w:tab w:val="right" w:leader="dot" w:pos="9350"/>
            </w:tabs>
            <w:rPr>
              <w:rFonts w:ascii="Arial" w:eastAsiaTheme="minorEastAsia" w:hAnsi="Arial" w:cs="Arial"/>
              <w:noProof/>
              <w:lang w:eastAsia="en-US"/>
            </w:rPr>
          </w:pPr>
          <w:hyperlink w:anchor="_Toc236947700" w:history="1">
            <w:r w:rsidRPr="00F52D00">
              <w:rPr>
                <w:rStyle w:val="Hyperlink"/>
                <w:rFonts w:ascii="Arial" w:hAnsi="Arial" w:cs="Arial"/>
                <w:noProof/>
              </w:rPr>
              <w:t>Organisation Supporting Ethnic Minority Communities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_Toc236947700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6</w:t>
            </w:r>
            <w:r w:rsidRPr="00F52D00">
              <w:rPr>
                <w:rFonts w:ascii="Arial" w:hAnsi="Arial" w:cs="Arial"/>
                <w:noProof/>
                <w:webHidden/>
              </w:rPr>
              <w:fldChar w:fldCharType="end"/>
            </w:r>
          </w:hyperlink>
        </w:p>
        <w:p w14:paraId="4688CD66" w14:textId="1B244114" w:rsidR="004D4CB1" w:rsidRPr="00F52D00" w:rsidRDefault="004D4CB1">
          <w:pPr>
            <w:pStyle w:val="TOC2"/>
            <w:tabs>
              <w:tab w:val="right" w:leader="dot" w:pos="9350"/>
            </w:tabs>
            <w:rPr>
              <w:rFonts w:ascii="Arial" w:eastAsiaTheme="minorEastAsia" w:hAnsi="Arial" w:cs="Arial"/>
              <w:noProof/>
              <w:lang w:eastAsia="en-US"/>
            </w:rPr>
          </w:pPr>
          <w:hyperlink w:anchor="_Toc236947701" w:history="1">
            <w:r w:rsidRPr="00F52D00">
              <w:rPr>
                <w:rStyle w:val="Hyperlink"/>
                <w:rFonts w:ascii="Arial" w:hAnsi="Arial" w:cs="Arial"/>
                <w:noProof/>
              </w:rPr>
              <w:t>Conclusion</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_Toc236947701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6</w:t>
            </w:r>
            <w:r w:rsidRPr="00F52D00">
              <w:rPr>
                <w:rFonts w:ascii="Arial" w:hAnsi="Arial" w:cs="Arial"/>
                <w:noProof/>
                <w:webHidden/>
              </w:rPr>
              <w:fldChar w:fldCharType="end"/>
            </w:r>
          </w:hyperlink>
        </w:p>
        <w:p w14:paraId="093CA0D8" w14:textId="1B0E4895" w:rsidR="004D4CB1" w:rsidRPr="00F52D00" w:rsidRDefault="004D4CB1">
          <w:pPr>
            <w:pStyle w:val="TOC1"/>
            <w:tabs>
              <w:tab w:val="right" w:leader="dot" w:pos="9350"/>
            </w:tabs>
            <w:rPr>
              <w:rFonts w:ascii="Arial" w:eastAsiaTheme="minorEastAsia" w:hAnsi="Arial" w:cs="Arial"/>
              <w:noProof/>
              <w:lang w:eastAsia="en-US"/>
            </w:rPr>
          </w:pPr>
          <w:hyperlink w:anchor="_Toc236947702" w:history="1">
            <w:r w:rsidRPr="00F52D00">
              <w:rPr>
                <w:rStyle w:val="Hyperlink"/>
                <w:rFonts w:ascii="Arial" w:hAnsi="Arial" w:cs="Arial"/>
                <w:noProof/>
              </w:rPr>
              <w:t>Task 2: Epidemiological Analysis of Tuberculosis (TB) in High-Risk Communities in England</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_Toc236947702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7</w:t>
            </w:r>
            <w:r w:rsidRPr="00F52D00">
              <w:rPr>
                <w:rFonts w:ascii="Arial" w:hAnsi="Arial" w:cs="Arial"/>
                <w:noProof/>
                <w:webHidden/>
              </w:rPr>
              <w:fldChar w:fldCharType="end"/>
            </w:r>
          </w:hyperlink>
        </w:p>
        <w:p w14:paraId="75F32953" w14:textId="0C49EF1F" w:rsidR="004D4CB1" w:rsidRPr="00F52D00" w:rsidRDefault="004D4CB1">
          <w:pPr>
            <w:pStyle w:val="TOC2"/>
            <w:tabs>
              <w:tab w:val="right" w:leader="dot" w:pos="9350"/>
            </w:tabs>
            <w:rPr>
              <w:rFonts w:ascii="Arial" w:eastAsiaTheme="minorEastAsia" w:hAnsi="Arial" w:cs="Arial"/>
              <w:noProof/>
              <w:lang w:eastAsia="en-US"/>
            </w:rPr>
          </w:pPr>
          <w:hyperlink w:anchor="_Toc236947703" w:history="1">
            <w:r w:rsidRPr="00F52D00">
              <w:rPr>
                <w:rStyle w:val="Hyperlink"/>
                <w:rFonts w:ascii="Arial" w:hAnsi="Arial" w:cs="Arial"/>
                <w:noProof/>
              </w:rPr>
              <w:t>Introduction</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_Toc236947703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7</w:t>
            </w:r>
            <w:r w:rsidRPr="00F52D00">
              <w:rPr>
                <w:rFonts w:ascii="Arial" w:hAnsi="Arial" w:cs="Arial"/>
                <w:noProof/>
                <w:webHidden/>
              </w:rPr>
              <w:fldChar w:fldCharType="end"/>
            </w:r>
          </w:hyperlink>
        </w:p>
        <w:p w14:paraId="0C855176" w14:textId="6DDAD4DE" w:rsidR="004D4CB1" w:rsidRPr="00F52D00" w:rsidRDefault="004D4CB1">
          <w:pPr>
            <w:pStyle w:val="TOC2"/>
            <w:tabs>
              <w:tab w:val="right" w:leader="dot" w:pos="9350"/>
            </w:tabs>
            <w:rPr>
              <w:rFonts w:ascii="Arial" w:eastAsiaTheme="minorEastAsia" w:hAnsi="Arial" w:cs="Arial"/>
              <w:noProof/>
              <w:lang w:eastAsia="en-US"/>
            </w:rPr>
          </w:pPr>
          <w:hyperlink w:anchor="_Toc236947704" w:history="1">
            <w:r w:rsidRPr="00F52D00">
              <w:rPr>
                <w:rStyle w:val="Hyperlink"/>
                <w:rFonts w:ascii="Arial" w:hAnsi="Arial" w:cs="Arial"/>
                <w:noProof/>
              </w:rPr>
              <w:t>Public Health Measures Using the 3Ps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_Toc236947704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7</w:t>
            </w:r>
            <w:r w:rsidRPr="00F52D00">
              <w:rPr>
                <w:rFonts w:ascii="Arial" w:hAnsi="Arial" w:cs="Arial"/>
                <w:noProof/>
                <w:webHidden/>
              </w:rPr>
              <w:fldChar w:fldCharType="end"/>
            </w:r>
          </w:hyperlink>
        </w:p>
        <w:p w14:paraId="7192DC87" w14:textId="5F270AFC" w:rsidR="004D4CB1" w:rsidRPr="00F52D00" w:rsidRDefault="004D4CB1">
          <w:pPr>
            <w:pStyle w:val="TOC2"/>
            <w:tabs>
              <w:tab w:val="right" w:leader="dot" w:pos="9350"/>
            </w:tabs>
            <w:rPr>
              <w:rFonts w:ascii="Arial" w:eastAsiaTheme="minorEastAsia" w:hAnsi="Arial" w:cs="Arial"/>
              <w:noProof/>
              <w:lang w:eastAsia="en-US"/>
            </w:rPr>
          </w:pPr>
          <w:hyperlink w:anchor="_Toc236947705" w:history="1">
            <w:r w:rsidRPr="00F52D00">
              <w:rPr>
                <w:rStyle w:val="Hyperlink"/>
                <w:rFonts w:ascii="Arial" w:hAnsi="Arial" w:cs="Arial"/>
                <w:noProof/>
              </w:rPr>
              <w:t>Determinants and Risk Factors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_Toc236947705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7</w:t>
            </w:r>
            <w:r w:rsidRPr="00F52D00">
              <w:rPr>
                <w:rFonts w:ascii="Arial" w:hAnsi="Arial" w:cs="Arial"/>
                <w:noProof/>
                <w:webHidden/>
              </w:rPr>
              <w:fldChar w:fldCharType="end"/>
            </w:r>
          </w:hyperlink>
        </w:p>
        <w:p w14:paraId="2A231DE2" w14:textId="760A607B" w:rsidR="004D4CB1" w:rsidRPr="00F52D00" w:rsidRDefault="004D4CB1">
          <w:pPr>
            <w:pStyle w:val="TOC2"/>
            <w:tabs>
              <w:tab w:val="right" w:leader="dot" w:pos="9350"/>
            </w:tabs>
            <w:rPr>
              <w:rFonts w:ascii="Arial" w:eastAsiaTheme="minorEastAsia" w:hAnsi="Arial" w:cs="Arial"/>
              <w:noProof/>
              <w:lang w:eastAsia="en-US"/>
            </w:rPr>
          </w:pPr>
          <w:hyperlink w:anchor="_Toc236947706" w:history="1">
            <w:r w:rsidRPr="00F52D00">
              <w:rPr>
                <w:rStyle w:val="Hyperlink"/>
                <w:rFonts w:ascii="Arial" w:hAnsi="Arial" w:cs="Arial"/>
                <w:noProof/>
              </w:rPr>
              <w:t>Epidemiological Studies and Health Needs Assessment for the Population at Risk</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_Toc236947706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8</w:t>
            </w:r>
            <w:r w:rsidRPr="00F52D00">
              <w:rPr>
                <w:rFonts w:ascii="Arial" w:hAnsi="Arial" w:cs="Arial"/>
                <w:noProof/>
                <w:webHidden/>
              </w:rPr>
              <w:fldChar w:fldCharType="end"/>
            </w:r>
          </w:hyperlink>
        </w:p>
        <w:p w14:paraId="203E1DE0" w14:textId="76919D09" w:rsidR="004D4CB1" w:rsidRPr="00F52D00" w:rsidRDefault="004D4CB1">
          <w:pPr>
            <w:pStyle w:val="TOC2"/>
            <w:tabs>
              <w:tab w:val="right" w:leader="dot" w:pos="9350"/>
            </w:tabs>
            <w:rPr>
              <w:rFonts w:ascii="Arial" w:eastAsiaTheme="minorEastAsia" w:hAnsi="Arial" w:cs="Arial"/>
              <w:noProof/>
              <w:lang w:eastAsia="en-US"/>
            </w:rPr>
          </w:pPr>
          <w:hyperlink w:anchor="_Toc236947707" w:history="1">
            <w:r w:rsidRPr="00F52D00">
              <w:rPr>
                <w:rStyle w:val="Hyperlink"/>
                <w:rFonts w:ascii="Arial" w:hAnsi="Arial" w:cs="Arial"/>
                <w:noProof/>
              </w:rPr>
              <w:t>Surveillance and Monitoring of Tuberculosis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_Toc236947707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9</w:t>
            </w:r>
            <w:r w:rsidRPr="00F52D00">
              <w:rPr>
                <w:rFonts w:ascii="Arial" w:hAnsi="Arial" w:cs="Arial"/>
                <w:noProof/>
                <w:webHidden/>
              </w:rPr>
              <w:fldChar w:fldCharType="end"/>
            </w:r>
          </w:hyperlink>
        </w:p>
        <w:p w14:paraId="0A0CEBC0" w14:textId="49798984" w:rsidR="004D4CB1" w:rsidRPr="00F52D00" w:rsidRDefault="004D4CB1">
          <w:pPr>
            <w:pStyle w:val="TOC2"/>
            <w:tabs>
              <w:tab w:val="right" w:leader="dot" w:pos="9350"/>
            </w:tabs>
            <w:rPr>
              <w:rFonts w:ascii="Arial" w:eastAsiaTheme="minorEastAsia" w:hAnsi="Arial" w:cs="Arial"/>
              <w:noProof/>
              <w:lang w:eastAsia="en-US"/>
            </w:rPr>
          </w:pPr>
          <w:hyperlink w:anchor="_Toc236947708" w:history="1">
            <w:r w:rsidRPr="00F52D00">
              <w:rPr>
                <w:rStyle w:val="Hyperlink"/>
                <w:rFonts w:ascii="Arial" w:hAnsi="Arial" w:cs="Arial"/>
                <w:noProof/>
              </w:rPr>
              <w:t>Public Health Impact in terms of Short- and Long-Term Consequences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_Toc236947708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10</w:t>
            </w:r>
            <w:r w:rsidRPr="00F52D00">
              <w:rPr>
                <w:rFonts w:ascii="Arial" w:hAnsi="Arial" w:cs="Arial"/>
                <w:noProof/>
                <w:webHidden/>
              </w:rPr>
              <w:fldChar w:fldCharType="end"/>
            </w:r>
          </w:hyperlink>
        </w:p>
        <w:p w14:paraId="2CBCE245" w14:textId="08F9B626" w:rsidR="004D4CB1" w:rsidRPr="00F52D00" w:rsidRDefault="004D4CB1">
          <w:pPr>
            <w:pStyle w:val="TOC2"/>
            <w:tabs>
              <w:tab w:val="right" w:leader="dot" w:pos="9350"/>
            </w:tabs>
            <w:rPr>
              <w:rFonts w:ascii="Arial" w:eastAsiaTheme="minorEastAsia" w:hAnsi="Arial" w:cs="Arial"/>
              <w:noProof/>
              <w:lang w:eastAsia="en-US"/>
            </w:rPr>
          </w:pPr>
          <w:hyperlink w:anchor="_Toc236947709" w:history="1">
            <w:r w:rsidRPr="00F52D00">
              <w:rPr>
                <w:rStyle w:val="Hyperlink"/>
                <w:rFonts w:ascii="Arial" w:hAnsi="Arial" w:cs="Arial"/>
                <w:noProof/>
              </w:rPr>
              <w:t>Health Intervention Programme</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_Toc236947709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11</w:t>
            </w:r>
            <w:r w:rsidRPr="00F52D00">
              <w:rPr>
                <w:rFonts w:ascii="Arial" w:hAnsi="Arial" w:cs="Arial"/>
                <w:noProof/>
                <w:webHidden/>
              </w:rPr>
              <w:fldChar w:fldCharType="end"/>
            </w:r>
          </w:hyperlink>
        </w:p>
        <w:p w14:paraId="65412969" w14:textId="1EE26DA1" w:rsidR="004D4CB1" w:rsidRPr="00F52D00" w:rsidRDefault="004D4CB1">
          <w:pPr>
            <w:pStyle w:val="TOC2"/>
            <w:tabs>
              <w:tab w:val="right" w:leader="dot" w:pos="9350"/>
            </w:tabs>
            <w:rPr>
              <w:rFonts w:ascii="Arial" w:eastAsiaTheme="minorEastAsia" w:hAnsi="Arial" w:cs="Arial"/>
              <w:noProof/>
              <w:lang w:eastAsia="en-US"/>
            </w:rPr>
          </w:pPr>
          <w:hyperlink w:anchor="_Toc236947710" w:history="1">
            <w:r w:rsidRPr="00F52D00">
              <w:rPr>
                <w:rStyle w:val="Hyperlink"/>
                <w:rFonts w:ascii="Arial" w:hAnsi="Arial" w:cs="Arial"/>
                <w:noProof/>
              </w:rPr>
              <w:t>Strengths and Weaknesses of the Epidemiological Approach</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_Toc236947710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11</w:t>
            </w:r>
            <w:r w:rsidRPr="00F52D00">
              <w:rPr>
                <w:rFonts w:ascii="Arial" w:hAnsi="Arial" w:cs="Arial"/>
                <w:noProof/>
                <w:webHidden/>
              </w:rPr>
              <w:fldChar w:fldCharType="end"/>
            </w:r>
          </w:hyperlink>
        </w:p>
        <w:p w14:paraId="0FDE91C4" w14:textId="69BB92EF" w:rsidR="004D4CB1" w:rsidRPr="00F52D00" w:rsidRDefault="004D4CB1">
          <w:pPr>
            <w:pStyle w:val="TOC2"/>
            <w:tabs>
              <w:tab w:val="right" w:leader="dot" w:pos="9350"/>
            </w:tabs>
            <w:rPr>
              <w:rFonts w:ascii="Arial" w:eastAsiaTheme="minorEastAsia" w:hAnsi="Arial" w:cs="Arial"/>
              <w:noProof/>
              <w:lang w:eastAsia="en-US"/>
            </w:rPr>
          </w:pPr>
          <w:hyperlink w:anchor="_Toc236947711" w:history="1">
            <w:r w:rsidRPr="00F52D00">
              <w:rPr>
                <w:rStyle w:val="Hyperlink"/>
                <w:rFonts w:ascii="Arial" w:hAnsi="Arial" w:cs="Arial"/>
                <w:noProof/>
              </w:rPr>
              <w:t>Conclusion</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_Toc236947711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11</w:t>
            </w:r>
            <w:r w:rsidRPr="00F52D00">
              <w:rPr>
                <w:rFonts w:ascii="Arial" w:hAnsi="Arial" w:cs="Arial"/>
                <w:noProof/>
                <w:webHidden/>
              </w:rPr>
              <w:fldChar w:fldCharType="end"/>
            </w:r>
          </w:hyperlink>
        </w:p>
        <w:p w14:paraId="688ABFE7" w14:textId="49E30C60" w:rsidR="004D4CB1" w:rsidRPr="00F52D00" w:rsidRDefault="004D4CB1">
          <w:pPr>
            <w:pStyle w:val="TOC1"/>
            <w:tabs>
              <w:tab w:val="right" w:leader="dot" w:pos="9350"/>
            </w:tabs>
            <w:rPr>
              <w:rFonts w:ascii="Arial" w:eastAsiaTheme="minorEastAsia" w:hAnsi="Arial" w:cs="Arial"/>
              <w:noProof/>
              <w:lang w:eastAsia="en-US"/>
            </w:rPr>
          </w:pPr>
          <w:hyperlink w:anchor="_Toc236947712" w:history="1">
            <w:r w:rsidRPr="00F52D00">
              <w:rPr>
                <w:rStyle w:val="Hyperlink"/>
                <w:rFonts w:ascii="Arial" w:hAnsi="Arial" w:cs="Arial"/>
                <w:noProof/>
              </w:rPr>
              <w:t>References</w:t>
            </w:r>
            <w:r w:rsidRPr="00F52D00">
              <w:rPr>
                <w:rFonts w:ascii="Arial" w:hAnsi="Arial" w:cs="Arial"/>
                <w:noProof/>
                <w:webHidden/>
              </w:rPr>
              <w:tab/>
            </w:r>
            <w:r w:rsidRPr="00F52D00">
              <w:rPr>
                <w:rFonts w:ascii="Arial" w:hAnsi="Arial" w:cs="Arial"/>
                <w:noProof/>
                <w:webHidden/>
              </w:rPr>
              <w:fldChar w:fldCharType="begin"/>
            </w:r>
            <w:r w:rsidRPr="00F52D00">
              <w:rPr>
                <w:rFonts w:ascii="Arial" w:hAnsi="Arial" w:cs="Arial"/>
                <w:noProof/>
                <w:webHidden/>
              </w:rPr>
              <w:instrText xml:space="preserve"> PAGEREF _Toc236947712 \h </w:instrText>
            </w:r>
            <w:r w:rsidRPr="00F52D00">
              <w:rPr>
                <w:rFonts w:ascii="Arial" w:hAnsi="Arial" w:cs="Arial"/>
                <w:noProof/>
                <w:webHidden/>
              </w:rPr>
            </w:r>
            <w:r w:rsidRPr="00F52D00">
              <w:rPr>
                <w:rFonts w:ascii="Arial" w:hAnsi="Arial" w:cs="Arial"/>
                <w:noProof/>
                <w:webHidden/>
              </w:rPr>
              <w:fldChar w:fldCharType="separate"/>
            </w:r>
            <w:r w:rsidR="00F15113" w:rsidRPr="00F52D00">
              <w:rPr>
                <w:rFonts w:ascii="Arial" w:hAnsi="Arial" w:cs="Arial"/>
                <w:noProof/>
                <w:webHidden/>
              </w:rPr>
              <w:t>12</w:t>
            </w:r>
            <w:r w:rsidRPr="00F52D00">
              <w:rPr>
                <w:rFonts w:ascii="Arial" w:hAnsi="Arial" w:cs="Arial"/>
                <w:noProof/>
                <w:webHidden/>
              </w:rPr>
              <w:fldChar w:fldCharType="end"/>
            </w:r>
          </w:hyperlink>
        </w:p>
        <w:p w14:paraId="47840CA2" w14:textId="2DF0E77F" w:rsidR="004E7BBD" w:rsidRPr="00EA452B" w:rsidRDefault="004E7BBD" w:rsidP="004E7BBD">
          <w:pPr>
            <w:spacing w:before="120" w:after="120" w:line="360" w:lineRule="auto"/>
            <w:jc w:val="both"/>
            <w:rPr>
              <w:rFonts w:ascii="Arial" w:hAnsi="Arial" w:cs="Arial"/>
            </w:rPr>
          </w:pPr>
          <w:r w:rsidRPr="00F52D00">
            <w:rPr>
              <w:rFonts w:ascii="Arial" w:hAnsi="Arial" w:cs="Arial"/>
              <w:b/>
              <w:bCs/>
            </w:rPr>
            <w:fldChar w:fldCharType="end"/>
          </w:r>
        </w:p>
      </w:sdtContent>
    </w:sdt>
    <w:p w14:paraId="2FE58529" w14:textId="0898645D" w:rsidR="004E7BBD" w:rsidRPr="00EA452B" w:rsidRDefault="004E7BBD" w:rsidP="004E7BBD">
      <w:pPr>
        <w:jc w:val="both"/>
        <w:rPr>
          <w:rFonts w:ascii="Arial" w:hAnsi="Arial" w:cs="Arial"/>
          <w:b/>
          <w:bCs/>
        </w:rPr>
      </w:pPr>
      <w:r w:rsidRPr="00EA452B">
        <w:rPr>
          <w:rFonts w:ascii="Arial" w:hAnsi="Arial" w:cs="Arial"/>
          <w:b/>
          <w:bCs/>
        </w:rPr>
        <w:br w:type="page"/>
      </w:r>
    </w:p>
    <w:p w14:paraId="0835DE7F" w14:textId="28209CDE" w:rsidR="004E7BBD" w:rsidRPr="00EA452B" w:rsidRDefault="004E7BBD" w:rsidP="004E7BBD">
      <w:pPr>
        <w:pStyle w:val="Heading1"/>
      </w:pPr>
      <w:bookmarkStart w:id="1" w:name="_Toc236947690"/>
      <w:r w:rsidRPr="00EA452B">
        <w:lastRenderedPageBreak/>
        <w:t>Task 1: Social Epidemiological Analysis of Ethnicity Inequalities in Health among Ethnic Minority Communities in England</w:t>
      </w:r>
      <w:bookmarkEnd w:id="1"/>
    </w:p>
    <w:p w14:paraId="15A559F9" w14:textId="4FCB206B" w:rsidR="004E7BBD" w:rsidRPr="00EA452B" w:rsidRDefault="004E7BBD" w:rsidP="004E7BBD">
      <w:pPr>
        <w:pStyle w:val="Heading2"/>
      </w:pPr>
      <w:bookmarkStart w:id="2" w:name="_heading=h.p81ijdn2av52" w:colFirst="0" w:colLast="0"/>
      <w:bookmarkStart w:id="3" w:name="_Toc236947691"/>
      <w:bookmarkEnd w:id="2"/>
      <w:r w:rsidRPr="00EA452B">
        <w:t>Introduction</w:t>
      </w:r>
      <w:bookmarkEnd w:id="3"/>
    </w:p>
    <w:p w14:paraId="037962E7" w14:textId="005B4291" w:rsidR="004E7BBD" w:rsidRPr="00EA452B" w:rsidRDefault="004E7BBD" w:rsidP="004E7BBD">
      <w:pPr>
        <w:spacing w:before="120" w:after="120" w:line="360" w:lineRule="auto"/>
        <w:jc w:val="both"/>
        <w:rPr>
          <w:rFonts w:ascii="Arial" w:hAnsi="Arial" w:cs="Arial"/>
        </w:rPr>
      </w:pPr>
      <w:r w:rsidRPr="00EA452B">
        <w:rPr>
          <w:rFonts w:ascii="Arial" w:hAnsi="Arial" w:cs="Arial"/>
        </w:rPr>
        <w:t>Health inequalities refer to the unfair and avoidable differences in health status experienced by different population groups. Ethnicity is recognised as a significant social determinant of health because ethnic minority communities often experience poorer health outcomes due to socioeconomic disadvantage, discrimination, unequal healthcare access, and wider structural inequalities within society.</w:t>
      </w:r>
      <w:r w:rsidR="00E90378" w:rsidRPr="00EA452B">
        <w:rPr>
          <w:rFonts w:ascii="Arial" w:hAnsi="Arial" w:cs="Arial"/>
        </w:rPr>
        <w:t xml:space="preserve"> These interconnected factors contribute to persistent ethnic health inequalities and highlight the need for targeted public health interventions to promote equitable health outcomes.</w:t>
      </w:r>
    </w:p>
    <w:p w14:paraId="62D3E94B" w14:textId="6EE4CCA5" w:rsidR="004E7BBD" w:rsidRPr="00EA452B" w:rsidRDefault="004E7BBD" w:rsidP="004E7BBD">
      <w:pPr>
        <w:pStyle w:val="Heading2"/>
      </w:pPr>
      <w:bookmarkStart w:id="4" w:name="_heading=h.a5883omyoute" w:colFirst="0" w:colLast="0"/>
      <w:bookmarkStart w:id="5" w:name="_Toc236947692"/>
      <w:bookmarkEnd w:id="4"/>
      <w:r w:rsidRPr="00EA452B">
        <w:t>Contextual Background and Underlying Factors</w:t>
      </w:r>
      <w:bookmarkEnd w:id="5"/>
    </w:p>
    <w:p w14:paraId="76A9D6FB" w14:textId="2FC01848" w:rsidR="004E7BBD" w:rsidRPr="00EA452B" w:rsidRDefault="004E7BBD" w:rsidP="004E7BBD">
      <w:pPr>
        <w:pStyle w:val="Heading3"/>
      </w:pPr>
      <w:bookmarkStart w:id="6" w:name="_heading=h.552xlxp2vgtc" w:colFirst="0" w:colLast="0"/>
      <w:bookmarkStart w:id="7" w:name="_Toc236947693"/>
      <w:bookmarkEnd w:id="6"/>
      <w:r w:rsidRPr="00EA452B">
        <w:t>Health Issue 1: Hypertension</w:t>
      </w:r>
      <w:bookmarkEnd w:id="7"/>
    </w:p>
    <w:p w14:paraId="232B05E4" w14:textId="39DCFB97" w:rsidR="004E7BBD" w:rsidRPr="00EA452B" w:rsidRDefault="00D64975" w:rsidP="004E7BBD">
      <w:pPr>
        <w:spacing w:before="120" w:after="120" w:line="360" w:lineRule="auto"/>
        <w:jc w:val="both"/>
        <w:rPr>
          <w:rFonts w:ascii="Arial" w:hAnsi="Arial" w:cs="Arial"/>
        </w:rPr>
      </w:pPr>
      <w:r w:rsidRPr="00EA452B">
        <w:rPr>
          <w:rFonts w:ascii="Arial" w:hAnsi="Arial" w:cs="Arial"/>
        </w:rPr>
        <w:t>One of the leading chronic diseases among ethnic minority groups in England is hypertension. High blood pressure, also known as hypertension, occurs when the force of blood against the artery walls is consistently too high. South Asian communities also face a higher risk because of the prevalence of diabetes, obesity, and cardiovascular disease among this population (Ajayi, 2021). Besides biological factors, several social determinants also contribute to the issue. These include deprivation, chronic stress due to discrimination, unhealthy living conditions, poor diets, insufficient physical activity, and limited access to preventive care. Hypertension is more common in the WHO Eastern Mediterranean Region (38%) compared to the WHO Western Pacific Region (29%) (Iqbal and Jamal, 2023). Many individuals remain unaware of their condition because of limited health awareness and inadequate access to health screening services. Untreated hypertension is associated with an increased risk of heart attacks, strokes, kidney disease, and premature death</w:t>
      </w:r>
      <w:r w:rsidR="00F15113">
        <w:rPr>
          <w:rFonts w:ascii="Arial" w:hAnsi="Arial" w:cs="Arial"/>
        </w:rPr>
        <w:t xml:space="preserve"> (</w:t>
      </w:r>
      <w:r w:rsidR="00F15113" w:rsidRPr="00EA452B">
        <w:rPr>
          <w:rFonts w:ascii="Arial" w:hAnsi="Arial" w:cs="Arial"/>
        </w:rPr>
        <w:t xml:space="preserve">Goorani, </w:t>
      </w:r>
      <w:proofErr w:type="spellStart"/>
      <w:r w:rsidR="00F15113" w:rsidRPr="00EA452B">
        <w:rPr>
          <w:rFonts w:ascii="Arial" w:hAnsi="Arial" w:cs="Arial"/>
        </w:rPr>
        <w:t>Zangene</w:t>
      </w:r>
      <w:proofErr w:type="spellEnd"/>
      <w:r w:rsidR="00F15113" w:rsidRPr="00EA452B">
        <w:rPr>
          <w:rFonts w:ascii="Arial" w:hAnsi="Arial" w:cs="Arial"/>
        </w:rPr>
        <w:t xml:space="preserve"> and Imig</w:t>
      </w:r>
      <w:r w:rsidR="00F15113">
        <w:rPr>
          <w:rFonts w:ascii="Arial" w:hAnsi="Arial" w:cs="Arial"/>
        </w:rPr>
        <w:t>, 2024)</w:t>
      </w:r>
      <w:r w:rsidRPr="00EA452B">
        <w:rPr>
          <w:rFonts w:ascii="Arial" w:hAnsi="Arial" w:cs="Arial"/>
        </w:rPr>
        <w:t>. These findings demonstrate that both biological and social determinants contribute to ethnic inequalities in hypertension.</w:t>
      </w:r>
    </w:p>
    <w:p w14:paraId="448DCAE1" w14:textId="777D3B6D" w:rsidR="004E7BBD" w:rsidRPr="00EA452B" w:rsidRDefault="004E7BBD" w:rsidP="004E7BBD">
      <w:pPr>
        <w:pStyle w:val="Heading3"/>
      </w:pPr>
      <w:bookmarkStart w:id="8" w:name="_heading=h.f99srf1sbk0y" w:colFirst="0" w:colLast="0"/>
      <w:bookmarkStart w:id="9" w:name="_Toc236947694"/>
      <w:bookmarkEnd w:id="8"/>
      <w:r w:rsidRPr="00EA452B">
        <w:t>Health Issue 2: Stroke</w:t>
      </w:r>
      <w:bookmarkEnd w:id="9"/>
    </w:p>
    <w:p w14:paraId="017E672C" w14:textId="1F55E18C" w:rsidR="004E7BBD" w:rsidRPr="00EA452B" w:rsidRDefault="00D64975" w:rsidP="004E7BBD">
      <w:pPr>
        <w:spacing w:before="120" w:after="120" w:line="360" w:lineRule="auto"/>
        <w:jc w:val="both"/>
        <w:rPr>
          <w:rFonts w:ascii="Arial" w:hAnsi="Arial" w:cs="Arial"/>
        </w:rPr>
      </w:pPr>
      <w:r w:rsidRPr="00EA452B">
        <w:rPr>
          <w:rFonts w:ascii="Arial" w:hAnsi="Arial" w:cs="Arial"/>
        </w:rPr>
        <w:t xml:space="preserve">In England, stroke is considered one of the leading causes of both morbidity and mortality. Individuals of Black African and Black Caribbean origin experience strokes at an earlier age and more frequently than those of White British origin. The same is true for the South Asian community due to the increased prevalence of hypertension and diabetes (Tadi and Lui, 2023). However, biological factors alone do not explain these inequalities; social factors such as poverty, poor </w:t>
      </w:r>
      <w:r w:rsidRPr="00EA452B">
        <w:rPr>
          <w:rFonts w:ascii="Arial" w:hAnsi="Arial" w:cs="Arial"/>
        </w:rPr>
        <w:lastRenderedPageBreak/>
        <w:t>living conditions, limited access to preventive care, delayed diagnosis, and discrimination also influence stroke outcomes. A stroke occurs when the blood supply to the brain is either blocked or interrupted by bleeding within the brain. Delayed diagnosis can lead to poor recovery, disability, and greater dependence on healthcare services. The most common form of stroke is ischaemic stroke, which is caused by the narrowing or blockage of blood vessels supplying the brain (Lui, Khan Suheb and Patti, 2025). Improving public awareness, promoting culturally sensitive healthcare communication, and strengthening early intervention programmes are important strategies for reducing ethnic inequalities in stroke outcomes.</w:t>
      </w:r>
    </w:p>
    <w:p w14:paraId="6948B5C9" w14:textId="198D6738" w:rsidR="004E7BBD" w:rsidRPr="00EA452B" w:rsidRDefault="004E7BBD" w:rsidP="004E7BBD">
      <w:pPr>
        <w:pStyle w:val="Heading3"/>
      </w:pPr>
      <w:bookmarkStart w:id="10" w:name="_heading=h.jpg0s1mzhp5j" w:colFirst="0" w:colLast="0"/>
      <w:bookmarkStart w:id="11" w:name="_Toc236947695"/>
      <w:bookmarkEnd w:id="10"/>
      <w:r w:rsidRPr="00EA452B">
        <w:t>Health Issue 3: Chronic Kidney Disease</w:t>
      </w:r>
      <w:bookmarkEnd w:id="11"/>
    </w:p>
    <w:p w14:paraId="1C4875FD" w14:textId="5DF51A4A" w:rsidR="004E7BBD" w:rsidRPr="00EA452B" w:rsidRDefault="00D64975" w:rsidP="004E7BBD">
      <w:pPr>
        <w:spacing w:before="120" w:after="120" w:line="360" w:lineRule="auto"/>
        <w:jc w:val="both"/>
        <w:rPr>
          <w:rFonts w:ascii="Arial" w:hAnsi="Arial" w:cs="Arial"/>
        </w:rPr>
      </w:pPr>
      <w:r w:rsidRPr="00EA452B">
        <w:rPr>
          <w:rFonts w:ascii="Arial" w:hAnsi="Arial" w:cs="Arial"/>
        </w:rPr>
        <w:t>CKD is more prevalent among Black Africans, Black Caribbeans, and South Asians in England. CKD often develops as a complication of conditions such as hypertension and type 2 diabetes that are common among these groups. Medical experts can detect kidney disease through blood and urine tests. Blood tests check the presence of elevated levels of waste products in the body, whereas urine tests check for abnormalities such as proteins and traces of blood. Limited access to regular screening, language barriers, poverty, and reduced engagement with preventive healthcare contribute to delayed diagnosis (</w:t>
      </w:r>
      <w:proofErr w:type="spellStart"/>
      <w:r w:rsidRPr="00EA452B">
        <w:rPr>
          <w:rFonts w:ascii="Arial" w:hAnsi="Arial" w:cs="Arial"/>
        </w:rPr>
        <w:t>Aeddula</w:t>
      </w:r>
      <w:proofErr w:type="spellEnd"/>
      <w:r w:rsidRPr="00EA452B">
        <w:rPr>
          <w:rFonts w:ascii="Arial" w:hAnsi="Arial" w:cs="Arial"/>
        </w:rPr>
        <w:t xml:space="preserve"> and Vaidya, 2024). Late diagnosis results in poor prognosis, higher healthcare costs, lower quality of life, and increased pressure on NHS services. Treatment aims to delay the progression of kidney damage by effectively managing its underlying causes. Addressing CKD disparities can be achieved through timely diagnosis, regular health screening, culturally appropriate educational interventions, and effective management of hypertension and diabetes among high-risk populations.</w:t>
      </w:r>
    </w:p>
    <w:p w14:paraId="22E31D1E" w14:textId="351165DA" w:rsidR="004E7BBD" w:rsidRPr="00EA452B" w:rsidRDefault="004E7BBD" w:rsidP="004E7BBD">
      <w:pPr>
        <w:pStyle w:val="Heading3"/>
      </w:pPr>
      <w:bookmarkStart w:id="12" w:name="_heading=h.w8j2or61qamz" w:colFirst="0" w:colLast="0"/>
      <w:bookmarkStart w:id="13" w:name="_Toc236947696"/>
      <w:bookmarkEnd w:id="12"/>
      <w:r w:rsidRPr="00EA452B">
        <w:t>Social Issue 1: Language Barriers</w:t>
      </w:r>
      <w:bookmarkEnd w:id="13"/>
    </w:p>
    <w:p w14:paraId="46B2B35E" w14:textId="18874809" w:rsidR="004E7BBD" w:rsidRPr="00EA452B" w:rsidRDefault="00D64975" w:rsidP="004E7BBD">
      <w:pPr>
        <w:spacing w:before="120" w:after="120" w:line="360" w:lineRule="auto"/>
        <w:jc w:val="both"/>
        <w:rPr>
          <w:rFonts w:ascii="Arial" w:hAnsi="Arial" w:cs="Arial"/>
        </w:rPr>
      </w:pPr>
      <w:r w:rsidRPr="00EA452B">
        <w:rPr>
          <w:rFonts w:ascii="Arial" w:hAnsi="Arial" w:cs="Arial"/>
        </w:rPr>
        <w:t>Differences in language pose a significant obstacle to equal access to healthcare for ethnic minorities. Language barriers make it difficult to understand medical instructions, appointment schedules, medication dosages, and disease prevention advice. As a result, individuals may experience difficulties in describing their symptoms, leading to delayed diagnosis and inappropriate treatment (Slade and Sergent, 2023). Language barriers also reduce health literacy, preventing people from participating in screening programmes and other preventive healthcare measures. Even though translation services are available within the NHS, their availability and utilisation remain limited, which affects their effectiveness. In addition, family members often act as translators, increasing the risk of misinterpretation while compromising patient confidentiality.</w:t>
      </w:r>
    </w:p>
    <w:p w14:paraId="5098096B" w14:textId="712F0CF7" w:rsidR="004E7BBD" w:rsidRPr="00EA452B" w:rsidRDefault="004E7BBD" w:rsidP="004E7BBD">
      <w:pPr>
        <w:pStyle w:val="Heading3"/>
      </w:pPr>
      <w:bookmarkStart w:id="14" w:name="_heading=h.qvs652236ows" w:colFirst="0" w:colLast="0"/>
      <w:bookmarkStart w:id="15" w:name="_Toc236947697"/>
      <w:bookmarkEnd w:id="14"/>
      <w:r w:rsidRPr="00EA452B">
        <w:lastRenderedPageBreak/>
        <w:t>Social Issue 2: Socioeconomic Deprivation</w:t>
      </w:r>
      <w:bookmarkEnd w:id="15"/>
    </w:p>
    <w:p w14:paraId="73AE39C4" w14:textId="219111C7" w:rsidR="004E7BBD" w:rsidRPr="00EA452B" w:rsidRDefault="00D64975" w:rsidP="004E7BBD">
      <w:pPr>
        <w:spacing w:before="120" w:after="120" w:line="360" w:lineRule="auto"/>
        <w:jc w:val="both"/>
        <w:rPr>
          <w:rFonts w:ascii="Arial" w:hAnsi="Arial" w:cs="Arial"/>
        </w:rPr>
      </w:pPr>
      <w:r w:rsidRPr="00EA452B">
        <w:rPr>
          <w:rFonts w:ascii="Arial" w:hAnsi="Arial" w:cs="Arial"/>
        </w:rPr>
        <w:t>Socioeconomic deprivation is one of the main causes of health disparities among ethnic minority populations. Many individuals experience financial constraints, lack of stable employment, overcrowding, and limited access to education. Socioeconomic factors lead to greater exposure to unhealthy environments and limited availability of healthy food, recreational opportunities, and healthcare services (Thomas and Pearse, 2025). Some individuals may delay seeking healthcare because of travel costs, inability to take time off work, or competing family and social responsibilities. Poorer education leads to reduced understanding of preventive health measures and contributes to poorer health outcomes. Consequently, health disparities occur among deprived groups through higher rates of illness, reduced life expectancy, and poorer psychological wellbeing.</w:t>
      </w:r>
    </w:p>
    <w:p w14:paraId="7DEB039E" w14:textId="6AAC5B14" w:rsidR="004E7BBD" w:rsidRPr="00EA452B" w:rsidRDefault="004E7BBD" w:rsidP="004E7BBD">
      <w:pPr>
        <w:pStyle w:val="Heading3"/>
      </w:pPr>
      <w:bookmarkStart w:id="16" w:name="_heading=h.ly5z0pklis4" w:colFirst="0" w:colLast="0"/>
      <w:bookmarkStart w:id="17" w:name="_Toc236947698"/>
      <w:bookmarkEnd w:id="16"/>
      <w:r w:rsidRPr="00EA452B">
        <w:t>Social Issue 3: Healthcare Access Inequalities</w:t>
      </w:r>
      <w:bookmarkEnd w:id="17"/>
    </w:p>
    <w:p w14:paraId="284C170B" w14:textId="7FE529FF" w:rsidR="004E7BBD" w:rsidRPr="00EA452B" w:rsidRDefault="00D64975" w:rsidP="004E7BBD">
      <w:pPr>
        <w:spacing w:before="120" w:after="120" w:line="360" w:lineRule="auto"/>
        <w:jc w:val="both"/>
        <w:rPr>
          <w:rFonts w:ascii="Arial" w:hAnsi="Arial" w:cs="Arial"/>
        </w:rPr>
      </w:pPr>
      <w:r w:rsidRPr="00EA452B">
        <w:rPr>
          <w:rFonts w:ascii="Arial" w:hAnsi="Arial" w:cs="Arial"/>
        </w:rPr>
        <w:t>Even with the provision of universal healthcare by the NHS, there is still inequality in terms of access to healthcare. Ethnic minority communities continue to experience discrimination, cultural barriers, lack of trust in healthcare providers, and low levels of satisfaction with healthcare services. This can delay timely access to healthcare services (Op et al., 2025). Long waiting times, lack of GPs, digital exclusion, and lack of culturally competent care are some of the barriers to early diagnosis and treatment. These disparities contribute to poorer disease management, higher hospital admission rates, and increased mortality from preventable diseases. Addressing these barriers is essential to achieving equitable healthcare access and reducing ethnic health inequalities in England.</w:t>
      </w:r>
    </w:p>
    <w:p w14:paraId="0A1CD5D2" w14:textId="60BDA01D" w:rsidR="004E7BBD" w:rsidRPr="00EA452B" w:rsidRDefault="004E7BBD" w:rsidP="004E7BBD">
      <w:pPr>
        <w:pStyle w:val="Heading2"/>
      </w:pPr>
      <w:bookmarkStart w:id="18" w:name="_heading=h.prhr4fmc7kip" w:colFirst="0" w:colLast="0"/>
      <w:bookmarkStart w:id="19" w:name="_Toc236947699"/>
      <w:bookmarkEnd w:id="18"/>
      <w:r w:rsidRPr="00EA452B">
        <w:t>National Response to Reduce Health Inequalities</w:t>
      </w:r>
      <w:bookmarkEnd w:id="19"/>
    </w:p>
    <w:p w14:paraId="0F437E15" w14:textId="73078A6C" w:rsidR="004E7BBD" w:rsidRPr="00EA452B" w:rsidRDefault="004972E5" w:rsidP="004E7BBD">
      <w:pPr>
        <w:spacing w:before="120" w:after="120" w:line="360" w:lineRule="auto"/>
        <w:jc w:val="both"/>
        <w:rPr>
          <w:rFonts w:ascii="Arial" w:hAnsi="Arial" w:cs="Arial"/>
        </w:rPr>
      </w:pPr>
      <w:r w:rsidRPr="00EA452B">
        <w:rPr>
          <w:rFonts w:ascii="Arial" w:hAnsi="Arial" w:cs="Arial"/>
        </w:rPr>
        <w:t xml:space="preserve">A national-level intervention to address health inequalities demands a concerted effort across different sectors to address the social determinants of health, including housing, income, and education, as well as the reorganisation of health systems to promote prevention and equitable resource allocation. The NHS Core20PLUS5 programme and the NHS Race and Health Observatory are key national initiatives aimed at reducing health inequalities among ethnic minority communities. These initiatives seek to reduce ethnic disparities in cardiovascular disease, maternity services, respiratory disease, cancer screening, and mental healthcare (Chelak and Chakole, 2023). The NHS Race and Health Observatory conducts research on the problems faced by ethnic minorities within the UK health system and makes evidence-based recommendations. This research addresses structural racism, workforce diversity, access to </w:t>
      </w:r>
      <w:r w:rsidRPr="00EA452B">
        <w:rPr>
          <w:rFonts w:ascii="Arial" w:hAnsi="Arial" w:cs="Arial"/>
        </w:rPr>
        <w:lastRenderedPageBreak/>
        <w:t>healthcare services, and cultural competence in healthcare. Together, these initiatives support the development of more equitable healthcare services and contribute to reducing ethnic health inequalities across England.</w:t>
      </w:r>
    </w:p>
    <w:p w14:paraId="2B48A639" w14:textId="65B47164" w:rsidR="004E7BBD" w:rsidRPr="00EA452B" w:rsidRDefault="004E7BBD" w:rsidP="004E7BBD">
      <w:pPr>
        <w:pStyle w:val="Heading2"/>
      </w:pPr>
      <w:bookmarkStart w:id="20" w:name="_heading=h.yjfr13ehlq0z" w:colFirst="0" w:colLast="0"/>
      <w:bookmarkStart w:id="21" w:name="_Toc236947700"/>
      <w:bookmarkEnd w:id="20"/>
      <w:r w:rsidRPr="00EA452B">
        <w:t>Organisation Supporting Ethnic Minority Communities</w:t>
      </w:r>
      <w:bookmarkEnd w:id="21"/>
    </w:p>
    <w:p w14:paraId="1D1DB432" w14:textId="33087608" w:rsidR="004E7BBD" w:rsidRPr="00EA452B" w:rsidRDefault="004972E5" w:rsidP="004E7BBD">
      <w:pPr>
        <w:spacing w:before="120" w:after="120" w:line="360" w:lineRule="auto"/>
        <w:jc w:val="both"/>
        <w:rPr>
          <w:rFonts w:ascii="Arial" w:hAnsi="Arial" w:cs="Arial"/>
        </w:rPr>
      </w:pPr>
      <w:r w:rsidRPr="00EA452B">
        <w:rPr>
          <w:rFonts w:ascii="Arial" w:hAnsi="Arial" w:cs="Arial"/>
        </w:rPr>
        <w:t>The Race Equality Foundation aims to reduce health inequalities through research, policy influence, the promotion of equality, and community engagement. The Race Equality Foundation partners with health organisations, local government bodies, and voluntary organisations to provide culturally sensitive services. Through education, advocacy, and partnership working, it helps ensure that ethnic minority groups are represented and their needs are recognised in health and social care policies. Its work also supports evidence-based policy development and promotes greater equity in healthcare delivery.</w:t>
      </w:r>
    </w:p>
    <w:p w14:paraId="1796B3B0" w14:textId="566F0901" w:rsidR="004E7BBD" w:rsidRPr="00EA452B" w:rsidRDefault="004E7BBD" w:rsidP="004E7BBD">
      <w:pPr>
        <w:pStyle w:val="Heading2"/>
      </w:pPr>
      <w:bookmarkStart w:id="22" w:name="_heading=h.ifdyr4znoyw" w:colFirst="0" w:colLast="0"/>
      <w:bookmarkStart w:id="23" w:name="_Toc236947701"/>
      <w:bookmarkEnd w:id="22"/>
      <w:r w:rsidRPr="00EA452B">
        <w:t>Conclusion</w:t>
      </w:r>
      <w:bookmarkEnd w:id="23"/>
    </w:p>
    <w:p w14:paraId="40EAD08E" w14:textId="15E4D0F4" w:rsidR="004E7BBD" w:rsidRPr="00EA452B" w:rsidRDefault="004E7BBD" w:rsidP="004E7BBD">
      <w:pPr>
        <w:spacing w:before="120" w:after="120" w:line="360" w:lineRule="auto"/>
        <w:jc w:val="both"/>
        <w:rPr>
          <w:rFonts w:ascii="Arial" w:hAnsi="Arial" w:cs="Arial"/>
          <w:b/>
          <w:bCs/>
        </w:rPr>
      </w:pPr>
      <w:r w:rsidRPr="00EA452B">
        <w:rPr>
          <w:rFonts w:ascii="Arial" w:hAnsi="Arial" w:cs="Arial"/>
        </w:rPr>
        <w:t>Ethnic minority communities in England experience significant health inequalities due to biological, social, economic, and structural factors. Conditions such as hypertension, stroke, and chronic kidney disease are exacerbated by language barriers, deprivation, and unequal healthcare access. Continued investment in equitable public health policies, culturally competent services, and community partnerships is essential to reduce these disparities.</w:t>
      </w:r>
      <w:r w:rsidRPr="00EA452B">
        <w:rPr>
          <w:rFonts w:ascii="Arial" w:hAnsi="Arial" w:cs="Arial"/>
        </w:rPr>
        <w:br w:type="page"/>
      </w:r>
    </w:p>
    <w:p w14:paraId="0CD1E334" w14:textId="3F5F3FBE" w:rsidR="004E7BBD" w:rsidRPr="00EA452B" w:rsidRDefault="004E7BBD" w:rsidP="00CB646F">
      <w:pPr>
        <w:pStyle w:val="Heading1"/>
      </w:pPr>
      <w:bookmarkStart w:id="24" w:name="_heading=h.2xhi5od5mwnf" w:colFirst="0" w:colLast="0"/>
      <w:bookmarkStart w:id="25" w:name="_Toc236947702"/>
      <w:bookmarkEnd w:id="24"/>
      <w:r w:rsidRPr="00EA452B">
        <w:lastRenderedPageBreak/>
        <w:t xml:space="preserve">Task 2: Epidemiological Analysis </w:t>
      </w:r>
      <w:r w:rsidRPr="00EA452B">
        <w:rPr>
          <w:sz w:val="22"/>
          <w:szCs w:val="22"/>
        </w:rPr>
        <w:t>of Tuberculosis (TB) in High-Risk Communities in England</w:t>
      </w:r>
      <w:bookmarkEnd w:id="25"/>
    </w:p>
    <w:p w14:paraId="6B05EE05" w14:textId="441D320B" w:rsidR="004E7BBD" w:rsidRPr="00EA452B" w:rsidRDefault="004E7BBD" w:rsidP="004E7BBD">
      <w:pPr>
        <w:pStyle w:val="Heading2"/>
      </w:pPr>
      <w:bookmarkStart w:id="26" w:name="_heading=h.xlkw7ykng4kz" w:colFirst="0" w:colLast="0"/>
      <w:bookmarkStart w:id="27" w:name="_Toc236947703"/>
      <w:bookmarkEnd w:id="26"/>
      <w:r w:rsidRPr="00EA452B">
        <w:t>Introduction</w:t>
      </w:r>
      <w:bookmarkEnd w:id="27"/>
    </w:p>
    <w:p w14:paraId="5D89357E" w14:textId="17405CD3" w:rsidR="004E7BBD" w:rsidRPr="00EA452B" w:rsidRDefault="001355A8" w:rsidP="004E7BBD">
      <w:pPr>
        <w:spacing w:before="120" w:after="120" w:line="360" w:lineRule="auto"/>
        <w:jc w:val="both"/>
        <w:rPr>
          <w:rFonts w:ascii="Arial" w:hAnsi="Arial" w:cs="Arial"/>
        </w:rPr>
      </w:pPr>
      <w:r w:rsidRPr="00EA452B">
        <w:rPr>
          <w:rFonts w:ascii="Arial" w:hAnsi="Arial" w:cs="Arial"/>
        </w:rPr>
        <w:t>Tuberculosis (TB) is an infectious disease caused by Mycobacterium tuberculosis, primarily affecting the lungs but also capable of affecting other organs. In England, the disease disproportionately affects high-risk populations, highlighting persistent epidemiological and socioeconomic health inequalities. Although England is considered a low-incidence country, TB remains a significant public health concern among vulnerable communities, emphasising the need for targeted prevention and control strategies.</w:t>
      </w:r>
    </w:p>
    <w:p w14:paraId="763FC290" w14:textId="0FBE889D" w:rsidR="004E7BBD" w:rsidRPr="00EA452B" w:rsidRDefault="004E7BBD" w:rsidP="004D4CB1">
      <w:pPr>
        <w:pStyle w:val="Heading2"/>
      </w:pPr>
      <w:bookmarkStart w:id="28" w:name="_heading=h.3g2yf7rwu84s" w:colFirst="0" w:colLast="0"/>
      <w:bookmarkStart w:id="29" w:name="_Toc236947704"/>
      <w:bookmarkEnd w:id="28"/>
      <w:r w:rsidRPr="00EA452B">
        <w:t>Public Health Measures</w:t>
      </w:r>
      <w:bookmarkStart w:id="30" w:name="_heading=h.u3ojr015hmpy" w:colFirst="0" w:colLast="0"/>
      <w:bookmarkEnd w:id="30"/>
      <w:r w:rsidR="004D4CB1" w:rsidRPr="00EA452B">
        <w:t xml:space="preserve"> Using the 3Ps</w:t>
      </w:r>
      <w:bookmarkEnd w:id="29"/>
    </w:p>
    <w:p w14:paraId="3ED54803" w14:textId="0CEE4B4F" w:rsidR="004E7BBD" w:rsidRPr="00EA452B" w:rsidRDefault="004E7BBD" w:rsidP="004E7BBD">
      <w:pPr>
        <w:spacing w:before="120" w:after="120" w:line="360" w:lineRule="auto"/>
        <w:jc w:val="both"/>
        <w:rPr>
          <w:rFonts w:ascii="Arial" w:hAnsi="Arial" w:cs="Arial"/>
        </w:rPr>
      </w:pPr>
      <w:r w:rsidRPr="00EA452B">
        <w:rPr>
          <w:rFonts w:ascii="Arial" w:hAnsi="Arial" w:cs="Arial"/>
        </w:rPr>
        <w:t>Management of tuberculosis (TB) in England relies on the public health approach known as '3 Ps' of prevention, protection, and promotion of health.</w:t>
      </w:r>
      <w:r w:rsidR="00CB646F" w:rsidRPr="00EA452B">
        <w:rPr>
          <w:rFonts w:ascii="Arial" w:hAnsi="Arial" w:cs="Arial"/>
        </w:rPr>
        <w:t xml:space="preserve"> </w:t>
      </w:r>
      <w:r w:rsidRPr="00EA452B">
        <w:rPr>
          <w:rFonts w:ascii="Arial" w:hAnsi="Arial" w:cs="Arial"/>
          <w:b/>
          <w:bCs/>
        </w:rPr>
        <w:t>Prevention</w:t>
      </w:r>
      <w:r w:rsidRPr="00EA452B">
        <w:rPr>
          <w:rFonts w:ascii="Arial" w:hAnsi="Arial" w:cs="Arial"/>
        </w:rPr>
        <w:t xml:space="preserve"> aims to decrease the chances of infection before the onset of the disease. The Bacillus Calmette-Guerin (BCG) vaccine is provided to babies and patients who are at higher risks of getting TB, especially people who have roots from countries where there are more cases of TB (</w:t>
      </w:r>
      <w:proofErr w:type="spellStart"/>
      <w:r w:rsidRPr="00EA452B">
        <w:rPr>
          <w:rFonts w:ascii="Arial" w:hAnsi="Arial" w:cs="Arial"/>
        </w:rPr>
        <w:t>Glaziou</w:t>
      </w:r>
      <w:proofErr w:type="spellEnd"/>
      <w:r w:rsidRPr="00EA452B">
        <w:rPr>
          <w:rFonts w:ascii="Arial" w:hAnsi="Arial" w:cs="Arial"/>
        </w:rPr>
        <w:t>, Floyd and Raviglione, 2018). TB resulted in an estimated 10.8 million infections and 1.25 million deaths across the world in recent times. In the UK, there are about 4,850 new cases annually and this number is higher in urban areas. Even though the vaccine does not offer full protection to adults who may contract pulmonary TB, it is capable of providing immunity from any serious cases of TB such as TB meningitis and military TB in children.</w:t>
      </w:r>
    </w:p>
    <w:p w14:paraId="6E0427F2" w14:textId="211F92F4" w:rsidR="004E7BBD" w:rsidRPr="00EA452B" w:rsidRDefault="004E7BBD" w:rsidP="004E7BBD">
      <w:pPr>
        <w:spacing w:before="120" w:after="120" w:line="360" w:lineRule="auto"/>
        <w:jc w:val="both"/>
        <w:rPr>
          <w:rFonts w:ascii="Arial" w:hAnsi="Arial" w:cs="Arial"/>
        </w:rPr>
      </w:pPr>
      <w:r w:rsidRPr="00EA452B">
        <w:rPr>
          <w:rFonts w:ascii="Arial" w:hAnsi="Arial" w:cs="Arial"/>
          <w:b/>
          <w:bCs/>
        </w:rPr>
        <w:t>Protection</w:t>
      </w:r>
      <w:r w:rsidRPr="00EA452B">
        <w:rPr>
          <w:rFonts w:ascii="Arial" w:hAnsi="Arial" w:cs="Arial"/>
        </w:rPr>
        <w:t xml:space="preserve"> refers to preventing transmission of the disease through early detection, immediate treatment, and tracing the contacts. People with symptoms such as cough, fever, weight loss, and night sweats are diagnosed with TB through chest X-rays, sputum test, and molecular diagnostics.</w:t>
      </w:r>
      <w:r w:rsidR="00CB646F" w:rsidRPr="00EA452B">
        <w:rPr>
          <w:rFonts w:ascii="Arial" w:hAnsi="Arial" w:cs="Arial"/>
        </w:rPr>
        <w:t xml:space="preserve"> </w:t>
      </w:r>
      <w:r w:rsidRPr="00EA452B">
        <w:rPr>
          <w:rFonts w:ascii="Arial" w:hAnsi="Arial" w:cs="Arial"/>
        </w:rPr>
        <w:t>Health</w:t>
      </w:r>
      <w:r w:rsidRPr="00EA452B">
        <w:rPr>
          <w:rFonts w:ascii="Arial" w:hAnsi="Arial" w:cs="Arial"/>
          <w:b/>
          <w:bCs/>
        </w:rPr>
        <w:t xml:space="preserve"> promotion</w:t>
      </w:r>
      <w:r w:rsidRPr="00EA452B">
        <w:rPr>
          <w:rFonts w:ascii="Arial" w:hAnsi="Arial" w:cs="Arial"/>
        </w:rPr>
        <w:t xml:space="preserve"> works together with these strategies as part of raising awareness of the community regarding TB and its symptoms, modes of transmission, and treatment (Choi et al., 2025). Through community engagement programs, health education that is appropriate for their culture, multilingual information and collaboration with local organizations, they are encouraged to seek medical care earlier and comply with the treatment regimen.</w:t>
      </w:r>
    </w:p>
    <w:p w14:paraId="307D6B4C" w14:textId="53555875" w:rsidR="004E7BBD" w:rsidRPr="00EA452B" w:rsidRDefault="004E7BBD" w:rsidP="004E7BBD">
      <w:pPr>
        <w:pStyle w:val="Heading2"/>
      </w:pPr>
      <w:bookmarkStart w:id="31" w:name="_heading=h.y501ilvqmo7v" w:colFirst="0" w:colLast="0"/>
      <w:bookmarkStart w:id="32" w:name="_Toc236947705"/>
      <w:bookmarkEnd w:id="31"/>
      <w:r w:rsidRPr="00EA452B">
        <w:t>Determinants and Risk Factors</w:t>
      </w:r>
      <w:bookmarkEnd w:id="32"/>
    </w:p>
    <w:p w14:paraId="08B4D902" w14:textId="64799027" w:rsidR="004E7BBD" w:rsidRPr="00EA452B" w:rsidRDefault="001355A8" w:rsidP="004E7BBD">
      <w:pPr>
        <w:spacing w:before="120" w:after="120" w:line="360" w:lineRule="auto"/>
        <w:jc w:val="both"/>
        <w:rPr>
          <w:rFonts w:ascii="Arial" w:hAnsi="Arial" w:cs="Arial"/>
        </w:rPr>
      </w:pPr>
      <w:bookmarkStart w:id="33" w:name="_heading=h.4p357ggh20wb" w:colFirst="0" w:colLast="0"/>
      <w:bookmarkEnd w:id="33"/>
      <w:r w:rsidRPr="00EA452B">
        <w:rPr>
          <w:rFonts w:ascii="Arial" w:hAnsi="Arial" w:cs="Arial"/>
        </w:rPr>
        <w:t xml:space="preserve">Factors affecting TB include a combination of biological, social, and environmental determinants, making it a disease that reflects socioeconomic inequalities as much as medical factors. </w:t>
      </w:r>
      <w:r w:rsidRPr="00EA452B">
        <w:rPr>
          <w:rFonts w:ascii="Arial" w:hAnsi="Arial" w:cs="Arial"/>
        </w:rPr>
        <w:lastRenderedPageBreak/>
        <w:t>Understanding these determinants is essential for designing effective public health interventions aimed at reducing the burden of TB in high-risk communities in England. Biological determinants play a key role in an individual's susceptibility to TB. HIV is one of the biggest risk factors, as it weakens the immune system, thereby increasing the likelihood of developing active TB (Choi et al., 2025b). The same is true for those on immunosuppressive treatments, such as steroids and chemotherapy. Moreover, people who have undergone organ transplantation are also at increased risk because of immunosuppression. Other diseases such as diabetes, renal disease, malnutrition, and substance abuse are also important risk factors for active TB.</w:t>
      </w:r>
    </w:p>
    <w:p w14:paraId="1CF5DCD9" w14:textId="77777777" w:rsidR="004E7BBD" w:rsidRPr="00EA452B" w:rsidRDefault="004E7BBD" w:rsidP="00CB646F">
      <w:pPr>
        <w:spacing w:before="120" w:after="120" w:line="360" w:lineRule="auto"/>
        <w:jc w:val="center"/>
        <w:rPr>
          <w:rFonts w:ascii="Arial" w:hAnsi="Arial" w:cs="Arial"/>
        </w:rPr>
      </w:pPr>
      <w:r w:rsidRPr="00EA452B">
        <w:rPr>
          <w:rFonts w:ascii="Arial" w:hAnsi="Arial" w:cs="Arial"/>
          <w:noProof/>
        </w:rPr>
        <w:drawing>
          <wp:inline distT="114300" distB="114300" distL="114300" distR="114300" wp14:anchorId="15A68474" wp14:editId="30341861">
            <wp:extent cx="5362575" cy="2766054"/>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888" t="15506" r="2098" b="14831"/>
                    <a:stretch>
                      <a:fillRect/>
                    </a:stretch>
                  </pic:blipFill>
                  <pic:spPr>
                    <a:xfrm>
                      <a:off x="0" y="0"/>
                      <a:ext cx="5362575" cy="2766054"/>
                    </a:xfrm>
                    <a:prstGeom prst="rect">
                      <a:avLst/>
                    </a:prstGeom>
                    <a:ln w="12700">
                      <a:solidFill>
                        <a:srgbClr val="000000"/>
                      </a:solidFill>
                      <a:prstDash val="solid"/>
                    </a:ln>
                  </pic:spPr>
                </pic:pic>
              </a:graphicData>
            </a:graphic>
          </wp:inline>
        </w:drawing>
      </w:r>
    </w:p>
    <w:p w14:paraId="1F263060" w14:textId="10E066E7" w:rsidR="004E7BBD" w:rsidRPr="00EA452B" w:rsidRDefault="004E7BBD" w:rsidP="00CB646F">
      <w:pPr>
        <w:spacing w:before="120" w:after="120" w:line="360" w:lineRule="auto"/>
        <w:jc w:val="center"/>
        <w:rPr>
          <w:rFonts w:ascii="Arial" w:hAnsi="Arial" w:cs="Arial"/>
          <w:b/>
          <w:bCs/>
        </w:rPr>
      </w:pPr>
      <w:r w:rsidRPr="00EA452B">
        <w:rPr>
          <w:rFonts w:ascii="Arial" w:hAnsi="Arial" w:cs="Arial"/>
          <w:b/>
          <w:bCs/>
        </w:rPr>
        <w:t xml:space="preserve">Figure </w:t>
      </w:r>
      <w:r w:rsidR="00F15113">
        <w:rPr>
          <w:rFonts w:ascii="Arial" w:hAnsi="Arial" w:cs="Arial"/>
          <w:b/>
          <w:bCs/>
        </w:rPr>
        <w:t>1</w:t>
      </w:r>
      <w:r w:rsidRPr="00EA452B">
        <w:rPr>
          <w:rFonts w:ascii="Arial" w:hAnsi="Arial" w:cs="Arial"/>
          <w:b/>
          <w:bCs/>
        </w:rPr>
        <w:t>: “Tuberculosis incidence and epidemiology, England”</w:t>
      </w:r>
    </w:p>
    <w:p w14:paraId="171A878D" w14:textId="77777777" w:rsidR="004E7BBD" w:rsidRPr="00EA452B" w:rsidRDefault="004E7BBD" w:rsidP="00CB646F">
      <w:pPr>
        <w:spacing w:before="120" w:after="120" w:line="360" w:lineRule="auto"/>
        <w:jc w:val="center"/>
        <w:rPr>
          <w:rFonts w:ascii="Arial" w:hAnsi="Arial" w:cs="Arial"/>
        </w:rPr>
      </w:pPr>
      <w:r w:rsidRPr="00EA452B">
        <w:rPr>
          <w:rFonts w:ascii="Arial" w:hAnsi="Arial" w:cs="Arial"/>
        </w:rPr>
        <w:t>(Source: Public Health England, 2018)</w:t>
      </w:r>
    </w:p>
    <w:p w14:paraId="6FCEFA4C" w14:textId="77777777" w:rsidR="004E7BBD" w:rsidRPr="00EA452B" w:rsidRDefault="004E7BBD" w:rsidP="004E7BBD">
      <w:pPr>
        <w:spacing w:before="120" w:after="120" w:line="360" w:lineRule="auto"/>
        <w:jc w:val="both"/>
        <w:rPr>
          <w:rFonts w:ascii="Arial" w:hAnsi="Arial" w:cs="Arial"/>
        </w:rPr>
      </w:pPr>
      <w:r w:rsidRPr="00EA452B">
        <w:rPr>
          <w:rFonts w:ascii="Arial" w:hAnsi="Arial" w:cs="Arial"/>
        </w:rPr>
        <w:t>Social determinants are equally important in the context of TB transmission and outcomes. Deprivation on a socioeconomic level is related to a high number of cases of TB due to poor housing conditions, poverty, unemployment, food deprivation, and lack of medical care access. Environmental factors are yet another element in the process of TB transmission. Therefore, the strategy for TB reduction must include not only medicine but also public health measures.</w:t>
      </w:r>
    </w:p>
    <w:p w14:paraId="726519C9" w14:textId="61BE597F" w:rsidR="004E7BBD" w:rsidRPr="00EA452B" w:rsidRDefault="004E7BBD" w:rsidP="004E7BBD">
      <w:pPr>
        <w:pStyle w:val="Heading2"/>
      </w:pPr>
      <w:bookmarkStart w:id="34" w:name="_heading=h.dtllucygx2u9" w:colFirst="0" w:colLast="0"/>
      <w:bookmarkStart w:id="35" w:name="_Toc236947706"/>
      <w:bookmarkEnd w:id="34"/>
      <w:r w:rsidRPr="00EA452B">
        <w:t>Epidemiological Studies and Health Needs Assessment</w:t>
      </w:r>
      <w:r w:rsidR="00CB646F" w:rsidRPr="00EA452B">
        <w:t xml:space="preserve"> for the Population at Risk</w:t>
      </w:r>
      <w:bookmarkEnd w:id="35"/>
    </w:p>
    <w:p w14:paraId="7B5A8A05" w14:textId="7751FCEA" w:rsidR="004E7BBD" w:rsidRPr="00EA452B" w:rsidRDefault="001355A8" w:rsidP="004E7BBD">
      <w:pPr>
        <w:spacing w:before="120" w:after="120" w:line="360" w:lineRule="auto"/>
        <w:jc w:val="both"/>
        <w:rPr>
          <w:rFonts w:ascii="Arial" w:hAnsi="Arial" w:cs="Arial"/>
        </w:rPr>
      </w:pPr>
      <w:bookmarkStart w:id="36" w:name="_heading=h.rehkldhb7f0f" w:colFirst="0" w:colLast="0"/>
      <w:bookmarkEnd w:id="36"/>
      <w:r w:rsidRPr="00EA452B">
        <w:rPr>
          <w:rFonts w:ascii="Arial" w:hAnsi="Arial" w:cs="Arial"/>
        </w:rPr>
        <w:t xml:space="preserve">Epidemiological studies are essential for identifying populations at greater risk of contracting tuberculosis (TB). Despite being classified as a low-incidence country, TB is not equally prevalent across the population. According to the surveillance report by the UK Health Security Agency (UKHSA), TB is clustered among specific high-risk populations in urban centres such as London, </w:t>
      </w:r>
      <w:r w:rsidRPr="00EA452B">
        <w:rPr>
          <w:rFonts w:ascii="Arial" w:hAnsi="Arial" w:cs="Arial"/>
        </w:rPr>
        <w:lastRenderedPageBreak/>
        <w:t>Birmingham, Manchester, and Leicester, owing to factors like socioeconomic deprivation and high population density (UKHSA, 2025). Certain population groups are particularly vulnerable to TB. High population density, poor ventilation, and inadequate housing facilitate airborne transmission of the disease. People who are homeless have a greater risk due to overcrowding, poor nutrition, substance abuse, and limited access to health services (Phillips et al., 2024). Household members and close contacts of infectious TB patients, together with healthcare professionals working in close contact with infected individuals, also have a high risk of infection. Consequently, epidemiological data remain essential for informing targeted TB prevention and control strategies in England.</w:t>
      </w:r>
    </w:p>
    <w:p w14:paraId="5B6DE697" w14:textId="217DEA24" w:rsidR="004E7BBD" w:rsidRPr="00EA452B" w:rsidRDefault="004E7BBD" w:rsidP="004E7BBD">
      <w:pPr>
        <w:pStyle w:val="Heading2"/>
      </w:pPr>
      <w:bookmarkStart w:id="37" w:name="_heading=h.21rap63os3ls" w:colFirst="0" w:colLast="0"/>
      <w:bookmarkStart w:id="38" w:name="_Toc236947707"/>
      <w:bookmarkEnd w:id="37"/>
      <w:r w:rsidRPr="00EA452B">
        <w:t>Surveillance and Monitoring</w:t>
      </w:r>
      <w:r w:rsidR="00CB646F" w:rsidRPr="00EA452B">
        <w:t xml:space="preserve"> of Tuberculosis</w:t>
      </w:r>
      <w:bookmarkEnd w:id="38"/>
    </w:p>
    <w:p w14:paraId="407AEF21" w14:textId="58872D6F" w:rsidR="004E7BBD" w:rsidRPr="00EA452B" w:rsidRDefault="001355A8" w:rsidP="004E7BBD">
      <w:pPr>
        <w:spacing w:before="120" w:after="120" w:line="360" w:lineRule="auto"/>
        <w:jc w:val="both"/>
        <w:rPr>
          <w:rFonts w:ascii="Arial" w:hAnsi="Arial" w:cs="Arial"/>
        </w:rPr>
      </w:pPr>
      <w:bookmarkStart w:id="39" w:name="_heading=h.yzczlypa0eqs" w:colFirst="0" w:colLast="0"/>
      <w:bookmarkEnd w:id="39"/>
      <w:r w:rsidRPr="00EA452B">
        <w:rPr>
          <w:rFonts w:ascii="Arial" w:hAnsi="Arial" w:cs="Arial"/>
        </w:rPr>
        <w:t>Surveillance and monitoring are essential for the control of TB in England because they enable public health authorities to identify TB cases and take appropriate public health action. The UK Health Security Agency monitors TB trends across the country. Laboratory testing identifies the causative organism, while nurses undertake contact tracing for individuals who have been in contact with infected patients. In 2023, 11.5% of eligible new entrant migrants were tested, compared with 8.7% in 2022 and 9.2% in 2021, although this remained below the national target of 25% (Heyckendorf et al., 2022). The UK Health Security Agency (UKHSA) manages national TB surveillance using the Enhanced Tuberculosis Surveillance (ETS) system, which captures information on patient demographics, clinical characteristics, laboratory findings, and treatment outcomes. Contact tracing continues to be an important aspect of surveillance, with household and workplace contacts being screened for active and latent TB infection. The UK pre-entry screening programme identified 505 cases of pulmonary TB among migrants in 2023 (Arti Shrivas and Singh, 2025). Surveillance is, therefore, fundamental to reducing disease transmission and supporting the long-term goal of TB elimination in England.</w:t>
      </w:r>
    </w:p>
    <w:p w14:paraId="4734AA11" w14:textId="77777777" w:rsidR="004E7BBD" w:rsidRPr="00EA452B" w:rsidRDefault="004E7BBD" w:rsidP="00CB646F">
      <w:pPr>
        <w:spacing w:before="120" w:after="120" w:line="360" w:lineRule="auto"/>
        <w:jc w:val="center"/>
        <w:rPr>
          <w:rFonts w:ascii="Arial" w:hAnsi="Arial" w:cs="Arial"/>
        </w:rPr>
      </w:pPr>
      <w:r w:rsidRPr="00EA452B">
        <w:rPr>
          <w:rFonts w:ascii="Arial" w:hAnsi="Arial" w:cs="Arial"/>
          <w:noProof/>
        </w:rPr>
        <w:lastRenderedPageBreak/>
        <w:drawing>
          <wp:inline distT="114300" distB="114300" distL="114300" distR="114300" wp14:anchorId="59980A98" wp14:editId="0B196B66">
            <wp:extent cx="3524250" cy="4095750"/>
            <wp:effectExtent l="19050" t="19050" r="19050" b="1905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3524734" cy="4096313"/>
                    </a:xfrm>
                    <a:prstGeom prst="rect">
                      <a:avLst/>
                    </a:prstGeom>
                    <a:ln w="12700">
                      <a:solidFill>
                        <a:srgbClr val="000000"/>
                      </a:solidFill>
                      <a:prstDash val="solid"/>
                    </a:ln>
                  </pic:spPr>
                </pic:pic>
              </a:graphicData>
            </a:graphic>
          </wp:inline>
        </w:drawing>
      </w:r>
    </w:p>
    <w:p w14:paraId="4A6D294A" w14:textId="09DE5431" w:rsidR="004E7BBD" w:rsidRPr="00EA452B" w:rsidRDefault="004E7BBD" w:rsidP="00CB646F">
      <w:pPr>
        <w:spacing w:before="120" w:after="120" w:line="360" w:lineRule="auto"/>
        <w:jc w:val="center"/>
        <w:rPr>
          <w:rFonts w:ascii="Arial" w:hAnsi="Arial" w:cs="Arial"/>
          <w:b/>
          <w:bCs/>
        </w:rPr>
      </w:pPr>
      <w:r w:rsidRPr="00EA452B">
        <w:rPr>
          <w:rFonts w:ascii="Arial" w:hAnsi="Arial" w:cs="Arial"/>
          <w:b/>
          <w:bCs/>
        </w:rPr>
        <w:t xml:space="preserve">Figure </w:t>
      </w:r>
      <w:r w:rsidR="00F15113">
        <w:rPr>
          <w:rFonts w:ascii="Arial" w:hAnsi="Arial" w:cs="Arial"/>
          <w:b/>
          <w:bCs/>
        </w:rPr>
        <w:t>2</w:t>
      </w:r>
      <w:r w:rsidRPr="00EA452B">
        <w:rPr>
          <w:rFonts w:ascii="Arial" w:hAnsi="Arial" w:cs="Arial"/>
          <w:b/>
          <w:bCs/>
        </w:rPr>
        <w:t>: “</w:t>
      </w:r>
      <w:r w:rsidR="00CB646F" w:rsidRPr="00EA452B">
        <w:rPr>
          <w:rFonts w:ascii="Arial" w:hAnsi="Arial" w:cs="Arial"/>
          <w:b/>
          <w:bCs/>
        </w:rPr>
        <w:t>Prevalence of Tuberculosis in the UK</w:t>
      </w:r>
      <w:r w:rsidRPr="00EA452B">
        <w:rPr>
          <w:rFonts w:ascii="Arial" w:hAnsi="Arial" w:cs="Arial"/>
          <w:b/>
          <w:bCs/>
        </w:rPr>
        <w:t>"</w:t>
      </w:r>
    </w:p>
    <w:p w14:paraId="58D5D0ED" w14:textId="77777777" w:rsidR="004E7BBD" w:rsidRPr="00EA452B" w:rsidRDefault="004E7BBD" w:rsidP="00CB646F">
      <w:pPr>
        <w:spacing w:before="120" w:after="120" w:line="360" w:lineRule="auto"/>
        <w:jc w:val="center"/>
        <w:rPr>
          <w:rFonts w:ascii="Arial" w:hAnsi="Arial" w:cs="Arial"/>
        </w:rPr>
      </w:pPr>
      <w:r w:rsidRPr="00EA452B">
        <w:rPr>
          <w:rFonts w:ascii="Arial" w:hAnsi="Arial" w:cs="Arial"/>
        </w:rPr>
        <w:t>(Source: Shaw, 2024)</w:t>
      </w:r>
    </w:p>
    <w:p w14:paraId="21B9E33D" w14:textId="20066369" w:rsidR="004E7BBD" w:rsidRPr="00EA452B" w:rsidRDefault="004E7BBD" w:rsidP="00CB646F">
      <w:pPr>
        <w:pStyle w:val="Heading2"/>
      </w:pPr>
      <w:bookmarkStart w:id="40" w:name="_heading=h.iprs7c4soirs" w:colFirst="0" w:colLast="0"/>
      <w:bookmarkStart w:id="41" w:name="_Toc236947708"/>
      <w:bookmarkEnd w:id="40"/>
      <w:r w:rsidRPr="00EA452B">
        <w:t>Public Health Impact</w:t>
      </w:r>
      <w:r w:rsidR="00CB646F" w:rsidRPr="00EA452B">
        <w:t xml:space="preserve"> in terms of </w:t>
      </w:r>
      <w:bookmarkStart w:id="42" w:name="_heading=h.4vc1lvkodjnh" w:colFirst="0" w:colLast="0"/>
      <w:bookmarkEnd w:id="42"/>
      <w:r w:rsidRPr="00EA452B">
        <w:t>Short- and Long-Term Consequences</w:t>
      </w:r>
      <w:bookmarkEnd w:id="41"/>
    </w:p>
    <w:p w14:paraId="734F621D" w14:textId="77777777" w:rsidR="004E7BBD" w:rsidRPr="00EA452B" w:rsidRDefault="004E7BBD" w:rsidP="004E7BBD">
      <w:pPr>
        <w:spacing w:before="120" w:after="120" w:line="360" w:lineRule="auto"/>
        <w:jc w:val="both"/>
        <w:rPr>
          <w:rFonts w:ascii="Arial" w:hAnsi="Arial" w:cs="Arial"/>
        </w:rPr>
      </w:pPr>
      <w:r w:rsidRPr="00EA452B">
        <w:rPr>
          <w:rFonts w:ascii="Arial" w:hAnsi="Arial" w:cs="Arial"/>
        </w:rPr>
        <w:t>Tuberculosis in England is one of the most important public health problems that still requires attention, as the number of people notified with the disease ranges between 9.4 per 100,000 of population. This disease affects vulnerable groups of people, increases health inequalities, overburdens NHS services in certain regions of England and poses a threat to the attainment of WHO’s objectives for England. Possible long-term effects of tuberculosis include not only lung damage, but also respiratory dysfunction, disability, psychological disorders and even premature death in some cases (World Health Organization, 2025). People who suffer from multidrug-resistant TB require a long course of treatment which lasts up to two years and increases the likelihood of adverse effects and non-compliance with prescribed treatment. Such long-term treatment programmes overburden NHS services as a result of additional hospitalization, specialist visits, tests and contact tracing efforts.</w:t>
      </w:r>
    </w:p>
    <w:p w14:paraId="4773F343" w14:textId="30207831" w:rsidR="004E7BBD" w:rsidRPr="00EA452B" w:rsidRDefault="004E7BBD" w:rsidP="004E7BBD">
      <w:pPr>
        <w:pStyle w:val="Heading2"/>
      </w:pPr>
      <w:bookmarkStart w:id="43" w:name="_heading=h.2m0mkfqr4l6r" w:colFirst="0" w:colLast="0"/>
      <w:bookmarkStart w:id="44" w:name="_Toc236947709"/>
      <w:bookmarkEnd w:id="43"/>
      <w:r w:rsidRPr="00EA452B">
        <w:lastRenderedPageBreak/>
        <w:t>Health Intervention Programme</w:t>
      </w:r>
      <w:bookmarkEnd w:id="44"/>
    </w:p>
    <w:p w14:paraId="5A09513E" w14:textId="57481CD6" w:rsidR="004E7BBD" w:rsidRPr="00EA452B" w:rsidRDefault="001355A8" w:rsidP="004E7BBD">
      <w:pPr>
        <w:spacing w:before="120" w:after="120" w:line="360" w:lineRule="auto"/>
        <w:jc w:val="both"/>
        <w:rPr>
          <w:rFonts w:ascii="Arial" w:hAnsi="Arial" w:cs="Arial"/>
        </w:rPr>
      </w:pPr>
      <w:bookmarkStart w:id="45" w:name="_heading=h.x4u57nwxvtbz" w:colFirst="0" w:colLast="0"/>
      <w:bookmarkEnd w:id="45"/>
      <w:r w:rsidRPr="00EA452B">
        <w:rPr>
          <w:rFonts w:ascii="Arial" w:hAnsi="Arial" w:cs="Arial"/>
        </w:rPr>
        <w:t xml:space="preserve">There needs to be the implementation of a targeted community-based screening and awareness campaign for TB among urban populations with a high incidence of TB, such as recent migrants, homeless people, and socioeconomically disadvantaged communities. The programme should include mobile screening units with facilities for digital chest X-ray imaging and rapid molecular TB diagnosis operating in partnership with the NHS and community organizations. There is also a need to conduct multilingual awareness campaigns about the symptoms, causes, prevention, and treatment of TB (Lukman, </w:t>
      </w:r>
      <w:proofErr w:type="spellStart"/>
      <w:r w:rsidRPr="00EA452B">
        <w:rPr>
          <w:rFonts w:ascii="Arial" w:hAnsi="Arial" w:cs="Arial"/>
        </w:rPr>
        <w:t>Rakhmawati</w:t>
      </w:r>
      <w:proofErr w:type="spellEnd"/>
      <w:r w:rsidRPr="00EA452B">
        <w:rPr>
          <w:rFonts w:ascii="Arial" w:hAnsi="Arial" w:cs="Arial"/>
        </w:rPr>
        <w:t xml:space="preserve"> and </w:t>
      </w:r>
      <w:proofErr w:type="spellStart"/>
      <w:r w:rsidRPr="00EA452B">
        <w:rPr>
          <w:rFonts w:ascii="Arial" w:hAnsi="Arial" w:cs="Arial"/>
        </w:rPr>
        <w:t>Rositianti</w:t>
      </w:r>
      <w:proofErr w:type="spellEnd"/>
      <w:r w:rsidRPr="00EA452B">
        <w:rPr>
          <w:rFonts w:ascii="Arial" w:hAnsi="Arial" w:cs="Arial"/>
        </w:rPr>
        <w:t>, 2025). People identified with latent TB or active TB infection should be promptly referred to specialised TB healthcare services. The impact of this intervention strategy should be measured using performance indicators such as the number of people screened, TB detection rates, treatment completion rates, patient satisfaction, and community awareness.</w:t>
      </w:r>
    </w:p>
    <w:p w14:paraId="327EA67E" w14:textId="68AFC51B" w:rsidR="004E7BBD" w:rsidRPr="00EA452B" w:rsidRDefault="004E7BBD" w:rsidP="004E7BBD">
      <w:pPr>
        <w:pStyle w:val="Heading2"/>
      </w:pPr>
      <w:bookmarkStart w:id="46" w:name="_heading=h.zevnuiwp2y6a" w:colFirst="0" w:colLast="0"/>
      <w:bookmarkStart w:id="47" w:name="_Toc236947710"/>
      <w:bookmarkEnd w:id="46"/>
      <w:r w:rsidRPr="00EA452B">
        <w:t>Strengths and Weaknesses of the Epidemiological Approach</w:t>
      </w:r>
      <w:bookmarkEnd w:id="47"/>
    </w:p>
    <w:p w14:paraId="2B79FD10" w14:textId="1AE3E079" w:rsidR="004E7BBD" w:rsidRPr="00EA452B" w:rsidRDefault="001355A8" w:rsidP="004E7BBD">
      <w:pPr>
        <w:spacing w:before="120" w:after="120" w:line="360" w:lineRule="auto"/>
        <w:jc w:val="both"/>
        <w:rPr>
          <w:rFonts w:ascii="Arial" w:hAnsi="Arial" w:cs="Arial"/>
        </w:rPr>
      </w:pPr>
      <w:bookmarkStart w:id="48" w:name="_heading=h.4z3zg0djq1oq" w:colFirst="0" w:colLast="0"/>
      <w:bookmarkEnd w:id="48"/>
      <w:r w:rsidRPr="00EA452B">
        <w:rPr>
          <w:rFonts w:ascii="Arial" w:hAnsi="Arial" w:cs="Arial"/>
        </w:rPr>
        <w:t>The use of epidemiological approaches in TB, such as contact tracing, molecular typing, and surveillance registries, strengthens disease control by identifying transmission pathways, targeting high-risk groups, and monitoring drug resistance (Mesquita et al., 2025). Nevertheless, the usefulness of these methods is constrained by underreporting, the prolonged latent phase of TB, and the high costs associated with genomic testing. In addition, quantitative epidemiology may not fully capture the social, cultural, and behavioural factors that influence healthcare utilisation and treatment adherence.</w:t>
      </w:r>
    </w:p>
    <w:p w14:paraId="01EE139A" w14:textId="3A298213" w:rsidR="004E7BBD" w:rsidRPr="00EA452B" w:rsidRDefault="004E7BBD" w:rsidP="004E7BBD">
      <w:pPr>
        <w:pStyle w:val="Heading2"/>
      </w:pPr>
      <w:bookmarkStart w:id="49" w:name="_heading=h.i60z1a61ct50" w:colFirst="0" w:colLast="0"/>
      <w:bookmarkStart w:id="50" w:name="_Toc236947711"/>
      <w:bookmarkEnd w:id="49"/>
      <w:r w:rsidRPr="00EA452B">
        <w:t>Conclusion</w:t>
      </w:r>
      <w:bookmarkEnd w:id="50"/>
    </w:p>
    <w:p w14:paraId="2572A4AF" w14:textId="49722A6E" w:rsidR="00371993" w:rsidRPr="00EA452B" w:rsidRDefault="00371993" w:rsidP="004E7BBD">
      <w:pPr>
        <w:spacing w:before="120" w:after="120" w:line="360" w:lineRule="auto"/>
        <w:jc w:val="both"/>
        <w:rPr>
          <w:rFonts w:ascii="Arial" w:hAnsi="Arial" w:cs="Arial"/>
        </w:rPr>
      </w:pPr>
      <w:r w:rsidRPr="00EA452B">
        <w:rPr>
          <w:rFonts w:ascii="Arial" w:hAnsi="Arial" w:cs="Arial"/>
        </w:rPr>
        <w:t>Tuberculosis remains a public health concern in England, especially within high-risk population groups. Effective surveillance, early diagnosis, contact tracing, and community-based interventions are essential to reducing disease transmission and improving treatment outcomes. Continued investment in equitable healthcare services and targeted public health strategies will be fundamental to achieving long-term TB control and reducing health inequalities in England.</w:t>
      </w:r>
    </w:p>
    <w:p w14:paraId="3BD2ACC8" w14:textId="77777777" w:rsidR="00371993" w:rsidRPr="00EA452B" w:rsidRDefault="00371993">
      <w:pPr>
        <w:rPr>
          <w:rFonts w:ascii="Arial" w:hAnsi="Arial" w:cs="Arial"/>
        </w:rPr>
      </w:pPr>
      <w:r w:rsidRPr="00EA452B">
        <w:rPr>
          <w:rFonts w:ascii="Arial" w:hAnsi="Arial" w:cs="Arial"/>
        </w:rPr>
        <w:br w:type="page"/>
      </w:r>
    </w:p>
    <w:p w14:paraId="3A2487B9" w14:textId="77777777" w:rsidR="004E7BBD" w:rsidRPr="00EA452B" w:rsidRDefault="004E7BBD" w:rsidP="004E7BBD">
      <w:pPr>
        <w:pStyle w:val="Heading1"/>
      </w:pPr>
      <w:bookmarkStart w:id="51" w:name="_heading=h.6odki96zjbml" w:colFirst="0" w:colLast="0"/>
      <w:bookmarkStart w:id="52" w:name="_Toc236947712"/>
      <w:bookmarkEnd w:id="51"/>
      <w:r w:rsidRPr="00EA452B">
        <w:lastRenderedPageBreak/>
        <w:t>References</w:t>
      </w:r>
      <w:bookmarkEnd w:id="52"/>
      <w:r w:rsidRPr="00EA452B">
        <w:t xml:space="preserve"> </w:t>
      </w:r>
    </w:p>
    <w:p w14:paraId="4C220D82" w14:textId="77777777" w:rsidR="00CB646F" w:rsidRPr="00EA452B" w:rsidRDefault="00CB646F" w:rsidP="004E7BBD">
      <w:pPr>
        <w:spacing w:before="120" w:after="120" w:line="360" w:lineRule="auto"/>
        <w:jc w:val="both"/>
        <w:rPr>
          <w:rFonts w:ascii="Arial" w:hAnsi="Arial" w:cs="Arial"/>
        </w:rPr>
      </w:pPr>
      <w:proofErr w:type="spellStart"/>
      <w:r w:rsidRPr="00EA452B">
        <w:rPr>
          <w:rFonts w:ascii="Arial" w:hAnsi="Arial" w:cs="Arial"/>
        </w:rPr>
        <w:t>Aeddula</w:t>
      </w:r>
      <w:proofErr w:type="spellEnd"/>
      <w:r w:rsidRPr="00EA452B">
        <w:rPr>
          <w:rFonts w:ascii="Arial" w:hAnsi="Arial" w:cs="Arial"/>
        </w:rPr>
        <w:t xml:space="preserve">, N. and Vaidya, S. (2024). </w:t>
      </w:r>
      <w:r w:rsidRPr="00EA452B">
        <w:rPr>
          <w:rFonts w:ascii="Arial" w:hAnsi="Arial" w:cs="Arial"/>
          <w:i/>
          <w:iCs/>
        </w:rPr>
        <w:t>Chronic kidney disease</w:t>
      </w:r>
      <w:r w:rsidRPr="00EA452B">
        <w:rPr>
          <w:rFonts w:ascii="Arial" w:hAnsi="Arial" w:cs="Arial"/>
        </w:rPr>
        <w:t xml:space="preserve">. [online] </w:t>
      </w:r>
      <w:r w:rsidRPr="00EA452B">
        <w:rPr>
          <w:rFonts w:ascii="Arial" w:hAnsi="Arial" w:cs="Arial"/>
          <w:i/>
          <w:iCs/>
        </w:rPr>
        <w:t>National Library of Medicine</w:t>
      </w:r>
      <w:r w:rsidRPr="00EA452B">
        <w:rPr>
          <w:rFonts w:ascii="Arial" w:hAnsi="Arial" w:cs="Arial"/>
        </w:rPr>
        <w:t xml:space="preserve">. </w:t>
      </w:r>
      <w:proofErr w:type="spellStart"/>
      <w:r w:rsidRPr="00EA452B">
        <w:rPr>
          <w:rFonts w:ascii="Arial" w:hAnsi="Arial" w:cs="Arial"/>
        </w:rPr>
        <w:t>StatPearls</w:t>
      </w:r>
      <w:proofErr w:type="spellEnd"/>
      <w:r w:rsidRPr="00EA452B">
        <w:rPr>
          <w:rFonts w:ascii="Arial" w:hAnsi="Arial" w:cs="Arial"/>
        </w:rPr>
        <w:t xml:space="preserve"> Publishing. Available at: https://www.ncbi.nlm.nih.gov/books/NBK535404/ [Accessed 6 Aug. 2026].</w:t>
      </w:r>
    </w:p>
    <w:p w14:paraId="516D21EC"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Ajayi, O. (2021). A perspective on health inequalities in BAME communities and how to improve access to primary care. </w:t>
      </w:r>
      <w:r w:rsidRPr="00EA452B">
        <w:rPr>
          <w:rFonts w:ascii="Arial" w:hAnsi="Arial" w:cs="Arial"/>
          <w:i/>
          <w:iCs/>
        </w:rPr>
        <w:t>Future Healthcare Journal</w:t>
      </w:r>
      <w:r w:rsidRPr="00EA452B">
        <w:rPr>
          <w:rFonts w:ascii="Arial" w:hAnsi="Arial" w:cs="Arial"/>
        </w:rPr>
        <w:t xml:space="preserve">, [online] 8(1), pp.36–39. </w:t>
      </w:r>
      <w:proofErr w:type="spellStart"/>
      <w:proofErr w:type="gramStart"/>
      <w:r w:rsidRPr="00EA452B">
        <w:rPr>
          <w:rFonts w:ascii="Arial" w:hAnsi="Arial" w:cs="Arial"/>
        </w:rPr>
        <w:t>doi:https</w:t>
      </w:r>
      <w:proofErr w:type="spellEnd"/>
      <w:r w:rsidRPr="00EA452B">
        <w:rPr>
          <w:rFonts w:ascii="Arial" w:hAnsi="Arial" w:cs="Arial"/>
        </w:rPr>
        <w:t>://doi.org/10.7861/fhj.2020-0217</w:t>
      </w:r>
      <w:proofErr w:type="gramEnd"/>
      <w:r w:rsidRPr="00EA452B">
        <w:rPr>
          <w:rFonts w:ascii="Arial" w:hAnsi="Arial" w:cs="Arial"/>
        </w:rPr>
        <w:t>.</w:t>
      </w:r>
    </w:p>
    <w:p w14:paraId="62BB3D0A"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Arti Shrivas and Singh, S. (2025). Tuberculosis diagnosis and management: Recent advances. </w:t>
      </w:r>
      <w:r w:rsidRPr="00EA452B">
        <w:rPr>
          <w:rFonts w:ascii="Arial" w:hAnsi="Arial" w:cs="Arial"/>
          <w:i/>
          <w:iCs/>
        </w:rPr>
        <w:t>Journal of Global Infectious Diseases</w:t>
      </w:r>
      <w:r w:rsidRPr="00EA452B">
        <w:rPr>
          <w:rFonts w:ascii="Arial" w:hAnsi="Arial" w:cs="Arial"/>
        </w:rPr>
        <w:t xml:space="preserve">, 17(1), pp.3–9. </w:t>
      </w:r>
      <w:proofErr w:type="gramStart"/>
      <w:r w:rsidRPr="00EA452B">
        <w:rPr>
          <w:rFonts w:ascii="Arial" w:hAnsi="Arial" w:cs="Arial"/>
        </w:rPr>
        <w:t>doi:10.4103/jgid.jgid</w:t>
      </w:r>
      <w:proofErr w:type="gramEnd"/>
      <w:r w:rsidRPr="00EA452B">
        <w:rPr>
          <w:rFonts w:ascii="Arial" w:hAnsi="Arial" w:cs="Arial"/>
        </w:rPr>
        <w:t>_112_24.</w:t>
      </w:r>
    </w:p>
    <w:p w14:paraId="44218E76"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Chelak, K. and Chakole, S. (2023). The role of Social Determinants of Health in promoting health equality: A narrative review. </w:t>
      </w:r>
      <w:r w:rsidRPr="00EA452B">
        <w:rPr>
          <w:rFonts w:ascii="Arial" w:hAnsi="Arial" w:cs="Arial"/>
          <w:i/>
          <w:iCs/>
        </w:rPr>
        <w:t>Cureus</w:t>
      </w:r>
      <w:r w:rsidRPr="00EA452B">
        <w:rPr>
          <w:rFonts w:ascii="Arial" w:hAnsi="Arial" w:cs="Arial"/>
        </w:rPr>
        <w:t>, [online] 15(1). doi:10.7759/cureus.33425.</w:t>
      </w:r>
    </w:p>
    <w:p w14:paraId="566318F0"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Choi, Y., Park, S.J., An, H.S., Kim, H.M., Yoo, J.Y., Pyo, S.W., Song, J.S. and Lee, S.E. (2025a). Epidemiological analysis of tuberculosis transmission, risk factors, and subclinical tuberculosis management in a high school outbreak, South Korea. </w:t>
      </w:r>
      <w:r w:rsidRPr="00EA452B">
        <w:rPr>
          <w:rFonts w:ascii="Arial" w:hAnsi="Arial" w:cs="Arial"/>
          <w:i/>
          <w:iCs/>
        </w:rPr>
        <w:t>Open Forum Infectious Diseases</w:t>
      </w:r>
      <w:r w:rsidRPr="00EA452B">
        <w:rPr>
          <w:rFonts w:ascii="Arial" w:hAnsi="Arial" w:cs="Arial"/>
        </w:rPr>
        <w:t>, [online] 12(8). doi:10.1093/</w:t>
      </w:r>
      <w:proofErr w:type="spellStart"/>
      <w:r w:rsidRPr="00EA452B">
        <w:rPr>
          <w:rFonts w:ascii="Arial" w:hAnsi="Arial" w:cs="Arial"/>
        </w:rPr>
        <w:t>ofid</w:t>
      </w:r>
      <w:proofErr w:type="spellEnd"/>
      <w:r w:rsidRPr="00EA452B">
        <w:rPr>
          <w:rFonts w:ascii="Arial" w:hAnsi="Arial" w:cs="Arial"/>
        </w:rPr>
        <w:t>/ofaf452.</w:t>
      </w:r>
    </w:p>
    <w:p w14:paraId="32C08163"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Choi, Y., Park, S.J., An, H.S., Kim, H.M., Yoo, J.Y., Pyo, S.W., Song, J.S. and Lee, S.E. (2025b). Epidemiological analysis of tuberculosis transmission, risk factors, and subclinical tuberculosis management in a high school outbreak, South Korea. </w:t>
      </w:r>
      <w:r w:rsidRPr="00EA452B">
        <w:rPr>
          <w:rFonts w:ascii="Arial" w:hAnsi="Arial" w:cs="Arial"/>
          <w:i/>
          <w:iCs/>
        </w:rPr>
        <w:t>Open Forum Infectious Diseases</w:t>
      </w:r>
      <w:r w:rsidRPr="00EA452B">
        <w:rPr>
          <w:rFonts w:ascii="Arial" w:hAnsi="Arial" w:cs="Arial"/>
        </w:rPr>
        <w:t>, [online] 12(8). doi:10.1093/</w:t>
      </w:r>
      <w:proofErr w:type="spellStart"/>
      <w:r w:rsidRPr="00EA452B">
        <w:rPr>
          <w:rFonts w:ascii="Arial" w:hAnsi="Arial" w:cs="Arial"/>
        </w:rPr>
        <w:t>ofid</w:t>
      </w:r>
      <w:proofErr w:type="spellEnd"/>
      <w:r w:rsidRPr="00EA452B">
        <w:rPr>
          <w:rFonts w:ascii="Arial" w:hAnsi="Arial" w:cs="Arial"/>
        </w:rPr>
        <w:t>/ofaf452.</w:t>
      </w:r>
    </w:p>
    <w:p w14:paraId="1E307069" w14:textId="77777777" w:rsidR="00CB646F" w:rsidRPr="00EA452B" w:rsidRDefault="00CB646F" w:rsidP="004E7BBD">
      <w:pPr>
        <w:spacing w:before="120" w:after="120" w:line="360" w:lineRule="auto"/>
        <w:jc w:val="both"/>
        <w:rPr>
          <w:rFonts w:ascii="Arial" w:hAnsi="Arial" w:cs="Arial"/>
        </w:rPr>
      </w:pPr>
      <w:proofErr w:type="spellStart"/>
      <w:r w:rsidRPr="00EA452B">
        <w:rPr>
          <w:rFonts w:ascii="Arial" w:hAnsi="Arial" w:cs="Arial"/>
        </w:rPr>
        <w:t>Glaziou</w:t>
      </w:r>
      <w:proofErr w:type="spellEnd"/>
      <w:r w:rsidRPr="00EA452B">
        <w:rPr>
          <w:rFonts w:ascii="Arial" w:hAnsi="Arial" w:cs="Arial"/>
        </w:rPr>
        <w:t xml:space="preserve">, P., Floyd, K. and Raviglione, M. (2018). Trends in tuberculosis in the UK. </w:t>
      </w:r>
      <w:r w:rsidRPr="00EA452B">
        <w:rPr>
          <w:rFonts w:ascii="Arial" w:hAnsi="Arial" w:cs="Arial"/>
          <w:i/>
          <w:iCs/>
        </w:rPr>
        <w:t>Thorax</w:t>
      </w:r>
      <w:r w:rsidRPr="00EA452B">
        <w:rPr>
          <w:rFonts w:ascii="Arial" w:hAnsi="Arial" w:cs="Arial"/>
        </w:rPr>
        <w:t>, [online] 73(8), pp.702–703. doi:10.1136/thoraxjnl-2018-211537.</w:t>
      </w:r>
    </w:p>
    <w:p w14:paraId="43551D86" w14:textId="77777777" w:rsidR="00CB646F" w:rsidRPr="00EA452B" w:rsidRDefault="00CB646F" w:rsidP="004E7BBD">
      <w:pPr>
        <w:spacing w:before="120" w:after="120" w:line="360" w:lineRule="auto"/>
        <w:jc w:val="both"/>
        <w:rPr>
          <w:rFonts w:ascii="Arial" w:hAnsi="Arial" w:cs="Arial"/>
        </w:rPr>
      </w:pPr>
      <w:proofErr w:type="spellStart"/>
      <w:r w:rsidRPr="00EA452B">
        <w:rPr>
          <w:rFonts w:ascii="Arial" w:hAnsi="Arial" w:cs="Arial"/>
        </w:rPr>
        <w:t>Goorani</w:t>
      </w:r>
      <w:proofErr w:type="spellEnd"/>
      <w:r w:rsidRPr="00EA452B">
        <w:rPr>
          <w:rFonts w:ascii="Arial" w:hAnsi="Arial" w:cs="Arial"/>
        </w:rPr>
        <w:t xml:space="preserve">, S., </w:t>
      </w:r>
      <w:proofErr w:type="spellStart"/>
      <w:r w:rsidRPr="00EA452B">
        <w:rPr>
          <w:rFonts w:ascii="Arial" w:hAnsi="Arial" w:cs="Arial"/>
        </w:rPr>
        <w:t>Zangene</w:t>
      </w:r>
      <w:proofErr w:type="spellEnd"/>
      <w:r w:rsidRPr="00EA452B">
        <w:rPr>
          <w:rFonts w:ascii="Arial" w:hAnsi="Arial" w:cs="Arial"/>
        </w:rPr>
        <w:t>, S. and Imig, J. D (2024). Hypertension: A continuing public healthcare issue. International Journal of Molecular Sciences, 26(1), pp.123–123. doi:10.3390/ijms26010123.</w:t>
      </w:r>
    </w:p>
    <w:p w14:paraId="335A6C0E"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Heyckendorf, J., Georghiou, S.B., Frahm, N., Heinrich, N., </w:t>
      </w:r>
      <w:proofErr w:type="spellStart"/>
      <w:r w:rsidRPr="00EA452B">
        <w:rPr>
          <w:rFonts w:ascii="Arial" w:hAnsi="Arial" w:cs="Arial"/>
        </w:rPr>
        <w:t>Kontsevaya</w:t>
      </w:r>
      <w:proofErr w:type="spellEnd"/>
      <w:r w:rsidRPr="00EA452B">
        <w:rPr>
          <w:rFonts w:ascii="Arial" w:hAnsi="Arial" w:cs="Arial"/>
        </w:rPr>
        <w:t xml:space="preserve">, I., Reimann, M., Holtzman, D., Imperial, M., Cirillo, D.M., Gillespie, S.H. and </w:t>
      </w:r>
      <w:proofErr w:type="spellStart"/>
      <w:r w:rsidRPr="00EA452B">
        <w:rPr>
          <w:rFonts w:ascii="Arial" w:hAnsi="Arial" w:cs="Arial"/>
        </w:rPr>
        <w:t>Ruhwald</w:t>
      </w:r>
      <w:proofErr w:type="spellEnd"/>
      <w:r w:rsidRPr="00EA452B">
        <w:rPr>
          <w:rFonts w:ascii="Arial" w:hAnsi="Arial" w:cs="Arial"/>
        </w:rPr>
        <w:t xml:space="preserve">, M. (2022). Tuberculosis treatment monitoring and outcome measures: New interest and new strategies. </w:t>
      </w:r>
      <w:r w:rsidRPr="00EA452B">
        <w:rPr>
          <w:rFonts w:ascii="Arial" w:hAnsi="Arial" w:cs="Arial"/>
          <w:i/>
          <w:iCs/>
        </w:rPr>
        <w:t>Clinical Microbiology Reviews</w:t>
      </w:r>
      <w:r w:rsidRPr="00EA452B">
        <w:rPr>
          <w:rFonts w:ascii="Arial" w:hAnsi="Arial" w:cs="Arial"/>
        </w:rPr>
        <w:t>, 35(3). doi:10.1128/cmr.00227-21.</w:t>
      </w:r>
    </w:p>
    <w:p w14:paraId="2EF02EC7"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Iqbal, A. and Jamal, S. (2023). </w:t>
      </w:r>
      <w:r w:rsidRPr="00EA452B">
        <w:rPr>
          <w:rFonts w:ascii="Arial" w:hAnsi="Arial" w:cs="Arial"/>
          <w:i/>
          <w:iCs/>
        </w:rPr>
        <w:t>Essential hypertension</w:t>
      </w:r>
      <w:r w:rsidRPr="00EA452B">
        <w:rPr>
          <w:rFonts w:ascii="Arial" w:hAnsi="Arial" w:cs="Arial"/>
        </w:rPr>
        <w:t xml:space="preserve">. [online] </w:t>
      </w:r>
      <w:r w:rsidRPr="00EA452B">
        <w:rPr>
          <w:rFonts w:ascii="Arial" w:hAnsi="Arial" w:cs="Arial"/>
          <w:i/>
          <w:iCs/>
        </w:rPr>
        <w:t>National Library of Medicine</w:t>
      </w:r>
      <w:r w:rsidRPr="00EA452B">
        <w:rPr>
          <w:rFonts w:ascii="Arial" w:hAnsi="Arial" w:cs="Arial"/>
        </w:rPr>
        <w:t>. Available at: https://www.ncbi.nlm.nih.gov/books/NBK539859/ [Accessed 6 Aug. 2026].</w:t>
      </w:r>
    </w:p>
    <w:p w14:paraId="4F3F4C07"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lastRenderedPageBreak/>
        <w:t xml:space="preserve">Lui, F., Khan Suheb, M.Z. and Patti, L. (2025). </w:t>
      </w:r>
      <w:r w:rsidRPr="00EA452B">
        <w:rPr>
          <w:rFonts w:ascii="Arial" w:hAnsi="Arial" w:cs="Arial"/>
          <w:i/>
          <w:iCs/>
        </w:rPr>
        <w:t>Ischemic stroke</w:t>
      </w:r>
      <w:r w:rsidRPr="00EA452B">
        <w:rPr>
          <w:rFonts w:ascii="Arial" w:hAnsi="Arial" w:cs="Arial"/>
        </w:rPr>
        <w:t xml:space="preserve">. [online] </w:t>
      </w:r>
      <w:r w:rsidRPr="00EA452B">
        <w:rPr>
          <w:rFonts w:ascii="Arial" w:hAnsi="Arial" w:cs="Arial"/>
          <w:i/>
          <w:iCs/>
        </w:rPr>
        <w:t>National Library of Medicine</w:t>
      </w:r>
      <w:r w:rsidRPr="00EA452B">
        <w:rPr>
          <w:rFonts w:ascii="Arial" w:hAnsi="Arial" w:cs="Arial"/>
        </w:rPr>
        <w:t xml:space="preserve">. </w:t>
      </w:r>
      <w:proofErr w:type="spellStart"/>
      <w:r w:rsidRPr="00EA452B">
        <w:rPr>
          <w:rFonts w:ascii="Arial" w:hAnsi="Arial" w:cs="Arial"/>
        </w:rPr>
        <w:t>StatPearls</w:t>
      </w:r>
      <w:proofErr w:type="spellEnd"/>
      <w:r w:rsidRPr="00EA452B">
        <w:rPr>
          <w:rFonts w:ascii="Arial" w:hAnsi="Arial" w:cs="Arial"/>
        </w:rPr>
        <w:t xml:space="preserve"> Publishing. Available at: https://www.ncbi.nlm.nih.gov/books/NBK499997/ [Accessed 6 Aug. 2026].</w:t>
      </w:r>
    </w:p>
    <w:p w14:paraId="4A548A2D"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Lukman, M., </w:t>
      </w:r>
      <w:proofErr w:type="spellStart"/>
      <w:r w:rsidRPr="00EA452B">
        <w:rPr>
          <w:rFonts w:ascii="Arial" w:hAnsi="Arial" w:cs="Arial"/>
        </w:rPr>
        <w:t>Rakhmawati</w:t>
      </w:r>
      <w:proofErr w:type="spellEnd"/>
      <w:r w:rsidRPr="00EA452B">
        <w:rPr>
          <w:rFonts w:ascii="Arial" w:hAnsi="Arial" w:cs="Arial"/>
        </w:rPr>
        <w:t xml:space="preserve">, W. and </w:t>
      </w:r>
      <w:proofErr w:type="spellStart"/>
      <w:r w:rsidRPr="00EA452B">
        <w:rPr>
          <w:rFonts w:ascii="Arial" w:hAnsi="Arial" w:cs="Arial"/>
        </w:rPr>
        <w:t>Rositianti</w:t>
      </w:r>
      <w:proofErr w:type="spellEnd"/>
      <w:r w:rsidRPr="00EA452B">
        <w:rPr>
          <w:rFonts w:ascii="Arial" w:hAnsi="Arial" w:cs="Arial"/>
        </w:rPr>
        <w:t xml:space="preserve">, - (2025). Health service contracting in the prevention and treatment of tuberculosis: A scoping review. </w:t>
      </w:r>
      <w:r w:rsidRPr="00EA452B">
        <w:rPr>
          <w:rFonts w:ascii="Arial" w:hAnsi="Arial" w:cs="Arial"/>
          <w:i/>
          <w:iCs/>
        </w:rPr>
        <w:t>Journal of Multidisciplinary Healthcare</w:t>
      </w:r>
      <w:r w:rsidRPr="00EA452B">
        <w:rPr>
          <w:rFonts w:ascii="Arial" w:hAnsi="Arial" w:cs="Arial"/>
        </w:rPr>
        <w:t>, Volume 18, pp.6955–6964. doi:10.2147/</w:t>
      </w:r>
      <w:proofErr w:type="gramStart"/>
      <w:r w:rsidRPr="00EA452B">
        <w:rPr>
          <w:rFonts w:ascii="Arial" w:hAnsi="Arial" w:cs="Arial"/>
        </w:rPr>
        <w:t>jmdh.s</w:t>
      </w:r>
      <w:proofErr w:type="gramEnd"/>
      <w:r w:rsidRPr="00EA452B">
        <w:rPr>
          <w:rFonts w:ascii="Arial" w:hAnsi="Arial" w:cs="Arial"/>
        </w:rPr>
        <w:t>547815.</w:t>
      </w:r>
    </w:p>
    <w:p w14:paraId="2845ADD3"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Mesquita, S., Lília </w:t>
      </w:r>
      <w:proofErr w:type="spellStart"/>
      <w:r w:rsidRPr="00EA452B">
        <w:rPr>
          <w:rFonts w:ascii="Arial" w:hAnsi="Arial" w:cs="Arial"/>
        </w:rPr>
        <w:t>Perfeito</w:t>
      </w:r>
      <w:proofErr w:type="spellEnd"/>
      <w:r w:rsidRPr="00EA452B">
        <w:rPr>
          <w:rFonts w:ascii="Arial" w:hAnsi="Arial" w:cs="Arial"/>
        </w:rPr>
        <w:t xml:space="preserve">, Paolotti, D. and Gonçalves-Sá, J. (2025). Epidemiological methods in transition: Minimizing biases in classical and digital approaches. </w:t>
      </w:r>
      <w:r w:rsidRPr="00EA452B">
        <w:rPr>
          <w:rFonts w:ascii="Arial" w:hAnsi="Arial" w:cs="Arial"/>
          <w:i/>
          <w:iCs/>
        </w:rPr>
        <w:t>PLOS Digital Health</w:t>
      </w:r>
      <w:r w:rsidRPr="00EA452B">
        <w:rPr>
          <w:rFonts w:ascii="Arial" w:hAnsi="Arial" w:cs="Arial"/>
        </w:rPr>
        <w:t xml:space="preserve">, 4(1), </w:t>
      </w:r>
      <w:proofErr w:type="gramStart"/>
      <w:r w:rsidRPr="00EA452B">
        <w:rPr>
          <w:rFonts w:ascii="Arial" w:hAnsi="Arial" w:cs="Arial"/>
        </w:rPr>
        <w:t>pp.e</w:t>
      </w:r>
      <w:proofErr w:type="gramEnd"/>
      <w:r w:rsidRPr="00EA452B">
        <w:rPr>
          <w:rFonts w:ascii="Arial" w:hAnsi="Arial" w:cs="Arial"/>
        </w:rPr>
        <w:t xml:space="preserve">0000670-e0000670. </w:t>
      </w:r>
      <w:proofErr w:type="gramStart"/>
      <w:r w:rsidRPr="00EA452B">
        <w:rPr>
          <w:rFonts w:ascii="Arial" w:hAnsi="Arial" w:cs="Arial"/>
        </w:rPr>
        <w:t>doi:10.1371/journal.pdig</w:t>
      </w:r>
      <w:proofErr w:type="gramEnd"/>
      <w:r w:rsidRPr="00EA452B">
        <w:rPr>
          <w:rFonts w:ascii="Arial" w:hAnsi="Arial" w:cs="Arial"/>
        </w:rPr>
        <w:t>.0000670.</w:t>
      </w:r>
    </w:p>
    <w:p w14:paraId="142A4A73"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Op, E., </w:t>
      </w:r>
      <w:proofErr w:type="spellStart"/>
      <w:r w:rsidRPr="00EA452B">
        <w:rPr>
          <w:rFonts w:ascii="Arial" w:hAnsi="Arial" w:cs="Arial"/>
        </w:rPr>
        <w:t>Ledegen</w:t>
      </w:r>
      <w:proofErr w:type="spellEnd"/>
      <w:r w:rsidRPr="00EA452B">
        <w:rPr>
          <w:rFonts w:ascii="Arial" w:hAnsi="Arial" w:cs="Arial"/>
        </w:rPr>
        <w:t xml:space="preserve">, H., Gytha Slechten, Josefien Van Olmen, Loof, H. De, </w:t>
      </w:r>
      <w:proofErr w:type="spellStart"/>
      <w:r w:rsidRPr="00EA452B">
        <w:rPr>
          <w:rFonts w:ascii="Arial" w:hAnsi="Arial" w:cs="Arial"/>
        </w:rPr>
        <w:t>Bastiaens</w:t>
      </w:r>
      <w:proofErr w:type="spellEnd"/>
      <w:r w:rsidRPr="00EA452B">
        <w:rPr>
          <w:rFonts w:ascii="Arial" w:hAnsi="Arial" w:cs="Arial"/>
        </w:rPr>
        <w:t xml:space="preserve">, H. and </w:t>
      </w:r>
      <w:proofErr w:type="spellStart"/>
      <w:r w:rsidRPr="00EA452B">
        <w:rPr>
          <w:rFonts w:ascii="Arial" w:hAnsi="Arial" w:cs="Arial"/>
        </w:rPr>
        <w:t>Masquillier</w:t>
      </w:r>
      <w:proofErr w:type="spellEnd"/>
      <w:r w:rsidRPr="00EA452B">
        <w:rPr>
          <w:rFonts w:ascii="Arial" w:hAnsi="Arial" w:cs="Arial"/>
        </w:rPr>
        <w:t xml:space="preserve">, C. (2025). Understanding challenges in healthcare access: Qualitative insights from healthcare providers and people living in socio-economically vulnerable circumstances. </w:t>
      </w:r>
      <w:r w:rsidRPr="00EA452B">
        <w:rPr>
          <w:rFonts w:ascii="Arial" w:hAnsi="Arial" w:cs="Arial"/>
          <w:i/>
          <w:iCs/>
        </w:rPr>
        <w:t>International Journal for Equity in Health</w:t>
      </w:r>
      <w:r w:rsidRPr="00EA452B">
        <w:rPr>
          <w:rFonts w:ascii="Arial" w:hAnsi="Arial" w:cs="Arial"/>
        </w:rPr>
        <w:t>, 24(1). doi:10.1186/s12939-025-02613-0.</w:t>
      </w:r>
    </w:p>
    <w:p w14:paraId="3576EC9A"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Phillips, C.V., Burstyn, I., Miller, D., Hamade, A.K., </w:t>
      </w:r>
      <w:proofErr w:type="spellStart"/>
      <w:r w:rsidRPr="00EA452B">
        <w:rPr>
          <w:rFonts w:ascii="Arial" w:hAnsi="Arial" w:cs="Arial"/>
        </w:rPr>
        <w:t>Raghavendhran</w:t>
      </w:r>
      <w:proofErr w:type="spellEnd"/>
      <w:r w:rsidRPr="00EA452B">
        <w:rPr>
          <w:rFonts w:ascii="Arial" w:hAnsi="Arial" w:cs="Arial"/>
        </w:rPr>
        <w:t xml:space="preserve"> </w:t>
      </w:r>
      <w:proofErr w:type="spellStart"/>
      <w:r w:rsidRPr="00EA452B">
        <w:rPr>
          <w:rFonts w:ascii="Arial" w:hAnsi="Arial" w:cs="Arial"/>
        </w:rPr>
        <w:t>Avanasi</w:t>
      </w:r>
      <w:proofErr w:type="spellEnd"/>
      <w:r w:rsidRPr="00EA452B">
        <w:rPr>
          <w:rFonts w:ascii="Arial" w:hAnsi="Arial" w:cs="Arial"/>
        </w:rPr>
        <w:t xml:space="preserve">, Boon, D., Rege, S.V. and Sandrine </w:t>
      </w:r>
      <w:proofErr w:type="spellStart"/>
      <w:r w:rsidRPr="00EA452B">
        <w:rPr>
          <w:rFonts w:ascii="Arial" w:hAnsi="Arial" w:cs="Arial"/>
        </w:rPr>
        <w:t>Déglin</w:t>
      </w:r>
      <w:proofErr w:type="spellEnd"/>
      <w:r w:rsidRPr="00EA452B">
        <w:rPr>
          <w:rFonts w:ascii="Arial" w:hAnsi="Arial" w:cs="Arial"/>
        </w:rPr>
        <w:t xml:space="preserve"> (2024). Improving the integration of epidemiological data into human health risk assessment: What risk assessors told us they want. </w:t>
      </w:r>
      <w:r w:rsidRPr="00EA452B">
        <w:rPr>
          <w:rFonts w:ascii="Arial" w:hAnsi="Arial" w:cs="Arial"/>
          <w:i/>
          <w:iCs/>
        </w:rPr>
        <w:t>Global Epidemiology</w:t>
      </w:r>
      <w:r w:rsidRPr="00EA452B">
        <w:rPr>
          <w:rFonts w:ascii="Arial" w:hAnsi="Arial" w:cs="Arial"/>
        </w:rPr>
        <w:t xml:space="preserve">, pp.100167–100167. </w:t>
      </w:r>
      <w:proofErr w:type="gramStart"/>
      <w:r w:rsidRPr="00EA452B">
        <w:rPr>
          <w:rFonts w:ascii="Arial" w:hAnsi="Arial" w:cs="Arial"/>
        </w:rPr>
        <w:t>doi:10.1016/j.gloepi</w:t>
      </w:r>
      <w:proofErr w:type="gramEnd"/>
      <w:r w:rsidRPr="00EA452B">
        <w:rPr>
          <w:rFonts w:ascii="Arial" w:hAnsi="Arial" w:cs="Arial"/>
        </w:rPr>
        <w:t>.2024.100167.</w:t>
      </w:r>
    </w:p>
    <w:p w14:paraId="2E5FAD15"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Public Health England (2018). Health matters: Reducing health inequalities in mental illness. [online] Public Health England. Available at: https://www.gov.uk/government/publications/health-matters-reducing-health-inequalities-in-mental-illness/health-matters-reducing-health-inequalities-in-mental-illness [Accessed 6 Aug. 2026].</w:t>
      </w:r>
    </w:p>
    <w:p w14:paraId="277FD001"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Shaw, I. (2024). Map reveals ‘world’s deadliest infectious disease’ hotspots amid ‘worrying’ UK resurgence. [online] The Sun. Available at: https://www.thesun.co.uk/health/27462812/tb-tuberculosis-cases-rise-map-hotspots-uk/ [Accessed 6 Aug. 2026].</w:t>
      </w:r>
    </w:p>
    <w:p w14:paraId="6D5B73E1"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Slade, S. and Sergent, S.R. (2023). </w:t>
      </w:r>
      <w:r w:rsidRPr="00EA452B">
        <w:rPr>
          <w:rFonts w:ascii="Arial" w:hAnsi="Arial" w:cs="Arial"/>
          <w:i/>
          <w:iCs/>
        </w:rPr>
        <w:t>Language barrier</w:t>
      </w:r>
      <w:r w:rsidRPr="00EA452B">
        <w:rPr>
          <w:rFonts w:ascii="Arial" w:hAnsi="Arial" w:cs="Arial"/>
        </w:rPr>
        <w:t xml:space="preserve">. [online] </w:t>
      </w:r>
      <w:r w:rsidRPr="00EA452B">
        <w:rPr>
          <w:rFonts w:ascii="Arial" w:hAnsi="Arial" w:cs="Arial"/>
          <w:i/>
          <w:iCs/>
        </w:rPr>
        <w:t>PubMed</w:t>
      </w:r>
      <w:r w:rsidRPr="00EA452B">
        <w:rPr>
          <w:rFonts w:ascii="Arial" w:hAnsi="Arial" w:cs="Arial"/>
        </w:rPr>
        <w:t xml:space="preserve">. Treasure Island (FL): </w:t>
      </w:r>
      <w:proofErr w:type="spellStart"/>
      <w:r w:rsidRPr="00EA452B">
        <w:rPr>
          <w:rFonts w:ascii="Arial" w:hAnsi="Arial" w:cs="Arial"/>
        </w:rPr>
        <w:t>StatPearls</w:t>
      </w:r>
      <w:proofErr w:type="spellEnd"/>
      <w:r w:rsidRPr="00EA452B">
        <w:rPr>
          <w:rFonts w:ascii="Arial" w:hAnsi="Arial" w:cs="Arial"/>
        </w:rPr>
        <w:t xml:space="preserve"> Publishing. Available at: https://www.ncbi.nlm.nih.gov/books/NBK507819/ [Accessed 6 Aug. 2026].</w:t>
      </w:r>
    </w:p>
    <w:p w14:paraId="68795D72"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Tadi, P. and Lui, F. (2023). </w:t>
      </w:r>
      <w:r w:rsidRPr="00EA452B">
        <w:rPr>
          <w:rFonts w:ascii="Arial" w:hAnsi="Arial" w:cs="Arial"/>
          <w:i/>
          <w:iCs/>
        </w:rPr>
        <w:t>Acute stroke (cerebrovascular accident)</w:t>
      </w:r>
      <w:r w:rsidRPr="00EA452B">
        <w:rPr>
          <w:rFonts w:ascii="Arial" w:hAnsi="Arial" w:cs="Arial"/>
        </w:rPr>
        <w:t xml:space="preserve">. [online] </w:t>
      </w:r>
      <w:r w:rsidRPr="00EA452B">
        <w:rPr>
          <w:rFonts w:ascii="Arial" w:hAnsi="Arial" w:cs="Arial"/>
          <w:i/>
          <w:iCs/>
        </w:rPr>
        <w:t>Nih.gov</w:t>
      </w:r>
      <w:r w:rsidRPr="00EA452B">
        <w:rPr>
          <w:rFonts w:ascii="Arial" w:hAnsi="Arial" w:cs="Arial"/>
        </w:rPr>
        <w:t xml:space="preserve">. </w:t>
      </w:r>
      <w:proofErr w:type="spellStart"/>
      <w:r w:rsidRPr="00EA452B">
        <w:rPr>
          <w:rFonts w:ascii="Arial" w:hAnsi="Arial" w:cs="Arial"/>
        </w:rPr>
        <w:t>StatPearls</w:t>
      </w:r>
      <w:proofErr w:type="spellEnd"/>
      <w:r w:rsidRPr="00EA452B">
        <w:rPr>
          <w:rFonts w:ascii="Arial" w:hAnsi="Arial" w:cs="Arial"/>
        </w:rPr>
        <w:t xml:space="preserve"> Publishing. Available at: https://www.ncbi.nlm.nih.gov/books/NBK535369/ [Accessed 6 Aug. 2026].</w:t>
      </w:r>
    </w:p>
    <w:p w14:paraId="1302CF09"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lastRenderedPageBreak/>
        <w:t xml:space="preserve">Thomas, C. and Pearse, R.M. (2025). Socioeconomic deprivation and health inequity: Independently associated with postoperative outcomes, and does this matter? </w:t>
      </w:r>
      <w:r w:rsidRPr="00EA452B">
        <w:rPr>
          <w:rFonts w:ascii="Arial" w:hAnsi="Arial" w:cs="Arial"/>
          <w:i/>
          <w:iCs/>
        </w:rPr>
        <w:t>British Journal of Anaesthesia</w:t>
      </w:r>
      <w:r w:rsidRPr="00EA452B">
        <w:rPr>
          <w:rFonts w:ascii="Arial" w:hAnsi="Arial" w:cs="Arial"/>
        </w:rPr>
        <w:t xml:space="preserve">, [online] 135(5), pp.1141–1143. </w:t>
      </w:r>
      <w:proofErr w:type="gramStart"/>
      <w:r w:rsidRPr="00EA452B">
        <w:rPr>
          <w:rFonts w:ascii="Arial" w:hAnsi="Arial" w:cs="Arial"/>
        </w:rPr>
        <w:t>doi:10.1016/j.bja</w:t>
      </w:r>
      <w:proofErr w:type="gramEnd"/>
      <w:r w:rsidRPr="00EA452B">
        <w:rPr>
          <w:rFonts w:ascii="Arial" w:hAnsi="Arial" w:cs="Arial"/>
        </w:rPr>
        <w:t>.2025.07.002.</w:t>
      </w:r>
    </w:p>
    <w:p w14:paraId="6DCD3FF8"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UKHSA (2025). UKHSA Annual Report and Accounts 2024-25. In: </w:t>
      </w:r>
      <w:r w:rsidRPr="00EA452B">
        <w:rPr>
          <w:rFonts w:ascii="Arial" w:hAnsi="Arial" w:cs="Arial"/>
          <w:i/>
          <w:iCs/>
        </w:rPr>
        <w:t>UK Health Security Agency</w:t>
      </w:r>
      <w:r w:rsidRPr="00EA452B">
        <w:rPr>
          <w:rFonts w:ascii="Arial" w:hAnsi="Arial" w:cs="Arial"/>
        </w:rPr>
        <w:t>. [online] Available at: https://assets.publishing.service.gov.uk/media/69397301e447374889cd904b/UKHSA_Annual_Report_2024_25.pdf [Accessed 6 Aug. 2026].</w:t>
      </w:r>
    </w:p>
    <w:p w14:paraId="761BF3AB" w14:textId="77777777" w:rsidR="00CB646F" w:rsidRPr="00EA452B" w:rsidRDefault="00CB646F" w:rsidP="004E7BBD">
      <w:pPr>
        <w:spacing w:before="120" w:after="120" w:line="360" w:lineRule="auto"/>
        <w:jc w:val="both"/>
        <w:rPr>
          <w:rFonts w:ascii="Arial" w:hAnsi="Arial" w:cs="Arial"/>
        </w:rPr>
      </w:pPr>
      <w:r w:rsidRPr="00EA452B">
        <w:rPr>
          <w:rFonts w:ascii="Arial" w:hAnsi="Arial" w:cs="Arial"/>
        </w:rPr>
        <w:t xml:space="preserve">World Health Organization (2025). </w:t>
      </w:r>
      <w:r w:rsidRPr="00EA452B">
        <w:rPr>
          <w:rFonts w:ascii="Arial" w:hAnsi="Arial" w:cs="Arial"/>
          <w:i/>
          <w:iCs/>
        </w:rPr>
        <w:t>Tuberculosis</w:t>
      </w:r>
      <w:r w:rsidRPr="00EA452B">
        <w:rPr>
          <w:rFonts w:ascii="Arial" w:hAnsi="Arial" w:cs="Arial"/>
        </w:rPr>
        <w:t xml:space="preserve">. [online] </w:t>
      </w:r>
      <w:r w:rsidRPr="00EA452B">
        <w:rPr>
          <w:rFonts w:ascii="Arial" w:hAnsi="Arial" w:cs="Arial"/>
          <w:i/>
          <w:iCs/>
        </w:rPr>
        <w:t>World Health Organization</w:t>
      </w:r>
      <w:r w:rsidRPr="00EA452B">
        <w:rPr>
          <w:rFonts w:ascii="Arial" w:hAnsi="Arial" w:cs="Arial"/>
        </w:rPr>
        <w:t>. Available at: https://www.who.int/news-room/fact-sheets/detail/tuberculosis [Accessed 6 Aug. 2026].</w:t>
      </w:r>
    </w:p>
    <w:sectPr w:rsidR="00CB646F" w:rsidRPr="00EA452B" w:rsidSect="00982A62">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FAB538" w14:textId="77777777" w:rsidR="004C7534" w:rsidRDefault="004C7534" w:rsidP="00371993">
      <w:pPr>
        <w:spacing w:after="0" w:line="240" w:lineRule="auto"/>
      </w:pPr>
      <w:r>
        <w:separator/>
      </w:r>
    </w:p>
  </w:endnote>
  <w:endnote w:type="continuationSeparator" w:id="0">
    <w:p w14:paraId="1C3B48EA" w14:textId="77777777" w:rsidR="004C7534" w:rsidRDefault="004C7534" w:rsidP="00371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1952779291"/>
      <w:docPartObj>
        <w:docPartGallery w:val="Page Numbers (Bottom of Page)"/>
        <w:docPartUnique/>
      </w:docPartObj>
    </w:sdtPr>
    <w:sdtEndPr>
      <w:rPr>
        <w:noProof/>
      </w:rPr>
    </w:sdtEndPr>
    <w:sdtContent>
      <w:p w14:paraId="0ABE731D" w14:textId="5F295574" w:rsidR="00371993" w:rsidRPr="00371993" w:rsidRDefault="00371993" w:rsidP="00371993">
        <w:pPr>
          <w:pStyle w:val="Footer"/>
          <w:jc w:val="right"/>
          <w:rPr>
            <w:rFonts w:ascii="Arial" w:hAnsi="Arial" w:cs="Arial"/>
          </w:rPr>
        </w:pPr>
        <w:r w:rsidRPr="00371993">
          <w:rPr>
            <w:rFonts w:ascii="Arial" w:hAnsi="Arial" w:cs="Arial"/>
          </w:rPr>
          <w:fldChar w:fldCharType="begin"/>
        </w:r>
        <w:r w:rsidRPr="00371993">
          <w:rPr>
            <w:rFonts w:ascii="Arial" w:hAnsi="Arial" w:cs="Arial"/>
          </w:rPr>
          <w:instrText xml:space="preserve"> PAGE   \* MERGEFORMAT </w:instrText>
        </w:r>
        <w:r w:rsidRPr="00371993">
          <w:rPr>
            <w:rFonts w:ascii="Arial" w:hAnsi="Arial" w:cs="Arial"/>
          </w:rPr>
          <w:fldChar w:fldCharType="separate"/>
        </w:r>
        <w:r w:rsidRPr="00371993">
          <w:rPr>
            <w:rFonts w:ascii="Arial" w:hAnsi="Arial" w:cs="Arial"/>
            <w:noProof/>
          </w:rPr>
          <w:t>2</w:t>
        </w:r>
        <w:r w:rsidRPr="00371993">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8D2688" w14:textId="77777777" w:rsidR="004C7534" w:rsidRDefault="004C7534" w:rsidP="00371993">
      <w:pPr>
        <w:spacing w:after="0" w:line="240" w:lineRule="auto"/>
      </w:pPr>
      <w:r>
        <w:separator/>
      </w:r>
    </w:p>
  </w:footnote>
  <w:footnote w:type="continuationSeparator" w:id="0">
    <w:p w14:paraId="23532403" w14:textId="77777777" w:rsidR="004C7534" w:rsidRDefault="004C7534" w:rsidP="003719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BBD"/>
    <w:rsid w:val="000F219A"/>
    <w:rsid w:val="001139BD"/>
    <w:rsid w:val="001355A8"/>
    <w:rsid w:val="00371993"/>
    <w:rsid w:val="004972E5"/>
    <w:rsid w:val="004C7534"/>
    <w:rsid w:val="004D339E"/>
    <w:rsid w:val="004D4CB1"/>
    <w:rsid w:val="004E7BBD"/>
    <w:rsid w:val="0056458F"/>
    <w:rsid w:val="007B31DD"/>
    <w:rsid w:val="008B2AA1"/>
    <w:rsid w:val="00982A62"/>
    <w:rsid w:val="00CB646F"/>
    <w:rsid w:val="00CD0B98"/>
    <w:rsid w:val="00D64975"/>
    <w:rsid w:val="00E90378"/>
    <w:rsid w:val="00EA452B"/>
    <w:rsid w:val="00F15113"/>
    <w:rsid w:val="00F52D00"/>
    <w:rsid w:val="00FD321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E5C69"/>
  <w15:chartTrackingRefBased/>
  <w15:docId w15:val="{A9A90BCB-2CBC-47AA-8445-BD48CC183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BBD"/>
    <w:rPr>
      <w:rFonts w:ascii="Calibri" w:eastAsia="Calibri" w:hAnsi="Calibri" w:cs="Calibri"/>
      <w:lang w:val="en-GB" w:eastAsia="en-IN"/>
    </w:rPr>
  </w:style>
  <w:style w:type="paragraph" w:styleId="Heading1">
    <w:name w:val="heading 1"/>
    <w:basedOn w:val="Normal"/>
    <w:next w:val="Normal"/>
    <w:link w:val="Heading1Char"/>
    <w:uiPriority w:val="9"/>
    <w:qFormat/>
    <w:rsid w:val="004E7BBD"/>
    <w:pPr>
      <w:keepNext/>
      <w:keepLines/>
      <w:spacing w:before="120" w:after="120" w:line="360" w:lineRule="auto"/>
      <w:jc w:val="both"/>
      <w:outlineLvl w:val="0"/>
    </w:pPr>
    <w:rPr>
      <w:rFonts w:ascii="Arial" w:hAnsi="Arial" w:cs="Arial"/>
      <w:b/>
      <w:bCs/>
      <w:sz w:val="24"/>
      <w:szCs w:val="24"/>
    </w:rPr>
  </w:style>
  <w:style w:type="paragraph" w:styleId="Heading2">
    <w:name w:val="heading 2"/>
    <w:basedOn w:val="Normal"/>
    <w:next w:val="Normal"/>
    <w:link w:val="Heading2Char"/>
    <w:uiPriority w:val="9"/>
    <w:unhideWhenUsed/>
    <w:qFormat/>
    <w:rsid w:val="004E7BBD"/>
    <w:pPr>
      <w:keepNext/>
      <w:keepLines/>
      <w:spacing w:before="120" w:after="120" w:line="360" w:lineRule="auto"/>
      <w:jc w:val="both"/>
      <w:outlineLvl w:val="1"/>
    </w:pPr>
    <w:rPr>
      <w:rFonts w:ascii="Arial" w:hAnsi="Arial" w:cs="Arial"/>
      <w:b/>
      <w:bCs/>
      <w:i/>
      <w:iCs/>
      <w:sz w:val="24"/>
      <w:szCs w:val="24"/>
    </w:rPr>
  </w:style>
  <w:style w:type="paragraph" w:styleId="Heading3">
    <w:name w:val="heading 3"/>
    <w:basedOn w:val="Normal"/>
    <w:next w:val="Normal"/>
    <w:link w:val="Heading3Char"/>
    <w:uiPriority w:val="9"/>
    <w:unhideWhenUsed/>
    <w:qFormat/>
    <w:rsid w:val="004E7BBD"/>
    <w:pPr>
      <w:keepNext/>
      <w:keepLines/>
      <w:spacing w:before="120" w:after="120" w:line="360" w:lineRule="auto"/>
      <w:jc w:val="both"/>
      <w:outlineLvl w:val="2"/>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BBD"/>
    <w:rPr>
      <w:rFonts w:ascii="Arial" w:eastAsia="Calibri" w:hAnsi="Arial" w:cs="Arial"/>
      <w:b/>
      <w:bCs/>
      <w:sz w:val="24"/>
      <w:szCs w:val="24"/>
      <w:lang w:val="en-GB" w:eastAsia="en-IN"/>
    </w:rPr>
  </w:style>
  <w:style w:type="character" w:customStyle="1" w:styleId="Heading2Char">
    <w:name w:val="Heading 2 Char"/>
    <w:basedOn w:val="DefaultParagraphFont"/>
    <w:link w:val="Heading2"/>
    <w:uiPriority w:val="9"/>
    <w:rsid w:val="004E7BBD"/>
    <w:rPr>
      <w:rFonts w:ascii="Arial" w:eastAsia="Calibri" w:hAnsi="Arial" w:cs="Arial"/>
      <w:b/>
      <w:bCs/>
      <w:i/>
      <w:iCs/>
      <w:sz w:val="24"/>
      <w:szCs w:val="24"/>
      <w:lang w:val="en-GB" w:eastAsia="en-IN"/>
    </w:rPr>
  </w:style>
  <w:style w:type="character" w:customStyle="1" w:styleId="Heading3Char">
    <w:name w:val="Heading 3 Char"/>
    <w:basedOn w:val="DefaultParagraphFont"/>
    <w:link w:val="Heading3"/>
    <w:uiPriority w:val="9"/>
    <w:rsid w:val="004E7BBD"/>
    <w:rPr>
      <w:rFonts w:ascii="Arial" w:eastAsia="Calibri" w:hAnsi="Arial" w:cs="Arial"/>
      <w:b/>
      <w:bCs/>
      <w:lang w:val="en-GB" w:eastAsia="en-IN"/>
    </w:rPr>
  </w:style>
  <w:style w:type="paragraph" w:styleId="TOCHeading">
    <w:name w:val="TOC Heading"/>
    <w:basedOn w:val="Heading1"/>
    <w:next w:val="Normal"/>
    <w:uiPriority w:val="39"/>
    <w:unhideWhenUsed/>
    <w:qFormat/>
    <w:rsid w:val="004E7BBD"/>
    <w:pPr>
      <w:spacing w:before="240" w:after="0"/>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4E7BBD"/>
    <w:pPr>
      <w:spacing w:after="100"/>
    </w:pPr>
  </w:style>
  <w:style w:type="paragraph" w:styleId="TOC2">
    <w:name w:val="toc 2"/>
    <w:basedOn w:val="Normal"/>
    <w:next w:val="Normal"/>
    <w:autoRedefine/>
    <w:uiPriority w:val="39"/>
    <w:unhideWhenUsed/>
    <w:rsid w:val="004E7BBD"/>
    <w:pPr>
      <w:spacing w:after="100"/>
      <w:ind w:left="220"/>
    </w:pPr>
  </w:style>
  <w:style w:type="paragraph" w:styleId="TOC3">
    <w:name w:val="toc 3"/>
    <w:basedOn w:val="Normal"/>
    <w:next w:val="Normal"/>
    <w:autoRedefine/>
    <w:uiPriority w:val="39"/>
    <w:unhideWhenUsed/>
    <w:rsid w:val="004E7BBD"/>
    <w:pPr>
      <w:spacing w:after="100"/>
      <w:ind w:left="440"/>
    </w:pPr>
  </w:style>
  <w:style w:type="character" w:styleId="Hyperlink">
    <w:name w:val="Hyperlink"/>
    <w:basedOn w:val="DefaultParagraphFont"/>
    <w:uiPriority w:val="99"/>
    <w:unhideWhenUsed/>
    <w:rsid w:val="004E7BBD"/>
    <w:rPr>
      <w:color w:val="0563C1" w:themeColor="hyperlink"/>
      <w:u w:val="single"/>
    </w:rPr>
  </w:style>
  <w:style w:type="paragraph" w:styleId="ListParagraph">
    <w:name w:val="List Paragraph"/>
    <w:basedOn w:val="Normal"/>
    <w:uiPriority w:val="34"/>
    <w:qFormat/>
    <w:rsid w:val="00CB646F"/>
    <w:pPr>
      <w:ind w:left="720"/>
      <w:contextualSpacing/>
    </w:pPr>
  </w:style>
  <w:style w:type="paragraph" w:styleId="Header">
    <w:name w:val="header"/>
    <w:basedOn w:val="Normal"/>
    <w:link w:val="HeaderChar"/>
    <w:uiPriority w:val="99"/>
    <w:unhideWhenUsed/>
    <w:rsid w:val="0037199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71993"/>
    <w:rPr>
      <w:rFonts w:ascii="Calibri" w:eastAsia="Calibri" w:hAnsi="Calibri" w:cs="Calibri"/>
      <w:lang w:val="en-GB" w:eastAsia="en-IN"/>
    </w:rPr>
  </w:style>
  <w:style w:type="paragraph" w:styleId="Footer">
    <w:name w:val="footer"/>
    <w:basedOn w:val="Normal"/>
    <w:link w:val="FooterChar"/>
    <w:uiPriority w:val="99"/>
    <w:unhideWhenUsed/>
    <w:rsid w:val="003719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1993"/>
    <w:rPr>
      <w:rFonts w:ascii="Calibri" w:eastAsia="Calibri" w:hAnsi="Calibri" w:cs="Calibri"/>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14</Pages>
  <Words>4023</Words>
  <Characters>22932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Gnanu Bhatt</cp:lastModifiedBy>
  <cp:revision>2</cp:revision>
  <dcterms:created xsi:type="dcterms:W3CDTF">2026-08-06T16:39:00Z</dcterms:created>
  <dcterms:modified xsi:type="dcterms:W3CDTF">2026-08-10T12:20:00Z</dcterms:modified>
</cp:coreProperties>
</file>