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70740" w14:textId="77777777" w:rsidR="00F352BA" w:rsidRDefault="00F352BA" w:rsidP="00F352BA">
      <w:pPr>
        <w:spacing w:after="160" w:line="360" w:lineRule="auto"/>
        <w:jc w:val="center"/>
        <w:rPr>
          <w:rFonts w:eastAsia="Times New Roman" w:cs="Times New Roman"/>
          <w:b/>
          <w:bCs/>
          <w:color w:val="000000"/>
          <w:sz w:val="48"/>
          <w:szCs w:val="48"/>
          <w:lang w:val="en-US"/>
        </w:rPr>
      </w:pPr>
    </w:p>
    <w:p w14:paraId="185F5908" w14:textId="77777777" w:rsidR="00F352BA" w:rsidRDefault="00F352BA" w:rsidP="00F352BA">
      <w:pPr>
        <w:spacing w:after="160" w:line="360" w:lineRule="auto"/>
        <w:jc w:val="center"/>
        <w:rPr>
          <w:rFonts w:eastAsia="Times New Roman" w:cs="Times New Roman"/>
          <w:b/>
          <w:bCs/>
          <w:color w:val="000000"/>
          <w:sz w:val="48"/>
          <w:szCs w:val="48"/>
          <w:lang w:val="en-US"/>
        </w:rPr>
      </w:pPr>
    </w:p>
    <w:p w14:paraId="6E930820" w14:textId="77777777" w:rsidR="00F352BA" w:rsidRDefault="00F352BA" w:rsidP="00F352BA">
      <w:pPr>
        <w:spacing w:after="160" w:line="360" w:lineRule="auto"/>
        <w:jc w:val="center"/>
        <w:rPr>
          <w:rFonts w:eastAsia="Times New Roman" w:cs="Times New Roman"/>
          <w:b/>
          <w:bCs/>
          <w:color w:val="000000"/>
          <w:sz w:val="48"/>
          <w:szCs w:val="48"/>
          <w:lang w:val="en-US"/>
        </w:rPr>
      </w:pPr>
    </w:p>
    <w:p w14:paraId="26CDF91D" w14:textId="1AACBE8D" w:rsidR="00F352BA" w:rsidRPr="00F352BA" w:rsidRDefault="0085171E" w:rsidP="00F352BA">
      <w:pPr>
        <w:spacing w:after="160" w:line="360" w:lineRule="auto"/>
        <w:jc w:val="center"/>
        <w:rPr>
          <w:rFonts w:eastAsia="Times New Roman" w:cs="Times New Roman"/>
          <w:b/>
          <w:bCs/>
          <w:color w:val="000000"/>
          <w:sz w:val="48"/>
          <w:szCs w:val="48"/>
          <w:lang w:val="en-US"/>
        </w:rPr>
      </w:pPr>
      <w:r w:rsidRPr="00F352BA">
        <w:rPr>
          <w:rFonts w:eastAsia="Times New Roman" w:cs="Times New Roman"/>
          <w:b/>
          <w:bCs/>
          <w:color w:val="000000"/>
          <w:sz w:val="48"/>
          <w:szCs w:val="48"/>
          <w:lang w:val="en-US"/>
        </w:rPr>
        <w:t>International Financial Management</w:t>
      </w:r>
    </w:p>
    <w:p w14:paraId="645FBEF2" w14:textId="3EF04915" w:rsidR="00F352BA" w:rsidRPr="00F352BA" w:rsidRDefault="0085171E" w:rsidP="00F352BA">
      <w:pPr>
        <w:spacing w:after="160" w:line="360" w:lineRule="auto"/>
        <w:jc w:val="center"/>
        <w:rPr>
          <w:rFonts w:eastAsia="Times New Roman" w:cs="Times New Roman"/>
          <w:b/>
          <w:bCs/>
          <w:color w:val="000000"/>
          <w:sz w:val="48"/>
          <w:szCs w:val="48"/>
          <w:lang w:val="en-US"/>
        </w:rPr>
      </w:pPr>
      <w:r w:rsidRPr="00F352BA">
        <w:rPr>
          <w:rFonts w:eastAsia="Times New Roman" w:cs="Times New Roman"/>
          <w:b/>
          <w:bCs/>
          <w:color w:val="000000"/>
          <w:sz w:val="48"/>
          <w:szCs w:val="48"/>
          <w:lang w:val="en-US"/>
        </w:rPr>
        <w:t>Assignment Title: Written Report</w:t>
      </w:r>
    </w:p>
    <w:p w14:paraId="18A15265" w14:textId="51C0D968" w:rsidR="00F352BA" w:rsidRPr="00F352BA" w:rsidRDefault="0085171E" w:rsidP="00F352BA">
      <w:pPr>
        <w:spacing w:after="160" w:line="360" w:lineRule="auto"/>
        <w:jc w:val="center"/>
        <w:rPr>
          <w:rFonts w:eastAsia="Times New Roman" w:cs="Times New Roman"/>
          <w:b/>
          <w:bCs/>
          <w:color w:val="000000"/>
          <w:sz w:val="32"/>
          <w:szCs w:val="32"/>
          <w:lang w:val="en-US"/>
        </w:rPr>
      </w:pPr>
      <w:r w:rsidRPr="00F352BA">
        <w:rPr>
          <w:rFonts w:eastAsia="Times New Roman" w:cs="Times New Roman"/>
          <w:b/>
          <w:bCs/>
          <w:color w:val="000000"/>
          <w:sz w:val="32"/>
          <w:szCs w:val="32"/>
          <w:lang w:val="en-US"/>
        </w:rPr>
        <w:t>Student Name:</w:t>
      </w:r>
      <w:r w:rsidR="005B66D2">
        <w:rPr>
          <w:rFonts w:eastAsia="Times New Roman" w:cs="Times New Roman"/>
          <w:b/>
          <w:bCs/>
          <w:color w:val="000000"/>
          <w:sz w:val="32"/>
          <w:szCs w:val="32"/>
          <w:lang w:val="en-US"/>
        </w:rPr>
        <w:t xml:space="preserve"> Maxim Popa</w:t>
      </w:r>
    </w:p>
    <w:p w14:paraId="06E6C834" w14:textId="57B72659" w:rsidR="00F352BA" w:rsidRPr="00F352BA" w:rsidRDefault="0085171E" w:rsidP="00F352BA">
      <w:pPr>
        <w:spacing w:after="160" w:line="360" w:lineRule="auto"/>
        <w:jc w:val="center"/>
        <w:rPr>
          <w:rFonts w:eastAsia="Times New Roman" w:cs="Times New Roman"/>
          <w:b/>
          <w:bCs/>
          <w:color w:val="000000"/>
          <w:sz w:val="32"/>
          <w:szCs w:val="32"/>
          <w:lang w:val="en-US"/>
        </w:rPr>
      </w:pPr>
      <w:r w:rsidRPr="00F352BA">
        <w:rPr>
          <w:rFonts w:eastAsia="Times New Roman" w:cs="Times New Roman"/>
          <w:b/>
          <w:bCs/>
          <w:color w:val="000000"/>
          <w:sz w:val="32"/>
          <w:szCs w:val="32"/>
          <w:lang w:val="en-US"/>
        </w:rPr>
        <w:t>Student ID:</w:t>
      </w:r>
      <w:r w:rsidR="005B66D2">
        <w:rPr>
          <w:rFonts w:eastAsia="Times New Roman" w:cs="Times New Roman"/>
          <w:b/>
          <w:bCs/>
          <w:color w:val="000000"/>
          <w:sz w:val="32"/>
          <w:szCs w:val="32"/>
          <w:lang w:val="en-US"/>
        </w:rPr>
        <w:t>2029761</w:t>
      </w:r>
    </w:p>
    <w:p w14:paraId="69372DA1" w14:textId="77777777" w:rsidR="00F352BA" w:rsidRDefault="0085171E">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2C646DC0" w14:textId="30593446" w:rsidR="00F352BA" w:rsidRPr="00F352BA" w:rsidRDefault="0085171E" w:rsidP="00F352BA">
      <w:pPr>
        <w:jc w:val="center"/>
        <w:rPr>
          <w:rFonts w:eastAsia="Times New Roman" w:cs="Times New Roman"/>
          <w:szCs w:val="24"/>
          <w:lang w:val="en-US"/>
        </w:rPr>
      </w:pPr>
      <w:r w:rsidRPr="00F352BA">
        <w:rPr>
          <w:rFonts w:eastAsia="Times New Roman" w:cs="Times New Roman"/>
          <w:b/>
          <w:bCs/>
          <w:color w:val="000000"/>
          <w:szCs w:val="24"/>
          <w:lang w:val="en-US"/>
        </w:rPr>
        <w:lastRenderedPageBreak/>
        <w:t>Executive Summary</w:t>
      </w:r>
    </w:p>
    <w:p w14:paraId="23D31C31" w14:textId="4594BB09"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 xml:space="preserve">The whole report has defined the impact of international financial management techniques on the business operations of BP Plc. While understanding the subject matter, the </w:t>
      </w:r>
      <w:r w:rsidR="005B66D2" w:rsidRPr="00F352BA">
        <w:rPr>
          <w:rFonts w:eastAsia="Times New Roman" w:cs="Times New Roman"/>
          <w:color w:val="000000"/>
          <w:szCs w:val="24"/>
          <w:lang w:val="en-US"/>
        </w:rPr>
        <w:t>utilization</w:t>
      </w:r>
      <w:r w:rsidRPr="00F352BA">
        <w:rPr>
          <w:rFonts w:eastAsia="Times New Roman" w:cs="Times New Roman"/>
          <w:color w:val="000000"/>
          <w:szCs w:val="24"/>
          <w:lang w:val="en-US"/>
        </w:rPr>
        <w:t xml:space="preserve"> of dividend distribution policy has been </w:t>
      </w:r>
      <w:r>
        <w:rPr>
          <w:rFonts w:eastAsia="Times New Roman" w:cs="Times New Roman"/>
          <w:color w:val="000000"/>
          <w:szCs w:val="24"/>
          <w:lang w:val="en-US"/>
        </w:rPr>
        <w:t>discussed</w:t>
      </w:r>
      <w:r w:rsidRPr="00F352BA">
        <w:rPr>
          <w:rFonts w:eastAsia="Times New Roman" w:cs="Times New Roman"/>
          <w:color w:val="000000"/>
          <w:szCs w:val="24"/>
          <w:lang w:val="en-US"/>
        </w:rPr>
        <w:t xml:space="preserve"> in a proper manner. Apart from that, the analysis of efficient market hypothesis theory </w:t>
      </w:r>
      <w:r>
        <w:rPr>
          <w:rFonts w:eastAsia="Times New Roman" w:cs="Times New Roman"/>
          <w:color w:val="000000"/>
          <w:szCs w:val="24"/>
          <w:lang w:val="en-US"/>
        </w:rPr>
        <w:t>has</w:t>
      </w:r>
      <w:r w:rsidRPr="00F352BA">
        <w:rPr>
          <w:rFonts w:eastAsia="Times New Roman" w:cs="Times New Roman"/>
          <w:color w:val="000000"/>
          <w:szCs w:val="24"/>
          <w:lang w:val="en-US"/>
        </w:rPr>
        <w:t xml:space="preserve"> been demonstrated along with its factors which are suitable for the organisation. Afterwards, the implementation of project appraisal methods have properly been mentioned to make the company successful in maintaining operational activities significantly. </w:t>
      </w:r>
    </w:p>
    <w:p w14:paraId="0095E580" w14:textId="77777777" w:rsidR="00F352BA" w:rsidRDefault="0085171E">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bookmarkStart w:id="0" w:name="_Toc140591856" w:displacedByCustomXml="next"/>
    <w:sdt>
      <w:sdtPr>
        <w:rPr>
          <w:rFonts w:ascii="Times New Roman" w:eastAsia="Arial" w:hAnsi="Times New Roman" w:cs="Arial"/>
          <w:color w:val="auto"/>
          <w:sz w:val="24"/>
          <w:szCs w:val="22"/>
          <w:lang w:val="en"/>
        </w:rPr>
        <w:id w:val="1895224492"/>
        <w:docPartObj>
          <w:docPartGallery w:val="Table of Contents"/>
          <w:docPartUnique/>
        </w:docPartObj>
      </w:sdtPr>
      <w:sdtEndPr>
        <w:rPr>
          <w:b/>
          <w:bCs/>
          <w:noProof/>
        </w:rPr>
      </w:sdtEndPr>
      <w:sdtContent>
        <w:p w14:paraId="65F2871C" w14:textId="77777777" w:rsidR="009A4CC6" w:rsidRDefault="009A4CC6" w:rsidP="009A4CC6">
          <w:pPr>
            <w:pStyle w:val="TOCHeading"/>
          </w:pPr>
          <w:r>
            <w:t>Table of Contents</w:t>
          </w:r>
        </w:p>
        <w:p w14:paraId="24362254" w14:textId="77777777" w:rsidR="009A4CC6" w:rsidRDefault="009A4CC6" w:rsidP="009A4CC6">
          <w:pPr>
            <w:pStyle w:val="TOC1"/>
            <w:tabs>
              <w:tab w:val="right" w:leader="dot" w:pos="9350"/>
            </w:tabs>
            <w:rPr>
              <w:noProof/>
            </w:rPr>
          </w:pPr>
          <w:r>
            <w:fldChar w:fldCharType="begin"/>
          </w:r>
          <w:r>
            <w:instrText xml:space="preserve"> TOC \o "1-3" \h \z \u </w:instrText>
          </w:r>
          <w:r>
            <w:fldChar w:fldCharType="separate"/>
          </w:r>
          <w:hyperlink w:anchor="_Toc140591856" w:history="1">
            <w:r w:rsidRPr="007A4E95">
              <w:rPr>
                <w:rStyle w:val="Hyperlink"/>
                <w:noProof/>
                <w:lang w:bidi="th-TH"/>
              </w:rPr>
              <w:t>Introduction</w:t>
            </w:r>
            <w:r>
              <w:rPr>
                <w:noProof/>
                <w:webHidden/>
              </w:rPr>
              <w:tab/>
            </w:r>
            <w:r>
              <w:rPr>
                <w:noProof/>
                <w:webHidden/>
              </w:rPr>
              <w:fldChar w:fldCharType="begin"/>
            </w:r>
            <w:r>
              <w:rPr>
                <w:noProof/>
                <w:webHidden/>
              </w:rPr>
              <w:instrText xml:space="preserve"> PAGEREF _Toc140591856 \h </w:instrText>
            </w:r>
            <w:r>
              <w:rPr>
                <w:noProof/>
                <w:webHidden/>
              </w:rPr>
            </w:r>
            <w:r>
              <w:rPr>
                <w:noProof/>
                <w:webHidden/>
              </w:rPr>
              <w:fldChar w:fldCharType="separate"/>
            </w:r>
            <w:r>
              <w:rPr>
                <w:noProof/>
                <w:webHidden/>
              </w:rPr>
              <w:t>3</w:t>
            </w:r>
            <w:r>
              <w:rPr>
                <w:noProof/>
                <w:webHidden/>
              </w:rPr>
              <w:fldChar w:fldCharType="end"/>
            </w:r>
          </w:hyperlink>
        </w:p>
        <w:p w14:paraId="4BCFAC3C" w14:textId="77777777" w:rsidR="009A4CC6" w:rsidRDefault="0085171E" w:rsidP="009A4CC6">
          <w:pPr>
            <w:pStyle w:val="TOC1"/>
            <w:tabs>
              <w:tab w:val="right" w:leader="dot" w:pos="9350"/>
            </w:tabs>
            <w:rPr>
              <w:noProof/>
            </w:rPr>
          </w:pPr>
          <w:hyperlink w:anchor="_Toc140591857" w:history="1">
            <w:r w:rsidR="009A4CC6" w:rsidRPr="007A4E95">
              <w:rPr>
                <w:rStyle w:val="Hyperlink"/>
                <w:noProof/>
                <w:lang w:bidi="th-TH"/>
              </w:rPr>
              <w:t>Analysis and evaluation of BP Plc’s dividend distribution policy</w:t>
            </w:r>
            <w:r w:rsidR="009A4CC6">
              <w:rPr>
                <w:noProof/>
                <w:webHidden/>
              </w:rPr>
              <w:tab/>
            </w:r>
            <w:r w:rsidR="009A4CC6">
              <w:rPr>
                <w:noProof/>
                <w:webHidden/>
              </w:rPr>
              <w:fldChar w:fldCharType="begin"/>
            </w:r>
            <w:r w:rsidR="009A4CC6">
              <w:rPr>
                <w:noProof/>
                <w:webHidden/>
              </w:rPr>
              <w:instrText xml:space="preserve"> PAGEREF _Toc140591857 \h </w:instrText>
            </w:r>
            <w:r w:rsidR="009A4CC6">
              <w:rPr>
                <w:noProof/>
                <w:webHidden/>
              </w:rPr>
            </w:r>
            <w:r w:rsidR="009A4CC6">
              <w:rPr>
                <w:noProof/>
                <w:webHidden/>
              </w:rPr>
              <w:fldChar w:fldCharType="separate"/>
            </w:r>
            <w:r w:rsidR="009A4CC6">
              <w:rPr>
                <w:noProof/>
                <w:webHidden/>
              </w:rPr>
              <w:t>5</w:t>
            </w:r>
            <w:r w:rsidR="009A4CC6">
              <w:rPr>
                <w:noProof/>
                <w:webHidden/>
              </w:rPr>
              <w:fldChar w:fldCharType="end"/>
            </w:r>
          </w:hyperlink>
        </w:p>
        <w:p w14:paraId="790F4AB7" w14:textId="77777777" w:rsidR="009A4CC6" w:rsidRDefault="0085171E" w:rsidP="009A4CC6">
          <w:pPr>
            <w:pStyle w:val="TOC1"/>
            <w:tabs>
              <w:tab w:val="right" w:leader="dot" w:pos="9350"/>
            </w:tabs>
            <w:rPr>
              <w:noProof/>
            </w:rPr>
          </w:pPr>
          <w:hyperlink w:anchor="_Toc140591858" w:history="1">
            <w:r w:rsidR="009A4CC6" w:rsidRPr="007A4E95">
              <w:rPr>
                <w:rStyle w:val="Hyperlink"/>
                <w:noProof/>
                <w:lang w:bidi="th-TH"/>
              </w:rPr>
              <w:t>Analyse market hypothesis theory to handle the operations of BP Plc</w:t>
            </w:r>
            <w:r w:rsidR="009A4CC6">
              <w:rPr>
                <w:noProof/>
                <w:webHidden/>
              </w:rPr>
              <w:tab/>
            </w:r>
            <w:r w:rsidR="009A4CC6">
              <w:rPr>
                <w:noProof/>
                <w:webHidden/>
              </w:rPr>
              <w:fldChar w:fldCharType="begin"/>
            </w:r>
            <w:r w:rsidR="009A4CC6">
              <w:rPr>
                <w:noProof/>
                <w:webHidden/>
              </w:rPr>
              <w:instrText xml:space="preserve"> PAGEREF _Toc140591858 \h </w:instrText>
            </w:r>
            <w:r w:rsidR="009A4CC6">
              <w:rPr>
                <w:noProof/>
                <w:webHidden/>
              </w:rPr>
            </w:r>
            <w:r w:rsidR="009A4CC6">
              <w:rPr>
                <w:noProof/>
                <w:webHidden/>
              </w:rPr>
              <w:fldChar w:fldCharType="separate"/>
            </w:r>
            <w:r w:rsidR="009A4CC6">
              <w:rPr>
                <w:noProof/>
                <w:webHidden/>
              </w:rPr>
              <w:t>7</w:t>
            </w:r>
            <w:r w:rsidR="009A4CC6">
              <w:rPr>
                <w:noProof/>
                <w:webHidden/>
              </w:rPr>
              <w:fldChar w:fldCharType="end"/>
            </w:r>
          </w:hyperlink>
        </w:p>
        <w:p w14:paraId="5AB25546" w14:textId="77777777" w:rsidR="009A4CC6" w:rsidRDefault="0085171E" w:rsidP="009A4CC6">
          <w:pPr>
            <w:pStyle w:val="TOC1"/>
            <w:tabs>
              <w:tab w:val="right" w:leader="dot" w:pos="9350"/>
            </w:tabs>
            <w:rPr>
              <w:noProof/>
            </w:rPr>
          </w:pPr>
          <w:hyperlink w:anchor="_Toc140591859" w:history="1">
            <w:r w:rsidR="009A4CC6" w:rsidRPr="007A4E95">
              <w:rPr>
                <w:rStyle w:val="Hyperlink"/>
                <w:noProof/>
                <w:lang w:bidi="th-TH"/>
              </w:rPr>
              <w:t>Critically Evaluate project appraisal methods for BP Plc</w:t>
            </w:r>
            <w:r w:rsidR="009A4CC6">
              <w:rPr>
                <w:noProof/>
                <w:webHidden/>
              </w:rPr>
              <w:tab/>
            </w:r>
            <w:r w:rsidR="009A4CC6">
              <w:rPr>
                <w:noProof/>
                <w:webHidden/>
              </w:rPr>
              <w:fldChar w:fldCharType="begin"/>
            </w:r>
            <w:r w:rsidR="009A4CC6">
              <w:rPr>
                <w:noProof/>
                <w:webHidden/>
              </w:rPr>
              <w:instrText xml:space="preserve"> PAGEREF _Toc140591859 \h </w:instrText>
            </w:r>
            <w:r w:rsidR="009A4CC6">
              <w:rPr>
                <w:noProof/>
                <w:webHidden/>
              </w:rPr>
            </w:r>
            <w:r w:rsidR="009A4CC6">
              <w:rPr>
                <w:noProof/>
                <w:webHidden/>
              </w:rPr>
              <w:fldChar w:fldCharType="separate"/>
            </w:r>
            <w:r w:rsidR="009A4CC6">
              <w:rPr>
                <w:noProof/>
                <w:webHidden/>
              </w:rPr>
              <w:t>8</w:t>
            </w:r>
            <w:r w:rsidR="009A4CC6">
              <w:rPr>
                <w:noProof/>
                <w:webHidden/>
              </w:rPr>
              <w:fldChar w:fldCharType="end"/>
            </w:r>
          </w:hyperlink>
        </w:p>
        <w:p w14:paraId="067E55F2" w14:textId="77777777" w:rsidR="009A4CC6" w:rsidRDefault="0085171E" w:rsidP="009A4CC6">
          <w:pPr>
            <w:pStyle w:val="TOC1"/>
            <w:tabs>
              <w:tab w:val="right" w:leader="dot" w:pos="9350"/>
            </w:tabs>
            <w:rPr>
              <w:noProof/>
            </w:rPr>
          </w:pPr>
          <w:hyperlink w:anchor="_Toc140591860" w:history="1">
            <w:r w:rsidR="009A4CC6" w:rsidRPr="007A4E95">
              <w:rPr>
                <w:rStyle w:val="Hyperlink"/>
                <w:noProof/>
                <w:lang w:bidi="th-TH"/>
              </w:rPr>
              <w:t>Conclusion</w:t>
            </w:r>
            <w:r w:rsidR="009A4CC6">
              <w:rPr>
                <w:noProof/>
                <w:webHidden/>
              </w:rPr>
              <w:tab/>
            </w:r>
            <w:r w:rsidR="009A4CC6">
              <w:rPr>
                <w:noProof/>
                <w:webHidden/>
              </w:rPr>
              <w:fldChar w:fldCharType="begin"/>
            </w:r>
            <w:r w:rsidR="009A4CC6">
              <w:rPr>
                <w:noProof/>
                <w:webHidden/>
              </w:rPr>
              <w:instrText xml:space="preserve"> PAGEREF _Toc140591860 \h </w:instrText>
            </w:r>
            <w:r w:rsidR="009A4CC6">
              <w:rPr>
                <w:noProof/>
                <w:webHidden/>
              </w:rPr>
            </w:r>
            <w:r w:rsidR="009A4CC6">
              <w:rPr>
                <w:noProof/>
                <w:webHidden/>
              </w:rPr>
              <w:fldChar w:fldCharType="separate"/>
            </w:r>
            <w:r w:rsidR="009A4CC6">
              <w:rPr>
                <w:noProof/>
                <w:webHidden/>
              </w:rPr>
              <w:t>10</w:t>
            </w:r>
            <w:r w:rsidR="009A4CC6">
              <w:rPr>
                <w:noProof/>
                <w:webHidden/>
              </w:rPr>
              <w:fldChar w:fldCharType="end"/>
            </w:r>
          </w:hyperlink>
        </w:p>
        <w:p w14:paraId="37B3CD87" w14:textId="77777777" w:rsidR="009A4CC6" w:rsidRDefault="0085171E" w:rsidP="009A4CC6">
          <w:pPr>
            <w:pStyle w:val="TOC1"/>
            <w:tabs>
              <w:tab w:val="right" w:leader="dot" w:pos="9350"/>
            </w:tabs>
            <w:rPr>
              <w:noProof/>
            </w:rPr>
          </w:pPr>
          <w:hyperlink w:anchor="_Toc140591861" w:history="1">
            <w:r w:rsidR="009A4CC6" w:rsidRPr="007A4E95">
              <w:rPr>
                <w:rStyle w:val="Hyperlink"/>
                <w:noProof/>
                <w:lang w:bidi="th-TH"/>
              </w:rPr>
              <w:t>References</w:t>
            </w:r>
            <w:r w:rsidR="009A4CC6">
              <w:rPr>
                <w:noProof/>
                <w:webHidden/>
              </w:rPr>
              <w:tab/>
            </w:r>
            <w:r w:rsidR="009A4CC6">
              <w:rPr>
                <w:noProof/>
                <w:webHidden/>
              </w:rPr>
              <w:fldChar w:fldCharType="begin"/>
            </w:r>
            <w:r w:rsidR="009A4CC6">
              <w:rPr>
                <w:noProof/>
                <w:webHidden/>
              </w:rPr>
              <w:instrText xml:space="preserve"> PAGEREF _Toc140591861 \h </w:instrText>
            </w:r>
            <w:r w:rsidR="009A4CC6">
              <w:rPr>
                <w:noProof/>
                <w:webHidden/>
              </w:rPr>
            </w:r>
            <w:r w:rsidR="009A4CC6">
              <w:rPr>
                <w:noProof/>
                <w:webHidden/>
              </w:rPr>
              <w:fldChar w:fldCharType="separate"/>
            </w:r>
            <w:r w:rsidR="009A4CC6">
              <w:rPr>
                <w:noProof/>
                <w:webHidden/>
              </w:rPr>
              <w:t>11</w:t>
            </w:r>
            <w:r w:rsidR="009A4CC6">
              <w:rPr>
                <w:noProof/>
                <w:webHidden/>
              </w:rPr>
              <w:fldChar w:fldCharType="end"/>
            </w:r>
          </w:hyperlink>
        </w:p>
        <w:p w14:paraId="07E078C2" w14:textId="77777777" w:rsidR="009A4CC6" w:rsidRDefault="009A4CC6" w:rsidP="009A4CC6">
          <w:pPr>
            <w:rPr>
              <w:b/>
              <w:bCs/>
              <w:noProof/>
            </w:rPr>
          </w:pPr>
          <w:r>
            <w:rPr>
              <w:b/>
              <w:bCs/>
              <w:noProof/>
            </w:rPr>
            <w:fldChar w:fldCharType="end"/>
          </w:r>
        </w:p>
      </w:sdtContent>
    </w:sdt>
    <w:p w14:paraId="53A116BF" w14:textId="77777777" w:rsidR="009A4CC6" w:rsidRDefault="009A4CC6">
      <w:pPr>
        <w:spacing w:after="160" w:line="259" w:lineRule="auto"/>
        <w:jc w:val="left"/>
        <w:rPr>
          <w:rFonts w:cstheme="minorBidi"/>
          <w:b/>
          <w:kern w:val="2"/>
          <w:sz w:val="28"/>
          <w:szCs w:val="28"/>
          <w:lang w:val="en-US" w:bidi="th-TH"/>
          <w14:ligatures w14:val="standardContextual"/>
        </w:rPr>
      </w:pPr>
      <w:r>
        <w:br w:type="page"/>
      </w:r>
    </w:p>
    <w:p w14:paraId="74ED5B8A" w14:textId="75F1ADAF" w:rsidR="00F352BA" w:rsidRPr="00F352BA" w:rsidRDefault="0085171E" w:rsidP="00F352BA">
      <w:pPr>
        <w:pStyle w:val="Heading1"/>
      </w:pPr>
      <w:r w:rsidRPr="00F352BA">
        <w:lastRenderedPageBreak/>
        <w:t>Introduction</w:t>
      </w:r>
      <w:bookmarkEnd w:id="0"/>
    </w:p>
    <w:p w14:paraId="50DDB1DF" w14:textId="022B009F"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 xml:space="preserve">International financial management forecasts about the strategic functional activities in order to maintain monetary interactions in a proper manner. Within the economic field, the impact of these managerial techniques helps to control monetary activities throughout national borders. The following report will demonstrate the dividend distribution policy of BP Plc in order to understand the efficiency of foreign exchange criteria and the dividends of stakeholders. Apart from that, </w:t>
      </w:r>
      <w:r w:rsidR="005B66D2" w:rsidRPr="00F352BA">
        <w:rPr>
          <w:rFonts w:eastAsia="Times New Roman" w:cs="Times New Roman"/>
          <w:color w:val="000000"/>
          <w:szCs w:val="24"/>
          <w:lang w:val="en-US"/>
        </w:rPr>
        <w:t>utilizing</w:t>
      </w:r>
      <w:r w:rsidRPr="00F352BA">
        <w:rPr>
          <w:rFonts w:eastAsia="Times New Roman" w:cs="Times New Roman"/>
          <w:color w:val="000000"/>
          <w:szCs w:val="24"/>
          <w:lang w:val="en-US"/>
        </w:rPr>
        <w:t xml:space="preserve"> proper market hypothesis theory, the report will define the operation management of the organisation. Following that, different project appraisal methods will be applied that help to understand the financial position of BP Plc. </w:t>
      </w:r>
    </w:p>
    <w:p w14:paraId="3FAAC265" w14:textId="55248AE7" w:rsidR="006E284B" w:rsidRPr="009A4CC6" w:rsidRDefault="006E284B">
      <w:pPr>
        <w:spacing w:after="160" w:line="259" w:lineRule="auto"/>
        <w:jc w:val="left"/>
        <w:rPr>
          <w:rFonts w:eastAsia="Times New Roman" w:cs="Times New Roman"/>
          <w:b/>
          <w:bCs/>
          <w:color w:val="000000"/>
          <w:szCs w:val="24"/>
          <w:lang w:val="en-US"/>
        </w:rPr>
      </w:pPr>
      <w:r>
        <w:br w:type="page"/>
      </w:r>
    </w:p>
    <w:p w14:paraId="5453F887" w14:textId="0C3A9D21" w:rsidR="00D51B3E" w:rsidRDefault="00D51B3E" w:rsidP="00D51B3E">
      <w:pPr>
        <w:pStyle w:val="Heading1"/>
      </w:pPr>
      <w:bookmarkStart w:id="1" w:name="_Toc140591857"/>
      <w:r>
        <w:lastRenderedPageBreak/>
        <w:t>Analysis and evaluation of BP Plc’s dividend distribution policy</w:t>
      </w:r>
      <w:bookmarkEnd w:id="1"/>
    </w:p>
    <w:p w14:paraId="347236A0" w14:textId="24C0C734" w:rsidR="00D51B3E" w:rsidRDefault="00D51B3E" w:rsidP="00D51B3E">
      <w:pPr>
        <w:rPr>
          <w:rFonts w:eastAsia="Times New Roman" w:cs="Times New Roman"/>
          <w:szCs w:val="24"/>
        </w:rPr>
      </w:pPr>
      <w:r>
        <w:rPr>
          <w:rFonts w:eastAsia="Times New Roman" w:cs="Times New Roman"/>
          <w:b/>
          <w:szCs w:val="24"/>
        </w:rPr>
        <w:t>Stability:</w:t>
      </w:r>
      <w:r>
        <w:rPr>
          <w:rFonts w:eastAsia="Times New Roman" w:cs="Times New Roman"/>
          <w:szCs w:val="24"/>
        </w:rPr>
        <w:t xml:space="preserve"> The organisation has culturally wanted to give durability returns. This proposal applies to earn-oriented producers who depend on constant dividend earrings. Through concentrating on balancing the dividend of each share in the United Kingdom's pound, more than a stable percentage expansion, BP Plc recognised the significance of durability. Also, this scheme may line the prospective for dividend development during friendly market situations. Shareholders receive a particular lowest level of amount of usual dividend on a plan by this policy basis, yet the amount is not stable</w:t>
      </w:r>
      <w:sdt>
        <w:sdtPr>
          <w:rPr>
            <w:rFonts w:eastAsia="Times New Roman" w:cs="Times New Roman"/>
            <w:szCs w:val="24"/>
          </w:rPr>
          <w:id w:val="237288163"/>
          <w:citation/>
        </w:sdtPr>
        <w:sdtEndPr/>
        <w:sdtContent>
          <w:r>
            <w:rPr>
              <w:rFonts w:eastAsia="Times New Roman" w:cs="Times New Roman"/>
              <w:szCs w:val="24"/>
            </w:rPr>
            <w:fldChar w:fldCharType="begin"/>
          </w:r>
          <w:r>
            <w:rPr>
              <w:rFonts w:eastAsia="Times New Roman" w:cs="Times New Roman"/>
              <w:szCs w:val="24"/>
              <w:lang w:val="en-US"/>
            </w:rPr>
            <w:instrText xml:space="preserve"> CITATION Vic23 \l 1033 </w:instrText>
          </w:r>
          <w:r>
            <w:rPr>
              <w:rFonts w:eastAsia="Times New Roman" w:cs="Times New Roman"/>
              <w:szCs w:val="24"/>
            </w:rPr>
            <w:fldChar w:fldCharType="separate"/>
          </w:r>
          <w:r>
            <w:rPr>
              <w:rFonts w:eastAsia="Times New Roman" w:cs="Times New Roman"/>
              <w:noProof/>
              <w:szCs w:val="24"/>
              <w:lang w:val="en-US"/>
            </w:rPr>
            <w:t xml:space="preserve"> </w:t>
          </w:r>
          <w:r w:rsidRPr="00B3467A">
            <w:rPr>
              <w:rFonts w:eastAsia="Times New Roman" w:cs="Times New Roman"/>
              <w:noProof/>
              <w:szCs w:val="24"/>
              <w:lang w:val="en-US"/>
            </w:rPr>
            <w:t>(Barros, 2023)</w:t>
          </w:r>
          <w:r>
            <w:rPr>
              <w:rFonts w:eastAsia="Times New Roman" w:cs="Times New Roman"/>
              <w:szCs w:val="24"/>
            </w:rPr>
            <w:fldChar w:fldCharType="end"/>
          </w:r>
        </w:sdtContent>
      </w:sdt>
      <w:r>
        <w:rPr>
          <w:rFonts w:eastAsia="Times New Roman" w:cs="Times New Roman"/>
          <w:szCs w:val="24"/>
        </w:rPr>
        <w:t>.</w:t>
      </w:r>
    </w:p>
    <w:p w14:paraId="1CA65AF7" w14:textId="547E93F9" w:rsidR="00D51B3E" w:rsidRDefault="00D51B3E" w:rsidP="00D51B3E">
      <w:pPr>
        <w:rPr>
          <w:rFonts w:eastAsia="Times New Roman" w:cs="Times New Roman"/>
          <w:szCs w:val="24"/>
        </w:rPr>
      </w:pPr>
      <w:r>
        <w:rPr>
          <w:rFonts w:eastAsia="Times New Roman" w:cs="Times New Roman"/>
          <w:b/>
          <w:szCs w:val="24"/>
        </w:rPr>
        <w:t xml:space="preserve">Dividend Coverage: </w:t>
      </w:r>
      <w:r>
        <w:rPr>
          <w:rFonts w:eastAsia="Times New Roman" w:cs="Times New Roman"/>
          <w:szCs w:val="24"/>
        </w:rPr>
        <w:t xml:space="preserve">The company's dividend distribution scheme takes into account BP Plc's capability to create enough cash flux to shelter dividend fees. This wise proposal confirms that dividend fees are maintainable along with not dependent on high debt sales. Through balancing a healthy dividend-lid ratio, the company secures its durability along with balancing the confidence of its shareholders. Dividend coverage counts how many times BP Plc may pay dividends to their shareholders </w:t>
      </w:r>
      <w:r w:rsidR="005B66D2">
        <w:rPr>
          <w:rFonts w:eastAsia="Times New Roman" w:cs="Times New Roman"/>
          <w:szCs w:val="24"/>
        </w:rPr>
        <w:t>utilizing</w:t>
      </w:r>
      <w:r>
        <w:rPr>
          <w:rFonts w:eastAsia="Times New Roman" w:cs="Times New Roman"/>
          <w:szCs w:val="24"/>
        </w:rPr>
        <w:t xml:space="preserve"> net earnings. This additionally known as dividend shelter permits investors to calculate the company's risk of not accepting dividends. If BP Plc has an excessive DCR, this generally signifies that the company is capable to maintain its recent along with the further maintainability of the dividends company payout. </w:t>
      </w:r>
    </w:p>
    <w:p w14:paraId="34FC6A1B" w14:textId="23052D77" w:rsidR="00D51B3E" w:rsidRDefault="00D51B3E" w:rsidP="00D51B3E">
      <w:pPr>
        <w:rPr>
          <w:rFonts w:eastAsia="Times New Roman" w:cs="Times New Roman"/>
          <w:szCs w:val="24"/>
        </w:rPr>
      </w:pPr>
      <w:r>
        <w:rPr>
          <w:rFonts w:eastAsia="Times New Roman" w:cs="Times New Roman"/>
          <w:b/>
          <w:szCs w:val="24"/>
        </w:rPr>
        <w:t xml:space="preserve">Dividend Yield: </w:t>
      </w:r>
      <w:r>
        <w:rPr>
          <w:rFonts w:eastAsia="Times New Roman" w:cs="Times New Roman"/>
          <w:szCs w:val="24"/>
        </w:rPr>
        <w:t>BP Plc has historically provided an attractive dividend output comparable to their industry companion. An excessive dividend output can be applied to earning-seeking producers, possibly attracting some new shareholders</w:t>
      </w:r>
      <w:sdt>
        <w:sdtPr>
          <w:rPr>
            <w:rFonts w:eastAsia="Times New Roman" w:cs="Times New Roman"/>
            <w:szCs w:val="24"/>
          </w:rPr>
          <w:id w:val="791248114"/>
          <w:citation/>
        </w:sdtPr>
        <w:sdtEndPr/>
        <w:sdtContent>
          <w:r>
            <w:rPr>
              <w:rFonts w:eastAsia="Times New Roman" w:cs="Times New Roman"/>
              <w:szCs w:val="24"/>
            </w:rPr>
            <w:fldChar w:fldCharType="begin"/>
          </w:r>
          <w:r>
            <w:rPr>
              <w:rFonts w:eastAsia="Times New Roman" w:cs="Times New Roman"/>
              <w:szCs w:val="24"/>
              <w:lang w:val="en-US"/>
            </w:rPr>
            <w:instrText xml:space="preserve"> CITATION Jas231 \l 1033 </w:instrText>
          </w:r>
          <w:r>
            <w:rPr>
              <w:rFonts w:eastAsia="Times New Roman" w:cs="Times New Roman"/>
              <w:szCs w:val="24"/>
            </w:rPr>
            <w:fldChar w:fldCharType="separate"/>
          </w:r>
          <w:r>
            <w:rPr>
              <w:rFonts w:eastAsia="Times New Roman" w:cs="Times New Roman"/>
              <w:noProof/>
              <w:szCs w:val="24"/>
              <w:lang w:val="en-US"/>
            </w:rPr>
            <w:t xml:space="preserve"> </w:t>
          </w:r>
          <w:r w:rsidRPr="00B3467A">
            <w:rPr>
              <w:rFonts w:eastAsia="Times New Roman" w:cs="Times New Roman"/>
              <w:noProof/>
              <w:szCs w:val="24"/>
              <w:lang w:val="en-US"/>
            </w:rPr>
            <w:t>(Fernando, 2023)</w:t>
          </w:r>
          <w:r>
            <w:rPr>
              <w:rFonts w:eastAsia="Times New Roman" w:cs="Times New Roman"/>
              <w:szCs w:val="24"/>
            </w:rPr>
            <w:fldChar w:fldCharType="end"/>
          </w:r>
        </w:sdtContent>
      </w:sdt>
      <w:r>
        <w:rPr>
          <w:rFonts w:eastAsia="Times New Roman" w:cs="Times New Roman"/>
          <w:szCs w:val="24"/>
        </w:rPr>
        <w:t xml:space="preserve">.  Though, an excessive dividend output may additionally sign market worries regarding BP Plc's future hopes, as producers demand an excessive return to recompense for perceived dangers. The return of the dividend </w:t>
      </w:r>
      <w:r>
        <w:rPr>
          <w:rFonts w:eastAsia="Times New Roman" w:cs="Times New Roman"/>
          <w:szCs w:val="24"/>
        </w:rPr>
        <w:lastRenderedPageBreak/>
        <w:t>output is the complete dividend net earning, it is the dividend payout proportion. The dividend output shown is the proportion of the money BP Plc pays shareholders for possessing a share of their stock parted by its recent stock cost</w:t>
      </w:r>
      <w:r w:rsidR="00FA42AB">
        <w:rPr>
          <w:rFonts w:eastAsia="Times New Roman" w:cs="Times New Roman"/>
          <w:szCs w:val="24"/>
        </w:rPr>
        <w:t xml:space="preserve"> </w:t>
      </w:r>
      <w:sdt>
        <w:sdtPr>
          <w:rPr>
            <w:rFonts w:eastAsia="Times New Roman" w:cs="Times New Roman"/>
            <w:szCs w:val="24"/>
          </w:rPr>
          <w:id w:val="-383407237"/>
          <w:citation/>
        </w:sdtPr>
        <w:sdtEndPr/>
        <w:sdtContent>
          <w:r w:rsidR="00FA42AB">
            <w:rPr>
              <w:rFonts w:eastAsia="Times New Roman" w:cs="Times New Roman"/>
              <w:szCs w:val="24"/>
            </w:rPr>
            <w:fldChar w:fldCharType="begin"/>
          </w:r>
          <w:r w:rsidR="00FA42AB">
            <w:rPr>
              <w:rFonts w:eastAsia="Times New Roman" w:cs="Times New Roman"/>
              <w:szCs w:val="24"/>
              <w:lang w:val="en-IN"/>
            </w:rPr>
            <w:instrText xml:space="preserve"> CITATION Kat231 \l 16393 </w:instrText>
          </w:r>
          <w:r w:rsidR="00FA42AB">
            <w:rPr>
              <w:rFonts w:eastAsia="Times New Roman" w:cs="Times New Roman"/>
              <w:szCs w:val="24"/>
            </w:rPr>
            <w:fldChar w:fldCharType="separate"/>
          </w:r>
          <w:r w:rsidR="00FA42AB" w:rsidRPr="00FA42AB">
            <w:rPr>
              <w:rFonts w:eastAsia="Times New Roman" w:cs="Times New Roman"/>
              <w:noProof/>
              <w:szCs w:val="24"/>
              <w:lang w:val="en-IN"/>
            </w:rPr>
            <w:t>(Tretina, 2023)</w:t>
          </w:r>
          <w:r w:rsidR="00FA42AB">
            <w:rPr>
              <w:rFonts w:eastAsia="Times New Roman" w:cs="Times New Roman"/>
              <w:szCs w:val="24"/>
            </w:rPr>
            <w:fldChar w:fldCharType="end"/>
          </w:r>
        </w:sdtContent>
      </w:sdt>
      <w:r>
        <w:rPr>
          <w:rFonts w:eastAsia="Times New Roman" w:cs="Times New Roman"/>
          <w:szCs w:val="24"/>
        </w:rPr>
        <w:t>.</w:t>
      </w:r>
    </w:p>
    <w:p w14:paraId="527F665F" w14:textId="77777777" w:rsidR="00D51B3E" w:rsidRDefault="00D51B3E" w:rsidP="00D51B3E">
      <w:pPr>
        <w:rPr>
          <w:rFonts w:eastAsia="Times New Roman" w:cs="Times New Roman"/>
          <w:szCs w:val="24"/>
        </w:rPr>
      </w:pPr>
      <w:r>
        <w:rPr>
          <w:rFonts w:eastAsia="Times New Roman" w:cs="Times New Roman"/>
          <w:b/>
          <w:szCs w:val="24"/>
        </w:rPr>
        <w:t xml:space="preserve">Flexibility: </w:t>
      </w:r>
      <w:r>
        <w:rPr>
          <w:rFonts w:eastAsia="Times New Roman" w:cs="Times New Roman"/>
          <w:szCs w:val="24"/>
        </w:rPr>
        <w:t>The organisation has demonstrated an unsteady in its dividend distribution schemes during a time of economic ambiguity. For example, during the pandemic situation of Covid-19 along with the following oil cost collapse, the organisation made the toughest decision to cut their dividend scheme to rotating market situations showing accountable economical administration along with a commitment to longer maintainability. By decreasing dividends along with conserving money, the administration can expand its flexibility. This develops BP PLC's capability to invest in programs that the company believes are great for the company's shareholders in the long term. Pliability considerations support the company to understand different proportions of dividend policy that the existing thesis does not describe.</w:t>
      </w:r>
    </w:p>
    <w:p w14:paraId="7C873F2C" w14:textId="77777777" w:rsidR="00D51B3E" w:rsidRDefault="00D51B3E" w:rsidP="00D51B3E">
      <w:pPr>
        <w:rPr>
          <w:rFonts w:eastAsia="Times New Roman" w:cs="Times New Roman"/>
          <w:szCs w:val="24"/>
        </w:rPr>
      </w:pPr>
      <w:r>
        <w:rPr>
          <w:rFonts w:eastAsia="Times New Roman" w:cs="Times New Roman"/>
          <w:b/>
          <w:szCs w:val="24"/>
        </w:rPr>
        <w:t xml:space="preserve">Shareholder Returns: </w:t>
      </w:r>
      <w:r>
        <w:rPr>
          <w:rFonts w:eastAsia="Times New Roman" w:cs="Times New Roman"/>
          <w:szCs w:val="24"/>
        </w:rPr>
        <w:t xml:space="preserve">BP PLC has identified the significance of returning worth to its shareholders via dividends. Though, the company has additionally highlighted the requirement for disciplined capital distribution along with investment in developing opportunities. This managed proposal permits BP Plc to allocate money for both dividend fees along with technical investments that can lead to further development. Through considering the larger interest of shareholders, The organisation targets to strike a control between quick returns along with future worth innovation </w:t>
      </w:r>
      <w:sdt>
        <w:sdtPr>
          <w:rPr>
            <w:rFonts w:eastAsia="Times New Roman" w:cs="Times New Roman"/>
            <w:szCs w:val="24"/>
          </w:rPr>
          <w:id w:val="-409012120"/>
          <w:citation/>
        </w:sdtPr>
        <w:sdtEndPr/>
        <w:sdtContent>
          <w:r>
            <w:rPr>
              <w:rFonts w:eastAsia="Times New Roman" w:cs="Times New Roman"/>
              <w:szCs w:val="24"/>
            </w:rPr>
            <w:fldChar w:fldCharType="begin"/>
          </w:r>
          <w:r>
            <w:rPr>
              <w:rFonts w:eastAsia="Times New Roman" w:cs="Times New Roman"/>
              <w:szCs w:val="24"/>
              <w:lang w:val="en-IN"/>
            </w:rPr>
            <w:instrText xml:space="preserve"> CITATION Hun231 \l 16393 </w:instrText>
          </w:r>
          <w:r>
            <w:rPr>
              <w:rFonts w:eastAsia="Times New Roman" w:cs="Times New Roman"/>
              <w:szCs w:val="24"/>
            </w:rPr>
            <w:fldChar w:fldCharType="separate"/>
          </w:r>
          <w:r w:rsidRPr="001B5A23">
            <w:rPr>
              <w:rFonts w:eastAsia="Times New Roman" w:cs="Times New Roman"/>
              <w:noProof/>
              <w:szCs w:val="24"/>
              <w:lang w:val="en-IN"/>
            </w:rPr>
            <w:t>(Ozyasar, 2023)</w:t>
          </w:r>
          <w:r>
            <w:rPr>
              <w:rFonts w:eastAsia="Times New Roman" w:cs="Times New Roman"/>
              <w:szCs w:val="24"/>
            </w:rPr>
            <w:fldChar w:fldCharType="end"/>
          </w:r>
        </w:sdtContent>
      </w:sdt>
      <w:r>
        <w:rPr>
          <w:rFonts w:eastAsia="Times New Roman" w:cs="Times New Roman"/>
          <w:szCs w:val="24"/>
        </w:rPr>
        <w:t>.</w:t>
      </w:r>
    </w:p>
    <w:p w14:paraId="72363EE7" w14:textId="21A18E98" w:rsidR="00D51B3E" w:rsidRPr="00D51B3E" w:rsidRDefault="00D51B3E" w:rsidP="00D51B3E">
      <w:pPr>
        <w:rPr>
          <w:rFonts w:eastAsia="Times New Roman" w:cs="Times New Roman"/>
          <w:szCs w:val="24"/>
        </w:rPr>
      </w:pPr>
      <w:r>
        <w:br w:type="page"/>
      </w:r>
    </w:p>
    <w:p w14:paraId="63FD91D9" w14:textId="3FE29335" w:rsidR="00F352BA" w:rsidRPr="00F352BA" w:rsidRDefault="0085171E" w:rsidP="00F352BA">
      <w:pPr>
        <w:pStyle w:val="Heading1"/>
      </w:pPr>
      <w:bookmarkStart w:id="2" w:name="_Toc140591858"/>
      <w:r w:rsidRPr="00F352BA">
        <w:lastRenderedPageBreak/>
        <w:t xml:space="preserve">Analyse market hypothesis theory to handle the </w:t>
      </w:r>
      <w:r w:rsidRPr="00F352BA">
        <w:t>operations of BP Plc</w:t>
      </w:r>
      <w:bookmarkEnd w:id="2"/>
    </w:p>
    <w:p w14:paraId="11D129DF" w14:textId="6841A214"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According to the Market Hypothesis theory, it is impossible to continuously generate superior returns through active investment tactics since financial markets represent all available information. Although the theory concentrates mainly on the price of securities, it may be used to improve market effectiveness and decision-making in the operations of businesses like BP Plc</w:t>
      </w:r>
      <w:r w:rsidR="00E75648">
        <w:rPr>
          <w:rFonts w:eastAsia="Times New Roman" w:cs="Times New Roman"/>
          <w:color w:val="000000"/>
          <w:szCs w:val="24"/>
          <w:lang w:val="en-US"/>
        </w:rPr>
        <w:t xml:space="preserve"> </w:t>
      </w:r>
      <w:sdt>
        <w:sdtPr>
          <w:rPr>
            <w:rFonts w:eastAsia="Times New Roman" w:cs="Times New Roman"/>
            <w:color w:val="000000"/>
            <w:szCs w:val="24"/>
            <w:lang w:val="en-US"/>
          </w:rPr>
          <w:id w:val="-2094624078"/>
          <w:citation/>
        </w:sdtPr>
        <w:sdtEndPr/>
        <w:sdtContent>
          <w:r w:rsidR="00E75648">
            <w:rPr>
              <w:rFonts w:eastAsia="Times New Roman" w:cs="Times New Roman"/>
              <w:color w:val="000000"/>
              <w:szCs w:val="24"/>
              <w:lang w:val="en-US"/>
            </w:rPr>
            <w:fldChar w:fldCharType="begin"/>
          </w:r>
          <w:r w:rsidR="00E75648">
            <w:rPr>
              <w:rFonts w:eastAsia="Times New Roman" w:cs="Times New Roman"/>
              <w:color w:val="000000"/>
              <w:szCs w:val="24"/>
              <w:lang w:val="en-US"/>
            </w:rPr>
            <w:instrText xml:space="preserve"> CITATION Reb221 \l 1033 </w:instrText>
          </w:r>
          <w:r w:rsidR="00E75648">
            <w:rPr>
              <w:rFonts w:eastAsia="Times New Roman" w:cs="Times New Roman"/>
              <w:color w:val="000000"/>
              <w:szCs w:val="24"/>
              <w:lang w:val="en-US"/>
            </w:rPr>
            <w:fldChar w:fldCharType="separate"/>
          </w:r>
          <w:r w:rsidR="00E75648" w:rsidRPr="00E75648">
            <w:rPr>
              <w:rFonts w:eastAsia="Times New Roman" w:cs="Times New Roman"/>
              <w:noProof/>
              <w:color w:val="000000"/>
              <w:szCs w:val="24"/>
              <w:lang w:val="en-US"/>
            </w:rPr>
            <w:t>(Baldridge, 2022)</w:t>
          </w:r>
          <w:r w:rsidR="00E75648">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 The EMH suggests that the market has effectively taken into account all of the information that is currently known about BP Plc, including financial results, market developments, rivalry dynamics, and other pertinent aspects. As a result, it would be challenging, if not impossible, for BP Plc or its higher authorities to regularly outperform the market through their operational choices. It is crucial to remember that the EMH has drawn criticism for not accurately capturing the complexities and inconsisten</w:t>
      </w:r>
      <w:r w:rsidRPr="00F352BA">
        <w:rPr>
          <w:rFonts w:eastAsia="Times New Roman" w:cs="Times New Roman"/>
          <w:color w:val="000000"/>
          <w:szCs w:val="24"/>
          <w:lang w:val="en-US"/>
        </w:rPr>
        <w:t xml:space="preserve">cies that can occur in actual markets. Organisations like BP Plc continue to impact their activities and outcomes in the real world by making strategic choices, operating more efficiently, </w:t>
      </w:r>
      <w:r w:rsidR="005B66D2" w:rsidRPr="00F352BA">
        <w:rPr>
          <w:rFonts w:eastAsia="Times New Roman" w:cs="Times New Roman"/>
          <w:color w:val="000000"/>
          <w:szCs w:val="24"/>
          <w:lang w:val="en-US"/>
        </w:rPr>
        <w:t>utilizing</w:t>
      </w:r>
      <w:r w:rsidRPr="00F352BA">
        <w:rPr>
          <w:rFonts w:eastAsia="Times New Roman" w:cs="Times New Roman"/>
          <w:color w:val="000000"/>
          <w:szCs w:val="24"/>
          <w:lang w:val="en-US"/>
        </w:rPr>
        <w:t xml:space="preserve"> new technology, and placing themselves in the market</w:t>
      </w:r>
      <w:r w:rsidR="00E75648">
        <w:rPr>
          <w:rFonts w:eastAsia="Times New Roman" w:cs="Times New Roman"/>
          <w:color w:val="000000"/>
          <w:szCs w:val="24"/>
          <w:lang w:val="en-US"/>
        </w:rPr>
        <w:t xml:space="preserve"> </w:t>
      </w:r>
      <w:sdt>
        <w:sdtPr>
          <w:rPr>
            <w:rFonts w:eastAsia="Times New Roman" w:cs="Times New Roman"/>
            <w:color w:val="000000"/>
            <w:szCs w:val="24"/>
            <w:lang w:val="en-US"/>
          </w:rPr>
          <w:id w:val="1063759779"/>
          <w:citation/>
        </w:sdtPr>
        <w:sdtEndPr/>
        <w:sdtContent>
          <w:r w:rsidR="00E75648">
            <w:rPr>
              <w:rFonts w:eastAsia="Times New Roman" w:cs="Times New Roman"/>
              <w:color w:val="000000"/>
              <w:szCs w:val="24"/>
              <w:lang w:val="en-US"/>
            </w:rPr>
            <w:fldChar w:fldCharType="begin"/>
          </w:r>
          <w:r w:rsidR="00E75648">
            <w:rPr>
              <w:rFonts w:eastAsia="Times New Roman" w:cs="Times New Roman"/>
              <w:color w:val="000000"/>
              <w:szCs w:val="24"/>
              <w:lang w:val="en-US"/>
            </w:rPr>
            <w:instrText xml:space="preserve"> CITATION Rob181 \l 1033 </w:instrText>
          </w:r>
          <w:r w:rsidR="00E75648">
            <w:rPr>
              <w:rFonts w:eastAsia="Times New Roman" w:cs="Times New Roman"/>
              <w:color w:val="000000"/>
              <w:szCs w:val="24"/>
              <w:lang w:val="en-US"/>
            </w:rPr>
            <w:fldChar w:fldCharType="separate"/>
          </w:r>
          <w:r w:rsidR="00E75648" w:rsidRPr="00E75648">
            <w:rPr>
              <w:rFonts w:eastAsia="Times New Roman" w:cs="Times New Roman"/>
              <w:noProof/>
              <w:color w:val="000000"/>
              <w:szCs w:val="24"/>
              <w:lang w:val="en-US"/>
            </w:rPr>
            <w:t>(Burgess, 2018)</w:t>
          </w:r>
          <w:r w:rsidR="00E75648">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 Such factors are essential for the organisation in terms of maintaining business operations-</w:t>
      </w:r>
    </w:p>
    <w:p w14:paraId="2040030A"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Making Effective plans</w:t>
      </w:r>
    </w:p>
    <w:p w14:paraId="52C164DB" w14:textId="77777777"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BP Plc should concentrate on developing and implementing plans that are in line with market trends, evolving legislation, and environmental considerations. This entails looking into potential areas for expansion, diversifying the company's holdings, and adjusting to the dynamics of emerging markets.</w:t>
      </w:r>
    </w:p>
    <w:p w14:paraId="604717AC"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Risk management</w:t>
      </w:r>
    </w:p>
    <w:p w14:paraId="226413D4" w14:textId="798C7492"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lastRenderedPageBreak/>
        <w:t xml:space="preserve">Detecting, evaluating, and reducing potential risks connected to its activities, such as material price changes, geopolitical uncertainty, and environmental concerns, BP Plc should apply strong risk management </w:t>
      </w:r>
      <w:r w:rsidR="005B66D2" w:rsidRPr="00F352BA">
        <w:rPr>
          <w:rFonts w:eastAsia="Times New Roman" w:cs="Times New Roman"/>
          <w:color w:val="000000"/>
          <w:szCs w:val="24"/>
          <w:lang w:val="en-US"/>
        </w:rPr>
        <w:t>practices</w:t>
      </w:r>
      <w:r w:rsidRPr="00F352BA">
        <w:rPr>
          <w:rFonts w:eastAsia="Times New Roman" w:cs="Times New Roman"/>
          <w:color w:val="000000"/>
          <w:szCs w:val="24"/>
          <w:lang w:val="en-US"/>
        </w:rPr>
        <w:t>. This calls for the use of complex risk evaluation models, hedging techniques, and backup preparations</w:t>
      </w:r>
      <w:r w:rsidR="00E75648">
        <w:rPr>
          <w:rFonts w:eastAsia="Times New Roman" w:cs="Times New Roman"/>
          <w:color w:val="000000"/>
          <w:szCs w:val="24"/>
          <w:lang w:val="en-US"/>
        </w:rPr>
        <w:t xml:space="preserve"> (</w:t>
      </w:r>
      <w:proofErr w:type="spellStart"/>
      <w:r w:rsidR="00E75648">
        <w:rPr>
          <w:shd w:val="clear" w:color="auto" w:fill="FFFFFF"/>
        </w:rPr>
        <w:t>Vasileiou</w:t>
      </w:r>
      <w:proofErr w:type="spellEnd"/>
      <w:r w:rsidR="00E75648">
        <w:rPr>
          <w:shd w:val="clear" w:color="auto" w:fill="FFFFFF"/>
        </w:rPr>
        <w:t>, 2022</w:t>
      </w:r>
      <w:r w:rsidR="00E75648">
        <w:rPr>
          <w:rFonts w:eastAsia="Times New Roman" w:cs="Times New Roman"/>
          <w:color w:val="000000"/>
          <w:szCs w:val="24"/>
          <w:lang w:val="en-US"/>
        </w:rPr>
        <w:t>)</w:t>
      </w:r>
      <w:r w:rsidRPr="00F352BA">
        <w:rPr>
          <w:rFonts w:eastAsia="Times New Roman" w:cs="Times New Roman"/>
          <w:color w:val="000000"/>
          <w:szCs w:val="24"/>
          <w:lang w:val="en-US"/>
        </w:rPr>
        <w:t>.</w:t>
      </w:r>
    </w:p>
    <w:p w14:paraId="74596688"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Operational Excellence</w:t>
      </w:r>
    </w:p>
    <w:p w14:paraId="24BF6A4A" w14:textId="2B3B492A"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 xml:space="preserve">BP Plc should constantly seek to achieve operational excellence by streamlining procedures, cutting expenses, and raising output. Operational efficiency can be improved by embracing technological breakthroughs, following sustainable </w:t>
      </w:r>
      <w:r w:rsidR="005B66D2" w:rsidRPr="00F352BA">
        <w:rPr>
          <w:rFonts w:eastAsia="Times New Roman" w:cs="Times New Roman"/>
          <w:color w:val="000000"/>
          <w:szCs w:val="24"/>
          <w:lang w:val="en-US"/>
        </w:rPr>
        <w:t>practices</w:t>
      </w:r>
      <w:r w:rsidRPr="00F352BA">
        <w:rPr>
          <w:rFonts w:eastAsia="Times New Roman" w:cs="Times New Roman"/>
          <w:color w:val="000000"/>
          <w:szCs w:val="24"/>
          <w:lang w:val="en-US"/>
        </w:rPr>
        <w:t xml:space="preserve">, and </w:t>
      </w:r>
      <w:r w:rsidR="005B66D2" w:rsidRPr="00F352BA">
        <w:rPr>
          <w:rFonts w:eastAsia="Times New Roman" w:cs="Times New Roman"/>
          <w:color w:val="000000"/>
          <w:szCs w:val="24"/>
          <w:lang w:val="en-US"/>
        </w:rPr>
        <w:t>utilizing</w:t>
      </w:r>
      <w:r w:rsidRPr="00F352BA">
        <w:rPr>
          <w:rFonts w:eastAsia="Times New Roman" w:cs="Times New Roman"/>
          <w:color w:val="000000"/>
          <w:szCs w:val="24"/>
          <w:lang w:val="en-US"/>
        </w:rPr>
        <w:t xml:space="preserve"> data analytics.</w:t>
      </w:r>
    </w:p>
    <w:p w14:paraId="5E5D6E86"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Engagement with Stakeholders</w:t>
      </w:r>
    </w:p>
    <w:p w14:paraId="4165FC1F" w14:textId="6EFCBE7E"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 xml:space="preserve">Being a leading petrochemical organisation, BP Plc must engage with stakeholders, such as investors, staff, </w:t>
      </w:r>
      <w:r w:rsidR="005B66D2" w:rsidRPr="00F352BA">
        <w:rPr>
          <w:rFonts w:eastAsia="Times New Roman" w:cs="Times New Roman"/>
          <w:color w:val="000000"/>
          <w:szCs w:val="24"/>
          <w:lang w:val="en-US"/>
        </w:rPr>
        <w:t>neighbors</w:t>
      </w:r>
      <w:r w:rsidRPr="00F352BA">
        <w:rPr>
          <w:rFonts w:eastAsia="Times New Roman" w:cs="Times New Roman"/>
          <w:color w:val="000000"/>
          <w:szCs w:val="24"/>
          <w:lang w:val="en-US"/>
        </w:rPr>
        <w:t>, and regulators. Building trust, managing reputation, and addressing the concerns of diverse stakeholders can be accomplished with the use of open communication, moral corporate conduct, and proactive participation</w:t>
      </w:r>
      <w:r w:rsidR="00E75648">
        <w:rPr>
          <w:rFonts w:eastAsia="Times New Roman" w:cs="Times New Roman"/>
          <w:color w:val="000000"/>
          <w:szCs w:val="24"/>
          <w:lang w:val="en-US"/>
        </w:rPr>
        <w:t xml:space="preserve"> (</w:t>
      </w:r>
      <w:r w:rsidR="00E75648" w:rsidRPr="00E75648">
        <w:t>Clement</w:t>
      </w:r>
      <w:r w:rsidR="00E75648">
        <w:t xml:space="preserve"> et al., 2022</w:t>
      </w:r>
      <w:r w:rsidR="00E75648">
        <w:rPr>
          <w:rFonts w:eastAsia="Times New Roman" w:cs="Times New Roman"/>
          <w:color w:val="000000"/>
          <w:szCs w:val="24"/>
          <w:lang w:val="en-US"/>
        </w:rPr>
        <w:t>)</w:t>
      </w:r>
      <w:r w:rsidRPr="00F352BA">
        <w:rPr>
          <w:rFonts w:eastAsia="Times New Roman" w:cs="Times New Roman"/>
          <w:color w:val="000000"/>
          <w:szCs w:val="24"/>
          <w:lang w:val="en-US"/>
        </w:rPr>
        <w:t>.</w:t>
      </w:r>
    </w:p>
    <w:p w14:paraId="00860B41"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Innovation and Adaptability</w:t>
      </w:r>
    </w:p>
    <w:p w14:paraId="316A75DC" w14:textId="77777777"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Due to shifting market conditions, BP Plc should promote an innovative and adaptable culture. Hence, to find new opportunities and solve problems, the organisation should make investments in study and development, investigate cutting-edge technology, and remain up to date with market trends.</w:t>
      </w:r>
    </w:p>
    <w:p w14:paraId="5C384A12" w14:textId="77777777" w:rsidR="00F352BA" w:rsidRPr="00F352BA" w:rsidRDefault="0085171E" w:rsidP="00F352BA">
      <w:pPr>
        <w:pStyle w:val="Heading1"/>
      </w:pPr>
      <w:bookmarkStart w:id="3" w:name="_Toc140591859"/>
      <w:r w:rsidRPr="00F352BA">
        <w:t>Critically Evaluate project appraisal methods for BP Plc</w:t>
      </w:r>
      <w:bookmarkEnd w:id="3"/>
    </w:p>
    <w:p w14:paraId="767E6F03"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Net Present Value or NPV</w:t>
      </w:r>
    </w:p>
    <w:p w14:paraId="6B75BFC5" w14:textId="35ACBE88"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lastRenderedPageBreak/>
        <w:t>Using the discounting to the present approach, NPV determines the present value of anticipated cash flows. By analysing the net earnings to the initial expenditure, it determines if an investment project is profitable. But NPV strongly depends on precise cash flow projections and the right discount rate. The cash flow predictions for BP Plc should be accurate and take into account market-specific risk factors</w:t>
      </w:r>
      <w:r w:rsidR="00E75648">
        <w:rPr>
          <w:rFonts w:eastAsia="Times New Roman" w:cs="Times New Roman"/>
          <w:color w:val="000000"/>
          <w:szCs w:val="24"/>
          <w:lang w:val="en-US"/>
        </w:rPr>
        <w:t xml:space="preserve"> </w:t>
      </w:r>
      <w:sdt>
        <w:sdtPr>
          <w:rPr>
            <w:rFonts w:eastAsia="Times New Roman" w:cs="Times New Roman"/>
            <w:color w:val="000000"/>
            <w:szCs w:val="24"/>
            <w:lang w:val="en-US"/>
          </w:rPr>
          <w:id w:val="1039780628"/>
          <w:citation/>
        </w:sdtPr>
        <w:sdtEndPr/>
        <w:sdtContent>
          <w:r w:rsidR="00E75648">
            <w:rPr>
              <w:rFonts w:eastAsia="Times New Roman" w:cs="Times New Roman"/>
              <w:color w:val="000000"/>
              <w:szCs w:val="24"/>
              <w:lang w:val="en-US"/>
            </w:rPr>
            <w:fldChar w:fldCharType="begin"/>
          </w:r>
          <w:r w:rsidR="00E75648">
            <w:rPr>
              <w:rFonts w:eastAsia="Times New Roman" w:cs="Times New Roman"/>
              <w:color w:val="000000"/>
              <w:szCs w:val="24"/>
              <w:lang w:val="en-US"/>
            </w:rPr>
            <w:instrText xml:space="preserve"> CITATION ELL23 \l 1033 </w:instrText>
          </w:r>
          <w:r w:rsidR="00E75648">
            <w:rPr>
              <w:rFonts w:eastAsia="Times New Roman" w:cs="Times New Roman"/>
              <w:color w:val="000000"/>
              <w:szCs w:val="24"/>
              <w:lang w:val="en-US"/>
            </w:rPr>
            <w:fldChar w:fldCharType="separate"/>
          </w:r>
          <w:r w:rsidR="00E75648" w:rsidRPr="00E75648">
            <w:rPr>
              <w:rFonts w:eastAsia="Times New Roman" w:cs="Times New Roman"/>
              <w:noProof/>
              <w:color w:val="000000"/>
              <w:szCs w:val="24"/>
              <w:lang w:val="en-US"/>
            </w:rPr>
            <w:t>(CHANG, 2023)</w:t>
          </w:r>
          <w:r w:rsidR="00E75648">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w:t>
      </w:r>
    </w:p>
    <w:p w14:paraId="1F4AE82C"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Internal Rate of Return or IRR </w:t>
      </w:r>
    </w:p>
    <w:p w14:paraId="17B9A05A" w14:textId="58E2E280"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This process is a common appraisal technique that determines the percentage of return at which the initial investment and the current value of cash inflows are equal. It offers information on the prospective returns and aids in determining the project's viability. IRR has some drawbacks, though, including the inability to interpret numerous IRRs for complicated projects and the possibility of inaccurate results when cash flows reverse</w:t>
      </w:r>
      <w:r w:rsidR="00B00074">
        <w:rPr>
          <w:rFonts w:eastAsia="Times New Roman" w:cs="Times New Roman"/>
          <w:color w:val="000000"/>
          <w:szCs w:val="24"/>
          <w:lang w:val="en-US"/>
        </w:rPr>
        <w:t xml:space="preserve"> </w:t>
      </w:r>
      <w:sdt>
        <w:sdtPr>
          <w:rPr>
            <w:rFonts w:eastAsia="Times New Roman" w:cs="Times New Roman"/>
            <w:color w:val="000000"/>
            <w:szCs w:val="24"/>
            <w:lang w:val="en-US"/>
          </w:rPr>
          <w:id w:val="1503846595"/>
          <w:citation/>
        </w:sdtPr>
        <w:sdtEndPr/>
        <w:sdtContent>
          <w:r w:rsidR="00B00074">
            <w:rPr>
              <w:rFonts w:eastAsia="Times New Roman" w:cs="Times New Roman"/>
              <w:color w:val="000000"/>
              <w:szCs w:val="24"/>
              <w:lang w:val="en-US"/>
            </w:rPr>
            <w:fldChar w:fldCharType="begin"/>
          </w:r>
          <w:r w:rsidR="00B00074">
            <w:rPr>
              <w:rFonts w:eastAsia="Times New Roman" w:cs="Times New Roman"/>
              <w:color w:val="000000"/>
              <w:szCs w:val="24"/>
              <w:lang w:val="en-US"/>
            </w:rPr>
            <w:instrText xml:space="preserve"> CITATION Tif23 \l 1033 </w:instrText>
          </w:r>
          <w:r w:rsidR="00B00074">
            <w:rPr>
              <w:rFonts w:eastAsia="Times New Roman" w:cs="Times New Roman"/>
              <w:color w:val="000000"/>
              <w:szCs w:val="24"/>
              <w:lang w:val="en-US"/>
            </w:rPr>
            <w:fldChar w:fldCharType="separate"/>
          </w:r>
          <w:r w:rsidR="00B00074" w:rsidRPr="00B00074">
            <w:rPr>
              <w:rFonts w:eastAsia="Times New Roman" w:cs="Times New Roman"/>
              <w:noProof/>
              <w:color w:val="000000"/>
              <w:szCs w:val="24"/>
              <w:lang w:val="en-US"/>
            </w:rPr>
            <w:t>(Wright, 2023)</w:t>
          </w:r>
          <w:r w:rsidR="00B00074">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 xml:space="preserve">. IRR should be used by BP Plc in addition to other </w:t>
      </w:r>
      <w:r w:rsidRPr="00F352BA">
        <w:rPr>
          <w:rFonts w:eastAsia="Times New Roman" w:cs="Times New Roman"/>
          <w:color w:val="000000"/>
          <w:szCs w:val="24"/>
          <w:lang w:val="en-US"/>
        </w:rPr>
        <w:t>metrics as a complementary technique for a thorough examination.</w:t>
      </w:r>
    </w:p>
    <w:p w14:paraId="4749514B"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Payback Period </w:t>
      </w:r>
    </w:p>
    <w:p w14:paraId="62C097B7" w14:textId="1CDA8DF4"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The amount of time needed to recoup the initial investment is measured by the payback period. It offers a straightforward indicator of the venture's risk and liquidity. But it disregards the accumulated value of funds and does not take into account cash flows after the payback period. The payback time should be used prudently by BP Plc together with other approaches that take into consideration the entire project lifespan</w:t>
      </w:r>
      <w:r w:rsidR="00B00074">
        <w:rPr>
          <w:rFonts w:eastAsia="Times New Roman" w:cs="Times New Roman"/>
          <w:color w:val="000000"/>
          <w:szCs w:val="24"/>
          <w:lang w:val="en-US"/>
        </w:rPr>
        <w:t xml:space="preserve"> </w:t>
      </w:r>
      <w:sdt>
        <w:sdtPr>
          <w:rPr>
            <w:rFonts w:eastAsia="Times New Roman" w:cs="Times New Roman"/>
            <w:color w:val="000000"/>
            <w:szCs w:val="24"/>
            <w:lang w:val="en-US"/>
          </w:rPr>
          <w:id w:val="1460536579"/>
          <w:citation/>
        </w:sdtPr>
        <w:sdtEndPr/>
        <w:sdtContent>
          <w:r w:rsidR="00B00074">
            <w:rPr>
              <w:rFonts w:eastAsia="Times New Roman" w:cs="Times New Roman"/>
              <w:color w:val="000000"/>
              <w:szCs w:val="24"/>
              <w:lang w:val="en-US"/>
            </w:rPr>
            <w:fldChar w:fldCharType="begin"/>
          </w:r>
          <w:r w:rsidR="00B00074">
            <w:rPr>
              <w:rFonts w:eastAsia="Times New Roman" w:cs="Times New Roman"/>
              <w:color w:val="000000"/>
              <w:szCs w:val="24"/>
              <w:lang w:val="en-US"/>
            </w:rPr>
            <w:instrText xml:space="preserve"> CITATION Ger231 \l 1033 </w:instrText>
          </w:r>
          <w:r w:rsidR="00B00074">
            <w:rPr>
              <w:rFonts w:eastAsia="Times New Roman" w:cs="Times New Roman"/>
              <w:color w:val="000000"/>
              <w:szCs w:val="24"/>
              <w:lang w:val="en-US"/>
            </w:rPr>
            <w:fldChar w:fldCharType="separate"/>
          </w:r>
          <w:r w:rsidR="00B00074" w:rsidRPr="00B00074">
            <w:rPr>
              <w:rFonts w:eastAsia="Times New Roman" w:cs="Times New Roman"/>
              <w:noProof/>
              <w:color w:val="000000"/>
              <w:szCs w:val="24"/>
              <w:lang w:val="en-US"/>
            </w:rPr>
            <w:t>(Hanks, 2023)</w:t>
          </w:r>
          <w:r w:rsidR="00B00074">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w:t>
      </w:r>
    </w:p>
    <w:p w14:paraId="11892FC9" w14:textId="77777777" w:rsidR="00F352BA" w:rsidRPr="00F352BA" w:rsidRDefault="0085171E" w:rsidP="00F352BA">
      <w:pPr>
        <w:rPr>
          <w:rFonts w:eastAsia="Times New Roman" w:cs="Times New Roman"/>
          <w:szCs w:val="24"/>
          <w:lang w:val="en-US"/>
        </w:rPr>
      </w:pPr>
      <w:r w:rsidRPr="00F352BA">
        <w:rPr>
          <w:rFonts w:eastAsia="Times New Roman" w:cs="Times New Roman"/>
          <w:b/>
          <w:bCs/>
          <w:color w:val="000000"/>
          <w:szCs w:val="24"/>
          <w:lang w:val="en-US"/>
        </w:rPr>
        <w:t>Sensitivity Analysis</w:t>
      </w:r>
    </w:p>
    <w:p w14:paraId="56FADF80" w14:textId="513D8149" w:rsidR="00F352BA" w:rsidRPr="00F352BA" w:rsidRDefault="0085171E" w:rsidP="00F352BA">
      <w:pPr>
        <w:rPr>
          <w:rFonts w:eastAsia="Times New Roman" w:cs="Times New Roman"/>
          <w:szCs w:val="24"/>
          <w:lang w:val="en-US"/>
        </w:rPr>
      </w:pPr>
      <w:r w:rsidRPr="00F352BA">
        <w:rPr>
          <w:rFonts w:eastAsia="Times New Roman" w:cs="Times New Roman"/>
          <w:color w:val="000000"/>
          <w:szCs w:val="24"/>
          <w:lang w:val="en-US"/>
        </w:rPr>
        <w:t xml:space="preserve">This process entails determining how sensitive a project is to changes in important variables, such as sales volume, costs, and prices. It aids in locating the most important variables affecting project risk and profitability. Therefore, to comprehend the possible effects of market adjustments, </w:t>
      </w:r>
      <w:r w:rsidRPr="00F352BA">
        <w:rPr>
          <w:rFonts w:eastAsia="Times New Roman" w:cs="Times New Roman"/>
          <w:color w:val="000000"/>
          <w:szCs w:val="24"/>
          <w:lang w:val="en-US"/>
        </w:rPr>
        <w:lastRenderedPageBreak/>
        <w:t>legislative modifications, or technology improvements on project outcomes, BP Plc should carry out a thorough sensitivity analysis to forecast operational activities</w:t>
      </w:r>
      <w:r w:rsidR="00FA42AB">
        <w:rPr>
          <w:rFonts w:eastAsia="Times New Roman" w:cs="Times New Roman"/>
          <w:color w:val="000000"/>
          <w:szCs w:val="24"/>
          <w:lang w:val="en-US"/>
        </w:rPr>
        <w:t xml:space="preserve"> </w:t>
      </w:r>
      <w:sdt>
        <w:sdtPr>
          <w:rPr>
            <w:rFonts w:eastAsia="Times New Roman" w:cs="Times New Roman"/>
            <w:color w:val="000000"/>
            <w:szCs w:val="24"/>
            <w:lang w:val="en-US"/>
          </w:rPr>
          <w:id w:val="-1527403054"/>
          <w:citation/>
        </w:sdtPr>
        <w:sdtEndPr/>
        <w:sdtContent>
          <w:r w:rsidR="00FA42AB">
            <w:rPr>
              <w:rFonts w:eastAsia="Times New Roman" w:cs="Times New Roman"/>
              <w:color w:val="000000"/>
              <w:szCs w:val="24"/>
              <w:lang w:val="en-US"/>
            </w:rPr>
            <w:fldChar w:fldCharType="begin"/>
          </w:r>
          <w:r w:rsidR="00FA42AB">
            <w:rPr>
              <w:rFonts w:eastAsia="Times New Roman" w:cs="Times New Roman"/>
              <w:color w:val="000000"/>
              <w:szCs w:val="24"/>
              <w:lang w:val="en-IN"/>
            </w:rPr>
            <w:instrText xml:space="preserve"> CITATION Edr231 \l 16393 </w:instrText>
          </w:r>
          <w:r w:rsidR="00FA42AB">
            <w:rPr>
              <w:rFonts w:eastAsia="Times New Roman" w:cs="Times New Roman"/>
              <w:color w:val="000000"/>
              <w:szCs w:val="24"/>
              <w:lang w:val="en-US"/>
            </w:rPr>
            <w:fldChar w:fldCharType="separate"/>
          </w:r>
          <w:r w:rsidR="00FA42AB" w:rsidRPr="00FA42AB">
            <w:rPr>
              <w:rFonts w:eastAsia="Times New Roman" w:cs="Times New Roman"/>
              <w:noProof/>
              <w:color w:val="000000"/>
              <w:szCs w:val="24"/>
              <w:lang w:val="en-IN"/>
            </w:rPr>
            <w:t>(Koening, 2023)</w:t>
          </w:r>
          <w:r w:rsidR="00FA42AB">
            <w:rPr>
              <w:rFonts w:eastAsia="Times New Roman" w:cs="Times New Roman"/>
              <w:color w:val="000000"/>
              <w:szCs w:val="24"/>
              <w:lang w:val="en-US"/>
            </w:rPr>
            <w:fldChar w:fldCharType="end"/>
          </w:r>
        </w:sdtContent>
      </w:sdt>
      <w:r w:rsidRPr="00F352BA">
        <w:rPr>
          <w:rFonts w:eastAsia="Times New Roman" w:cs="Times New Roman"/>
          <w:color w:val="000000"/>
          <w:szCs w:val="24"/>
          <w:lang w:val="en-US"/>
        </w:rPr>
        <w:t>. </w:t>
      </w:r>
    </w:p>
    <w:p w14:paraId="46375F92" w14:textId="77777777" w:rsidR="00F352BA" w:rsidRDefault="0085171E">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715D1527" w14:textId="3959D46E" w:rsidR="00F352BA" w:rsidRPr="00F352BA" w:rsidRDefault="0085171E" w:rsidP="00F352BA">
      <w:pPr>
        <w:pStyle w:val="Heading1"/>
      </w:pPr>
      <w:bookmarkStart w:id="4" w:name="_Toc140591860"/>
      <w:r w:rsidRPr="00F352BA">
        <w:lastRenderedPageBreak/>
        <w:t>Conclusion</w:t>
      </w:r>
      <w:bookmarkEnd w:id="4"/>
    </w:p>
    <w:p w14:paraId="1B016957" w14:textId="567BE1E3" w:rsidR="00E75648" w:rsidRDefault="0085171E" w:rsidP="00F352BA">
      <w:pPr>
        <w:rPr>
          <w:rFonts w:eastAsia="Times New Roman" w:cs="Times New Roman"/>
          <w:color w:val="000000"/>
          <w:szCs w:val="24"/>
          <w:lang w:val="en-US"/>
        </w:rPr>
      </w:pPr>
      <w:r w:rsidRPr="00F352BA">
        <w:rPr>
          <w:rFonts w:eastAsia="Times New Roman" w:cs="Times New Roman"/>
          <w:color w:val="000000"/>
          <w:szCs w:val="24"/>
          <w:lang w:val="en-US"/>
        </w:rPr>
        <w:t xml:space="preserve">The following report has demonstrated about the effectiveness of the dividend distribution policy that widely assists BP Plc to improve its operational system. Here, </w:t>
      </w:r>
      <w:r w:rsidRPr="00F352BA">
        <w:rPr>
          <w:rFonts w:eastAsia="Times New Roman" w:cs="Times New Roman"/>
          <w:color w:val="000000"/>
          <w:szCs w:val="24"/>
          <w:lang w:val="en-US"/>
        </w:rPr>
        <w:t>different factors like stability, stakeholder returns and dividen</w:t>
      </w:r>
      <w:r>
        <w:rPr>
          <w:rFonts w:eastAsia="Times New Roman" w:cs="Times New Roman"/>
          <w:color w:val="000000"/>
          <w:szCs w:val="24"/>
          <w:lang w:val="en-US"/>
        </w:rPr>
        <w:t>d</w:t>
      </w:r>
      <w:r w:rsidRPr="00F352BA">
        <w:rPr>
          <w:rFonts w:eastAsia="Times New Roman" w:cs="Times New Roman"/>
          <w:color w:val="000000"/>
          <w:szCs w:val="24"/>
          <w:lang w:val="en-US"/>
        </w:rPr>
        <w:t xml:space="preserve"> yield </w:t>
      </w:r>
      <w:r>
        <w:rPr>
          <w:rFonts w:eastAsia="Times New Roman" w:cs="Times New Roman"/>
          <w:color w:val="000000"/>
          <w:szCs w:val="24"/>
          <w:lang w:val="en-US"/>
        </w:rPr>
        <w:t>have</w:t>
      </w:r>
      <w:r w:rsidRPr="00F352BA">
        <w:rPr>
          <w:rFonts w:eastAsia="Times New Roman" w:cs="Times New Roman"/>
          <w:color w:val="000000"/>
          <w:szCs w:val="24"/>
          <w:lang w:val="en-US"/>
        </w:rPr>
        <w:t xml:space="preserve"> been defined in a proper manner. Apart from that, the impact of effective market hypothesis theory has been illustrated </w:t>
      </w:r>
      <w:r>
        <w:rPr>
          <w:rFonts w:eastAsia="Times New Roman" w:cs="Times New Roman"/>
          <w:color w:val="000000"/>
          <w:szCs w:val="24"/>
          <w:lang w:val="en-US"/>
        </w:rPr>
        <w:t>by</w:t>
      </w:r>
      <w:r w:rsidRPr="00F352BA">
        <w:rPr>
          <w:rFonts w:eastAsia="Times New Roman" w:cs="Times New Roman"/>
          <w:color w:val="000000"/>
          <w:szCs w:val="24"/>
          <w:lang w:val="en-US"/>
        </w:rPr>
        <w:t xml:space="preserve"> analysing its effectiveness in terms of controlling operational activities. Furthermore, the evaluation of project appraisal methods such as net present value, payback period and sensitive analysis have </w:t>
      </w:r>
      <w:r>
        <w:rPr>
          <w:rFonts w:eastAsia="Times New Roman" w:cs="Times New Roman"/>
          <w:color w:val="000000"/>
          <w:szCs w:val="24"/>
          <w:lang w:val="en-US"/>
        </w:rPr>
        <w:t xml:space="preserve">been </w:t>
      </w:r>
      <w:r w:rsidRPr="00F352BA">
        <w:rPr>
          <w:rFonts w:eastAsia="Times New Roman" w:cs="Times New Roman"/>
          <w:color w:val="000000"/>
          <w:szCs w:val="24"/>
          <w:lang w:val="en-US"/>
        </w:rPr>
        <w:t>properly examined. Through understanding every process, it becomes easier to dictate proper suggestions</w:t>
      </w:r>
      <w:r w:rsidRPr="00F352BA">
        <w:rPr>
          <w:rFonts w:eastAsia="Times New Roman" w:cs="Times New Roman"/>
          <w:color w:val="000000"/>
          <w:szCs w:val="24"/>
          <w:lang w:val="en-US"/>
        </w:rPr>
        <w:t xml:space="preserve"> for BP Plc only to achieve long-term growth in the marketing field. </w:t>
      </w:r>
    </w:p>
    <w:p w14:paraId="6995B1EE" w14:textId="77777777" w:rsidR="00E75648" w:rsidRDefault="0085171E">
      <w:pPr>
        <w:spacing w:after="16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2616DF29" w14:textId="75F40F5A" w:rsidR="00F352BA" w:rsidRDefault="0085171E" w:rsidP="00E75648">
      <w:pPr>
        <w:pStyle w:val="Heading1"/>
      </w:pPr>
      <w:bookmarkStart w:id="5" w:name="_Toc140591861"/>
      <w:r>
        <w:lastRenderedPageBreak/>
        <w:t>References</w:t>
      </w:r>
      <w:bookmarkEnd w:id="5"/>
    </w:p>
    <w:p w14:paraId="1852A5F3" w14:textId="77777777" w:rsidR="00FA42AB" w:rsidRDefault="00FA42AB" w:rsidP="00B00074">
      <w:r>
        <w:t>Baldridge, R., (2022). What Is the Efficient Market Hypothesis?. [Online] Available at: https://www.forbes.com/advisor/investing/efficient-market-hypothesis/ [Accessed 10 July 2023].</w:t>
      </w:r>
    </w:p>
    <w:p w14:paraId="35B521DC" w14:textId="77777777" w:rsidR="00FA42AB" w:rsidRDefault="00FA42AB" w:rsidP="00D51B3E">
      <w:r>
        <w:t xml:space="preserve">Barros, V., (2023). High-tech firms: Dividend policy in a context of sustainability and technological change. [Online] Available at: https://www.sciencedirect.com/science/article/pii/S0040162523001191 [Accessed 16 </w:t>
      </w:r>
      <w:proofErr w:type="spellStart"/>
      <w:r>
        <w:t>july</w:t>
      </w:r>
      <w:proofErr w:type="spellEnd"/>
      <w:r>
        <w:t xml:space="preserve"> 2023].</w:t>
      </w:r>
    </w:p>
    <w:p w14:paraId="00E0D2D0" w14:textId="77777777" w:rsidR="00FA42AB" w:rsidRDefault="00FA42AB" w:rsidP="00B00074">
      <w:r>
        <w:t>Burgess, R., (2018). The Efficient Market Hypothesis Takes a Beating. [Online] Available at: https://www.bloomberg.com/view/articles/2018-12-10/the-efficient-market-hypothesis-takes-a-beating#xj4y7vzkg [Accessed 11 July 2023].</w:t>
      </w:r>
    </w:p>
    <w:p w14:paraId="4C041987" w14:textId="77777777" w:rsidR="00FA42AB" w:rsidRDefault="00FA42AB" w:rsidP="00B00074">
      <w:r>
        <w:t>CHANG, E., (2023). What Is Net Present Value &amp; How Do You Calculate It?. [Online] Available at: https://thestreet.com/dictionary/n/net-present-value-npv [Accessed 12 July 2023].</w:t>
      </w:r>
    </w:p>
    <w:p w14:paraId="54543113" w14:textId="77777777" w:rsidR="00FA42AB" w:rsidRDefault="00FA42AB" w:rsidP="00B00074">
      <w:r w:rsidRPr="00E75648">
        <w:t xml:space="preserve">Clement, J., </w:t>
      </w:r>
      <w:proofErr w:type="spellStart"/>
      <w:r w:rsidRPr="00E75648">
        <w:t>Manjon</w:t>
      </w:r>
      <w:proofErr w:type="spellEnd"/>
      <w:r w:rsidRPr="00E75648">
        <w:t xml:space="preserve">, M. and </w:t>
      </w:r>
      <w:proofErr w:type="spellStart"/>
      <w:r w:rsidRPr="00E75648">
        <w:t>Crutzen</w:t>
      </w:r>
      <w:proofErr w:type="spellEnd"/>
      <w:r w:rsidRPr="00E75648">
        <w:t xml:space="preserve">, N., </w:t>
      </w:r>
      <w:r>
        <w:t>(</w:t>
      </w:r>
      <w:r w:rsidRPr="00E75648">
        <w:t>2022</w:t>
      </w:r>
      <w:r>
        <w:t>)</w:t>
      </w:r>
      <w:r w:rsidRPr="00E75648">
        <w:t>. Factors for collaboration amongst smart city stakeholders: A local government perspective. Government Information Quarterly, 39(4), p.101746.</w:t>
      </w:r>
    </w:p>
    <w:p w14:paraId="3CEB93D3" w14:textId="77777777" w:rsidR="00FA42AB" w:rsidRDefault="00FA42AB" w:rsidP="00D51B3E">
      <w:r>
        <w:t xml:space="preserve">Fernando, J., (2023). Dividend Yield: Meaning, Formula, Example, and Pros and Cons. [Online] Available at: https://www.investopedia.com/terms/d/dividendyield.asp#:~:text=The%20dividend%20yield%2C%20expressed%20as,is%20the%20dividend%20payout%20ratio. [Accessed 16 </w:t>
      </w:r>
      <w:proofErr w:type="spellStart"/>
      <w:r>
        <w:t>july</w:t>
      </w:r>
      <w:proofErr w:type="spellEnd"/>
      <w:r>
        <w:t xml:space="preserve"> 2023].</w:t>
      </w:r>
    </w:p>
    <w:p w14:paraId="3492CB09" w14:textId="77777777" w:rsidR="00FA42AB" w:rsidRDefault="00FA42AB" w:rsidP="00B00074">
      <w:r>
        <w:lastRenderedPageBreak/>
        <w:t>Hanks, G., (2023). Payback Period Vs. Discount Payback Period. [Online] Available at: https://smallbusiness.chron.com/payback-period-vs-discount-payback-period-81299.html [Accessed 13 July 2023].</w:t>
      </w:r>
    </w:p>
    <w:p w14:paraId="7E83F9BF" w14:textId="77777777" w:rsidR="00FA42AB" w:rsidRDefault="00FA42AB" w:rsidP="00FA42AB">
      <w:proofErr w:type="spellStart"/>
      <w:r>
        <w:t>Koening</w:t>
      </w:r>
      <w:proofErr w:type="spellEnd"/>
      <w:r>
        <w:t>, E., (2023). Sensitivity Analysis for Capital Budgeting. [Online] Available at: https://smallbusiness.chron.com/sensitivity-analysis-capital-budgeting-10153.html [Accessed 17 July 2023].</w:t>
      </w:r>
    </w:p>
    <w:p w14:paraId="281120A7" w14:textId="77777777" w:rsidR="00FA42AB" w:rsidRDefault="00FA42AB" w:rsidP="00D51B3E">
      <w:proofErr w:type="spellStart"/>
      <w:r>
        <w:t>Ozyasar</w:t>
      </w:r>
      <w:proofErr w:type="spellEnd"/>
      <w:r>
        <w:t>, H., (2023). Can a Shareholder Force a Corporation to Pay a Dividend?. [Online] Available at: https://smallbusiness.chron.com/can-shareholder-force-corporation-pay-dividend-61506.html [Accessed 16 July 2023].</w:t>
      </w:r>
    </w:p>
    <w:p w14:paraId="341E81B5" w14:textId="77777777" w:rsidR="00FA42AB" w:rsidRDefault="00FA42AB" w:rsidP="00FA42AB">
      <w:proofErr w:type="spellStart"/>
      <w:r>
        <w:t>Tretina</w:t>
      </w:r>
      <w:proofErr w:type="spellEnd"/>
      <w:r>
        <w:t>, K., (2023). What Is Dividend Yield? Why Is It Important?. [Online] Available at: https://www.forbes.com/advisor/investing/dividend-yield/ [Accessed 15 July 2023].</w:t>
      </w:r>
    </w:p>
    <w:p w14:paraId="1162CAD5" w14:textId="77777777" w:rsidR="00FA42AB" w:rsidRPr="00E75648" w:rsidRDefault="00FA42AB" w:rsidP="00E75648">
      <w:pPr>
        <w:rPr>
          <w:lang w:val="en-US" w:bidi="th-TH"/>
        </w:rPr>
      </w:pPr>
      <w:proofErr w:type="spellStart"/>
      <w:r>
        <w:rPr>
          <w:shd w:val="clear" w:color="auto" w:fill="FFFFFF"/>
        </w:rPr>
        <w:t>Vasileiou</w:t>
      </w:r>
      <w:proofErr w:type="spellEnd"/>
      <w:r>
        <w:rPr>
          <w:shd w:val="clear" w:color="auto" w:fill="FFFFFF"/>
        </w:rPr>
        <w:t>, E., (2022). Behavioral finance and market efficiency in the time of the COVID-19 pandemic: does fear drive the market?. In </w:t>
      </w:r>
      <w:r>
        <w:rPr>
          <w:i/>
          <w:iCs/>
          <w:shd w:val="clear" w:color="auto" w:fill="FFFFFF"/>
        </w:rPr>
        <w:t>The Political Economy of Covid-19</w:t>
      </w:r>
      <w:r>
        <w:rPr>
          <w:shd w:val="clear" w:color="auto" w:fill="FFFFFF"/>
        </w:rPr>
        <w:t> (pp. 116-133). Routledge.</w:t>
      </w:r>
    </w:p>
    <w:p w14:paraId="160C0B33" w14:textId="77777777" w:rsidR="00FA42AB" w:rsidRDefault="00FA42AB" w:rsidP="00B00074">
      <w:r>
        <w:t>Wright, T. C., (2023). Why Is the Internal Rate of Return Important to an Organization?. [Online] Available at: https://smallbusiness.chron.com/internal-rate-return-important-organization-67279.html [Accessed 14 July 2023].</w:t>
      </w:r>
    </w:p>
    <w:p w14:paraId="1983F1A5" w14:textId="77777777" w:rsidR="00D51B3E" w:rsidRDefault="00D51B3E" w:rsidP="00B00074"/>
    <w:p w14:paraId="592990EF" w14:textId="77777777" w:rsidR="00B00074" w:rsidRDefault="00B00074" w:rsidP="00B00074"/>
    <w:p w14:paraId="241D44E9" w14:textId="77777777" w:rsidR="00B00074" w:rsidRDefault="00B00074"/>
    <w:sectPr w:rsidR="00B00074" w:rsidSect="00F352BA">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0B81D" w14:textId="77777777" w:rsidR="0051380F" w:rsidRDefault="0051380F">
      <w:pPr>
        <w:spacing w:line="240" w:lineRule="auto"/>
      </w:pPr>
      <w:r>
        <w:separator/>
      </w:r>
    </w:p>
  </w:endnote>
  <w:endnote w:type="continuationSeparator" w:id="0">
    <w:p w14:paraId="565D14CB" w14:textId="77777777" w:rsidR="0051380F" w:rsidRDefault="005138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roman"/>
    <w:pitch w:val="variable"/>
    <w:sig w:usb0="01000001" w:usb1="00000000" w:usb2="00000000" w:usb3="00000000" w:csb0="00010000" w:csb1="00000000"/>
  </w:font>
  <w:font w:name="Times New Roman">
    <w:panose1 w:val="02020603050405020304"/>
    <w:charset w:val="00"/>
    <w:family w:val="roman"/>
    <w:pitch w:val="variable"/>
    <w:sig w:usb0="E0002AF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785355"/>
      <w:docPartObj>
        <w:docPartGallery w:val="Page Numbers (Bottom of Page)"/>
        <w:docPartUnique/>
      </w:docPartObj>
    </w:sdtPr>
    <w:sdtEndPr/>
    <w:sdtContent>
      <w:sdt>
        <w:sdtPr>
          <w:id w:val="-1769616900"/>
          <w:docPartObj>
            <w:docPartGallery w:val="Page Numbers (Top of Page)"/>
            <w:docPartUnique/>
          </w:docPartObj>
        </w:sdtPr>
        <w:sdtEndPr/>
        <w:sdtContent>
          <w:p w14:paraId="4EB9952F" w14:textId="62DBF4F9" w:rsidR="00F352BA" w:rsidRDefault="0085171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052CE57" w14:textId="77777777" w:rsidR="00F352BA" w:rsidRDefault="00F35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A9B03" w14:textId="77777777" w:rsidR="0051380F" w:rsidRDefault="0051380F">
      <w:pPr>
        <w:spacing w:line="240" w:lineRule="auto"/>
      </w:pPr>
      <w:r>
        <w:separator/>
      </w:r>
    </w:p>
  </w:footnote>
  <w:footnote w:type="continuationSeparator" w:id="0">
    <w:p w14:paraId="58F48BF7" w14:textId="77777777" w:rsidR="0051380F" w:rsidRDefault="005138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07D5" w14:textId="7D7B1B0B" w:rsidR="00F352BA" w:rsidRPr="00F352BA" w:rsidRDefault="0085171E" w:rsidP="00F352BA">
    <w:pPr>
      <w:pStyle w:val="Header"/>
      <w:jc w:val="right"/>
      <w:rPr>
        <w:b/>
        <w:bCs/>
      </w:rPr>
    </w:pPr>
    <w:r w:rsidRPr="00F352BA">
      <w:rPr>
        <w:b/>
        <w:bCs/>
      </w:rPr>
      <w:t>International Financial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BA"/>
    <w:rsid w:val="00005B73"/>
    <w:rsid w:val="00014B1A"/>
    <w:rsid w:val="000153F9"/>
    <w:rsid w:val="00017A3D"/>
    <w:rsid w:val="00087E34"/>
    <w:rsid w:val="00101403"/>
    <w:rsid w:val="00130994"/>
    <w:rsid w:val="00145B92"/>
    <w:rsid w:val="00170A79"/>
    <w:rsid w:val="001C72FB"/>
    <w:rsid w:val="001D6878"/>
    <w:rsid w:val="0021421D"/>
    <w:rsid w:val="002666B8"/>
    <w:rsid w:val="002936D7"/>
    <w:rsid w:val="00301858"/>
    <w:rsid w:val="00310063"/>
    <w:rsid w:val="0031148E"/>
    <w:rsid w:val="003137A6"/>
    <w:rsid w:val="00313B17"/>
    <w:rsid w:val="0043115B"/>
    <w:rsid w:val="00435A0F"/>
    <w:rsid w:val="00467C87"/>
    <w:rsid w:val="004900FB"/>
    <w:rsid w:val="004D02C1"/>
    <w:rsid w:val="005042B9"/>
    <w:rsid w:val="0051380F"/>
    <w:rsid w:val="0052295C"/>
    <w:rsid w:val="005432AD"/>
    <w:rsid w:val="005568A9"/>
    <w:rsid w:val="00565C20"/>
    <w:rsid w:val="00582C56"/>
    <w:rsid w:val="005A5D97"/>
    <w:rsid w:val="005B66D2"/>
    <w:rsid w:val="005D5193"/>
    <w:rsid w:val="0063570F"/>
    <w:rsid w:val="006E284B"/>
    <w:rsid w:val="00701676"/>
    <w:rsid w:val="00727F8B"/>
    <w:rsid w:val="00736A91"/>
    <w:rsid w:val="0073777A"/>
    <w:rsid w:val="007741D0"/>
    <w:rsid w:val="007B4CF0"/>
    <w:rsid w:val="00827395"/>
    <w:rsid w:val="00853C08"/>
    <w:rsid w:val="0088558E"/>
    <w:rsid w:val="008E55DE"/>
    <w:rsid w:val="009226BC"/>
    <w:rsid w:val="0097072C"/>
    <w:rsid w:val="00996E92"/>
    <w:rsid w:val="009A4CC6"/>
    <w:rsid w:val="009B1245"/>
    <w:rsid w:val="009E35B8"/>
    <w:rsid w:val="00A40C71"/>
    <w:rsid w:val="00A515CE"/>
    <w:rsid w:val="00A660BF"/>
    <w:rsid w:val="00AD4280"/>
    <w:rsid w:val="00AF68B8"/>
    <w:rsid w:val="00B00074"/>
    <w:rsid w:val="00B468D7"/>
    <w:rsid w:val="00BA45D4"/>
    <w:rsid w:val="00BB155C"/>
    <w:rsid w:val="00BD6DC1"/>
    <w:rsid w:val="00BF6DEB"/>
    <w:rsid w:val="00C06A02"/>
    <w:rsid w:val="00C274FC"/>
    <w:rsid w:val="00C51D5F"/>
    <w:rsid w:val="00CC61E4"/>
    <w:rsid w:val="00CE09C0"/>
    <w:rsid w:val="00D1411D"/>
    <w:rsid w:val="00D1542D"/>
    <w:rsid w:val="00D25D1E"/>
    <w:rsid w:val="00D51B3E"/>
    <w:rsid w:val="00D65781"/>
    <w:rsid w:val="00DC7961"/>
    <w:rsid w:val="00DE25C6"/>
    <w:rsid w:val="00DE5B4D"/>
    <w:rsid w:val="00E05E27"/>
    <w:rsid w:val="00E619AF"/>
    <w:rsid w:val="00E75648"/>
    <w:rsid w:val="00EA41E2"/>
    <w:rsid w:val="00EE24DA"/>
    <w:rsid w:val="00EF0C06"/>
    <w:rsid w:val="00F352BA"/>
    <w:rsid w:val="00F60AF4"/>
    <w:rsid w:val="00FA42AB"/>
    <w:rsid w:val="00FD5C9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EF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C20"/>
    <w:pPr>
      <w:spacing w:after="0" w:line="480" w:lineRule="auto"/>
      <w:jc w:val="both"/>
    </w:pPr>
    <w:rPr>
      <w:rFonts w:ascii="Times New Roman" w:hAnsi="Times New Roman" w:cs="Arial"/>
      <w:kern w:val="0"/>
      <w:sz w:val="24"/>
      <w:szCs w:val="22"/>
      <w:lang w:val="en" w:bidi="ar-SA"/>
      <w14:ligatures w14:val="none"/>
    </w:rPr>
  </w:style>
  <w:style w:type="paragraph" w:styleId="Heading1">
    <w:name w:val="heading 1"/>
    <w:basedOn w:val="Normal"/>
    <w:next w:val="Normal"/>
    <w:link w:val="Heading1Char"/>
    <w:autoRedefine/>
    <w:uiPriority w:val="9"/>
    <w:qFormat/>
    <w:rsid w:val="00F60AF4"/>
    <w:pPr>
      <w:keepNext/>
      <w:keepLines/>
      <w:spacing w:before="400" w:after="120"/>
      <w:outlineLvl w:val="0"/>
    </w:pPr>
    <w:rPr>
      <w:rFonts w:cstheme="minorBidi"/>
      <w:b/>
      <w:kern w:val="2"/>
      <w:sz w:val="28"/>
      <w:szCs w:val="28"/>
      <w:lang w:val="en-US" w:bidi="th-TH"/>
      <w14:ligatures w14:val="standardContextual"/>
    </w:rPr>
  </w:style>
  <w:style w:type="paragraph" w:styleId="Heading2">
    <w:name w:val="heading 2"/>
    <w:basedOn w:val="Normal"/>
    <w:next w:val="Normal"/>
    <w:link w:val="Heading2Char"/>
    <w:autoRedefine/>
    <w:uiPriority w:val="9"/>
    <w:unhideWhenUsed/>
    <w:qFormat/>
    <w:rsid w:val="00EA41E2"/>
    <w:pPr>
      <w:keepNext/>
      <w:keepLines/>
      <w:spacing w:before="360" w:after="120"/>
      <w:outlineLvl w:val="1"/>
    </w:pPr>
    <w:rPr>
      <w:sz w:val="26"/>
      <w:szCs w:val="32"/>
      <w:lang w:eastAsia="en-IN"/>
    </w:rPr>
  </w:style>
  <w:style w:type="paragraph" w:styleId="Heading3">
    <w:name w:val="heading 3"/>
    <w:basedOn w:val="Normal"/>
    <w:next w:val="Normal"/>
    <w:link w:val="Heading3Char"/>
    <w:autoRedefine/>
    <w:uiPriority w:val="9"/>
    <w:unhideWhenUsed/>
    <w:qFormat/>
    <w:rsid w:val="00BF6DEB"/>
    <w:pPr>
      <w:keepNext/>
      <w:keepLines/>
      <w:spacing w:before="40" w:after="200"/>
      <w:outlineLvl w:val="2"/>
    </w:pPr>
    <w:rPr>
      <w:rFonts w:eastAsiaTheme="majorEastAsia" w:cstheme="majorBidi"/>
      <w:i/>
      <w:szCs w:val="28"/>
      <w:u w:val="single"/>
      <w:lang w:val="en-GB"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AF4"/>
    <w:rPr>
      <w:rFonts w:ascii="Times New Roman" w:hAnsi="Times New Roman"/>
      <w:b/>
      <w:sz w:val="28"/>
    </w:rPr>
  </w:style>
  <w:style w:type="character" w:customStyle="1" w:styleId="Heading2Char">
    <w:name w:val="Heading 2 Char"/>
    <w:basedOn w:val="DefaultParagraphFont"/>
    <w:link w:val="Heading2"/>
    <w:uiPriority w:val="9"/>
    <w:rsid w:val="00EA41E2"/>
    <w:rPr>
      <w:rFonts w:ascii="Times New Roman" w:hAnsi="Times New Roman" w:cs="Arial"/>
      <w:kern w:val="0"/>
      <w:sz w:val="26"/>
      <w:szCs w:val="32"/>
      <w:lang w:val="en" w:eastAsia="en-IN" w:bidi="ar-SA"/>
      <w14:ligatures w14:val="none"/>
    </w:rPr>
  </w:style>
  <w:style w:type="character" w:customStyle="1" w:styleId="Heading3Char">
    <w:name w:val="Heading 3 Char"/>
    <w:basedOn w:val="DefaultParagraphFont"/>
    <w:link w:val="Heading3"/>
    <w:uiPriority w:val="9"/>
    <w:rsid w:val="00BF6DEB"/>
    <w:rPr>
      <w:rFonts w:ascii="Times New Roman" w:eastAsiaTheme="majorEastAsia" w:hAnsi="Times New Roman" w:cstheme="majorBidi"/>
      <w:i/>
      <w:kern w:val="0"/>
      <w:sz w:val="24"/>
      <w:u w:val="single"/>
      <w:lang w:val="en-GB"/>
      <w14:ligatures w14:val="none"/>
    </w:rPr>
  </w:style>
  <w:style w:type="paragraph" w:styleId="NoSpacing">
    <w:name w:val="No Spacing"/>
    <w:autoRedefine/>
    <w:uiPriority w:val="1"/>
    <w:qFormat/>
    <w:rsid w:val="00D1411D"/>
    <w:pPr>
      <w:spacing w:after="0" w:line="480" w:lineRule="auto"/>
      <w:ind w:left="176"/>
      <w:jc w:val="both"/>
    </w:pPr>
    <w:rPr>
      <w:rFonts w:ascii="Times New Roman" w:hAnsi="Times New Roman" w:cs="Times New Roman"/>
      <w:sz w:val="24"/>
      <w:szCs w:val="20"/>
      <w:lang w:val="en-GB" w:bidi="ar-SA"/>
    </w:rPr>
  </w:style>
  <w:style w:type="paragraph" w:styleId="NormalWeb">
    <w:name w:val="Normal (Web)"/>
    <w:basedOn w:val="Normal"/>
    <w:uiPriority w:val="99"/>
    <w:semiHidden/>
    <w:unhideWhenUsed/>
    <w:rsid w:val="00BD6DC1"/>
  </w:style>
  <w:style w:type="character" w:styleId="Hyperlink">
    <w:name w:val="Hyperlink"/>
    <w:basedOn w:val="DefaultParagraphFont"/>
    <w:uiPriority w:val="99"/>
    <w:unhideWhenUsed/>
    <w:rsid w:val="00DE25C6"/>
    <w:rPr>
      <w:rFonts w:ascii="Times New Roman" w:hAnsi="Times New Roman"/>
      <w:color w:val="auto"/>
      <w:sz w:val="24"/>
      <w:u w:val="none"/>
    </w:rPr>
  </w:style>
  <w:style w:type="paragraph" w:styleId="Header">
    <w:name w:val="header"/>
    <w:basedOn w:val="Normal"/>
    <w:link w:val="HeaderChar"/>
    <w:uiPriority w:val="99"/>
    <w:unhideWhenUsed/>
    <w:rsid w:val="00F352BA"/>
    <w:pPr>
      <w:tabs>
        <w:tab w:val="center" w:pos="4680"/>
        <w:tab w:val="right" w:pos="9360"/>
      </w:tabs>
      <w:spacing w:line="240" w:lineRule="auto"/>
    </w:pPr>
  </w:style>
  <w:style w:type="character" w:customStyle="1" w:styleId="HeaderChar">
    <w:name w:val="Header Char"/>
    <w:basedOn w:val="DefaultParagraphFont"/>
    <w:link w:val="Header"/>
    <w:uiPriority w:val="99"/>
    <w:rsid w:val="00F352BA"/>
    <w:rPr>
      <w:rFonts w:ascii="Times New Roman" w:hAnsi="Times New Roman" w:cs="Arial"/>
      <w:kern w:val="0"/>
      <w:sz w:val="24"/>
      <w:szCs w:val="22"/>
      <w:lang w:val="en" w:bidi="ar-SA"/>
      <w14:ligatures w14:val="none"/>
    </w:rPr>
  </w:style>
  <w:style w:type="paragraph" w:styleId="Footer">
    <w:name w:val="footer"/>
    <w:basedOn w:val="Normal"/>
    <w:link w:val="FooterChar"/>
    <w:uiPriority w:val="99"/>
    <w:unhideWhenUsed/>
    <w:rsid w:val="00F352BA"/>
    <w:pPr>
      <w:tabs>
        <w:tab w:val="center" w:pos="4680"/>
        <w:tab w:val="right" w:pos="9360"/>
      </w:tabs>
      <w:spacing w:line="240" w:lineRule="auto"/>
    </w:pPr>
  </w:style>
  <w:style w:type="character" w:customStyle="1" w:styleId="FooterChar">
    <w:name w:val="Footer Char"/>
    <w:basedOn w:val="DefaultParagraphFont"/>
    <w:link w:val="Footer"/>
    <w:uiPriority w:val="99"/>
    <w:rsid w:val="00F352BA"/>
    <w:rPr>
      <w:rFonts w:ascii="Times New Roman" w:hAnsi="Times New Roman" w:cs="Arial"/>
      <w:kern w:val="0"/>
      <w:sz w:val="24"/>
      <w:szCs w:val="22"/>
      <w:lang w:val="en" w:bidi="ar-SA"/>
      <w14:ligatures w14:val="none"/>
    </w:rPr>
  </w:style>
  <w:style w:type="paragraph" w:styleId="Bibliography">
    <w:name w:val="Bibliography"/>
    <w:basedOn w:val="Normal"/>
    <w:next w:val="Normal"/>
    <w:uiPriority w:val="37"/>
    <w:unhideWhenUsed/>
    <w:rsid w:val="00B00074"/>
  </w:style>
  <w:style w:type="character" w:styleId="UnresolvedMention">
    <w:name w:val="Unresolved Mention"/>
    <w:basedOn w:val="DefaultParagraphFont"/>
    <w:uiPriority w:val="99"/>
    <w:semiHidden/>
    <w:unhideWhenUsed/>
    <w:rsid w:val="00B00074"/>
    <w:rPr>
      <w:color w:val="605E5C"/>
      <w:shd w:val="clear" w:color="auto" w:fill="E1DFDD"/>
    </w:rPr>
  </w:style>
  <w:style w:type="paragraph" w:styleId="TOCHeading">
    <w:name w:val="TOC Heading"/>
    <w:basedOn w:val="Heading1"/>
    <w:next w:val="Normal"/>
    <w:uiPriority w:val="39"/>
    <w:unhideWhenUsed/>
    <w:qFormat/>
    <w:rsid w:val="006E284B"/>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6E28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81049">
      <w:bodyDiv w:val="1"/>
      <w:marLeft w:val="0"/>
      <w:marRight w:val="0"/>
      <w:marTop w:val="0"/>
      <w:marBottom w:val="0"/>
      <w:divBdr>
        <w:top w:val="none" w:sz="0" w:space="0" w:color="auto"/>
        <w:left w:val="none" w:sz="0" w:space="0" w:color="auto"/>
        <w:bottom w:val="none" w:sz="0" w:space="0" w:color="auto"/>
        <w:right w:val="none" w:sz="0" w:space="0" w:color="auto"/>
      </w:divBdr>
    </w:div>
    <w:div w:id="326598443">
      <w:bodyDiv w:val="1"/>
      <w:marLeft w:val="0"/>
      <w:marRight w:val="0"/>
      <w:marTop w:val="0"/>
      <w:marBottom w:val="0"/>
      <w:divBdr>
        <w:top w:val="none" w:sz="0" w:space="0" w:color="auto"/>
        <w:left w:val="none" w:sz="0" w:space="0" w:color="auto"/>
        <w:bottom w:val="none" w:sz="0" w:space="0" w:color="auto"/>
        <w:right w:val="none" w:sz="0" w:space="0" w:color="auto"/>
      </w:divBdr>
    </w:div>
    <w:div w:id="77694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Reb221</b:Tag>
    <b:SourceType>InternetSite</b:SourceType>
    <b:Guid>{BA2D0014-86E7-4A25-A6A2-9159A7885688}</b:Guid>
    <b:Author>
      <b:Author>
        <b:NameList>
          <b:Person>
            <b:Last>Baldridge</b:Last>
            <b:First>Rebecca</b:First>
          </b:Person>
        </b:NameList>
      </b:Author>
    </b:Author>
    <b:Title>What Is the Efficient Market Hypothesis?</b:Title>
    <b:Year>2022</b:Year>
    <b:YearAccessed>2023</b:YearAccessed>
    <b:MonthAccessed>July</b:MonthAccessed>
    <b:DayAccessed>10</b:DayAccessed>
    <b:URL>https://www.forbes.com/advisor/investing/efficient-market-hypothesis/</b:URL>
    <b:RefOrder>5</b:RefOrder>
  </b:Source>
  <b:Source>
    <b:Tag>Rob181</b:Tag>
    <b:SourceType>InternetSite</b:SourceType>
    <b:Guid>{E33E8AAB-2E40-41AE-80D8-29B6550B5F5D}</b:Guid>
    <b:Author>
      <b:Author>
        <b:NameList>
          <b:Person>
            <b:Last>Burgess</b:Last>
            <b:First>Robert</b:First>
          </b:Person>
        </b:NameList>
      </b:Author>
    </b:Author>
    <b:Title>The Efficient Market Hypothesis Takes a Beating</b:Title>
    <b:Year>2018</b:Year>
    <b:YearAccessed>2023</b:YearAccessed>
    <b:MonthAccessed>July</b:MonthAccessed>
    <b:DayAccessed>11</b:DayAccessed>
    <b:URL>https://www.bloomberg.com/view/articles/2018-12-10/the-efficient-market-hypothesis-takes-a-beating#xj4y7vzkg</b:URL>
    <b:RefOrder>6</b:RefOrder>
  </b:Source>
  <b:Source>
    <b:Tag>ELL23</b:Tag>
    <b:SourceType>InternetSite</b:SourceType>
    <b:Guid>{A9DA8EA2-B039-4215-B8B9-A6B747CCCC8C}</b:Guid>
    <b:Author>
      <b:Author>
        <b:NameList>
          <b:Person>
            <b:Last>CHANG</b:Last>
            <b:First>ELLEN</b:First>
          </b:Person>
        </b:NameList>
      </b:Author>
    </b:Author>
    <b:Title>What Is Net Present Value &amp; How Do You Calculate It?</b:Title>
    <b:Year>2023</b:Year>
    <b:YearAccessed>2023</b:YearAccessed>
    <b:MonthAccessed>July</b:MonthAccessed>
    <b:DayAccessed>12</b:DayAccessed>
    <b:URL>https://thestreet.com/dictionary/n/net-present-value-npv</b:URL>
    <b:RefOrder>7</b:RefOrder>
  </b:Source>
  <b:Source>
    <b:Tag>Ger231</b:Tag>
    <b:SourceType>InternetSite</b:SourceType>
    <b:Guid>{AD0B9FE2-5AB9-4CD9-BEF8-E5B84F8CC418}</b:Guid>
    <b:Author>
      <b:Author>
        <b:NameList>
          <b:Person>
            <b:Last>Hanks</b:Last>
            <b:First>Gerald</b:First>
          </b:Person>
        </b:NameList>
      </b:Author>
    </b:Author>
    <b:Title>Payback Period Vs. Discount Payback Period</b:Title>
    <b:Year>2023</b:Year>
    <b:YearAccessed>2023</b:YearAccessed>
    <b:MonthAccessed>July</b:MonthAccessed>
    <b:DayAccessed>13</b:DayAccessed>
    <b:URL>https://smallbusiness.chron.com/payback-period-vs-discount-payback-period-81299.html</b:URL>
    <b:RefOrder>9</b:RefOrder>
  </b:Source>
  <b:Source>
    <b:Tag>Tif23</b:Tag>
    <b:SourceType>InternetSite</b:SourceType>
    <b:Guid>{6EE052B2-2426-4226-8A31-7A067D3C179C}</b:Guid>
    <b:Author>
      <b:Author>
        <b:NameList>
          <b:Person>
            <b:Last>Wright</b:Last>
            <b:First>Tiffany</b:First>
            <b:Middle>C.</b:Middle>
          </b:Person>
        </b:NameList>
      </b:Author>
    </b:Author>
    <b:Title>Why Is the Internal Rate of Return Important to an Organization?</b:Title>
    <b:Year>2023</b:Year>
    <b:YearAccessed>2023</b:YearAccessed>
    <b:MonthAccessed>July</b:MonthAccessed>
    <b:DayAccessed>14</b:DayAccessed>
    <b:URL>https://smallbusiness.chron.com/internal-rate-return-important-organization-67279.html</b:URL>
    <b:RefOrder>8</b:RefOrder>
  </b:Source>
  <b:Source>
    <b:Tag>Vic23</b:Tag>
    <b:SourceType>InternetSite</b:SourceType>
    <b:Guid>{F37331DA-BA4D-4E48-94F9-C2C71DCA43E2}</b:Guid>
    <b:Author>
      <b:Author>
        <b:NameList>
          <b:Person>
            <b:Last>Barros</b:Last>
            <b:First>Victor</b:First>
          </b:Person>
        </b:NameList>
      </b:Author>
    </b:Author>
    <b:Title>High-tech firms: Dividend policy in a context of sustainability and technological change☆</b:Title>
    <b:Year>2023</b:Year>
    <b:YearAccessed>2023</b:YearAccessed>
    <b:MonthAccessed>july</b:MonthAccessed>
    <b:DayAccessed>16</b:DayAccessed>
    <b:URL>https://www.sciencedirect.com/science/article/pii/S0040162523001191</b:URL>
    <b:RefOrder>1</b:RefOrder>
  </b:Source>
  <b:Source>
    <b:Tag>Jas231</b:Tag>
    <b:SourceType>InternetSite</b:SourceType>
    <b:Guid>{628932A5-59F1-4289-9446-3C6B09DA3F14}</b:Guid>
    <b:Author>
      <b:Author>
        <b:NameList>
          <b:Person>
            <b:Last>Fernando</b:Last>
            <b:First>Jason</b:First>
          </b:Person>
        </b:NameList>
      </b:Author>
    </b:Author>
    <b:Title>Dividend Yield: Meaning, Formula, Example, and Pros and Cons</b:Title>
    <b:Year>2023</b:Year>
    <b:YearAccessed>2023</b:YearAccessed>
    <b:MonthAccessed>july</b:MonthAccessed>
    <b:DayAccessed>16</b:DayAccessed>
    <b:URL>https://www.investopedia.com/terms/d/dividendyield.asp#:~:text=The%20dividend%20yield%2C%20expressed%20as,is%20the%20dividend%20payout%20ratio.</b:URL>
    <b:RefOrder>2</b:RefOrder>
  </b:Source>
  <b:Source>
    <b:Tag>Hun231</b:Tag>
    <b:SourceType>InternetSite</b:SourceType>
    <b:Guid>{00E43891-7B6A-4DE3-9D44-50761116DAB2}</b:Guid>
    <b:Author>
      <b:Author>
        <b:NameList>
          <b:Person>
            <b:Last>Ozyasar</b:Last>
            <b:First>Hunkar</b:First>
          </b:Person>
        </b:NameList>
      </b:Author>
    </b:Author>
    <b:Title>Can a Shareholder Force a Corporation to Pay a Dividend?</b:Title>
    <b:Year>2023</b:Year>
    <b:YearAccessed>2023</b:YearAccessed>
    <b:MonthAccessed>July</b:MonthAccessed>
    <b:DayAccessed>16</b:DayAccessed>
    <b:URL>https://smallbusiness.chron.com/can-shareholder-force-corporation-pay-dividend-61506.html</b:URL>
    <b:RefOrder>4</b:RefOrder>
  </b:Source>
  <b:Source>
    <b:Tag>Kat231</b:Tag>
    <b:SourceType>InternetSite</b:SourceType>
    <b:Guid>{CE7B13E0-074D-4507-9DF9-9CED7E8E4424}</b:Guid>
    <b:Author>
      <b:Author>
        <b:NameList>
          <b:Person>
            <b:Last>Tretina</b:Last>
            <b:First>Kat</b:First>
          </b:Person>
        </b:NameList>
      </b:Author>
    </b:Author>
    <b:Title>What Is Dividend Yield? Why Is It Important?</b:Title>
    <b:Year>2023</b:Year>
    <b:YearAccessed>2023</b:YearAccessed>
    <b:MonthAccessed>July</b:MonthAccessed>
    <b:DayAccessed>15</b:DayAccessed>
    <b:URL>https://www.forbes.com/advisor/investing/dividend-yield/</b:URL>
    <b:RefOrder>3</b:RefOrder>
  </b:Source>
  <b:Source>
    <b:Tag>Edr231</b:Tag>
    <b:SourceType>InternetSite</b:SourceType>
    <b:Guid>{1774894B-9E49-429A-B33F-B42F27C59476}</b:Guid>
    <b:Author>
      <b:Author>
        <b:NameList>
          <b:Person>
            <b:Last>Koening</b:Last>
            <b:First>Edriaan</b:First>
          </b:Person>
        </b:NameList>
      </b:Author>
    </b:Author>
    <b:Title>Sensitivity Analysis for Capital Budgeting</b:Title>
    <b:Year>2023</b:Year>
    <b:YearAccessed>2023</b:YearAccessed>
    <b:MonthAccessed>July</b:MonthAccessed>
    <b:DayAccessed>17</b:DayAccessed>
    <b:URL>https://smallbusiness.chron.com/sensitivity-analysis-capital-budgeting-10153.html</b:URL>
    <b:RefOrder>10</b:RefOrder>
  </b:Source>
</b:Sources>
</file>

<file path=customXml/itemProps1.xml><?xml version="1.0" encoding="utf-8"?>
<ds:datastoreItem xmlns:ds="http://schemas.openxmlformats.org/officeDocument/2006/customXml" ds:itemID="{48CE2817-6691-4E1B-8634-42349473E4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2023-08-29T10:59:00Z</dcterms:created>
  <dcterms:modified xsi:type="dcterms:W3CDTF">2023-08-29T10:59:00Z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4ffa3ded3f4d494b8cebecb1c0cb0fabcb47b461956bf52b213120f6a339df98</vt:lpwstr>
  </property>
</Properties>
</file>