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Обычный1"/>
        <w:jc w:val="center"/>
        <w:rPr>
          <w:b w:val="1"/>
          <w:bCs w:val="1"/>
          <w:sz w:val="32"/>
          <w:szCs w:val="32"/>
        </w:rPr>
      </w:pPr>
    </w:p>
    <w:p>
      <w:pPr>
        <w:pStyle w:val="Обычный1"/>
        <w:jc w:val="left"/>
        <w:rPr>
          <w:b w:val="1"/>
          <w:bCs w:val="1"/>
          <w:sz w:val="32"/>
          <w:szCs w:val="32"/>
        </w:rPr>
      </w:pPr>
      <w:r>
        <w:rPr>
          <w:b w:val="1"/>
          <w:bCs w:val="1"/>
          <w:sz w:val="32"/>
          <w:szCs w:val="32"/>
          <w:rtl w:val="0"/>
          <w:lang w:val="en-US"/>
        </w:rPr>
        <w:t>Adelina Sisianu</w:t>
      </w:r>
    </w:p>
    <w:p>
      <w:pPr>
        <w:pStyle w:val="Обычный1"/>
        <w:jc w:val="left"/>
        <w:rPr>
          <w:b w:val="1"/>
          <w:bCs w:val="1"/>
          <w:sz w:val="32"/>
          <w:szCs w:val="32"/>
        </w:rPr>
      </w:pPr>
      <w:r>
        <w:rPr>
          <w:b w:val="1"/>
          <w:bCs w:val="1"/>
          <w:sz w:val="32"/>
          <w:szCs w:val="32"/>
          <w:rtl w:val="0"/>
          <w:lang w:val="en-US"/>
        </w:rPr>
        <w:t>Student ID:</w:t>
      </w:r>
      <w:r>
        <w:rPr>
          <w:b w:val="1"/>
          <w:bCs w:val="1"/>
          <w:sz w:val="32"/>
          <w:szCs w:val="32"/>
          <w:rtl w:val="0"/>
          <w:lang w:val="en-US"/>
        </w:rPr>
        <w:t>2020528</w:t>
      </w:r>
    </w:p>
    <w:p>
      <w:pPr>
        <w:pStyle w:val="Обычный1"/>
        <w:jc w:val="center"/>
        <w:rPr>
          <w:b w:val="1"/>
          <w:bCs w:val="1"/>
          <w:sz w:val="32"/>
          <w:szCs w:val="32"/>
        </w:rPr>
      </w:pPr>
    </w:p>
    <w:p>
      <w:pPr>
        <w:pStyle w:val="Обычный1"/>
        <w:jc w:val="center"/>
        <w:rPr>
          <w:b w:val="1"/>
          <w:bCs w:val="1"/>
          <w:sz w:val="32"/>
          <w:szCs w:val="32"/>
        </w:rPr>
      </w:pPr>
    </w:p>
    <w:p>
      <w:pPr>
        <w:pStyle w:val="Обычный1"/>
        <w:jc w:val="center"/>
        <w:rPr>
          <w:b w:val="1"/>
          <w:bCs w:val="1"/>
          <w:sz w:val="32"/>
          <w:szCs w:val="32"/>
        </w:rPr>
      </w:pPr>
    </w:p>
    <w:p>
      <w:pPr>
        <w:pStyle w:val="Обычный1"/>
        <w:jc w:val="center"/>
        <w:rPr>
          <w:b w:val="1"/>
          <w:bCs w:val="1"/>
          <w:sz w:val="32"/>
          <w:szCs w:val="32"/>
        </w:rPr>
      </w:pPr>
    </w:p>
    <w:p>
      <w:pPr>
        <w:pStyle w:val="Обычный1"/>
        <w:jc w:val="center"/>
        <w:rPr>
          <w:b w:val="1"/>
          <w:bCs w:val="1"/>
          <w:sz w:val="32"/>
          <w:szCs w:val="32"/>
        </w:rPr>
      </w:pPr>
    </w:p>
    <w:p>
      <w:pPr>
        <w:pStyle w:val="Обычный1"/>
        <w:jc w:val="center"/>
        <w:rPr>
          <w:b w:val="1"/>
          <w:bCs w:val="1"/>
          <w:sz w:val="32"/>
          <w:szCs w:val="32"/>
        </w:rPr>
      </w:pPr>
    </w:p>
    <w:p>
      <w:pPr>
        <w:pStyle w:val="Обычный1"/>
        <w:jc w:val="center"/>
        <w:rPr>
          <w:b w:val="1"/>
          <w:bCs w:val="1"/>
          <w:sz w:val="32"/>
          <w:szCs w:val="32"/>
        </w:rPr>
      </w:pPr>
    </w:p>
    <w:p>
      <w:pPr>
        <w:pStyle w:val="Обычный1"/>
        <w:jc w:val="center"/>
        <w:rPr>
          <w:b w:val="1"/>
          <w:bCs w:val="1"/>
          <w:sz w:val="32"/>
          <w:szCs w:val="32"/>
        </w:rPr>
      </w:pPr>
    </w:p>
    <w:p>
      <w:pPr>
        <w:pStyle w:val="Обычный1"/>
        <w:jc w:val="center"/>
        <w:rPr>
          <w:b w:val="1"/>
          <w:bCs w:val="1"/>
          <w:sz w:val="32"/>
          <w:szCs w:val="32"/>
        </w:rPr>
      </w:pPr>
    </w:p>
    <w:p>
      <w:pPr>
        <w:pStyle w:val="Обычный1"/>
        <w:jc w:val="center"/>
      </w:pPr>
      <w:r>
        <w:rPr>
          <w:b w:val="1"/>
          <w:bCs w:val="1"/>
          <w:sz w:val="32"/>
          <w:szCs w:val="32"/>
          <w:rtl w:val="0"/>
          <w:lang w:val="en-US"/>
        </w:rPr>
        <w:t>ASSIGNMENT 2 WRITTEN REPORT</w:t>
      </w:r>
      <w:r>
        <w:rPr>
          <w:rFonts w:ascii="Arial Unicode MS" w:cs="Arial Unicode MS" w:hAnsi="Arial Unicode MS" w:eastAsia="Arial Unicode MS"/>
          <w:b w:val="0"/>
          <w:bCs w:val="0"/>
          <w:i w:val="0"/>
          <w:iCs w:val="0"/>
        </w:rPr>
        <w:br w:type="page"/>
      </w:r>
    </w:p>
    <w:p>
      <w:pPr>
        <w:pStyle w:val="TOC Heading"/>
        <w:spacing w:line="360" w:lineRule="auto"/>
        <w:jc w:val="center"/>
        <w:rPr>
          <w:rFonts w:ascii="Times New Roman" w:cs="Times New Roman" w:hAnsi="Times New Roman" w:eastAsia="Times New Roman"/>
          <w:outline w:val="0"/>
          <w:color w:val="000000"/>
          <w:u w:color="000000"/>
          <w14:textFill>
            <w14:solidFill>
              <w14:srgbClr w14:val="000000"/>
            </w14:solidFill>
          </w14:textFill>
        </w:rPr>
      </w:pPr>
      <w:bookmarkStart w:name="_oyyma82ka6c" w:id="0"/>
      <w:r>
        <w:rPr>
          <w:rFonts w:ascii="Times New Roman" w:hAnsi="Times New Roman"/>
          <w:outline w:val="0"/>
          <w:color w:val="000000"/>
          <w:u w:color="000000"/>
          <w:rtl w:val="0"/>
          <w:lang w:val="en-US"/>
          <w14:textFill>
            <w14:solidFill>
              <w14:srgbClr w14:val="000000"/>
            </w14:solidFill>
          </w14:textFill>
        </w:rPr>
        <w:t>Table of Contents</w:t>
      </w:r>
    </w:p>
    <w:p>
      <w:pPr>
        <w:pStyle w:val="Normal.0"/>
      </w:pPr>
      <w:r>
        <w:rPr>
          <w:outline w:val="0"/>
          <w:color w:val="000000"/>
          <w:u w:color="000000"/>
          <w14:textFill>
            <w14:solidFill>
              <w14:srgbClr w14:val="000000"/>
            </w14:solidFill>
          </w14:textFill>
        </w:rPr>
        <w:fldChar w:fldCharType="begin" w:fldLock="0"/>
      </w:r>
      <w:r>
        <w:rPr>
          <w:outline w:val="0"/>
          <w:color w:val="000000"/>
          <w:u w:color="000000"/>
          <w14:textFill>
            <w14:solidFill>
              <w14:srgbClr w14:val="000000"/>
            </w14:solidFill>
          </w14:textFill>
        </w:rPr>
        <w:instrText xml:space="preserve"> TOC \t "heading 1, 1"</w:instrText>
      </w:r>
      <w:r>
        <w:rPr>
          <w:outline w:val="0"/>
          <w:color w:val="000000"/>
          <w:u w:color="000000"/>
          <w14:textFill>
            <w14:solidFill>
              <w14:srgbClr w14:val="000000"/>
            </w14:solidFill>
          </w14:textFill>
        </w:rPr>
        <w:fldChar w:fldCharType="separate" w:fldLock="0"/>
      </w:r>
    </w:p>
    <w:p>
      <w:pPr>
        <w:pStyle w:val="TOC 1"/>
      </w:pPr>
      <w:r>
        <w:rPr>
          <w:rFonts w:cs="Arial Unicode MS" w:eastAsia="Arial Unicode MS"/>
          <w:rtl w:val="0"/>
        </w:rPr>
        <w:t>Part A</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I.</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II.</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III.</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Part B</w:t>
        <w:tab/>
      </w:r>
      <w:r>
        <w:rPr/>
        <w:fldChar w:fldCharType="begin" w:fldLock="0"/>
      </w:r>
      <w:r>
        <w:instrText xml:space="preserve"> PAGEREF _Toc4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Reference List</w:t>
        <w:tab/>
      </w:r>
      <w:r>
        <w:rPr/>
        <w:fldChar w:fldCharType="begin" w:fldLock="0"/>
      </w:r>
      <w:r>
        <w:instrText xml:space="preserve"> PAGEREF _Toc5 \h </w:instrText>
      </w:r>
      <w:r>
        <w:rPr/>
        <w:fldChar w:fldCharType="separate" w:fldLock="0"/>
      </w:r>
      <w:r>
        <w:rPr>
          <w:rFonts w:cs="Arial Unicode MS" w:eastAsia="Arial Unicode MS"/>
          <w:rtl w:val="0"/>
        </w:rPr>
        <w:t>11</w:t>
      </w:r>
      <w:r>
        <w:rPr/>
        <w:fldChar w:fldCharType="end" w:fldLock="0"/>
      </w:r>
    </w:p>
    <w:p>
      <w:pPr>
        <w:pStyle w:val="Normal.0"/>
      </w:pPr>
      <w:r>
        <w:rPr>
          <w:outline w:val="0"/>
          <w:color w:val="000000"/>
          <w:u w:color="000000"/>
          <w14:textFill>
            <w14:solidFill>
              <w14:srgbClr w14:val="000000"/>
            </w14:solidFill>
          </w14:textFill>
        </w:rPr>
        <w:fldChar w:fldCharType="end" w:fldLock="0"/>
      </w:r>
    </w:p>
    <w:p>
      <w:pPr>
        <w:pStyle w:val="Normal.0"/>
      </w:pPr>
      <w:r>
        <w:rPr>
          <w:rFonts w:ascii="Arial Unicode MS" w:cs="Arial Unicode MS" w:hAnsi="Arial Unicode MS" w:eastAsia="Arial Unicode MS"/>
          <w:b w:val="0"/>
          <w:bCs w:val="0"/>
          <w:i w:val="0"/>
          <w:iCs w:val="0"/>
        </w:rPr>
        <w:br w:type="page"/>
      </w:r>
    </w:p>
    <w:p>
      <w:pPr>
        <w:pStyle w:val="heading 1"/>
      </w:pPr>
      <w:bookmarkStart w:name="_Toc" w:id="1"/>
      <w:r>
        <w:rPr>
          <w:rFonts w:cs="Arial Unicode MS" w:eastAsia="Arial Unicode MS"/>
          <w:rtl w:val="0"/>
          <w:lang w:val="en-US"/>
        </w:rPr>
        <w:t>Part A</w:t>
      </w:r>
      <w:bookmarkEnd w:id="1"/>
    </w:p>
    <w:p>
      <w:pPr>
        <w:pStyle w:val="heading 1"/>
      </w:pPr>
      <w:bookmarkStart w:name="_Toc1" w:id="2"/>
      <w:bookmarkStart w:name="_mnmbkvq8y2qb" w:id="3"/>
      <w:bookmarkEnd w:id="3"/>
      <w:r>
        <w:rPr>
          <w:rFonts w:cs="Arial Unicode MS" w:eastAsia="Arial Unicode MS"/>
          <w:rtl w:val="0"/>
          <w:lang w:val="en-US"/>
        </w:rPr>
        <w:t>I</w:t>
      </w:r>
      <w:r>
        <w:rPr>
          <w:rFonts w:cs="Arial Unicode MS" w:eastAsia="Arial Unicode MS"/>
          <w:rtl w:val="0"/>
          <w:lang w:val="en-US"/>
        </w:rPr>
        <w:t>.</w:t>
      </w:r>
      <w:bookmarkEnd w:id="2"/>
    </w:p>
    <w:p>
      <w:pPr>
        <w:pStyle w:val="Normal.0"/>
        <w:jc w:val="center"/>
      </w:pPr>
      <w: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-40005</wp:posOffset>
                </wp:positionH>
                <wp:positionV relativeFrom="line">
                  <wp:posOffset>226695</wp:posOffset>
                </wp:positionV>
                <wp:extent cx="6033135" cy="561975"/>
                <wp:effectExtent l="0" t="0" r="0" b="0"/>
                <wp:wrapNone/>
                <wp:docPr id="1073741825" name="officeArt object" descr=" 2"/>
                <wp:cNvGraphicFramePr/>
                <a:graphic xmlns:a="http://schemas.openxmlformats.org/drawingml/2006/main">
                  <a:graphicData uri="http://schemas.microsoft.com/office/word/2010/wordprocessingShape">
                    <wps:wsp>
                      <wps:cNvSpPr txBox="1"/>
                      <wps:spPr>
                        <a:xfrm>
                          <a:off x="0" y="0"/>
                          <a:ext cx="6033135" cy="561975"/>
                        </a:xfrm>
                        <a:prstGeom prst="rect">
                          <a:avLst/>
                        </a:prstGeom>
                        <a:noFill/>
                        <a:ln w="12700" cap="flat">
                          <a:noFill/>
                          <a:miter lim="400000"/>
                        </a:ln>
                        <a:effectLst/>
                      </wps:spPr>
                      <wps:txbx>
                        <w:txbxContent>
                          <w:p>
                            <w:pPr>
                              <w:pStyle w:val="Normal.0"/>
                            </w:pPr>
                            <w:r>
                              <w:rPr>
                                <w:rFonts w:cs="Arial Unicode MS" w:eastAsia="Arial Unicode MS"/>
                                <w:rtl w:val="0"/>
                                <w:lang w:val="en-US"/>
                              </w:rPr>
                              <w:t xml:space="preserve">Date: 10.06.2022         </w:t>
                              <w:tab/>
                              <w:tab/>
                              <w:tab/>
                              <w:tab/>
                              <w:tab/>
                              <w:tab/>
                              <w:t>Operation Title: Manager</w:t>
                            </w:r>
                          </w:p>
                          <w:p>
                            <w:pPr>
                              <w:pStyle w:val="Normal.0"/>
                            </w:pPr>
                            <w:r>
                              <w:rPr>
                                <w:rFonts w:cs="Arial Unicode MS" w:eastAsia="Arial Unicode MS"/>
                                <w:rtl w:val="0"/>
                                <w:lang w:val="en-US"/>
                              </w:rPr>
                              <w:t xml:space="preserve">Prepared By: Manager </w:t>
                              <w:tab/>
                              <w:tab/>
                              <w:tab/>
                              <w:tab/>
                              <w:tab/>
                              <w:tab/>
                              <w:t>Prepared for: Amana Limited</w:t>
                            </w:r>
                          </w:p>
                        </w:txbxContent>
                      </wps:txbx>
                      <wps:bodyPr wrap="square" lIns="45719" tIns="45719" rIns="45719" bIns="45719" numCol="1" anchor="t">
                        <a:noAutofit/>
                      </wps:bodyPr>
                    </wps:wsp>
                  </a:graphicData>
                </a:graphic>
              </wp:anchor>
            </w:drawing>
          </mc:Choice>
          <mc:Fallback>
            <w:pict>
              <v:shape id="_x0000_s1026" type="#_x0000_t202" style="visibility:visible;position:absolute;margin-left:-3.2pt;margin-top:17.9pt;width:475.0pt;height:44.2pt;z-index:251659264;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rmal.0"/>
                      </w:pPr>
                      <w:r>
                        <w:rPr>
                          <w:rFonts w:cs="Arial Unicode MS" w:eastAsia="Arial Unicode MS"/>
                          <w:rtl w:val="0"/>
                          <w:lang w:val="en-US"/>
                        </w:rPr>
                        <w:t xml:space="preserve">Date: 10.06.2022         </w:t>
                        <w:tab/>
                        <w:tab/>
                        <w:tab/>
                        <w:tab/>
                        <w:tab/>
                        <w:tab/>
                        <w:t>Operation Title: Manager</w:t>
                      </w:r>
                    </w:p>
                    <w:p>
                      <w:pPr>
                        <w:pStyle w:val="Normal.0"/>
                      </w:pPr>
                      <w:r>
                        <w:rPr>
                          <w:rFonts w:cs="Arial Unicode MS" w:eastAsia="Arial Unicode MS"/>
                          <w:rtl w:val="0"/>
                          <w:lang w:val="en-US"/>
                        </w:rPr>
                        <w:t xml:space="preserve">Prepared By: Manager </w:t>
                        <w:tab/>
                        <w:tab/>
                        <w:tab/>
                        <w:tab/>
                        <w:tab/>
                        <w:tab/>
                        <w:t>Prepared for: Amana Limited</w:t>
                      </w:r>
                    </w:p>
                  </w:txbxContent>
                </v:textbox>
                <w10:wrap type="none" side="bothSides" anchorx="text"/>
              </v:shape>
            </w:pict>
          </mc:Fallback>
        </mc:AlternateContent>
      </w:r>
      <w:bookmarkEnd w:id="0"/>
      <w:r>
        <w:rPr>
          <w:b w:val="1"/>
          <w:bCs w:val="1"/>
          <w:outline w:val="0"/>
          <w:color w:val="000000"/>
          <w:u w:color="000000"/>
          <w:rtl w:val="0"/>
          <w:lang w:val="en-US"/>
          <w14:textFill>
            <w14:solidFill>
              <w14:srgbClr w14:val="000000"/>
            </w14:solidFill>
          </w14:textFill>
        </w:rPr>
        <w:t>Monthly Control Report</w:t>
      </w:r>
    </w:p>
    <w:p>
      <w:pPr>
        <w:pStyle w:val="Normal.0"/>
      </w:pPr>
    </w:p>
    <w:p>
      <w:pPr>
        <w:pStyle w:val="Normal.0"/>
      </w:pPr>
    </w:p>
    <w:p>
      <w:pPr>
        <w:pStyle w:val="Normal.0"/>
      </w:pPr>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316"/>
        <w:gridCol w:w="2083"/>
        <w:gridCol w:w="1793"/>
        <w:gridCol w:w="2158"/>
      </w:tblGrid>
      <w:tr>
        <w:tblPrEx>
          <w:shd w:val="clear" w:color="auto" w:fill="ced7e7"/>
        </w:tblPrEx>
        <w:trPr>
          <w:trHeight w:val="745"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2cddc"/>
            <w:tcMar>
              <w:top w:type="dxa" w:w="80"/>
              <w:left w:type="dxa" w:w="80"/>
              <w:bottom w:type="dxa" w:w="80"/>
              <w:right w:type="dxa" w:w="80"/>
            </w:tcMar>
            <w:vAlign w:val="top"/>
          </w:tcPr>
          <w:p>
            <w:pPr>
              <w:pStyle w:val="Normal.0"/>
              <w:jc w:val="center"/>
              <w:rPr>
                <w:b w:val="1"/>
                <w:bCs w:val="1"/>
                <w:shd w:val="nil" w:color="auto" w:fill="auto"/>
                <w:lang w:val="en-US"/>
              </w:rPr>
            </w:pPr>
          </w:p>
          <w:p>
            <w:pPr>
              <w:pStyle w:val="Normal.0"/>
              <w:bidi w:val="0"/>
              <w:ind w:left="0" w:right="0" w:firstLine="0"/>
              <w:jc w:val="center"/>
              <w:rPr>
                <w:rtl w:val="0"/>
              </w:rPr>
            </w:pPr>
            <w:r>
              <w:rPr>
                <w:b w:val="1"/>
                <w:bCs w:val="1"/>
                <w:shd w:val="nil" w:color="auto" w:fill="auto"/>
                <w:rtl w:val="0"/>
                <w:lang w:val="en-US"/>
              </w:rPr>
              <w:t>Item</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2cddc"/>
            <w:tcMar>
              <w:top w:type="dxa" w:w="80"/>
              <w:left w:type="dxa" w:w="80"/>
              <w:bottom w:type="dxa" w:w="80"/>
              <w:right w:type="dxa" w:w="80"/>
            </w:tcMar>
            <w:vAlign w:val="top"/>
          </w:tcPr>
          <w:p>
            <w:pPr>
              <w:pStyle w:val="Normal.0"/>
              <w:jc w:val="center"/>
              <w:rPr>
                <w:b w:val="1"/>
                <w:bCs w:val="1"/>
                <w:shd w:val="nil" w:color="auto" w:fill="auto"/>
                <w:lang w:val="en-US"/>
              </w:rPr>
            </w:pPr>
          </w:p>
          <w:p>
            <w:pPr>
              <w:pStyle w:val="Normal.0"/>
              <w:bidi w:val="0"/>
              <w:ind w:left="0" w:right="0" w:firstLine="0"/>
              <w:jc w:val="center"/>
              <w:rPr>
                <w:rtl w:val="0"/>
              </w:rPr>
            </w:pPr>
            <w:r>
              <w:rPr>
                <w:b w:val="1"/>
                <w:bCs w:val="1"/>
                <w:shd w:val="nil" w:color="auto" w:fill="auto"/>
                <w:rtl w:val="0"/>
                <w:lang w:val="en-US"/>
              </w:rPr>
              <w:t>Original (GBP)</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2cddc"/>
            <w:tcMar>
              <w:top w:type="dxa" w:w="80"/>
              <w:left w:type="dxa" w:w="80"/>
              <w:bottom w:type="dxa" w:w="80"/>
              <w:right w:type="dxa" w:w="80"/>
            </w:tcMar>
            <w:vAlign w:val="top"/>
          </w:tcPr>
          <w:p>
            <w:pPr>
              <w:pStyle w:val="Normal.0"/>
              <w:jc w:val="center"/>
              <w:rPr>
                <w:b w:val="1"/>
                <w:bCs w:val="1"/>
                <w:shd w:val="nil" w:color="auto" w:fill="auto"/>
                <w:lang w:val="en-US"/>
              </w:rPr>
            </w:pPr>
          </w:p>
          <w:p>
            <w:pPr>
              <w:pStyle w:val="Normal.0"/>
              <w:bidi w:val="0"/>
              <w:ind w:left="0" w:right="0" w:firstLine="0"/>
              <w:jc w:val="center"/>
              <w:rPr>
                <w:rtl w:val="0"/>
              </w:rPr>
            </w:pPr>
            <w:r>
              <w:rPr>
                <w:b w:val="1"/>
                <w:bCs w:val="1"/>
                <w:shd w:val="nil" w:color="auto" w:fill="auto"/>
                <w:rtl w:val="0"/>
                <w:lang w:val="en-US"/>
              </w:rPr>
              <w:t>Fixed (GBP)</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2cddc"/>
            <w:tcMar>
              <w:top w:type="dxa" w:w="80"/>
              <w:left w:type="dxa" w:w="80"/>
              <w:bottom w:type="dxa" w:w="80"/>
              <w:right w:type="dxa" w:w="80"/>
            </w:tcMar>
            <w:vAlign w:val="bottom"/>
          </w:tcPr>
          <w:p>
            <w:pPr>
              <w:pStyle w:val="Normal.0"/>
              <w:jc w:val="center"/>
            </w:pPr>
            <w:r>
              <w:rPr>
                <w:b w:val="1"/>
                <w:bCs w:val="1"/>
                <w:shd w:val="nil" w:color="auto" w:fill="auto"/>
                <w:rtl w:val="0"/>
                <w:lang w:val="en-US"/>
              </w:rPr>
              <w:t>Variance (GBP)</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abf8f"/>
            <w:tcMar>
              <w:top w:type="dxa" w:w="80"/>
              <w:left w:type="dxa" w:w="80"/>
              <w:bottom w:type="dxa" w:w="80"/>
              <w:right w:type="dxa" w:w="80"/>
            </w:tcMar>
            <w:vAlign w:val="top"/>
          </w:tcPr>
          <w:p>
            <w:pPr>
              <w:pStyle w:val="Normal.0"/>
              <w:jc w:val="left"/>
            </w:pPr>
            <w:r>
              <w:rPr>
                <w:b w:val="0"/>
                <w:bCs w:val="0"/>
                <w:shd w:val="nil" w:color="auto" w:fill="auto"/>
                <w:rtl w:val="0"/>
                <w:lang w:val="en-US"/>
              </w:rPr>
              <w:t>Revenues</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right"/>
            </w:pPr>
            <w:r>
              <w:rPr>
                <w:shd w:val="nil" w:color="auto" w:fill="auto"/>
                <w:rtl w:val="0"/>
                <w:lang w:val="en-US"/>
              </w:rPr>
              <w:t>Units</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8334</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1667</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right"/>
            </w:pPr>
            <w:r>
              <w:rPr>
                <w:shd w:val="nil" w:color="auto" w:fill="auto"/>
                <w:rtl w:val="0"/>
                <w:lang w:val="en-US"/>
              </w:rPr>
              <w:t>Selling Price</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25</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5</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right"/>
            </w:pPr>
            <w:r>
              <w:rPr>
                <w:shd w:val="nil" w:color="auto" w:fill="auto"/>
                <w:rtl w:val="0"/>
                <w:lang w:val="en-US"/>
              </w:rPr>
              <w:t>Total</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8359</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1672</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abf8f"/>
            <w:tcMar>
              <w:top w:type="dxa" w:w="80"/>
              <w:left w:type="dxa" w:w="80"/>
              <w:bottom w:type="dxa" w:w="80"/>
              <w:right w:type="dxa" w:w="80"/>
            </w:tcMar>
            <w:vAlign w:val="top"/>
          </w:tcPr>
          <w:p>
            <w:pPr>
              <w:pStyle w:val="Normal.0"/>
              <w:jc w:val="left"/>
            </w:pPr>
            <w:r>
              <w:rPr>
                <w:b w:val="0"/>
                <w:bCs w:val="0"/>
                <w:shd w:val="nil" w:color="auto" w:fill="auto"/>
                <w:rtl w:val="0"/>
                <w:lang w:val="en-US"/>
              </w:rPr>
              <w:t>Variable Expenses</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left"/>
            </w:pPr>
            <w:r>
              <w:rPr>
                <w:b w:val="0"/>
                <w:bCs w:val="0"/>
                <w:shd w:val="nil" w:color="auto" w:fill="auto"/>
                <w:rtl w:val="0"/>
                <w:lang w:val="en-US"/>
              </w:rPr>
              <w:t>Contribution</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right"/>
            </w:pPr>
            <w:r>
              <w:rPr>
                <w:shd w:val="nil" w:color="auto" w:fill="auto"/>
                <w:rtl w:val="0"/>
                <w:lang w:val="en-US"/>
              </w:rPr>
              <w:t>Administrative</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10</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right"/>
            </w:pPr>
            <w:r>
              <w:rPr>
                <w:shd w:val="nil" w:color="auto" w:fill="auto"/>
                <w:rtl w:val="0"/>
                <w:lang w:val="en-US"/>
              </w:rPr>
              <w:t>Full-Time</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7</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left"/>
            </w:pPr>
            <w:r>
              <w:rPr>
                <w:b w:val="0"/>
                <w:bCs w:val="0"/>
                <w:shd w:val="nil" w:color="auto" w:fill="auto"/>
                <w:rtl w:val="0"/>
                <w:lang w:val="en-US"/>
              </w:rPr>
              <w:t>Materials</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right"/>
            </w:pPr>
            <w:r>
              <w:rPr>
                <w:shd w:val="nil" w:color="auto" w:fill="auto"/>
                <w:rtl w:val="0"/>
                <w:lang w:val="en-US"/>
              </w:rPr>
              <w:t>Fitness Testing</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2</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right"/>
            </w:pPr>
            <w:r>
              <w:rPr>
                <w:shd w:val="nil" w:color="auto" w:fill="auto"/>
                <w:rtl w:val="0"/>
                <w:lang w:val="en-US"/>
              </w:rPr>
              <w:t>Other Expenses</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0.50</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abf8f"/>
            <w:tcMar>
              <w:top w:type="dxa" w:w="80"/>
              <w:left w:type="dxa" w:w="80"/>
              <w:bottom w:type="dxa" w:w="80"/>
              <w:right w:type="dxa" w:w="80"/>
            </w:tcMar>
            <w:vAlign w:val="top"/>
          </w:tcPr>
          <w:p>
            <w:pPr>
              <w:pStyle w:val="Normal.0"/>
              <w:jc w:val="left"/>
            </w:pPr>
            <w:r>
              <w:rPr>
                <w:b w:val="0"/>
                <w:bCs w:val="0"/>
                <w:shd w:val="nil" w:color="auto" w:fill="auto"/>
                <w:rtl w:val="0"/>
                <w:lang w:val="en-US"/>
              </w:rPr>
              <w:t>Overhead</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right"/>
            </w:pPr>
            <w:r>
              <w:rPr>
                <w:shd w:val="nil" w:color="auto" w:fill="auto"/>
                <w:rtl w:val="0"/>
                <w:lang w:val="en-US"/>
              </w:rPr>
              <w:t>Warehouse Rental</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16667</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2500</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right"/>
            </w:pPr>
            <w:r>
              <w:rPr>
                <w:shd w:val="nil" w:color="auto" w:fill="auto"/>
                <w:rtl w:val="0"/>
                <w:lang w:val="en-US"/>
              </w:rPr>
              <w:t>Insurance</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8334</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right"/>
            </w:pPr>
            <w:r>
              <w:rPr>
                <w:shd w:val="nil" w:color="auto" w:fill="auto"/>
                <w:rtl w:val="0"/>
                <w:lang w:val="en-US"/>
              </w:rPr>
              <w:t>Full-time supervisor salary</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4167</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1250</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right"/>
            </w:pPr>
            <w:r>
              <w:rPr>
                <w:shd w:val="nil" w:color="auto" w:fill="auto"/>
                <w:rtl w:val="0"/>
                <w:lang w:val="en-US"/>
              </w:rPr>
              <w:t>Labourers</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4</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shd w:val="nil" w:color="auto" w:fill="auto"/>
                <w:rtl w:val="0"/>
                <w:lang w:val="en-US"/>
              </w:rPr>
              <w:t>0000</w:t>
            </w:r>
          </w:p>
        </w:tc>
      </w:tr>
      <w:tr>
        <w:tblPrEx>
          <w:shd w:val="clear" w:color="auto" w:fill="ced7e7"/>
        </w:tblPrEx>
        <w:trPr>
          <w:trHeight w:val="300" w:hRule="atLeast"/>
        </w:trPr>
        <w:tc>
          <w:tcPr>
            <w:tcW w:type="dxa" w:w="3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Normal.0"/>
              <w:jc w:val="left"/>
            </w:pPr>
            <w:r>
              <w:rPr>
                <w:b w:val="0"/>
                <w:bCs w:val="0"/>
                <w:shd w:val="nil" w:color="auto" w:fill="auto"/>
                <w:rtl w:val="0"/>
                <w:lang w:val="en-US"/>
              </w:rPr>
              <w:t>Total</w:t>
            </w:r>
          </w:p>
        </w:tc>
        <w:tc>
          <w:tcPr>
            <w:tcW w:type="dxa" w:w="2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Normal.0"/>
              <w:jc w:val="center"/>
            </w:pPr>
            <w:r>
              <w:rPr>
                <w:b w:val="1"/>
                <w:bCs w:val="1"/>
                <w:shd w:val="nil" w:color="auto" w:fill="auto"/>
                <w:rtl w:val="0"/>
                <w:lang w:val="en-US"/>
              </w:rPr>
              <w:t>16718</w:t>
            </w:r>
          </w:p>
        </w:tc>
        <w:tc>
          <w:tcPr>
            <w:tcW w:type="dxa" w:w="1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Normal.0"/>
              <w:jc w:val="center"/>
            </w:pPr>
            <w:r>
              <w:rPr>
                <w:b w:val="1"/>
                <w:bCs w:val="1"/>
                <w:shd w:val="nil" w:color="auto" w:fill="auto"/>
                <w:rtl w:val="0"/>
                <w:lang w:val="en-US"/>
              </w:rPr>
              <w:t>29191.50</w:t>
            </w:r>
          </w:p>
        </w:tc>
        <w:tc>
          <w:tcPr>
            <w:tcW w:type="dxa" w:w="2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Normal.0"/>
              <w:jc w:val="center"/>
            </w:pPr>
            <w:r>
              <w:rPr>
                <w:b w:val="1"/>
                <w:bCs w:val="1"/>
                <w:shd w:val="nil" w:color="auto" w:fill="auto"/>
                <w:rtl w:val="0"/>
                <w:lang w:val="en-US"/>
              </w:rPr>
              <w:t>7094</w:t>
            </w:r>
          </w:p>
        </w:tc>
      </w:tr>
    </w:tbl>
    <w:p>
      <w:pPr>
        <w:pStyle w:val="Normal.0"/>
        <w:widowControl w:val="0"/>
        <w:spacing w:line="240" w:lineRule="auto"/>
      </w:pPr>
    </w:p>
    <w:p>
      <w:pPr>
        <w:pStyle w:val="Normal.0"/>
      </w:pPr>
    </w:p>
    <w:p>
      <w:pPr>
        <w:pStyle w:val="Normal.0"/>
      </w:pPr>
      <w:r>
        <w:rPr>
          <w:rFonts w:cs="Arial Unicode MS" w:eastAsia="Arial Unicode MS"/>
          <w:b w:val="1"/>
          <w:bCs w:val="1"/>
          <w:rtl w:val="0"/>
          <w:lang w:val="en-US"/>
        </w:rPr>
        <w:t>*NB Please note that this is a Fixed Pattern of Monthly Control reports for Each Month of a Year for Amana Limited.</w:t>
      </w:r>
    </w:p>
    <w:p>
      <w:pPr>
        <w:pStyle w:val="Обычный1"/>
      </w:pPr>
      <w:r>
        <w:rPr>
          <w:rtl w:val="0"/>
          <w:lang w:val="en-US"/>
        </w:rPr>
        <w:t>The cost breakdown provided by the CEO to the manager of Amana Limited shows that the company's business has initially aimed at achieving 100000 units in a year. However, the actual units count for that period is 80000. Hence, a variance of 20000 units is noted here for the business in a year. The monthly control report, which is static for each month in a year, presented by the manager reflects that the same units sale are going to come down to around 8334 units per month in terms of revenue generated by the organisation. However, there is no fixed budget allocated for this, resulting in a variance of 1667 units monthly. Apart from this, the other source of revenue for the company is its sales figure per unit. It is observed that the original budget for this segment of Amana Limited is originally budgeted at 25 GBP. The actual budget shows the figure of 20 GBP for the same header, which brings up the variance of 5 GBP as well, which is reflected in the above-mentioned monthly control report. Therefore, this monthly control report is going to have a significant impact on different levels of organisational decision-making activities of Amana Limited.</w:t>
      </w:r>
    </w:p>
    <w:p>
      <w:pPr>
        <w:pStyle w:val="Обычный1"/>
      </w:pPr>
      <w:r>
        <w:rPr>
          <w:rtl w:val="0"/>
          <w:lang w:val="en-US"/>
        </w:rPr>
        <w:t>There are quite a few variable cost aspects of the organisation as well, and the monthly control report above shows them under the header of Fixed expenses. The prime reason is that those variable expenses may go up or down depending on the business front. However, the base pricing of those items would remain the same all through. Hence, the administrative contribution of Amana Limited is found to be around 10 GBP a month. Apart from this expense as contributed by the company, the other expenses of around 7 GBP make the entire contribution of the company in that period as 17 GBP. It is worth mentioning that here in this segment, there is no scope for a variance to crop up. One of the other significant aspects of variable expenses is the materials for the business. It is observed that a fixed cost of 2 GBP a month is set aside in the company's budget for checking the fitness of the finished goods it receives from the Chinese manufacturers. The other expense of 0.50 GBP a month increases the entire expense to 2.50GBP. It must be noted that the actual variable expense of materials, as reflected in the cost breakdown of the company, is around 280000 GBP.</w:t>
      </w:r>
    </w:p>
    <w:p>
      <w:pPr>
        <w:pStyle w:val="Обычный1"/>
      </w:pPr>
      <w:r>
        <w:rPr>
          <w:rtl w:val="0"/>
          <w:lang w:val="en-US"/>
        </w:rPr>
        <w:t xml:space="preserve">There are three scopes for the company to set fixed overhead budgeted expenses monthly. In this context, it is noted that warehouse rental, insurance of the finished goods as received from China, and the salary of the supervisor of those warehouses and their operations all form fixed budgets for the company. It is found from the monthly control report that with a variance amount of 2500 GBP a month, the original budget for warehouse rental is determined at 16667 GBP a month. However, there is no scope for any variance for insurance expense, and it is still at 8334 GBP a month. A variance of around 1250 GBP a month is reflected through the monthly control report prepared by the manager under the header salary for the full-time supervisor. The original budget for this was 4167 GBP every month as well.       </w:t>
      </w:r>
    </w:p>
    <w:p>
      <w:pPr>
        <w:pStyle w:val="heading 1"/>
      </w:pPr>
      <w:bookmarkStart w:name="_Toc2" w:id="4"/>
      <w:bookmarkStart w:name="_aqzjeb5v5f" w:id="5"/>
      <w:bookmarkEnd w:id="5"/>
      <w:r>
        <w:rPr>
          <w:rFonts w:cs="Arial Unicode MS" w:eastAsia="Arial Unicode MS"/>
          <w:rtl w:val="0"/>
          <w:lang w:val="en-US"/>
        </w:rPr>
        <w:t>I</w:t>
      </w:r>
      <w:r>
        <w:rPr>
          <w:rFonts w:cs="Arial Unicode MS" w:eastAsia="Arial Unicode MS"/>
          <w:rtl w:val="0"/>
          <w:lang w:val="en-US"/>
        </w:rPr>
        <w:t>I.</w:t>
      </w:r>
      <w:bookmarkEnd w:id="4"/>
    </w:p>
    <w:p>
      <w:pPr>
        <w:pStyle w:val="Обычный1"/>
      </w:pPr>
      <w:r>
        <w:rPr>
          <w:rtl w:val="0"/>
          <w:lang w:val="en-US"/>
        </w:rPr>
        <w:t>The company's performance is not that good in the year 2020 as the industry of tourist business suffered because of the global pandemic. The business of the company, which sells souvenirs to visitors, suffered as travellers' arrival to the UK in April 2020 fell sharply by 98.3% compared to what it was in February 2020 (Ons.gov.uk, 2022). The other impact the tourism industry suffered was the impact of national lockdown. It is estimated that the turnover of the tourism business reduced by 9.3% in May 2020 compared to that of February 2020 (Ons.gov.uk, 2022). However, later that year, it was observed that Amana Limited was able to regain some of its lost revenue. This is further supported by the fact that the tourism industry reached as high as 85% trading volume of its usual trend in October 2020 (Ons.gov.uk, 2022). So, there was some respite for the company's business in terms of securing some business profits in the same year in the summer season. Therefore, Amana Limited experienced a slight gain in its business profit before December 2020.</w:t>
      </w:r>
    </w:p>
    <w:p>
      <w:pPr>
        <w:pStyle w:val="Обычный1"/>
      </w:pPr>
      <w:r>
        <w:rPr>
          <w:rtl w:val="0"/>
          <w:lang w:val="en-US"/>
        </w:rPr>
        <w:t xml:space="preserve">The company's business entirely depends on importing finished manufactured goods from mainland China. It is estimated that around 57.5% of the importers in the country of the UK faced challenges while importing goods from foreign locations in the year 2020 (Statista.com, 2020). The following graphical representation would be able to throw some light on this aspect of international cargo ship movement - </w:t>
      </w:r>
    </w:p>
    <w:p>
      <w:pPr>
        <w:pStyle w:val="Обычный1"/>
        <w:jc w:val="center"/>
      </w:pPr>
      <w:r>
        <w:drawing xmlns:a="http://schemas.openxmlformats.org/drawingml/2006/main">
          <wp:inline distT="0" distB="0" distL="0" distR="0">
            <wp:extent cx="3762375" cy="4039490"/>
            <wp:effectExtent l="0" t="0" r="0" b="0"/>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4">
                      <a:extLst/>
                    </a:blip>
                    <a:stretch>
                      <a:fillRect/>
                    </a:stretch>
                  </pic:blipFill>
                  <pic:spPr>
                    <a:xfrm>
                      <a:off x="0" y="0"/>
                      <a:ext cx="3762375" cy="4039490"/>
                    </a:xfrm>
                    <a:prstGeom prst="rect">
                      <a:avLst/>
                    </a:prstGeom>
                    <a:ln w="25400" cap="flat">
                      <a:solidFill>
                        <a:srgbClr val="000000"/>
                      </a:solidFill>
                      <a:prstDash val="solid"/>
                      <a:round/>
                    </a:ln>
                    <a:effectLst/>
                  </pic:spPr>
                </pic:pic>
              </a:graphicData>
            </a:graphic>
          </wp:inline>
        </w:drawing>
      </w:r>
    </w:p>
    <w:p>
      <w:pPr>
        <w:pStyle w:val="Обычный1"/>
        <w:jc w:val="center"/>
        <w:rPr>
          <w:b w:val="1"/>
          <w:bCs w:val="1"/>
        </w:rPr>
      </w:pPr>
      <w:r>
        <w:rPr>
          <w:b w:val="1"/>
          <w:bCs w:val="1"/>
          <w:rtl w:val="0"/>
          <w:lang w:val="en-US"/>
        </w:rPr>
        <w:t>Figure 1: Impact of a pandemic on international Cargo movement</w:t>
      </w:r>
    </w:p>
    <w:p>
      <w:pPr>
        <w:pStyle w:val="Обычный1"/>
        <w:jc w:val="center"/>
      </w:pPr>
      <w:r>
        <w:rPr>
          <w:rtl w:val="0"/>
          <w:lang w:val="en-US"/>
        </w:rPr>
        <w:t>(Source: Statista.com, 2020)</w:t>
      </w:r>
    </w:p>
    <w:p>
      <w:pPr>
        <w:pStyle w:val="Обычный1"/>
      </w:pPr>
      <w:r>
        <w:rPr>
          <w:rtl w:val="0"/>
          <w:lang w:val="en-US"/>
        </w:rPr>
        <w:t>As per the above data representation, it becomes pretty clear that Amana Limited also faced challenges while importing goods from China. It is estimated that the movement of bulk carriers through seaports in the European Union, including the UK, decreased drastically. Compared to 2019, the container ship movement in 2020 came down by 2% (Statista.com, 2022). The same is accurate for the movement of general cargo ships. In this event, it is observed that the general cargo ship movement was reduced by 4% in 2020, compared to the same in 2019 (Statista.com, 2022). All of this statistical information further proves the fact that the business suffered a steep barrier in doing business in the year 2020.</w:t>
      </w:r>
    </w:p>
    <w:p>
      <w:pPr>
        <w:pStyle w:val="Обычный1"/>
      </w:pPr>
      <w:r>
        <w:rPr>
          <w:rtl w:val="0"/>
          <w:lang w:val="en-US"/>
        </w:rPr>
        <w:t xml:space="preserve">The above discussion helps to understand that the business of Amana Limited is dependent on the exporting activities of China as well. The finished goods as manufactured in the Chinese manufacturing companies following the draft design of souvenirs by Amana Limited are exported by the Chinese companies. It is observed that in the year 2020, the export activities of China were reduced by 1.2% in comparison to earlier years (Statista.com, 2021). Therefore, it is pretty understandable that hampered export activities of China disrupted cargo ship movement in the whole European Union, including the UK and impaired import activities in the UK all contributed to the overall business loss of Amana Limited in the year 2020.    </w:t>
      </w:r>
    </w:p>
    <w:p>
      <w:pPr>
        <w:pStyle w:val="heading 1"/>
      </w:pPr>
      <w:bookmarkStart w:name="_Toc3" w:id="6"/>
      <w:bookmarkStart w:name="_opy3tg4w77de" w:id="7"/>
      <w:bookmarkEnd w:id="7"/>
      <w:r>
        <w:rPr>
          <w:rFonts w:cs="Arial Unicode MS" w:eastAsia="Arial Unicode MS"/>
          <w:rtl w:val="0"/>
          <w:lang w:val="en-US"/>
        </w:rPr>
        <w:t>I</w:t>
      </w:r>
      <w:r>
        <w:rPr>
          <w:rFonts w:cs="Arial Unicode MS" w:eastAsia="Arial Unicode MS"/>
          <w:rtl w:val="0"/>
          <w:lang w:val="en-US"/>
        </w:rPr>
        <w:t>II.</w:t>
      </w:r>
      <w:bookmarkEnd w:id="6"/>
    </w:p>
    <w:p>
      <w:pPr>
        <w:pStyle w:val="Обычный1"/>
        <w:numPr>
          <w:ilvl w:val="0"/>
          <w:numId w:val="2"/>
        </w:numPr>
        <w:rPr>
          <w:lang w:val="en-US"/>
        </w:rPr>
      </w:pPr>
      <w:r>
        <w:rPr>
          <w:rtl w:val="0"/>
          <w:lang w:val="en-US"/>
        </w:rPr>
        <w:t>It is recommended that the business first take a look to assess the financial damages that it suffered. Order to regain some of the lost revenue during this phase can be mitigated through reduced expenses on marketing. Moreover, the business is recommended to consider online sales in place of present brick and mortar stores to save money on operational expenses. As per the opinion of Lake (2020), the business house may consider financing options through business credit cards and merchant cash advance schemes. Apart from these, the organisation is recommended to plan an alternative mode of business operations in case there is another pandemic-like situation in the future.</w:t>
      </w:r>
    </w:p>
    <w:p>
      <w:pPr>
        <w:pStyle w:val="Обычный1"/>
        <w:numPr>
          <w:ilvl w:val="0"/>
          <w:numId w:val="2"/>
        </w:numPr>
        <w:rPr>
          <w:lang w:val="en-US"/>
        </w:rPr>
      </w:pPr>
      <w:r>
        <w:rPr>
          <w:rtl w:val="0"/>
          <w:lang w:val="en-US"/>
        </w:rPr>
        <w:t>The other recommendation for Amana Limited is to ensure that it succeeds in recalibrating its employees to ensure post-pandemic recovery. Contextually, Wedell-Wedellsborg (2020) opined that during a pandemic, new work heroes might emerge, and new relationships may take birth at the workplace as well. So, the management needs to consider this aspect to understand the informal change in the hierarchy in its teams. Thus Amana Limited needs to give this informal change in the hierarchy serious consideration to either make this permanent or dissolve this. This kind of decision of the CEO of the company is going to have a prolonged impact on the overall outcome of the business of Amana Limited as well.</w:t>
      </w:r>
    </w:p>
    <w:p>
      <w:pPr>
        <w:pStyle w:val="Обычный1"/>
        <w:numPr>
          <w:ilvl w:val="0"/>
          <w:numId w:val="2"/>
        </w:numPr>
        <w:rPr>
          <w:lang w:val="en-US"/>
        </w:rPr>
      </w:pPr>
      <w:r>
        <w:rPr>
          <w:rtl w:val="0"/>
          <w:lang w:val="en-US"/>
        </w:rPr>
        <w:t>It is recommended that Amana Limited and its CEO consider changing and remodelling business structures and strategies to leverage speed and flexibility. In this context, Sternfels (2022) commented that shorter cycles of decision-making and timely information are vital to surviving and thriving during and post-pandemic era. Moreover, as part of its strategic decision-making and achieving speed in business, Amana Limited may consider acquiring finished souvenir materials for sale from local manufacturers as well. In its efforts to go for multi-channel supply chain activities, the organisation would never be short of its core business products as well.</w:t>
      </w:r>
    </w:p>
    <w:p>
      <w:pPr>
        <w:pStyle w:val="Обычный1"/>
        <w:numPr>
          <w:ilvl w:val="0"/>
          <w:numId w:val="2"/>
        </w:numPr>
        <w:rPr>
          <w:lang w:val="en-US"/>
        </w:rPr>
      </w:pPr>
      <w:r>
        <w:rPr>
          <w:rtl w:val="0"/>
          <w:lang w:val="en-US"/>
        </w:rPr>
        <w:t xml:space="preserve">The other area of improvement that the CEO of the company may consider focusing on is the stockpiling of its core business products. As per the opinion of Mysore </w:t>
      </w:r>
      <w:r>
        <w:rPr>
          <w:i w:val="1"/>
          <w:iCs w:val="1"/>
          <w:rtl w:val="0"/>
          <w:lang w:val="en-US"/>
        </w:rPr>
        <w:t xml:space="preserve">et al. </w:t>
      </w:r>
      <w:r>
        <w:rPr>
          <w:rtl w:val="0"/>
          <w:lang w:val="en-US"/>
        </w:rPr>
        <w:t>(2021), people who have been only buying essential commodities throughout the pandemic may start buying things in a totalitarian approach which are not essential once normalcy returns. Hence, stockpiling sufficient product materials needs to be considered a priority for the company Amana Limited as well. Real-time consumer segmentation during the time of pandemic is also going to help the company on another front which is developing a deeper understanding of the consumer behaviour in the country.</w:t>
      </w:r>
    </w:p>
    <w:p>
      <w:pPr>
        <w:pStyle w:val="heading 1"/>
      </w:pPr>
      <w:bookmarkStart w:name="_Toc4" w:id="8"/>
      <w:bookmarkStart w:name="_bg80dk73jbu6" w:id="9"/>
      <w:bookmarkEnd w:id="9"/>
      <w:r>
        <w:rPr>
          <w:rFonts w:cs="Arial Unicode MS" w:eastAsia="Arial Unicode MS"/>
          <w:rtl w:val="0"/>
          <w:lang w:val="en-US"/>
        </w:rPr>
        <w:t>P</w:t>
      </w:r>
      <w:r>
        <w:rPr>
          <w:rFonts w:cs="Arial Unicode MS" w:eastAsia="Arial Unicode MS"/>
          <w:rtl w:val="0"/>
          <w:lang w:val="en-US"/>
        </w:rPr>
        <w:t>art B</w:t>
      </w:r>
      <w:bookmarkEnd w:id="8"/>
    </w:p>
    <w:p>
      <w:pPr>
        <w:pStyle w:val="Обычный1"/>
        <w:rPr>
          <w:b w:val="1"/>
          <w:bCs w:val="1"/>
          <w:i w:val="1"/>
          <w:iCs w:val="1"/>
        </w:rPr>
      </w:pPr>
      <w:r>
        <w:rPr>
          <w:b w:val="1"/>
          <w:bCs w:val="1"/>
          <w:i w:val="1"/>
          <w:iCs w:val="1"/>
          <w:rtl w:val="0"/>
          <w:lang w:val="en-US"/>
        </w:rPr>
        <w:t>Present Business scenario</w:t>
      </w:r>
    </w:p>
    <w:p>
      <w:pPr>
        <w:pStyle w:val="Обычный1"/>
      </w:pPr>
      <w:r>
        <w:rPr>
          <w:rtl w:val="0"/>
          <w:lang w:val="en-US"/>
        </w:rPr>
        <w:t xml:space="preserve">It is observed that the company presently has the capacity of selling around 100000 units per annum, which is supported by the cost breakdown provided by the CEO. The other aspect to consider is the present sales rate of each unit. It is observed that each of the units is going to be sold for around 25 GBP, which makes the total sale volume of 2500000 GBP for Amana Limited for this current business capacity. However, the organisation has decided to sell 50% of its souvenirs through an online channel. This means that the organisation has decided to sell 50000 of its core business products online. Now, the case of 25 GBP per unit price, if applicable for the online sales, would lead to a sales volume of around 1250000 GBP. Therefore, the company needs to consider these figures while materialising its business decision to go online for sales of its souvenirs. </w:t>
      </w:r>
    </w:p>
    <w:p>
      <w:pPr>
        <w:pStyle w:val="Обычный1"/>
        <w:rPr>
          <w:b w:val="1"/>
          <w:bCs w:val="1"/>
          <w:i w:val="1"/>
          <w:iCs w:val="1"/>
        </w:rPr>
      </w:pPr>
      <w:r>
        <w:rPr>
          <w:b w:val="1"/>
          <w:bCs w:val="1"/>
          <w:i w:val="1"/>
          <w:iCs w:val="1"/>
          <w:rtl w:val="0"/>
          <w:lang w:val="en-US"/>
        </w:rPr>
        <w:t>Sales on Own Website</w:t>
      </w:r>
    </w:p>
    <w:p>
      <w:pPr>
        <w:pStyle w:val="Обычный1"/>
      </w:pPr>
      <w:r>
        <w:rPr>
          <w:rtl w:val="0"/>
          <w:lang w:val="en-US"/>
        </w:rPr>
        <w:t xml:space="preserve">The decision of the company to go for selling its products through its own website has quite a lot of expenses that the organisation needs to consider. Online sales of products most importantly need setting up a delivery network so that consumers who would buy their products are able actually to receive them. It is estimated that the set-up cost of such a delivery network is around 150000 GBP. However, this is a one-off cost that the company would bear during the initial set-up of its online business. The website upgrade is another aspect of the cost structure for the company, and this one-off expense is estimated to be around 50000 GBP as well. The recurring cost that is going online would involve for the business of Amana Limited is the salary of the IT programmer, which is around 35000 GBP per annum. Therefore, in the first year of its online operations, the company may incur around 235000 GBP. However, it is also a fact that the company would be able to sell around 100000 units at the rate of 25 GBP per unit, which would result in around 2500000 GBP worth of business volume. The gross profit margin of this case would then stand around 2265000 GBP in a year for Amana Limited.  </w:t>
      </w:r>
    </w:p>
    <w:p>
      <w:pPr>
        <w:pStyle w:val="Обычный1"/>
        <w:rPr>
          <w:b w:val="1"/>
          <w:bCs w:val="1"/>
          <w:i w:val="1"/>
          <w:iCs w:val="1"/>
        </w:rPr>
      </w:pPr>
      <w:r>
        <w:rPr>
          <w:b w:val="1"/>
          <w:bCs w:val="1"/>
          <w:i w:val="1"/>
          <w:iCs w:val="1"/>
          <w:rtl w:val="0"/>
          <w:lang w:val="en-US"/>
        </w:rPr>
        <w:t>Sales on Amazon Website</w:t>
      </w:r>
    </w:p>
    <w:p>
      <w:pPr>
        <w:pStyle w:val="Обычный1"/>
      </w:pPr>
      <w:r>
        <w:rPr>
          <w:rtl w:val="0"/>
          <w:lang w:val="en-US"/>
        </w:rPr>
        <w:t xml:space="preserve">As an alternate mode of business, the company may consider selling through one of the established market players in the ecommerce business, Amazon. However, the prime benefit for this case would be the one-off cost of around 50000 GBP that Amana Limited has to pay as a fulfilment fee to Amazon. The drawback of doing business through Amazon is that the company would lose its significant hold on the pricing of its products and its return policy as well. Hence, in such circumstances, there is no way for the company to predict the sale volume that may result in a year. The guaranteed sales of around 65000 units in a year through Amazon would generate around 1625000 GBP worth of sales. The realised value of this after deducting the fulfilment fee in the first year is going to be around 1575000 GBP.  </w:t>
      </w:r>
    </w:p>
    <w:p>
      <w:pPr>
        <w:pStyle w:val="Обычный1"/>
        <w:rPr>
          <w:b w:val="1"/>
          <w:bCs w:val="1"/>
          <w:i w:val="1"/>
          <w:iCs w:val="1"/>
        </w:rPr>
      </w:pPr>
      <w:r>
        <w:rPr>
          <w:b w:val="1"/>
          <w:bCs w:val="1"/>
          <w:i w:val="1"/>
          <w:iCs w:val="1"/>
          <w:rtl w:val="0"/>
          <w:lang w:val="en-US"/>
        </w:rPr>
        <w:t>Analysis of the Business Decision</w:t>
      </w:r>
    </w:p>
    <w:p>
      <w:pPr>
        <w:pStyle w:val="Обычный1"/>
      </w:pPr>
      <w:r>
        <w:rPr>
          <w:rtl w:val="0"/>
          <w:lang w:val="en-US"/>
        </w:rPr>
        <w:t>The above discussion helps to understand that it would be wiser for Amana Limited to open its own website and sell its products through that in comparison to selling through Amazon. However, it might appear that selling through Amazon is more accessible as a business does not have to strive to put in its own marketing efforts to attract consumers. Contrary to this apparent benefit, Schmid (2022) opined that the prime risk of doing business through ecommerce platforms, such as - Amazon, is that revenues are coming through such an online presence that is not controlled by the vendor. Moreover, offering products on Amazon creates competition with its own brick-and-mortar stores as the ecommerce giant would be able to bring down the sale price of products significantly. In that case, the brick-and-mortar store of Amana Limited would face a stern challenge from its own brand on Amazon, resulting in a low-profit margin.</w:t>
      </w:r>
    </w:p>
    <w:p>
      <w:pPr>
        <w:pStyle w:val="Обычный1"/>
      </w:pPr>
      <w:r>
        <w:rPr>
          <w:rtl w:val="0"/>
          <w:lang w:val="en-US"/>
        </w:rPr>
        <w:t>The other advantage of using one's own website to sell products is the amount of control that a company can leverage post sales of its products. Contextually, Southworth (2020) mentioned that the control of the advertising strategy of products, liberty of gathering consumer data and striving for increased traffic are some of the advantages of selling through own websites. It is worth mentioning that all of these would not be available to a seller, such as - Amana Limited, if the organisation chooses to partner with Amazon to sell its products. One of the other significant benefits that the company may enjoy is presenting its own products on its own website without the presence of its competitor products which often distracts customers and results in a business loss for all such companies that are selling their products through Amazon as the ecommerce giant presents similar kinds of products from every seller together in one place. Hence, competition among sellers increases as well.</w:t>
      </w:r>
    </w:p>
    <w:p>
      <w:pPr>
        <w:pStyle w:val="Обычный1"/>
      </w:pPr>
      <w:r>
        <w:rPr>
          <w:rtl w:val="0"/>
          <w:lang w:val="en-US"/>
        </w:rPr>
        <w:t>Considering the present business case scenario and the financial calculations of selling through one's own website versus selling through Amazon, the above discussion helps to determine the right approach for the business of Amana Limited. It would be fitting if the business considers a mixed approach of selling its products and sourcing them through multi-channel vendors. In such cases, the organisation would require to set up its own website to sell the bulk of its products, while through Amazon, the company may consider selling some of its products, and those need not be present on its own website as well. The benefit of this kind of approach is going to be the increase in the sale volume of some of its products that are listed on Amazon's website while earning high revenue through sales of its other products through its own website. Therefore, the decision of the company to go online with a mixed approach is considered to be justified as well.</w:t>
      </w:r>
    </w:p>
    <w:p>
      <w:pPr>
        <w:pStyle w:val="Normal.0"/>
      </w:pPr>
      <w:r>
        <w:rPr>
          <w:rFonts w:ascii="Arial Unicode MS" w:cs="Arial Unicode MS" w:hAnsi="Arial Unicode MS" w:eastAsia="Arial Unicode MS"/>
          <w:b w:val="0"/>
          <w:bCs w:val="0"/>
          <w:i w:val="0"/>
          <w:iCs w:val="0"/>
        </w:rPr>
        <w:br w:type="page"/>
      </w:r>
    </w:p>
    <w:p>
      <w:pPr>
        <w:pStyle w:val="heading 1"/>
      </w:pPr>
      <w:bookmarkStart w:name="_Toc5" w:id="10"/>
      <w:r>
        <w:rPr>
          <w:rFonts w:cs="Arial Unicode MS" w:eastAsia="Arial Unicode MS"/>
          <w:rtl w:val="0"/>
          <w:lang w:val="en-US"/>
        </w:rPr>
        <w:t>Reference List</w:t>
      </w:r>
      <w:bookmarkEnd w:id="10"/>
    </w:p>
    <w:p>
      <w:pPr>
        <w:pStyle w:val="Обычный1"/>
        <w:spacing w:before="240"/>
      </w:pPr>
      <w:r>
        <w:rPr>
          <w:rtl w:val="0"/>
          <w:lang w:val="en-US"/>
        </w:rPr>
        <w:t xml:space="preserve">Lake. R. 2020. 6 Ways To Rebuild Your Small Business After COVID-19. Available at: </w:t>
      </w:r>
      <w:r>
        <w:rPr>
          <w:rStyle w:val="Hyperlink.0"/>
        </w:rPr>
        <w:fldChar w:fldCharType="begin" w:fldLock="0"/>
      </w:r>
      <w:r>
        <w:rPr>
          <w:rStyle w:val="Hyperlink.0"/>
        </w:rPr>
        <w:instrText xml:space="preserve"> HYPERLINK "https://www.forbes.com/sites/advisor/2020/04/30/6-ways-to-rebuild-your-small-business-after-covid-19/"</w:instrText>
      </w:r>
      <w:r>
        <w:rPr>
          <w:rStyle w:val="Hyperlink.0"/>
        </w:rPr>
        <w:fldChar w:fldCharType="separate" w:fldLock="0"/>
      </w:r>
      <w:r>
        <w:rPr>
          <w:rStyle w:val="Hyperlink.0"/>
          <w:rtl w:val="0"/>
          <w:lang w:val="en-US"/>
        </w:rPr>
        <w:t>https://www.forbes.com/sites/advisor/2020/04/30/6-ways-to-rebuild-your-small-business-after-covid-19/</w:t>
      </w:r>
      <w:r>
        <w:rPr/>
        <w:fldChar w:fldCharType="end" w:fldLock="0"/>
      </w:r>
      <w:r>
        <w:rPr>
          <w:rtl w:val="0"/>
          <w:lang w:val="en-US"/>
        </w:rPr>
        <w:t xml:space="preserve"> [Accessed on: 14.06.2022]</w:t>
      </w:r>
    </w:p>
    <w:p>
      <w:pPr>
        <w:pStyle w:val="Обычный1"/>
        <w:spacing w:before="240"/>
      </w:pPr>
      <w:r>
        <w:rPr>
          <w:rtl w:val="0"/>
          <w:lang w:val="en-US"/>
        </w:rPr>
        <w:t xml:space="preserve">Mysore. M. Sanghvi. A. Singh. N. and Sternfels. B. 2021. Speed and resilience: Five priorities for the next five months. Available at: </w:t>
      </w:r>
      <w:r>
        <w:rPr>
          <w:rStyle w:val="Hyperlink.0"/>
        </w:rPr>
        <w:fldChar w:fldCharType="begin" w:fldLock="0"/>
      </w:r>
      <w:r>
        <w:rPr>
          <w:rStyle w:val="Hyperlink.0"/>
        </w:rPr>
        <w:instrText xml:space="preserve"> HYPERLINK "https://www.mckinsey.com/business-functions/people-and-organizational-performance/our-insights/speed-and-resilience-five-priorities-for-the-next-five-months"</w:instrText>
      </w:r>
      <w:r>
        <w:rPr>
          <w:rStyle w:val="Hyperlink.0"/>
        </w:rPr>
        <w:fldChar w:fldCharType="separate" w:fldLock="0"/>
      </w:r>
      <w:r>
        <w:rPr>
          <w:rStyle w:val="Hyperlink.0"/>
          <w:rtl w:val="0"/>
          <w:lang w:val="en-US"/>
        </w:rPr>
        <w:t>https://www.mckinsey.com/business-functions/people-and-organizational-performance/our-insights/speed-and-resilience-five-priorities-for-the-next-five-months</w:t>
      </w:r>
      <w:r>
        <w:rPr/>
        <w:fldChar w:fldCharType="end" w:fldLock="0"/>
      </w:r>
      <w:r>
        <w:rPr>
          <w:rtl w:val="0"/>
          <w:lang w:val="en-US"/>
        </w:rPr>
        <w:t xml:space="preserve"> [Accessed on: 17.06.2022]</w:t>
      </w:r>
    </w:p>
    <w:p>
      <w:pPr>
        <w:pStyle w:val="Обычный1"/>
        <w:spacing w:before="240"/>
      </w:pPr>
      <w:r>
        <w:rPr>
          <w:rtl w:val="0"/>
          <w:lang w:val="en-US"/>
        </w:rPr>
        <w:t xml:space="preserve">Ons.gov.uk. 2022. </w:t>
      </w:r>
      <w:r>
        <w:rPr>
          <w:i w:val="1"/>
          <w:iCs w:val="1"/>
          <w:rtl w:val="0"/>
          <w:lang w:val="en-US"/>
        </w:rPr>
        <w:t>Coronavirus and the impact on the UK travel and tourism industry</w:t>
      </w:r>
      <w:r>
        <w:rPr>
          <w:rtl w:val="0"/>
          <w:lang w:val="en-US"/>
        </w:rPr>
        <w:t xml:space="preserve">. Available at: </w:t>
      </w:r>
      <w:r>
        <w:rPr>
          <w:rStyle w:val="Hyperlink.0"/>
        </w:rPr>
        <w:fldChar w:fldCharType="begin" w:fldLock="0"/>
      </w:r>
      <w:r>
        <w:rPr>
          <w:rStyle w:val="Hyperlink.0"/>
        </w:rPr>
        <w:instrText xml:space="preserve"> HYPERLINK "https://www.ons.gov.uk/businessindustryandtrade/tourismindustry/articles/coronavirusandtheimpactontheuktravelandtourismindustry/2021-02-15"</w:instrText>
      </w:r>
      <w:r>
        <w:rPr>
          <w:rStyle w:val="Hyperlink.0"/>
        </w:rPr>
        <w:fldChar w:fldCharType="separate" w:fldLock="0"/>
      </w:r>
      <w:r>
        <w:rPr>
          <w:rStyle w:val="Hyperlink.0"/>
          <w:rtl w:val="0"/>
          <w:lang w:val="en-US"/>
        </w:rPr>
        <w:t>https://www.ons.gov.uk/businessindustryandtrade/tourismindustry/articles/coronavirusandtheimpactontheuktravelandtourismindustry/2021-02-15</w:t>
      </w:r>
      <w:r>
        <w:rPr/>
        <w:fldChar w:fldCharType="end" w:fldLock="0"/>
      </w:r>
      <w:r>
        <w:rPr>
          <w:rtl w:val="0"/>
          <w:lang w:val="en-US"/>
        </w:rPr>
        <w:t xml:space="preserve"> [Accessed on: 10.06.2022]</w:t>
      </w:r>
    </w:p>
    <w:p>
      <w:pPr>
        <w:pStyle w:val="Обычный1"/>
        <w:spacing w:before="240"/>
      </w:pPr>
      <w:r>
        <w:rPr>
          <w:rtl w:val="0"/>
          <w:lang w:val="en-US"/>
        </w:rPr>
        <w:t xml:space="preserve">Schmid. H. 2022. Should You Compete with Amazon or Sell on Amazon? Available at: </w:t>
      </w:r>
      <w:r>
        <w:rPr>
          <w:rStyle w:val="Hyperlink.0"/>
        </w:rPr>
        <w:fldChar w:fldCharType="begin" w:fldLock="0"/>
      </w:r>
      <w:r>
        <w:rPr>
          <w:rStyle w:val="Hyperlink.0"/>
        </w:rPr>
        <w:instrText xml:space="preserve"> HYPERLINK "https://hbr.org/2016/05/should-you-compete-with-amazon-or-sell-on-amazon"</w:instrText>
      </w:r>
      <w:r>
        <w:rPr>
          <w:rStyle w:val="Hyperlink.0"/>
        </w:rPr>
        <w:fldChar w:fldCharType="separate" w:fldLock="0"/>
      </w:r>
      <w:r>
        <w:rPr>
          <w:rStyle w:val="Hyperlink.0"/>
          <w:rtl w:val="0"/>
          <w:lang w:val="en-US"/>
        </w:rPr>
        <w:t>https://hbr.org/2016/05/should-you-compete-with-amazon-or-sell-on-amazon</w:t>
      </w:r>
      <w:r>
        <w:rPr/>
        <w:fldChar w:fldCharType="end" w:fldLock="0"/>
      </w:r>
      <w:r>
        <w:rPr>
          <w:rtl w:val="0"/>
          <w:lang w:val="en-US"/>
        </w:rPr>
        <w:t xml:space="preserve"> [Accessed on: 18.06.2022]</w:t>
      </w:r>
    </w:p>
    <w:p>
      <w:pPr>
        <w:pStyle w:val="Обычный1"/>
        <w:spacing w:before="240"/>
      </w:pPr>
      <w:r>
        <w:rPr>
          <w:rtl w:val="0"/>
          <w:lang w:val="en-US"/>
        </w:rPr>
        <w:t xml:space="preserve">Southworth. M. 2020. Amazon Vs. D2C: The Pros And Cons For E-Commerce Brands. Available at: </w:t>
      </w:r>
      <w:r>
        <w:rPr>
          <w:rStyle w:val="Hyperlink.0"/>
        </w:rPr>
        <w:fldChar w:fldCharType="begin" w:fldLock="0"/>
      </w:r>
      <w:r>
        <w:rPr>
          <w:rStyle w:val="Hyperlink.0"/>
        </w:rPr>
        <w:instrText xml:space="preserve"> HYPERLINK "https://www.forbes.com/sites/forbesbusinesscouncil/2020/10/07/amazon-vs-d2c-the-pros-and-cons-for-e-commerce-brands/"</w:instrText>
      </w:r>
      <w:r>
        <w:rPr>
          <w:rStyle w:val="Hyperlink.0"/>
        </w:rPr>
        <w:fldChar w:fldCharType="separate" w:fldLock="0"/>
      </w:r>
      <w:r>
        <w:rPr>
          <w:rStyle w:val="Hyperlink.0"/>
          <w:rtl w:val="0"/>
          <w:lang w:val="en-US"/>
        </w:rPr>
        <w:t>https://www.forbes.com/sites/forbesbusinesscouncil/2020/10/07/amazon-vs-d2c-the-pros-and-cons-for-e-commerce-brands/</w:t>
      </w:r>
      <w:r>
        <w:rPr/>
        <w:fldChar w:fldCharType="end" w:fldLock="0"/>
      </w:r>
      <w:r>
        <w:rPr>
          <w:rtl w:val="0"/>
          <w:lang w:val="en-US"/>
        </w:rPr>
        <w:t xml:space="preserve"> [Accessed on: 19.06.2022]</w:t>
      </w:r>
    </w:p>
    <w:p>
      <w:pPr>
        <w:pStyle w:val="Обычный1"/>
        <w:spacing w:before="240"/>
      </w:pPr>
      <w:r>
        <w:rPr>
          <w:rtl w:val="0"/>
          <w:lang w:val="en-US"/>
        </w:rPr>
        <w:t xml:space="preserve">Statista.com. 2020. </w:t>
      </w:r>
      <w:r>
        <w:rPr>
          <w:i w:val="1"/>
          <w:iCs w:val="1"/>
          <w:rtl w:val="0"/>
          <w:lang w:val="en-US"/>
        </w:rPr>
        <w:t>Was your importing of materials, goods or services affected by the coronavirus (COVID-19) outbreak in the last two weeks?*</w:t>
      </w:r>
      <w:r>
        <w:rPr>
          <w:rtl w:val="0"/>
          <w:lang w:val="en-US"/>
        </w:rPr>
        <w:t xml:space="preserve"> Available at: </w:t>
      </w:r>
      <w:r>
        <w:rPr>
          <w:rStyle w:val="Hyperlink.0"/>
        </w:rPr>
        <w:fldChar w:fldCharType="begin" w:fldLock="0"/>
      </w:r>
      <w:r>
        <w:rPr>
          <w:rStyle w:val="Hyperlink.0"/>
        </w:rPr>
        <w:instrText xml:space="preserve"> HYPERLINK "https://www.statista.com/statistics/1110322/impact-of-coronavirus-on-the-import-of-goods-or-services-uk/"</w:instrText>
      </w:r>
      <w:r>
        <w:rPr>
          <w:rStyle w:val="Hyperlink.0"/>
        </w:rPr>
        <w:fldChar w:fldCharType="separate" w:fldLock="0"/>
      </w:r>
      <w:r>
        <w:rPr>
          <w:rStyle w:val="Hyperlink.0"/>
          <w:rtl w:val="0"/>
          <w:lang w:val="en-US"/>
        </w:rPr>
        <w:t>https://www.statista.com/statistics/1110322/impact-of-coronavirus-on-the-import-of-goods-or-services-uk/</w:t>
      </w:r>
      <w:r>
        <w:rPr/>
        <w:fldChar w:fldCharType="end" w:fldLock="0"/>
      </w:r>
      <w:r>
        <w:rPr>
          <w:rtl w:val="0"/>
          <w:lang w:val="en-US"/>
        </w:rPr>
        <w:t xml:space="preserve"> [Accessed on: 11.06.2022]</w:t>
      </w:r>
    </w:p>
    <w:p>
      <w:pPr>
        <w:pStyle w:val="Обычный1"/>
        <w:spacing w:before="240"/>
      </w:pPr>
      <w:r>
        <w:rPr>
          <w:rtl w:val="0"/>
          <w:lang w:val="en-US"/>
        </w:rPr>
        <w:t xml:space="preserve">Statista.com. 2021. </w:t>
      </w:r>
      <w:r>
        <w:rPr>
          <w:i w:val="1"/>
          <w:iCs w:val="1"/>
          <w:rtl w:val="0"/>
          <w:lang w:val="en-US"/>
        </w:rPr>
        <w:t>Impact of coronavirus (COVID-19) on exports in the Asia Pacific region in 2020, by country or region</w:t>
      </w:r>
      <w:r>
        <w:rPr>
          <w:rtl w:val="0"/>
          <w:lang w:val="en-US"/>
        </w:rPr>
        <w:t xml:space="preserve">. Available at: </w:t>
      </w:r>
      <w:r>
        <w:rPr>
          <w:rStyle w:val="Hyperlink.0"/>
        </w:rPr>
        <w:fldChar w:fldCharType="begin" w:fldLock="0"/>
      </w:r>
      <w:r>
        <w:rPr>
          <w:rStyle w:val="Hyperlink.0"/>
        </w:rPr>
        <w:instrText xml:space="preserve"> HYPERLINK "https://www.statista.com/statistics/1103199/apac-covid-19-impact-on-exports-by-country/"</w:instrText>
      </w:r>
      <w:r>
        <w:rPr>
          <w:rStyle w:val="Hyperlink.0"/>
        </w:rPr>
        <w:fldChar w:fldCharType="separate" w:fldLock="0"/>
      </w:r>
      <w:r>
        <w:rPr>
          <w:rStyle w:val="Hyperlink.0"/>
          <w:rtl w:val="0"/>
          <w:lang w:val="en-US"/>
        </w:rPr>
        <w:t>https://www.statista.com/statistics/1103199/apac-covid-19-impact-on-exports-by-country/</w:t>
      </w:r>
      <w:r>
        <w:rPr/>
        <w:fldChar w:fldCharType="end" w:fldLock="0"/>
      </w:r>
      <w:r>
        <w:rPr>
          <w:rtl w:val="0"/>
          <w:lang w:val="en-US"/>
        </w:rPr>
        <w:t xml:space="preserve"> [Accessed on: 14.06.2022]</w:t>
      </w:r>
    </w:p>
    <w:p>
      <w:pPr>
        <w:pStyle w:val="Обычный1"/>
        <w:spacing w:before="240"/>
      </w:pPr>
      <w:r>
        <w:rPr>
          <w:rtl w:val="0"/>
          <w:lang w:val="en-US"/>
        </w:rPr>
        <w:t xml:space="preserve">Statista.com. 2022. </w:t>
      </w:r>
      <w:r>
        <w:rPr>
          <w:i w:val="1"/>
          <w:iCs w:val="1"/>
          <w:rtl w:val="0"/>
          <w:lang w:val="en-US"/>
        </w:rPr>
        <w:t>Year-on-year change in port calls in the European Union (EU) between 2019 and 2021, by ship type</w:t>
      </w:r>
      <w:r>
        <w:rPr>
          <w:rtl w:val="0"/>
          <w:lang w:val="en-US"/>
        </w:rPr>
        <w:t xml:space="preserve">. Available at: </w:t>
      </w:r>
      <w:r>
        <w:rPr>
          <w:rStyle w:val="Hyperlink.0"/>
        </w:rPr>
        <w:fldChar w:fldCharType="begin" w:fldLock="0"/>
      </w:r>
      <w:r>
        <w:rPr>
          <w:rStyle w:val="Hyperlink.0"/>
        </w:rPr>
        <w:instrText xml:space="preserve"> HYPERLINK "https://www.statista.com/statistics/1241049/change-in-port-calls-in-eu-by-ship-type/"</w:instrText>
      </w:r>
      <w:r>
        <w:rPr>
          <w:rStyle w:val="Hyperlink.0"/>
        </w:rPr>
        <w:fldChar w:fldCharType="separate" w:fldLock="0"/>
      </w:r>
      <w:r>
        <w:rPr>
          <w:rStyle w:val="Hyperlink.0"/>
          <w:rtl w:val="0"/>
          <w:lang w:val="en-US"/>
        </w:rPr>
        <w:t>https://www.statista.com/statistics/1241049/change-in-port-calls-in-eu-by-ship-type/</w:t>
      </w:r>
      <w:r>
        <w:rPr/>
        <w:fldChar w:fldCharType="end" w:fldLock="0"/>
      </w:r>
      <w:r>
        <w:rPr>
          <w:rtl w:val="0"/>
          <w:lang w:val="en-US"/>
        </w:rPr>
        <w:t xml:space="preserve"> [Accessed on: 12.06.2022]</w:t>
      </w:r>
    </w:p>
    <w:p>
      <w:pPr>
        <w:pStyle w:val="Обычный1"/>
        <w:spacing w:before="240"/>
      </w:pPr>
      <w:r>
        <w:rPr>
          <w:rtl w:val="0"/>
          <w:lang w:val="en-US"/>
        </w:rPr>
        <w:t xml:space="preserve">Sternfels. B. 2022. Three keys to a resilient post-pandemic recovery. Available at: </w:t>
      </w:r>
      <w:r>
        <w:rPr>
          <w:rStyle w:val="Hyperlink.0"/>
        </w:rPr>
        <w:fldChar w:fldCharType="begin" w:fldLock="0"/>
      </w:r>
      <w:r>
        <w:rPr>
          <w:rStyle w:val="Hyperlink.0"/>
        </w:rPr>
        <w:instrText xml:space="preserve"> HYPERLINK "https://www.mckinsey.com/business-functions/risk-and-resilience/our-insights/three-keys-to-a-resilient-postpandemic-recovery"</w:instrText>
      </w:r>
      <w:r>
        <w:rPr>
          <w:rStyle w:val="Hyperlink.0"/>
        </w:rPr>
        <w:fldChar w:fldCharType="separate" w:fldLock="0"/>
      </w:r>
      <w:r>
        <w:rPr>
          <w:rStyle w:val="Hyperlink.0"/>
          <w:rtl w:val="0"/>
          <w:lang w:val="en-US"/>
        </w:rPr>
        <w:t>https://www.mckinsey.com/business-functions/risk-and-resilience/our-insights/three-keys-to-a-resilient-postpandemic-recovery</w:t>
      </w:r>
      <w:r>
        <w:rPr/>
        <w:fldChar w:fldCharType="end" w:fldLock="0"/>
      </w:r>
      <w:r>
        <w:rPr>
          <w:rtl w:val="0"/>
          <w:lang w:val="en-US"/>
        </w:rPr>
        <w:t xml:space="preserve"> [Accessed on: 16.06.2022]</w:t>
      </w:r>
    </w:p>
    <w:p>
      <w:pPr>
        <w:pStyle w:val="Обычный1"/>
        <w:spacing w:before="240"/>
      </w:pPr>
      <w:r>
        <w:rPr>
          <w:rtl w:val="0"/>
          <w:lang w:val="en-US"/>
        </w:rPr>
        <w:t xml:space="preserve">Wedell-Wedellsborg. M. 2020. Leading into the Post-Covid Recovery. Available at: </w:t>
      </w:r>
      <w:r>
        <w:rPr>
          <w:rStyle w:val="Hyperlink.0"/>
        </w:rPr>
        <w:fldChar w:fldCharType="begin" w:fldLock="0"/>
      </w:r>
      <w:r>
        <w:rPr>
          <w:rStyle w:val="Hyperlink.0"/>
        </w:rPr>
        <w:instrText xml:space="preserve"> HYPERLINK "https://hbr.org/2020/08/leading-into-the-post-covid-recovery"</w:instrText>
      </w:r>
      <w:r>
        <w:rPr>
          <w:rStyle w:val="Hyperlink.0"/>
        </w:rPr>
        <w:fldChar w:fldCharType="separate" w:fldLock="0"/>
      </w:r>
      <w:r>
        <w:rPr>
          <w:rStyle w:val="Hyperlink.0"/>
          <w:rtl w:val="0"/>
          <w:lang w:val="en-US"/>
        </w:rPr>
        <w:t>https://hbr.org/2020/08/leading-into-the-post-covid-recovery</w:t>
      </w:r>
      <w:r>
        <w:rPr/>
        <w:fldChar w:fldCharType="end" w:fldLock="0"/>
      </w:r>
      <w:r>
        <w:rPr>
          <w:rtl w:val="0"/>
          <w:lang w:val="en-US"/>
        </w:rPr>
        <w:t xml:space="preserve"> [Accessed on: 15.06.2022]</w:t>
      </w:r>
    </w:p>
    <w:sectPr>
      <w:headerReference w:type="default" r:id="rId5"/>
      <w:headerReference w:type="first" r:id="rId6"/>
      <w:footerReference w:type="default" r:id="rId7"/>
      <w:footerReference w:type="first" r:id="rId8"/>
      <w:pgSz w:w="12240" w:h="15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spacing w:line="360" w:lineRule="auto"/>
      <w:jc w:val="right"/>
    </w:pPr>
    <w:r>
      <w:rPr>
        <w:sz w:val="20"/>
        <w:szCs w:val="20"/>
        <w:rtl w:val="0"/>
      </w:rPr>
      <w:fldChar w:fldCharType="begin" w:fldLock="0"/>
    </w:r>
    <w:r>
      <w:rPr>
        <w:sz w:val="20"/>
        <w:szCs w:val="20"/>
        <w:rtl w:val="0"/>
      </w:rPr>
      <w:instrText xml:space="preserve"> PAGE </w:instrText>
    </w:r>
    <w:r>
      <w:rPr>
        <w:sz w:val="20"/>
        <w:szCs w:val="20"/>
        <w:rtl w:val="0"/>
      </w:rPr>
      <w:fldChar w:fldCharType="separate" w:fldLock="0"/>
    </w:r>
    <w:r>
      <w:rPr>
        <w:sz w:val="20"/>
        <w:szCs w:val="20"/>
        <w:rtl w:val="0"/>
      </w:rPr>
    </w:r>
    <w:r>
      <w:rPr>
        <w:sz w:val="20"/>
        <w:szCs w:val="20"/>
        <w:rtl w:val="0"/>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Stil importat 1"/>
  </w:abstractNum>
  <w:abstractNum w:abstractNumId="1">
    <w:multiLevelType w:val="hybridMultilevel"/>
    <w:styleLink w:val="Stil importat 1"/>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română" w:val="‘“(〔[{〈《「『【⦅〘〖«〝︵︷︹︻︽︿﹁﹃﹇﹙﹛﹝｢"/>
  <w:noLineBreaksBefore w:lang="română"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Antet și subsol">
    <w:name w:val="Antet și subsol"/>
    <w:next w:val="Antet și subsol"/>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Обычный1">
    <w:name w:val="Обычный1"/>
    <w:next w:val="Обычный1"/>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OC Heading">
    <w:name w:val="TOC Heading"/>
    <w:next w:val="Normal.0"/>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libri" w:cs="Calibri" w:hAnsi="Calibri" w:eastAsia="Calibri"/>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1">
    <w:name w:val="heading 1"/>
    <w:next w:val="Обычный1"/>
    <w:pPr>
      <w:keepNext w:val="1"/>
      <w:keepLines w:val="1"/>
      <w:pageBreakBefore w:val="0"/>
      <w:widowControl w:val="1"/>
      <w:shd w:val="clear" w:color="auto" w:fill="auto"/>
      <w:suppressAutoHyphens w:val="0"/>
      <w:bidi w:val="0"/>
      <w:spacing w:before="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 w:type="numbering" w:styleId="Stil importat 1">
    <w:name w:val="Stil importat 1"/>
    <w:pPr>
      <w:numPr>
        <w:numId w:val="1"/>
      </w:numPr>
    </w:p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outline w:val="0"/>
      <w:color w:val="000000"/>
      <w:u w:color="000000"/>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