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43C570" w14:textId="04BBA92E" w:rsidR="00D913D1" w:rsidRDefault="006D0415" w:rsidP="006D0415">
      <w:pPr>
        <w:jc w:val="center"/>
        <w:rPr>
          <w:sz w:val="24"/>
          <w:szCs w:val="24"/>
          <w:u w:val="single"/>
        </w:rPr>
      </w:pPr>
      <w:r w:rsidRPr="006D0415">
        <w:rPr>
          <w:sz w:val="24"/>
          <w:szCs w:val="24"/>
          <w:u w:val="single"/>
        </w:rPr>
        <w:t>Religio</w:t>
      </w:r>
      <w:r w:rsidR="00155F53">
        <w:rPr>
          <w:sz w:val="24"/>
          <w:szCs w:val="24"/>
          <w:u w:val="single"/>
        </w:rPr>
        <w:t>us rituals</w:t>
      </w:r>
      <w:r w:rsidRPr="006D0415">
        <w:rPr>
          <w:sz w:val="24"/>
          <w:szCs w:val="24"/>
          <w:u w:val="single"/>
        </w:rPr>
        <w:t xml:space="preserve"> and symbolism </w:t>
      </w:r>
    </w:p>
    <w:p w14:paraId="75405B5C" w14:textId="642E6B75" w:rsidR="006D0415" w:rsidRDefault="007F1289" w:rsidP="006D0415">
      <w:pPr>
        <w:rPr>
          <w:sz w:val="24"/>
          <w:szCs w:val="24"/>
        </w:rPr>
      </w:pPr>
      <w:r>
        <w:rPr>
          <w:sz w:val="24"/>
          <w:szCs w:val="24"/>
        </w:rPr>
        <w:t xml:space="preserve"> </w:t>
      </w:r>
      <w:r w:rsidR="006D0415">
        <w:rPr>
          <w:sz w:val="24"/>
          <w:szCs w:val="24"/>
        </w:rPr>
        <w:t xml:space="preserve"> I will be focusing on the different anthropological perspectives of the R</w:t>
      </w:r>
      <w:r w:rsidR="00A20D3B">
        <w:rPr>
          <w:sz w:val="24"/>
          <w:szCs w:val="24"/>
        </w:rPr>
        <w:t xml:space="preserve">eligious </w:t>
      </w:r>
      <w:r w:rsidR="00155F53">
        <w:rPr>
          <w:sz w:val="24"/>
          <w:szCs w:val="24"/>
        </w:rPr>
        <w:t>rituals</w:t>
      </w:r>
      <w:r w:rsidR="006D0415">
        <w:rPr>
          <w:sz w:val="24"/>
          <w:szCs w:val="24"/>
        </w:rPr>
        <w:t xml:space="preserve"> and symbolism. I’ve chosen to focus on exploring the debate of </w:t>
      </w:r>
      <w:r w:rsidR="00A20D3B">
        <w:rPr>
          <w:sz w:val="24"/>
          <w:szCs w:val="24"/>
        </w:rPr>
        <w:t xml:space="preserve">the meaning of </w:t>
      </w:r>
      <w:r w:rsidR="00715B61">
        <w:rPr>
          <w:sz w:val="24"/>
          <w:szCs w:val="24"/>
        </w:rPr>
        <w:t>R</w:t>
      </w:r>
      <w:r w:rsidR="00A20D3B">
        <w:rPr>
          <w:sz w:val="24"/>
          <w:szCs w:val="24"/>
        </w:rPr>
        <w:t xml:space="preserve">eligious </w:t>
      </w:r>
      <w:r w:rsidR="00715B61">
        <w:rPr>
          <w:sz w:val="24"/>
          <w:szCs w:val="24"/>
        </w:rPr>
        <w:t>R</w:t>
      </w:r>
      <w:r w:rsidR="00A20D3B">
        <w:rPr>
          <w:sz w:val="24"/>
          <w:szCs w:val="24"/>
        </w:rPr>
        <w:t>ituals</w:t>
      </w:r>
      <w:r w:rsidR="006D0415">
        <w:rPr>
          <w:sz w:val="24"/>
          <w:szCs w:val="24"/>
        </w:rPr>
        <w:t xml:space="preserve"> and </w:t>
      </w:r>
      <w:r w:rsidR="00155F53">
        <w:rPr>
          <w:sz w:val="24"/>
          <w:szCs w:val="24"/>
        </w:rPr>
        <w:t xml:space="preserve">how </w:t>
      </w:r>
      <w:r w:rsidR="006D0415">
        <w:rPr>
          <w:sz w:val="24"/>
          <w:szCs w:val="24"/>
        </w:rPr>
        <w:t>‘symbolism’ is defined</w:t>
      </w:r>
      <w:r w:rsidR="00155F53">
        <w:rPr>
          <w:sz w:val="24"/>
          <w:szCs w:val="24"/>
        </w:rPr>
        <w:t xml:space="preserve"> </w:t>
      </w:r>
      <w:r w:rsidR="006D0415">
        <w:rPr>
          <w:sz w:val="24"/>
          <w:szCs w:val="24"/>
        </w:rPr>
        <w:t>to anthropologists as I find it interesting as the meanings of these terms are</w:t>
      </w:r>
      <w:r w:rsidR="00155F53">
        <w:rPr>
          <w:sz w:val="24"/>
          <w:szCs w:val="24"/>
        </w:rPr>
        <w:t>,</w:t>
      </w:r>
      <w:r w:rsidR="006D0415">
        <w:rPr>
          <w:sz w:val="24"/>
          <w:szCs w:val="24"/>
        </w:rPr>
        <w:t xml:space="preserve"> to a variety of people who work within the field of anthropology</w:t>
      </w:r>
      <w:r w:rsidR="00155F53">
        <w:rPr>
          <w:sz w:val="24"/>
          <w:szCs w:val="24"/>
        </w:rPr>
        <w:t>, i</w:t>
      </w:r>
      <w:r w:rsidR="006D0415">
        <w:rPr>
          <w:sz w:val="24"/>
          <w:szCs w:val="24"/>
        </w:rPr>
        <w:t>nterpreted differently and debat</w:t>
      </w:r>
      <w:r w:rsidR="00155F53">
        <w:rPr>
          <w:sz w:val="24"/>
          <w:szCs w:val="24"/>
        </w:rPr>
        <w:t>ed</w:t>
      </w:r>
      <w:r w:rsidR="006D0415">
        <w:rPr>
          <w:sz w:val="24"/>
          <w:szCs w:val="24"/>
        </w:rPr>
        <w:t xml:space="preserve"> among different anthropologists. I’ll be looking into the viewpoints of </w:t>
      </w:r>
      <w:proofErr w:type="spellStart"/>
      <w:r w:rsidR="006D0415">
        <w:rPr>
          <w:sz w:val="24"/>
          <w:szCs w:val="24"/>
        </w:rPr>
        <w:t>Ioan</w:t>
      </w:r>
      <w:proofErr w:type="spellEnd"/>
      <w:r w:rsidR="006D0415">
        <w:rPr>
          <w:sz w:val="24"/>
          <w:szCs w:val="24"/>
        </w:rPr>
        <w:t xml:space="preserve"> Myrddin Lewis,</w:t>
      </w:r>
      <w:r w:rsidR="00155F53">
        <w:rPr>
          <w:sz w:val="24"/>
          <w:szCs w:val="24"/>
        </w:rPr>
        <w:t xml:space="preserve"> </w:t>
      </w:r>
      <w:r w:rsidR="006D0415">
        <w:rPr>
          <w:sz w:val="24"/>
          <w:szCs w:val="24"/>
        </w:rPr>
        <w:t>Fiona Bowie</w:t>
      </w:r>
      <w:r w:rsidR="00155F53">
        <w:rPr>
          <w:sz w:val="24"/>
          <w:szCs w:val="24"/>
        </w:rPr>
        <w:t>, etc as they are, what I believe to be, influential to anthropology</w:t>
      </w:r>
      <w:r>
        <w:rPr>
          <w:sz w:val="24"/>
          <w:szCs w:val="24"/>
        </w:rPr>
        <w:t xml:space="preserve"> and their ideas of what they think a </w:t>
      </w:r>
      <w:r w:rsidR="00FA3F4D">
        <w:rPr>
          <w:sz w:val="24"/>
          <w:szCs w:val="24"/>
        </w:rPr>
        <w:t>R</w:t>
      </w:r>
      <w:r>
        <w:rPr>
          <w:sz w:val="24"/>
          <w:szCs w:val="24"/>
        </w:rPr>
        <w:t xml:space="preserve">eligious </w:t>
      </w:r>
      <w:r w:rsidR="00FA3F4D">
        <w:rPr>
          <w:sz w:val="24"/>
          <w:szCs w:val="24"/>
        </w:rPr>
        <w:t>R</w:t>
      </w:r>
      <w:r>
        <w:rPr>
          <w:sz w:val="24"/>
          <w:szCs w:val="24"/>
        </w:rPr>
        <w:t>itual is and the meaning of the term ‘symbolism’ and the significant importance of symbolism.</w:t>
      </w:r>
    </w:p>
    <w:p w14:paraId="170EED6F" w14:textId="0BF27228" w:rsidR="006909F7" w:rsidRDefault="006909F7" w:rsidP="006D0415">
      <w:pPr>
        <w:rPr>
          <w:sz w:val="24"/>
          <w:szCs w:val="24"/>
        </w:rPr>
      </w:pPr>
      <w:r>
        <w:rPr>
          <w:sz w:val="24"/>
          <w:szCs w:val="24"/>
        </w:rPr>
        <w:t xml:space="preserve">             Religious rituals are significant within religions as rituals have</w:t>
      </w:r>
      <w:r w:rsidR="00EE12F8">
        <w:rPr>
          <w:sz w:val="24"/>
          <w:szCs w:val="24"/>
        </w:rPr>
        <w:t>, according to Fiona Bowie,</w:t>
      </w:r>
      <w:r>
        <w:rPr>
          <w:sz w:val="24"/>
          <w:szCs w:val="24"/>
        </w:rPr>
        <w:t xml:space="preserve"> ‘many </w:t>
      </w:r>
      <w:r w:rsidR="00BE5A17">
        <w:rPr>
          <w:sz w:val="24"/>
          <w:szCs w:val="24"/>
        </w:rPr>
        <w:t>functions, both at the level of the individual and for groups or societies’</w:t>
      </w:r>
      <w:r w:rsidR="00BE5A17">
        <w:rPr>
          <w:rStyle w:val="FootnoteReference"/>
          <w:sz w:val="24"/>
          <w:szCs w:val="24"/>
        </w:rPr>
        <w:footnoteReference w:id="1"/>
      </w:r>
      <w:r w:rsidR="00BE5A17">
        <w:rPr>
          <w:sz w:val="24"/>
          <w:szCs w:val="24"/>
        </w:rPr>
        <w:t xml:space="preserve">, </w:t>
      </w:r>
      <w:r w:rsidR="007C0A4A">
        <w:rPr>
          <w:sz w:val="24"/>
          <w:szCs w:val="24"/>
        </w:rPr>
        <w:t>meaning that the functions of a ritual are equally felt by everyone, whether it’s just an individual or as a community. R</w:t>
      </w:r>
      <w:r w:rsidR="00BE5A17">
        <w:rPr>
          <w:sz w:val="24"/>
          <w:szCs w:val="24"/>
        </w:rPr>
        <w:t>ituals are a way for a person to</w:t>
      </w:r>
      <w:r w:rsidR="00EE12F8">
        <w:rPr>
          <w:sz w:val="24"/>
          <w:szCs w:val="24"/>
        </w:rPr>
        <w:t>, not only</w:t>
      </w:r>
      <w:r w:rsidR="00BE5A17">
        <w:rPr>
          <w:sz w:val="24"/>
          <w:szCs w:val="24"/>
        </w:rPr>
        <w:t xml:space="preserve"> express their gratitude to a God, if a specific ritual is performed within monotheistic religions, such as Christianity or in religions, where gratification is shown to multiples of Gods, which are polytheistic, such as Hinduism</w:t>
      </w:r>
      <w:r w:rsidR="00EE12F8">
        <w:rPr>
          <w:sz w:val="24"/>
          <w:szCs w:val="24"/>
        </w:rPr>
        <w:t xml:space="preserve"> but</w:t>
      </w:r>
      <w:r w:rsidR="00BE5A17">
        <w:rPr>
          <w:sz w:val="24"/>
          <w:szCs w:val="24"/>
        </w:rPr>
        <w:t>, Rituals are seen to have a deeper meaning</w:t>
      </w:r>
      <w:r w:rsidR="00EE12F8">
        <w:rPr>
          <w:sz w:val="24"/>
          <w:szCs w:val="24"/>
        </w:rPr>
        <w:t xml:space="preserve"> to the person performing within the ritual </w:t>
      </w:r>
      <w:r w:rsidR="00BE5A17">
        <w:rPr>
          <w:sz w:val="24"/>
          <w:szCs w:val="24"/>
        </w:rPr>
        <w:t>as it’s a way to ‘express emotions, guide and reinforce forms of behaviour</w:t>
      </w:r>
      <w:r w:rsidR="00EE12F8">
        <w:rPr>
          <w:sz w:val="24"/>
          <w:szCs w:val="24"/>
        </w:rPr>
        <w:t>’</w:t>
      </w:r>
      <w:r w:rsidR="00EE12F8">
        <w:rPr>
          <w:rStyle w:val="FootnoteReference"/>
          <w:sz w:val="24"/>
          <w:szCs w:val="24"/>
        </w:rPr>
        <w:footnoteReference w:id="2"/>
      </w:r>
      <w:r w:rsidR="007C0A4A">
        <w:rPr>
          <w:sz w:val="24"/>
          <w:szCs w:val="24"/>
        </w:rPr>
        <w:t>, so for Bowie, Rituals are a way to have an internal feeling of support by a supernatural force and to express this they perform it in a ritualistic style.</w:t>
      </w:r>
      <w:r w:rsidR="00BE5A17">
        <w:rPr>
          <w:sz w:val="24"/>
          <w:szCs w:val="24"/>
        </w:rPr>
        <w:t xml:space="preserve"> </w:t>
      </w:r>
      <w:r w:rsidR="00EE12F8">
        <w:rPr>
          <w:sz w:val="24"/>
          <w:szCs w:val="24"/>
        </w:rPr>
        <w:t>Also, for Bowie, Rituals are a way for religions t</w:t>
      </w:r>
      <w:r w:rsidR="000E26CA">
        <w:rPr>
          <w:sz w:val="24"/>
          <w:szCs w:val="24"/>
        </w:rPr>
        <w:t>o maintain a meaningful and ‘right relationship with the spiritual world, which would include spirits, deities, ancestors, or other supernatural forces.</w:t>
      </w:r>
      <w:r w:rsidR="000E26CA">
        <w:rPr>
          <w:rStyle w:val="FootnoteReference"/>
          <w:sz w:val="24"/>
          <w:szCs w:val="24"/>
        </w:rPr>
        <w:footnoteReference w:id="3"/>
      </w:r>
      <w:r w:rsidR="000E26CA">
        <w:rPr>
          <w:sz w:val="24"/>
          <w:szCs w:val="24"/>
        </w:rPr>
        <w:t xml:space="preserve"> However, for Victor Turner, he defines religious rituals as </w:t>
      </w:r>
      <w:r w:rsidR="00A51E90">
        <w:rPr>
          <w:sz w:val="24"/>
          <w:szCs w:val="24"/>
        </w:rPr>
        <w:t>‘formal behaviour for occasions not given over technical routine, having reference to beliefs in mystical (or non-empirical) beings or powers regarded as the first and final causes of all effects’.</w:t>
      </w:r>
      <w:r w:rsidR="00A51E90">
        <w:rPr>
          <w:rStyle w:val="FootnoteReference"/>
          <w:sz w:val="24"/>
          <w:szCs w:val="24"/>
        </w:rPr>
        <w:footnoteReference w:id="4"/>
      </w:r>
      <w:r w:rsidR="007C0A4A">
        <w:rPr>
          <w:sz w:val="24"/>
          <w:szCs w:val="24"/>
        </w:rPr>
        <w:t xml:space="preserve"> So, for Turner rituals are a ‘routine’  that helps believers connect to a supernatural being and by saying the supernatural being </w:t>
      </w:r>
      <w:r w:rsidR="004042A1">
        <w:rPr>
          <w:sz w:val="24"/>
          <w:szCs w:val="24"/>
        </w:rPr>
        <w:t xml:space="preserve">is the </w:t>
      </w:r>
      <w:r w:rsidR="007C0A4A">
        <w:rPr>
          <w:sz w:val="24"/>
          <w:szCs w:val="24"/>
        </w:rPr>
        <w:t xml:space="preserve">‘the first and final causes of all effects’ indicates that rituals are a way for an individual or community to recognise </w:t>
      </w:r>
      <w:r w:rsidR="004042A1">
        <w:rPr>
          <w:sz w:val="24"/>
          <w:szCs w:val="24"/>
        </w:rPr>
        <w:t>that the supernatural being is the cause of what happens, so by performing a ritual gives recognition to that being.</w:t>
      </w:r>
      <w:r w:rsidR="00957BF8">
        <w:rPr>
          <w:sz w:val="24"/>
          <w:szCs w:val="24"/>
        </w:rPr>
        <w:t xml:space="preserve"> </w:t>
      </w:r>
    </w:p>
    <w:p w14:paraId="6F121DBA" w14:textId="3A379D9B" w:rsidR="00ED3027" w:rsidRDefault="00ED3027" w:rsidP="006D0415">
      <w:pPr>
        <w:rPr>
          <w:sz w:val="24"/>
          <w:szCs w:val="24"/>
        </w:rPr>
      </w:pPr>
      <w:r>
        <w:rPr>
          <w:sz w:val="24"/>
          <w:szCs w:val="24"/>
        </w:rPr>
        <w:t xml:space="preserve">          To follow on, Victor Turner says that a ‘ritual is regarded as performance, but ritual is not the same as a theatrical drama on stage’</w:t>
      </w:r>
      <w:r w:rsidR="00EE6BCC">
        <w:rPr>
          <w:rStyle w:val="FootnoteReference"/>
          <w:sz w:val="24"/>
          <w:szCs w:val="24"/>
        </w:rPr>
        <w:footnoteReference w:id="5"/>
      </w:r>
      <w:r>
        <w:rPr>
          <w:sz w:val="24"/>
          <w:szCs w:val="24"/>
        </w:rPr>
        <w:t>. Here, Turner suggests this as it stems from his idea of rites of passage and liminality, where a person, when in a rite of passage, it ‘betwixt and between positions assigned and arrayed by law, customs, conventions, and ceremonial’.</w:t>
      </w:r>
      <w:r w:rsidR="00EE6BCC">
        <w:rPr>
          <w:rStyle w:val="FootnoteReference"/>
          <w:sz w:val="24"/>
          <w:szCs w:val="24"/>
        </w:rPr>
        <w:footnoteReference w:id="6"/>
      </w:r>
      <w:r>
        <w:rPr>
          <w:sz w:val="24"/>
          <w:szCs w:val="24"/>
        </w:rPr>
        <w:t xml:space="preserve"> So, through </w:t>
      </w:r>
      <w:r w:rsidR="009C4F2D">
        <w:rPr>
          <w:sz w:val="24"/>
          <w:szCs w:val="24"/>
        </w:rPr>
        <w:t>the liminality stage of a</w:t>
      </w:r>
      <w:r>
        <w:rPr>
          <w:sz w:val="24"/>
          <w:szCs w:val="24"/>
        </w:rPr>
        <w:t xml:space="preserve"> rite of passage a person has no social position within the community</w:t>
      </w:r>
      <w:r w:rsidR="009C4F2D">
        <w:rPr>
          <w:sz w:val="24"/>
          <w:szCs w:val="24"/>
        </w:rPr>
        <w:t>,</w:t>
      </w:r>
      <w:r>
        <w:rPr>
          <w:sz w:val="24"/>
          <w:szCs w:val="24"/>
        </w:rPr>
        <w:t xml:space="preserve"> as they lost their last position to transition into a new one. However, by Turner regarding rituals as performances, but not a theatrical performance </w:t>
      </w:r>
      <w:r>
        <w:rPr>
          <w:sz w:val="24"/>
          <w:szCs w:val="24"/>
        </w:rPr>
        <w:lastRenderedPageBreak/>
        <w:t xml:space="preserve">suggests that Turner sees Rituals as structured and organised, but with a deeper meaning behind it. Also, I think Turner also suggests that a theatrical performance has elements of falseness for entertainment purposes, as where a ritual is true and not for no other purposes other than showing gratification to God(s), deities, or even their ancestors, by giving offerings </w:t>
      </w:r>
      <w:r w:rsidR="009C4F2D">
        <w:rPr>
          <w:sz w:val="24"/>
          <w:szCs w:val="24"/>
        </w:rPr>
        <w:t xml:space="preserve">and feeling it physically and emotionally for a deeper relationship. Also, </w:t>
      </w:r>
      <w:proofErr w:type="spellStart"/>
      <w:r w:rsidR="009C4F2D">
        <w:rPr>
          <w:sz w:val="24"/>
          <w:szCs w:val="24"/>
        </w:rPr>
        <w:t>Schechner</w:t>
      </w:r>
      <w:proofErr w:type="spellEnd"/>
      <w:r w:rsidR="009C4F2D">
        <w:rPr>
          <w:sz w:val="24"/>
          <w:szCs w:val="24"/>
        </w:rPr>
        <w:t xml:space="preserve"> has similar ideas</w:t>
      </w:r>
      <w:r w:rsidR="00B717EB">
        <w:rPr>
          <w:sz w:val="24"/>
          <w:szCs w:val="24"/>
        </w:rPr>
        <w:t>,</w:t>
      </w:r>
      <w:r w:rsidR="009C4F2D">
        <w:rPr>
          <w:sz w:val="24"/>
          <w:szCs w:val="24"/>
        </w:rPr>
        <w:t xml:space="preserve"> whereas he regards the purpose of a ritual is the ‘effectiveness as the ability of transformation: if a performance includes this ability, it is ritual’</w:t>
      </w:r>
      <w:r w:rsidR="00EE6BCC">
        <w:rPr>
          <w:rStyle w:val="FootnoteReference"/>
          <w:sz w:val="24"/>
          <w:szCs w:val="24"/>
        </w:rPr>
        <w:footnoteReference w:id="7"/>
      </w:r>
      <w:r w:rsidR="009C4F2D">
        <w:rPr>
          <w:sz w:val="24"/>
          <w:szCs w:val="24"/>
        </w:rPr>
        <w:t xml:space="preserve">, however, </w:t>
      </w:r>
      <w:proofErr w:type="spellStart"/>
      <w:r w:rsidR="009C4F2D">
        <w:rPr>
          <w:sz w:val="24"/>
          <w:szCs w:val="24"/>
        </w:rPr>
        <w:t>Schechner</w:t>
      </w:r>
      <w:proofErr w:type="spellEnd"/>
      <w:r w:rsidR="009C4F2D">
        <w:rPr>
          <w:sz w:val="24"/>
          <w:szCs w:val="24"/>
        </w:rPr>
        <w:t xml:space="preserve"> did have the same notion as Turner, where ‘if the main function is entertainment, it is theatre’.</w:t>
      </w:r>
      <w:r w:rsidR="00EE6BCC">
        <w:rPr>
          <w:rStyle w:val="FootnoteReference"/>
          <w:sz w:val="24"/>
          <w:szCs w:val="24"/>
        </w:rPr>
        <w:footnoteReference w:id="8"/>
      </w:r>
      <w:r w:rsidR="009C4F2D">
        <w:rPr>
          <w:sz w:val="24"/>
          <w:szCs w:val="24"/>
        </w:rPr>
        <w:t xml:space="preserve"> Again</w:t>
      </w:r>
      <w:r w:rsidR="00B717EB">
        <w:rPr>
          <w:sz w:val="24"/>
          <w:szCs w:val="24"/>
        </w:rPr>
        <w:t>,</w:t>
      </w:r>
      <w:r w:rsidR="009C4F2D">
        <w:rPr>
          <w:sz w:val="24"/>
          <w:szCs w:val="24"/>
        </w:rPr>
        <w:t xml:space="preserve"> suggesting the purpose of a ritual is to maintain relationsh</w:t>
      </w:r>
      <w:r w:rsidR="00B717EB">
        <w:rPr>
          <w:sz w:val="24"/>
          <w:szCs w:val="24"/>
        </w:rPr>
        <w:t xml:space="preserve">ips, with deities, God(s), ancestors, etc. However, the difference between Turner and </w:t>
      </w:r>
      <w:proofErr w:type="spellStart"/>
      <w:r w:rsidR="00B717EB">
        <w:rPr>
          <w:sz w:val="24"/>
          <w:szCs w:val="24"/>
        </w:rPr>
        <w:t>Schechner</w:t>
      </w:r>
      <w:proofErr w:type="spellEnd"/>
      <w:r w:rsidR="00B717EB">
        <w:rPr>
          <w:sz w:val="24"/>
          <w:szCs w:val="24"/>
        </w:rPr>
        <w:t xml:space="preserve"> is that </w:t>
      </w:r>
      <w:proofErr w:type="spellStart"/>
      <w:r w:rsidR="00B717EB">
        <w:rPr>
          <w:sz w:val="24"/>
          <w:szCs w:val="24"/>
        </w:rPr>
        <w:t>Schechner</w:t>
      </w:r>
      <w:proofErr w:type="spellEnd"/>
      <w:r w:rsidR="00B717EB">
        <w:rPr>
          <w:sz w:val="24"/>
          <w:szCs w:val="24"/>
        </w:rPr>
        <w:t xml:space="preserve"> sees an act as a ritual if it shows effectiveness, so meaning that if the acts in </w:t>
      </w:r>
      <w:r w:rsidR="00FA3F4D">
        <w:rPr>
          <w:sz w:val="24"/>
          <w:szCs w:val="24"/>
        </w:rPr>
        <w:t>a</w:t>
      </w:r>
      <w:r w:rsidR="00B717EB">
        <w:rPr>
          <w:sz w:val="24"/>
          <w:szCs w:val="24"/>
        </w:rPr>
        <w:t xml:space="preserve"> ritual is effective for the person or community participating in the ritual, so if they feel an emotional and physical connection with who they are worshipping to and they feel the ritual has a meaningful experience for them, then it was effective.</w:t>
      </w:r>
    </w:p>
    <w:p w14:paraId="17B5AF0A" w14:textId="1D6546DF" w:rsidR="001B367F" w:rsidRDefault="001B367F" w:rsidP="006D0415">
      <w:pPr>
        <w:rPr>
          <w:sz w:val="24"/>
          <w:szCs w:val="24"/>
        </w:rPr>
      </w:pPr>
      <w:r>
        <w:rPr>
          <w:sz w:val="24"/>
          <w:szCs w:val="24"/>
        </w:rPr>
        <w:t xml:space="preserve">            To further the meanings of rituals, I think rituals, similarly to Bowie, it’s a way to show emotions </w:t>
      </w:r>
      <w:r w:rsidR="00BA40AB">
        <w:rPr>
          <w:sz w:val="24"/>
          <w:szCs w:val="24"/>
        </w:rPr>
        <w:t xml:space="preserve">and guide behaviour through an emotional and physical performance to feel a religious connection. However, I think symbolism </w:t>
      </w:r>
      <w:r w:rsidR="009F0C47">
        <w:rPr>
          <w:sz w:val="24"/>
          <w:szCs w:val="24"/>
        </w:rPr>
        <w:t>has</w:t>
      </w:r>
      <w:r w:rsidR="00BA40AB">
        <w:rPr>
          <w:sz w:val="24"/>
          <w:szCs w:val="24"/>
        </w:rPr>
        <w:t xml:space="preserve"> a significant importance </w:t>
      </w:r>
      <w:r w:rsidR="009F0C47">
        <w:rPr>
          <w:sz w:val="24"/>
          <w:szCs w:val="24"/>
        </w:rPr>
        <w:t>in</w:t>
      </w:r>
      <w:r w:rsidR="00BA40AB">
        <w:rPr>
          <w:sz w:val="24"/>
          <w:szCs w:val="24"/>
        </w:rPr>
        <w:t xml:space="preserve"> rituals </w:t>
      </w:r>
      <w:r w:rsidR="009F0C47">
        <w:rPr>
          <w:sz w:val="24"/>
          <w:szCs w:val="24"/>
        </w:rPr>
        <w:t>as symbols are to represent a certain idea</w:t>
      </w:r>
      <w:r w:rsidR="00D9770D">
        <w:rPr>
          <w:sz w:val="24"/>
          <w:szCs w:val="24"/>
        </w:rPr>
        <w:t>, in the shape of a picture, object, word or gesture.</w:t>
      </w:r>
      <w:r w:rsidR="00B463C5">
        <w:rPr>
          <w:sz w:val="24"/>
          <w:szCs w:val="24"/>
        </w:rPr>
        <w:t xml:space="preserve"> For S.J. </w:t>
      </w:r>
      <w:proofErr w:type="spellStart"/>
      <w:r w:rsidR="00B463C5">
        <w:rPr>
          <w:sz w:val="24"/>
          <w:szCs w:val="24"/>
        </w:rPr>
        <w:t>Tambiah</w:t>
      </w:r>
      <w:proofErr w:type="spellEnd"/>
      <w:r w:rsidR="00B463C5">
        <w:rPr>
          <w:sz w:val="24"/>
          <w:szCs w:val="24"/>
        </w:rPr>
        <w:t>, a ‘ritual is a culturally constructed system of symbolic communication. It is constituted of patterned and ordered sequences of words and acts, often’</w:t>
      </w:r>
      <w:r w:rsidR="002106DC">
        <w:rPr>
          <w:rStyle w:val="FootnoteReference"/>
          <w:sz w:val="24"/>
          <w:szCs w:val="24"/>
        </w:rPr>
        <w:footnoteReference w:id="9"/>
      </w:r>
      <w:r w:rsidR="00B463C5">
        <w:rPr>
          <w:sz w:val="24"/>
          <w:szCs w:val="24"/>
        </w:rPr>
        <w:t xml:space="preserve">. </w:t>
      </w:r>
      <w:r w:rsidR="001A1D77">
        <w:rPr>
          <w:sz w:val="24"/>
          <w:szCs w:val="24"/>
        </w:rPr>
        <w:t>So, religious symbols in rituals</w:t>
      </w:r>
      <w:r w:rsidR="00B463C5">
        <w:rPr>
          <w:sz w:val="24"/>
          <w:szCs w:val="24"/>
        </w:rPr>
        <w:t xml:space="preserve"> are fundamentally important to not only be</w:t>
      </w:r>
      <w:r w:rsidR="001A1D77">
        <w:rPr>
          <w:sz w:val="24"/>
          <w:szCs w:val="24"/>
        </w:rPr>
        <w:t xml:space="preserve"> ‘used to convey concepts concerned with humanity’s relationship to the sacred or holy’.</w:t>
      </w:r>
      <w:r w:rsidR="001A1D77">
        <w:rPr>
          <w:rStyle w:val="FootnoteReference"/>
          <w:sz w:val="24"/>
          <w:szCs w:val="24"/>
        </w:rPr>
        <w:footnoteReference w:id="10"/>
      </w:r>
      <w:r w:rsidR="00B463C5">
        <w:rPr>
          <w:sz w:val="24"/>
          <w:szCs w:val="24"/>
        </w:rPr>
        <w:t xml:space="preserve"> Which</w:t>
      </w:r>
      <w:r w:rsidR="00957BF8">
        <w:rPr>
          <w:sz w:val="24"/>
          <w:szCs w:val="24"/>
        </w:rPr>
        <w:t xml:space="preserve"> </w:t>
      </w:r>
      <w:r w:rsidR="00B463C5">
        <w:rPr>
          <w:sz w:val="24"/>
          <w:szCs w:val="24"/>
        </w:rPr>
        <w:t>a</w:t>
      </w:r>
      <w:r w:rsidR="00957BF8">
        <w:rPr>
          <w:sz w:val="24"/>
          <w:szCs w:val="24"/>
        </w:rPr>
        <w:t xml:space="preserve">n example of this would be </w:t>
      </w:r>
      <w:r w:rsidR="00B463C5">
        <w:rPr>
          <w:sz w:val="24"/>
          <w:szCs w:val="24"/>
        </w:rPr>
        <w:t xml:space="preserve">that for </w:t>
      </w:r>
      <w:r w:rsidR="001A1D77">
        <w:rPr>
          <w:sz w:val="24"/>
          <w:szCs w:val="24"/>
        </w:rPr>
        <w:t>Catholics, ‘the bread and the wine are symbolic of the body and blood of Jesus Christ’</w:t>
      </w:r>
      <w:r w:rsidR="00B463C5">
        <w:rPr>
          <w:sz w:val="24"/>
          <w:szCs w:val="24"/>
        </w:rPr>
        <w:t xml:space="preserve"> </w:t>
      </w:r>
      <w:r w:rsidR="001A1D77">
        <w:rPr>
          <w:sz w:val="24"/>
          <w:szCs w:val="24"/>
        </w:rPr>
        <w:t>and by a believer participating, the symbolic elements of the bread and the wine allows the believer to feel closer to Christ and ‘commemorates the sacrificial death of Christ’</w:t>
      </w:r>
      <w:r w:rsidR="001A1D77">
        <w:rPr>
          <w:rStyle w:val="FootnoteReference"/>
          <w:sz w:val="24"/>
          <w:szCs w:val="24"/>
        </w:rPr>
        <w:footnoteReference w:id="11"/>
      </w:r>
      <w:r w:rsidR="00B463C5">
        <w:rPr>
          <w:sz w:val="24"/>
          <w:szCs w:val="24"/>
        </w:rPr>
        <w:t>, But symbols are important for the communicational structure of the ritual also, symbols give a believer a deeper sense of closeness to their God(s), deities, ancestors, etc.</w:t>
      </w:r>
    </w:p>
    <w:p w14:paraId="515CA3F0" w14:textId="13D395E5" w:rsidR="00A82409" w:rsidRDefault="00A82409" w:rsidP="006D0415">
      <w:pPr>
        <w:rPr>
          <w:sz w:val="24"/>
          <w:szCs w:val="24"/>
        </w:rPr>
      </w:pPr>
      <w:r>
        <w:rPr>
          <w:sz w:val="24"/>
          <w:szCs w:val="24"/>
        </w:rPr>
        <w:t xml:space="preserve">           However, some anthropologists would disagree that a ritual is a symbolic communication system designed on a cultural level because the ‘meaning’ of that symbol may not be revealed by the believers of a religion or culture as</w:t>
      </w:r>
      <w:r w:rsidR="00FA3F4D">
        <w:rPr>
          <w:sz w:val="24"/>
          <w:szCs w:val="24"/>
        </w:rPr>
        <w:t xml:space="preserve"> the term</w:t>
      </w:r>
      <w:r>
        <w:rPr>
          <w:sz w:val="24"/>
          <w:szCs w:val="24"/>
        </w:rPr>
        <w:t xml:space="preserve"> </w:t>
      </w:r>
      <w:r w:rsidR="00FA3F4D">
        <w:rPr>
          <w:sz w:val="24"/>
          <w:szCs w:val="24"/>
        </w:rPr>
        <w:t>‘</w:t>
      </w:r>
      <w:r w:rsidR="00280A23">
        <w:rPr>
          <w:sz w:val="24"/>
          <w:szCs w:val="24"/>
        </w:rPr>
        <w:t>symbol</w:t>
      </w:r>
      <w:r w:rsidR="00FA3F4D">
        <w:rPr>
          <w:sz w:val="24"/>
          <w:szCs w:val="24"/>
        </w:rPr>
        <w:t>’</w:t>
      </w:r>
      <w:r w:rsidR="00280A23">
        <w:rPr>
          <w:sz w:val="24"/>
          <w:szCs w:val="24"/>
        </w:rPr>
        <w:t xml:space="preserve"> is</w:t>
      </w:r>
      <w:r>
        <w:rPr>
          <w:sz w:val="24"/>
          <w:szCs w:val="24"/>
        </w:rPr>
        <w:t xml:space="preserve"> not universal, the symbol may be </w:t>
      </w:r>
      <w:r w:rsidR="00987C9B">
        <w:rPr>
          <w:sz w:val="24"/>
          <w:szCs w:val="24"/>
        </w:rPr>
        <w:t>e</w:t>
      </w:r>
      <w:r w:rsidR="00283580">
        <w:rPr>
          <w:sz w:val="24"/>
          <w:szCs w:val="24"/>
        </w:rPr>
        <w:t>xplained further,</w:t>
      </w:r>
      <w:r w:rsidR="00987C9B">
        <w:rPr>
          <w:sz w:val="24"/>
          <w:szCs w:val="24"/>
        </w:rPr>
        <w:t xml:space="preserve"> rather than knowing the true meaning of the symbol</w:t>
      </w:r>
      <w:r w:rsidR="00FF69E5">
        <w:rPr>
          <w:sz w:val="24"/>
          <w:szCs w:val="24"/>
        </w:rPr>
        <w:t xml:space="preserve"> due to misinterpretations</w:t>
      </w:r>
      <w:r w:rsidR="00283580">
        <w:rPr>
          <w:sz w:val="24"/>
          <w:szCs w:val="24"/>
        </w:rPr>
        <w:t>, such as a community that speaks the</w:t>
      </w:r>
      <w:r w:rsidR="009C00B9">
        <w:rPr>
          <w:sz w:val="24"/>
          <w:szCs w:val="24"/>
        </w:rPr>
        <w:t xml:space="preserve"> traditional language of their community may not have a word for ‘symbolism’</w:t>
      </w:r>
      <w:r w:rsidR="00FF69E5">
        <w:rPr>
          <w:sz w:val="24"/>
          <w:szCs w:val="24"/>
        </w:rPr>
        <w:t>. As for Sperber, interpreting symbols would need, in a way, a ‘ ‘key’ or ‘decoder’ ‘</w:t>
      </w:r>
      <w:r w:rsidR="00280A23">
        <w:rPr>
          <w:sz w:val="24"/>
          <w:szCs w:val="24"/>
        </w:rPr>
        <w:t xml:space="preserve"> as to fully understand a meaning of a symbol within different rituals due to terms not being universal, such as the term ‘religion’ is not universal as it’s an academic term within Europe and not known to different cultures universally</w:t>
      </w:r>
      <w:r w:rsidR="00FF69E5">
        <w:rPr>
          <w:sz w:val="24"/>
          <w:szCs w:val="24"/>
        </w:rPr>
        <w:t>,</w:t>
      </w:r>
      <w:r w:rsidR="00280A23">
        <w:rPr>
          <w:sz w:val="24"/>
          <w:szCs w:val="24"/>
        </w:rPr>
        <w:t xml:space="preserve"> so this could be misunderstood, just like the term ‘symbols’.</w:t>
      </w:r>
      <w:r w:rsidR="00FF69E5">
        <w:rPr>
          <w:sz w:val="24"/>
          <w:szCs w:val="24"/>
        </w:rPr>
        <w:t xml:space="preserve"> </w:t>
      </w:r>
      <w:r w:rsidR="00280A23">
        <w:rPr>
          <w:sz w:val="24"/>
          <w:szCs w:val="24"/>
        </w:rPr>
        <w:t>A</w:t>
      </w:r>
      <w:r w:rsidR="00FF69E5">
        <w:rPr>
          <w:sz w:val="24"/>
          <w:szCs w:val="24"/>
        </w:rPr>
        <w:t xml:space="preserve">s for Sperber, we may ask about </w:t>
      </w:r>
      <w:r w:rsidR="00280A23">
        <w:rPr>
          <w:sz w:val="24"/>
          <w:szCs w:val="24"/>
        </w:rPr>
        <w:t xml:space="preserve">actions </w:t>
      </w:r>
      <w:r w:rsidR="00FF69E5">
        <w:rPr>
          <w:sz w:val="24"/>
          <w:szCs w:val="24"/>
        </w:rPr>
        <w:t xml:space="preserve">within a ritual, an example of </w:t>
      </w:r>
      <w:r w:rsidR="008658C2">
        <w:rPr>
          <w:sz w:val="24"/>
          <w:szCs w:val="24"/>
        </w:rPr>
        <w:t xml:space="preserve">certain </w:t>
      </w:r>
      <w:r w:rsidR="00280A23">
        <w:rPr>
          <w:sz w:val="24"/>
          <w:szCs w:val="24"/>
        </w:rPr>
        <w:t>actions</w:t>
      </w:r>
      <w:r w:rsidR="008658C2">
        <w:rPr>
          <w:sz w:val="24"/>
          <w:szCs w:val="24"/>
        </w:rPr>
        <w:t xml:space="preserve"> </w:t>
      </w:r>
      <w:r w:rsidR="00280A23">
        <w:rPr>
          <w:sz w:val="24"/>
          <w:szCs w:val="24"/>
        </w:rPr>
        <w:t>with</w:t>
      </w:r>
      <w:r w:rsidR="008658C2">
        <w:rPr>
          <w:sz w:val="24"/>
          <w:szCs w:val="24"/>
        </w:rPr>
        <w:t>in</w:t>
      </w:r>
      <w:r w:rsidR="00280A23">
        <w:rPr>
          <w:sz w:val="24"/>
          <w:szCs w:val="24"/>
        </w:rPr>
        <w:t xml:space="preserve"> a</w:t>
      </w:r>
      <w:r w:rsidR="008658C2">
        <w:rPr>
          <w:sz w:val="24"/>
          <w:szCs w:val="24"/>
        </w:rPr>
        <w:t xml:space="preserve"> ritual</w:t>
      </w:r>
      <w:r w:rsidR="00FF69E5">
        <w:rPr>
          <w:sz w:val="24"/>
          <w:szCs w:val="24"/>
        </w:rPr>
        <w:t xml:space="preserve"> would be</w:t>
      </w:r>
      <w:r w:rsidR="008658C2">
        <w:rPr>
          <w:sz w:val="24"/>
          <w:szCs w:val="24"/>
        </w:rPr>
        <w:t xml:space="preserve"> the</w:t>
      </w:r>
      <w:r w:rsidR="00FF69E5">
        <w:rPr>
          <w:sz w:val="24"/>
          <w:szCs w:val="24"/>
        </w:rPr>
        <w:t xml:space="preserve"> traditional </w:t>
      </w:r>
      <w:proofErr w:type="spellStart"/>
      <w:r w:rsidR="00FF69E5">
        <w:rPr>
          <w:sz w:val="24"/>
          <w:szCs w:val="24"/>
        </w:rPr>
        <w:t>Walbiri</w:t>
      </w:r>
      <w:proofErr w:type="spellEnd"/>
      <w:r w:rsidR="00FF69E5">
        <w:rPr>
          <w:sz w:val="24"/>
          <w:szCs w:val="24"/>
        </w:rPr>
        <w:t>, wh</w:t>
      </w:r>
      <w:r w:rsidR="008658C2">
        <w:rPr>
          <w:sz w:val="24"/>
          <w:szCs w:val="24"/>
        </w:rPr>
        <w:t>o</w:t>
      </w:r>
      <w:r w:rsidR="00FF69E5">
        <w:rPr>
          <w:sz w:val="24"/>
          <w:szCs w:val="24"/>
        </w:rPr>
        <w:t xml:space="preserve"> </w:t>
      </w:r>
      <w:r w:rsidR="008658C2">
        <w:rPr>
          <w:sz w:val="24"/>
          <w:szCs w:val="24"/>
        </w:rPr>
        <w:t xml:space="preserve">are Australian Aborigines, act of dance within a ritual where the men would perform a female </w:t>
      </w:r>
      <w:proofErr w:type="spellStart"/>
      <w:r w:rsidR="008658C2">
        <w:rPr>
          <w:sz w:val="24"/>
          <w:szCs w:val="24"/>
        </w:rPr>
        <w:t>Walbiri’s</w:t>
      </w:r>
      <w:proofErr w:type="spellEnd"/>
      <w:r w:rsidR="008658C2">
        <w:rPr>
          <w:sz w:val="24"/>
          <w:szCs w:val="24"/>
        </w:rPr>
        <w:t xml:space="preserve"> dance within </w:t>
      </w:r>
      <w:proofErr w:type="spellStart"/>
      <w:r w:rsidR="008658C2">
        <w:rPr>
          <w:sz w:val="24"/>
          <w:szCs w:val="24"/>
        </w:rPr>
        <w:t>Walbiri</w:t>
      </w:r>
      <w:proofErr w:type="spellEnd"/>
      <w:r w:rsidR="008658C2">
        <w:rPr>
          <w:sz w:val="24"/>
          <w:szCs w:val="24"/>
        </w:rPr>
        <w:t xml:space="preserve"> men’s rituals, as this is ‘symbolic appropriation of the complementarity of sex roles, and partly as a symbolic appropriation of women’s procreative and nurturing role’.</w:t>
      </w:r>
      <w:r w:rsidR="008658C2">
        <w:rPr>
          <w:rStyle w:val="FootnoteReference"/>
          <w:sz w:val="24"/>
          <w:szCs w:val="24"/>
        </w:rPr>
        <w:footnoteReference w:id="12"/>
      </w:r>
      <w:r w:rsidR="00280A23">
        <w:rPr>
          <w:sz w:val="24"/>
          <w:szCs w:val="24"/>
        </w:rPr>
        <w:t xml:space="preserve"> Sperber is trying to, in my opinion, indicate that </w:t>
      </w:r>
      <w:r w:rsidR="002726DB">
        <w:rPr>
          <w:sz w:val="24"/>
          <w:szCs w:val="24"/>
        </w:rPr>
        <w:t xml:space="preserve">due to the term ‘symbols’ being an academic term, if a person says, for example, to the members of the </w:t>
      </w:r>
      <w:proofErr w:type="spellStart"/>
      <w:r w:rsidR="002726DB">
        <w:rPr>
          <w:sz w:val="24"/>
          <w:szCs w:val="24"/>
        </w:rPr>
        <w:t>Walbiri</w:t>
      </w:r>
      <w:proofErr w:type="spellEnd"/>
      <w:r w:rsidR="002726DB">
        <w:rPr>
          <w:sz w:val="24"/>
          <w:szCs w:val="24"/>
        </w:rPr>
        <w:t xml:space="preserve"> tribe that the ‘behaviour or beliefs were symbolic often enough they would disagree’ as ‘symbolism’ is a non-universal term and the members of the tribe would just see the dance as a natural process within the </w:t>
      </w:r>
      <w:proofErr w:type="spellStart"/>
      <w:r w:rsidR="002726DB">
        <w:rPr>
          <w:sz w:val="24"/>
          <w:szCs w:val="24"/>
        </w:rPr>
        <w:t>Walbiri</w:t>
      </w:r>
      <w:proofErr w:type="spellEnd"/>
      <w:r w:rsidR="002726DB">
        <w:rPr>
          <w:sz w:val="24"/>
          <w:szCs w:val="24"/>
        </w:rPr>
        <w:t xml:space="preserve"> men’s ritual that shows gratitude to the women of the tribe</w:t>
      </w:r>
      <w:r w:rsidR="000578DB">
        <w:rPr>
          <w:sz w:val="24"/>
          <w:szCs w:val="24"/>
        </w:rPr>
        <w:t xml:space="preserve"> and the interpreted symbolism within the ritual is most probably correct, but interpreting symbolism is a way for anthropologists to make sense of the ritual, so anthropologists can understand the culture</w:t>
      </w:r>
      <w:r w:rsidR="009C00B9">
        <w:rPr>
          <w:sz w:val="24"/>
          <w:szCs w:val="24"/>
        </w:rPr>
        <w:t xml:space="preserve"> or religion</w:t>
      </w:r>
      <w:r w:rsidR="000578DB">
        <w:rPr>
          <w:sz w:val="24"/>
          <w:szCs w:val="24"/>
        </w:rPr>
        <w:t xml:space="preserve"> and the members within that culture or religion a bit better. </w:t>
      </w:r>
    </w:p>
    <w:p w14:paraId="575AD4DD" w14:textId="494C0FE8" w:rsidR="00F00CF7" w:rsidRDefault="00F00CF7" w:rsidP="006D0415">
      <w:pPr>
        <w:rPr>
          <w:sz w:val="24"/>
          <w:szCs w:val="24"/>
        </w:rPr>
      </w:pPr>
      <w:r>
        <w:rPr>
          <w:sz w:val="24"/>
          <w:szCs w:val="24"/>
        </w:rPr>
        <w:t xml:space="preserve">                However, on the other hand, where </w:t>
      </w:r>
      <w:proofErr w:type="spellStart"/>
      <w:r>
        <w:rPr>
          <w:sz w:val="24"/>
          <w:szCs w:val="24"/>
        </w:rPr>
        <w:t>St</w:t>
      </w:r>
      <w:r w:rsidR="00D83A2D">
        <w:rPr>
          <w:sz w:val="24"/>
          <w:szCs w:val="24"/>
        </w:rPr>
        <w:t>erber</w:t>
      </w:r>
      <w:proofErr w:type="spellEnd"/>
      <w:r>
        <w:rPr>
          <w:sz w:val="24"/>
          <w:szCs w:val="24"/>
        </w:rPr>
        <w:t xml:space="preserve"> mentions symbols need a ‘key’ or ‘decoder’ to understand the full meaning behind a symbol, whether it’s an act, object, picture, etc, due to misinterpretations of terms. For </w:t>
      </w:r>
      <w:proofErr w:type="spellStart"/>
      <w:r>
        <w:rPr>
          <w:sz w:val="24"/>
          <w:szCs w:val="24"/>
        </w:rPr>
        <w:t>Ioan</w:t>
      </w:r>
      <w:proofErr w:type="spellEnd"/>
      <w:r>
        <w:rPr>
          <w:sz w:val="24"/>
          <w:szCs w:val="24"/>
        </w:rPr>
        <w:t xml:space="preserve"> Lewis, it’s not due to interpretations of the term ‘symbolism’ it is down to looking deeper in to the understanding of an act, picture, object etc</w:t>
      </w:r>
      <w:r w:rsidR="00B13CCD">
        <w:rPr>
          <w:sz w:val="24"/>
          <w:szCs w:val="24"/>
        </w:rPr>
        <w:t xml:space="preserve"> of a culture or religion</w:t>
      </w:r>
      <w:r>
        <w:rPr>
          <w:sz w:val="24"/>
          <w:szCs w:val="24"/>
        </w:rPr>
        <w:t xml:space="preserve">, as for Lewis ‘symbolism consequently becomes a </w:t>
      </w:r>
      <w:r w:rsidR="00B13CCD">
        <w:rPr>
          <w:sz w:val="24"/>
          <w:szCs w:val="24"/>
        </w:rPr>
        <w:t xml:space="preserve">kind of </w:t>
      </w:r>
      <w:r>
        <w:rPr>
          <w:sz w:val="24"/>
          <w:szCs w:val="24"/>
        </w:rPr>
        <w:t xml:space="preserve">sign language </w:t>
      </w:r>
      <w:r w:rsidR="00B13CCD">
        <w:rPr>
          <w:sz w:val="24"/>
          <w:szCs w:val="24"/>
        </w:rPr>
        <w:t>or semaphore, a code which is only intelligible once you have discovered the key’, so for Lewis, there’s no need for a ‘key’ or ‘decoder’ as if the meaning is looked in a deeper sense</w:t>
      </w:r>
      <w:r w:rsidR="00F71D97">
        <w:rPr>
          <w:sz w:val="24"/>
          <w:szCs w:val="24"/>
        </w:rPr>
        <w:t>, then</w:t>
      </w:r>
      <w:r w:rsidR="00B13CCD">
        <w:rPr>
          <w:sz w:val="24"/>
          <w:szCs w:val="24"/>
        </w:rPr>
        <w:t xml:space="preserve"> the ‘key’ of the full meaning behind an act, object, sign, etc is there, but to fully understand and know the meaning behind the symbolism, the culture or religion and the members part of that community and their beliefs need to be understood first, to really know the true meaning behind the symbolism within a ritual.</w:t>
      </w:r>
    </w:p>
    <w:p w14:paraId="63D4EE4A" w14:textId="599D7190" w:rsidR="00A20D3B" w:rsidRDefault="00A20D3B" w:rsidP="006D0415">
      <w:pPr>
        <w:rPr>
          <w:sz w:val="24"/>
          <w:szCs w:val="24"/>
        </w:rPr>
      </w:pPr>
      <w:r>
        <w:rPr>
          <w:sz w:val="24"/>
          <w:szCs w:val="24"/>
        </w:rPr>
        <w:t xml:space="preserve">            Another perspective of what the term ‘symbolism’ </w:t>
      </w:r>
      <w:r w:rsidR="00F71D97">
        <w:rPr>
          <w:sz w:val="24"/>
          <w:szCs w:val="24"/>
        </w:rPr>
        <w:t xml:space="preserve">is </w:t>
      </w:r>
      <w:r>
        <w:rPr>
          <w:sz w:val="24"/>
          <w:szCs w:val="24"/>
        </w:rPr>
        <w:t xml:space="preserve">from an anthropologist named Abner Cohen. Cohen sees a ‘symbolic action is by definition </w:t>
      </w:r>
      <w:r w:rsidR="007B0CBB">
        <w:rPr>
          <w:sz w:val="24"/>
          <w:szCs w:val="24"/>
        </w:rPr>
        <w:t>action involving the totality of the self’.</w:t>
      </w:r>
      <w:r w:rsidR="007B0CBB">
        <w:rPr>
          <w:rStyle w:val="FootnoteReference"/>
          <w:sz w:val="24"/>
          <w:szCs w:val="24"/>
        </w:rPr>
        <w:footnoteReference w:id="13"/>
      </w:r>
      <w:r w:rsidR="007B0CBB">
        <w:rPr>
          <w:sz w:val="24"/>
          <w:szCs w:val="24"/>
        </w:rPr>
        <w:t xml:space="preserve"> The self is the ‘oneness’, or more commonly known as our personality, which is in the deepest part of the human psyche. So, for Cohen, he explains it as that the roles we perform in our day-to-day lives only allow segments of our personalities and not the ‘totality of the person’.</w:t>
      </w:r>
      <w:r w:rsidR="007B0CBB">
        <w:rPr>
          <w:rStyle w:val="FootnoteReference"/>
          <w:sz w:val="24"/>
          <w:szCs w:val="24"/>
        </w:rPr>
        <w:footnoteReference w:id="14"/>
      </w:r>
      <w:r w:rsidR="007B0CBB">
        <w:rPr>
          <w:sz w:val="24"/>
          <w:szCs w:val="24"/>
        </w:rPr>
        <w:t>An example Cohen uses is that ‘an engineer is involved in his job only as an engineer and not as a father or a member of a political party’.</w:t>
      </w:r>
      <w:r w:rsidR="007B0CBB">
        <w:rPr>
          <w:rStyle w:val="FootnoteReference"/>
          <w:sz w:val="24"/>
          <w:szCs w:val="24"/>
        </w:rPr>
        <w:footnoteReference w:id="15"/>
      </w:r>
      <w:r w:rsidR="00953709">
        <w:rPr>
          <w:sz w:val="24"/>
          <w:szCs w:val="24"/>
        </w:rPr>
        <w:t xml:space="preserve"> </w:t>
      </w:r>
      <w:r w:rsidR="00D9255C">
        <w:rPr>
          <w:sz w:val="24"/>
          <w:szCs w:val="24"/>
        </w:rPr>
        <w:t>So, meaning that due to roles we do in our lives on</w:t>
      </w:r>
      <w:r w:rsidR="00F71D97">
        <w:rPr>
          <w:sz w:val="24"/>
          <w:szCs w:val="24"/>
        </w:rPr>
        <w:t>ly</w:t>
      </w:r>
      <w:r w:rsidR="00D9255C">
        <w:rPr>
          <w:sz w:val="24"/>
          <w:szCs w:val="24"/>
        </w:rPr>
        <w:t xml:space="preserve"> reveal a small part of our personalities, which a</w:t>
      </w:r>
      <w:r w:rsidR="00953709">
        <w:rPr>
          <w:sz w:val="24"/>
          <w:szCs w:val="24"/>
        </w:rPr>
        <w:t>s a result of this, ‘our life tends to become compartmentalised and our personality fragmented’.</w:t>
      </w:r>
      <w:r w:rsidR="00953709">
        <w:rPr>
          <w:rStyle w:val="FootnoteReference"/>
          <w:sz w:val="24"/>
          <w:szCs w:val="24"/>
        </w:rPr>
        <w:footnoteReference w:id="16"/>
      </w:r>
      <w:r w:rsidR="00953709">
        <w:rPr>
          <w:sz w:val="24"/>
          <w:szCs w:val="24"/>
        </w:rPr>
        <w:t xml:space="preserve"> But</w:t>
      </w:r>
      <w:r w:rsidR="00D9255C">
        <w:rPr>
          <w:sz w:val="24"/>
          <w:szCs w:val="24"/>
        </w:rPr>
        <w:t>, according to Cohen, to full</w:t>
      </w:r>
      <w:r w:rsidR="00FE5EE5">
        <w:rPr>
          <w:sz w:val="24"/>
          <w:szCs w:val="24"/>
        </w:rPr>
        <w:t>y</w:t>
      </w:r>
      <w:r w:rsidR="00D9255C">
        <w:rPr>
          <w:sz w:val="24"/>
          <w:szCs w:val="24"/>
        </w:rPr>
        <w:t xml:space="preserve"> maintain the self, as ‘the self is not a natural inborn feature, but is achieved through social interaction’</w:t>
      </w:r>
      <w:r w:rsidR="00B851CB">
        <w:rPr>
          <w:rStyle w:val="FootnoteReference"/>
          <w:sz w:val="24"/>
          <w:szCs w:val="24"/>
        </w:rPr>
        <w:footnoteReference w:id="17"/>
      </w:r>
      <w:r w:rsidR="00D9255C">
        <w:rPr>
          <w:sz w:val="24"/>
          <w:szCs w:val="24"/>
        </w:rPr>
        <w:t>, so this social interaction, for example, would be for someone to be part of a community like a religious one. The self is highly achievable through ‘patterns of symbolic activities’, such as rituals.</w:t>
      </w:r>
      <w:r w:rsidR="00D21C1F">
        <w:rPr>
          <w:sz w:val="24"/>
          <w:szCs w:val="24"/>
        </w:rPr>
        <w:t xml:space="preserve"> The term ‘symbolism’, for Cohen, is ‘by definition action involving the totality of the self’.</w:t>
      </w:r>
      <w:r w:rsidR="00D21C1F">
        <w:rPr>
          <w:rStyle w:val="FootnoteReference"/>
          <w:sz w:val="24"/>
          <w:szCs w:val="24"/>
        </w:rPr>
        <w:footnoteReference w:id="18"/>
      </w:r>
      <w:r w:rsidR="00953709">
        <w:rPr>
          <w:sz w:val="24"/>
          <w:szCs w:val="24"/>
        </w:rPr>
        <w:t xml:space="preserve"> </w:t>
      </w:r>
      <w:r w:rsidR="00D21C1F">
        <w:rPr>
          <w:sz w:val="24"/>
          <w:szCs w:val="24"/>
        </w:rPr>
        <w:t xml:space="preserve">So,  an example would be that by participating in a religious ritual, that contains symbolism, </w:t>
      </w:r>
      <w:r w:rsidR="007D09B8">
        <w:rPr>
          <w:sz w:val="24"/>
          <w:szCs w:val="24"/>
        </w:rPr>
        <w:t>is achieving wholeness of the self and within practices that allow the self to become full as ‘in the symbolic act that we continually create and recreate our selfhood’</w:t>
      </w:r>
      <w:r w:rsidR="00FE5EE5">
        <w:rPr>
          <w:sz w:val="24"/>
          <w:szCs w:val="24"/>
        </w:rPr>
        <w:t>.</w:t>
      </w:r>
      <w:r w:rsidR="007D09B8">
        <w:rPr>
          <w:rStyle w:val="FootnoteReference"/>
          <w:sz w:val="24"/>
          <w:szCs w:val="24"/>
        </w:rPr>
        <w:footnoteReference w:id="19"/>
      </w:r>
      <w:r w:rsidR="00FE5EE5">
        <w:rPr>
          <w:sz w:val="24"/>
          <w:szCs w:val="24"/>
        </w:rPr>
        <w:t xml:space="preserve"> Also for Cohen, the self is essential for the selfhood to exist. However, the self is only achievable in a society, such as a religious society as the interaction with others will help an individual to fully develop </w:t>
      </w:r>
      <w:r w:rsidR="00B851CB">
        <w:rPr>
          <w:sz w:val="24"/>
          <w:szCs w:val="24"/>
        </w:rPr>
        <w:t>‘the self’.</w:t>
      </w:r>
    </w:p>
    <w:p w14:paraId="76A9AE1E" w14:textId="0AAD8732" w:rsidR="000C04AB" w:rsidRDefault="000C04AB" w:rsidP="006D0415">
      <w:pPr>
        <w:rPr>
          <w:sz w:val="24"/>
          <w:szCs w:val="24"/>
        </w:rPr>
      </w:pPr>
      <w:r>
        <w:rPr>
          <w:sz w:val="24"/>
          <w:szCs w:val="24"/>
        </w:rPr>
        <w:t xml:space="preserve">            In conclusion, from debating the idea of the meaning of religious rituals and the term of ‘symbolism’, I agree with </w:t>
      </w:r>
      <w:proofErr w:type="spellStart"/>
      <w:r w:rsidR="001D2FBF">
        <w:rPr>
          <w:sz w:val="24"/>
          <w:szCs w:val="24"/>
        </w:rPr>
        <w:t>Ioan</w:t>
      </w:r>
      <w:proofErr w:type="spellEnd"/>
      <w:r w:rsidR="001D2FBF">
        <w:rPr>
          <w:sz w:val="24"/>
          <w:szCs w:val="24"/>
        </w:rPr>
        <w:t xml:space="preserve"> Lewis’ perspective of symbolism within a religious ritual that once you take the time to understand and become open-minded when discovering the beliefs and practices of a religion or culture, then the true meaning of the symbolism within rituals will be easier to understand. </w:t>
      </w:r>
      <w:r w:rsidR="00887C3A">
        <w:rPr>
          <w:sz w:val="24"/>
          <w:szCs w:val="24"/>
        </w:rPr>
        <w:t xml:space="preserve">However, on the whole, I think symbolism within religious rituals are fundamentally important because, in a way, symbols allow people to look at the deeper meaning of </w:t>
      </w:r>
      <w:r w:rsidR="001D6933">
        <w:rPr>
          <w:sz w:val="24"/>
          <w:szCs w:val="24"/>
        </w:rPr>
        <w:t>the symbols within ritual process, so</w:t>
      </w:r>
      <w:r w:rsidR="00887C3A">
        <w:rPr>
          <w:sz w:val="24"/>
          <w:szCs w:val="24"/>
        </w:rPr>
        <w:t xml:space="preserve"> such as, an object, sign, word, etc, so we can try to fully understand not only a religion or culture, but the people </w:t>
      </w:r>
      <w:r w:rsidR="001D6933">
        <w:rPr>
          <w:sz w:val="24"/>
          <w:szCs w:val="24"/>
        </w:rPr>
        <w:t>also.</w:t>
      </w:r>
    </w:p>
    <w:p w14:paraId="3E283BBE" w14:textId="2888B2CE" w:rsidR="00715B61" w:rsidRDefault="00715B61" w:rsidP="006D0415">
      <w:pPr>
        <w:rPr>
          <w:sz w:val="24"/>
          <w:szCs w:val="24"/>
        </w:rPr>
      </w:pPr>
    </w:p>
    <w:p w14:paraId="1F4046F4" w14:textId="7FEEC85E" w:rsidR="00715B61" w:rsidRDefault="00715B61" w:rsidP="006D0415">
      <w:pPr>
        <w:rPr>
          <w:sz w:val="24"/>
          <w:szCs w:val="24"/>
        </w:rPr>
      </w:pPr>
      <w:bookmarkStart w:id="3" w:name="_GoBack"/>
      <w:bookmarkEnd w:id="3"/>
    </w:p>
    <w:p w14:paraId="0689B42A" w14:textId="000A7B1F" w:rsidR="00715B61" w:rsidRPr="00715B61" w:rsidRDefault="00715B61" w:rsidP="006D0415">
      <w:pPr>
        <w:rPr>
          <w:sz w:val="24"/>
          <w:szCs w:val="24"/>
          <w:u w:val="single"/>
        </w:rPr>
      </w:pPr>
      <w:r w:rsidRPr="00715B61">
        <w:rPr>
          <w:sz w:val="24"/>
          <w:szCs w:val="24"/>
          <w:u w:val="single"/>
        </w:rPr>
        <w:t>Bibliography</w:t>
      </w:r>
    </w:p>
    <w:p w14:paraId="04FA11F8" w14:textId="77777777" w:rsidR="00715B61" w:rsidRDefault="00715B61" w:rsidP="00715B61">
      <w:pPr>
        <w:pStyle w:val="ListParagraph"/>
        <w:numPr>
          <w:ilvl w:val="0"/>
          <w:numId w:val="1"/>
        </w:numPr>
      </w:pPr>
      <w:r>
        <w:t>Bowie</w:t>
      </w:r>
      <w:r>
        <w:t xml:space="preserve">, </w:t>
      </w:r>
      <w:r>
        <w:t>Fiona,</w:t>
      </w:r>
      <w:r w:rsidRPr="00715B61">
        <w:rPr>
          <w:i/>
          <w:iCs/>
        </w:rPr>
        <w:t xml:space="preserve"> The Anthropology of Religion</w:t>
      </w:r>
      <w:r>
        <w:t>, 2</w:t>
      </w:r>
      <w:r w:rsidRPr="00715B61">
        <w:rPr>
          <w:vertAlign w:val="superscript"/>
        </w:rPr>
        <w:t>nd</w:t>
      </w:r>
      <w:r>
        <w:t xml:space="preserve"> edition. (Oxford; Blackwell publishing, 2006).</w:t>
      </w:r>
    </w:p>
    <w:p w14:paraId="0890173C" w14:textId="1F3A013B" w:rsidR="00715B61" w:rsidRPr="00715B61" w:rsidRDefault="00715B61" w:rsidP="00715B61">
      <w:pPr>
        <w:pStyle w:val="FootnoteText"/>
        <w:numPr>
          <w:ilvl w:val="0"/>
          <w:numId w:val="1"/>
        </w:numPr>
        <w:rPr>
          <w:sz w:val="22"/>
          <w:szCs w:val="22"/>
        </w:rPr>
      </w:pPr>
      <w:r w:rsidRPr="00715B61">
        <w:rPr>
          <w:sz w:val="22"/>
          <w:szCs w:val="22"/>
        </w:rPr>
        <w:t>Lewis</w:t>
      </w:r>
      <w:r w:rsidRPr="00715B61">
        <w:rPr>
          <w:sz w:val="22"/>
          <w:szCs w:val="22"/>
        </w:rPr>
        <w:t xml:space="preserve">, </w:t>
      </w:r>
      <w:proofErr w:type="spellStart"/>
      <w:r w:rsidRPr="00715B61">
        <w:rPr>
          <w:sz w:val="22"/>
          <w:szCs w:val="22"/>
        </w:rPr>
        <w:t>Ioan</w:t>
      </w:r>
      <w:proofErr w:type="spellEnd"/>
      <w:r w:rsidRPr="00715B61">
        <w:rPr>
          <w:sz w:val="22"/>
          <w:szCs w:val="22"/>
        </w:rPr>
        <w:t xml:space="preserve">, Symbols and sentiments Cross-cultural Studies in </w:t>
      </w:r>
      <w:proofErr w:type="gramStart"/>
      <w:r w:rsidRPr="00715B61">
        <w:rPr>
          <w:sz w:val="22"/>
          <w:szCs w:val="22"/>
        </w:rPr>
        <w:t>Symbolism,(</w:t>
      </w:r>
      <w:proofErr w:type="gramEnd"/>
      <w:r w:rsidRPr="00715B61">
        <w:rPr>
          <w:sz w:val="22"/>
          <w:szCs w:val="22"/>
        </w:rPr>
        <w:t>London: Academic Press, 1977)</w:t>
      </w:r>
      <w:r>
        <w:rPr>
          <w:sz w:val="22"/>
          <w:szCs w:val="22"/>
        </w:rPr>
        <w:t>.</w:t>
      </w:r>
    </w:p>
    <w:p w14:paraId="1AD81EDC" w14:textId="0F4DF480" w:rsidR="00715B61" w:rsidRPr="00715B61" w:rsidRDefault="00715B61" w:rsidP="00715B61">
      <w:pPr>
        <w:pStyle w:val="FootnoteText"/>
        <w:numPr>
          <w:ilvl w:val="0"/>
          <w:numId w:val="1"/>
        </w:numPr>
        <w:rPr>
          <w:sz w:val="24"/>
          <w:szCs w:val="24"/>
        </w:rPr>
      </w:pPr>
      <w:r w:rsidRPr="00715B61">
        <w:rPr>
          <w:sz w:val="22"/>
          <w:szCs w:val="22"/>
        </w:rPr>
        <w:t xml:space="preserve">Medium, </w:t>
      </w:r>
      <w:r w:rsidRPr="00715B61">
        <w:rPr>
          <w:i/>
          <w:iCs/>
          <w:sz w:val="22"/>
          <w:szCs w:val="22"/>
        </w:rPr>
        <w:t>Rituals</w:t>
      </w:r>
      <w:r w:rsidRPr="00715B61">
        <w:rPr>
          <w:sz w:val="22"/>
          <w:szCs w:val="22"/>
        </w:rPr>
        <w:t>, (2019). &lt;https://www.Medium.com&gt; [accessed on 16 December 2019]</w:t>
      </w:r>
      <w:r>
        <w:rPr>
          <w:sz w:val="22"/>
          <w:szCs w:val="22"/>
        </w:rPr>
        <w:t>.</w:t>
      </w:r>
    </w:p>
    <w:p w14:paraId="70248B07" w14:textId="3CA99197" w:rsidR="00715B61" w:rsidRPr="00715B61" w:rsidRDefault="00715B61" w:rsidP="00715B61">
      <w:pPr>
        <w:pStyle w:val="FootnoteText"/>
        <w:numPr>
          <w:ilvl w:val="0"/>
          <w:numId w:val="1"/>
        </w:numPr>
        <w:rPr>
          <w:sz w:val="24"/>
          <w:szCs w:val="24"/>
        </w:rPr>
      </w:pPr>
      <w:r w:rsidRPr="00715B61">
        <w:rPr>
          <w:sz w:val="22"/>
          <w:szCs w:val="22"/>
        </w:rPr>
        <w:t>Penner</w:t>
      </w:r>
      <w:r>
        <w:rPr>
          <w:sz w:val="22"/>
          <w:szCs w:val="22"/>
        </w:rPr>
        <w:t xml:space="preserve">, </w:t>
      </w:r>
      <w:r w:rsidRPr="00715B61">
        <w:rPr>
          <w:sz w:val="22"/>
          <w:szCs w:val="22"/>
        </w:rPr>
        <w:t xml:space="preserve">Hans H, </w:t>
      </w:r>
      <w:r w:rsidRPr="00715B61">
        <w:rPr>
          <w:i/>
          <w:iCs/>
          <w:sz w:val="22"/>
          <w:szCs w:val="22"/>
        </w:rPr>
        <w:t>Ritual</w:t>
      </w:r>
      <w:r w:rsidRPr="00715B61">
        <w:rPr>
          <w:sz w:val="22"/>
          <w:szCs w:val="22"/>
        </w:rPr>
        <w:t xml:space="preserve"> (2019) &lt;http://www.Britannica.com&gt; [accessed on 17 December 2019]</w:t>
      </w:r>
      <w:r>
        <w:rPr>
          <w:sz w:val="22"/>
          <w:szCs w:val="22"/>
        </w:rPr>
        <w:t>.</w:t>
      </w:r>
    </w:p>
    <w:p w14:paraId="44F672B8" w14:textId="77777777" w:rsidR="00715B61" w:rsidRDefault="00715B61" w:rsidP="00715B61">
      <w:pPr>
        <w:pStyle w:val="ListParagraph"/>
        <w:numPr>
          <w:ilvl w:val="0"/>
          <w:numId w:val="1"/>
        </w:numPr>
      </w:pPr>
      <w:r>
        <w:t>Schmidt</w:t>
      </w:r>
      <w:r>
        <w:t xml:space="preserve">, </w:t>
      </w:r>
      <w:r>
        <w:t>Bettina</w:t>
      </w:r>
      <w:r w:rsidRPr="00715B61">
        <w:t xml:space="preserve"> </w:t>
      </w:r>
      <w:r>
        <w:t xml:space="preserve">E, </w:t>
      </w:r>
      <w:r w:rsidRPr="00715B61">
        <w:rPr>
          <w:i/>
          <w:iCs/>
        </w:rPr>
        <w:t>Anthropology of Religion Victor Turner</w:t>
      </w:r>
      <w:r>
        <w:t xml:space="preserve"> </w:t>
      </w:r>
      <w:r w:rsidRPr="00715B61">
        <w:rPr>
          <w:i/>
          <w:iCs/>
        </w:rPr>
        <w:t>lecture</w:t>
      </w:r>
      <w:r>
        <w:t>.</w:t>
      </w:r>
      <w:r w:rsidRPr="00715B61">
        <w:rPr>
          <w:i/>
          <w:iCs/>
        </w:rPr>
        <w:t xml:space="preserve"> </w:t>
      </w:r>
      <w:r>
        <w:t>(not published, 2019).</w:t>
      </w:r>
    </w:p>
    <w:p w14:paraId="3D9BDB54" w14:textId="77777777" w:rsidR="00715B61" w:rsidRPr="00715B61" w:rsidRDefault="00715B61" w:rsidP="00715B61">
      <w:pPr>
        <w:pStyle w:val="FootnoteText"/>
        <w:numPr>
          <w:ilvl w:val="0"/>
          <w:numId w:val="1"/>
        </w:numPr>
        <w:rPr>
          <w:sz w:val="22"/>
          <w:szCs w:val="22"/>
        </w:rPr>
      </w:pPr>
      <w:r w:rsidRPr="00715B61">
        <w:rPr>
          <w:sz w:val="22"/>
          <w:szCs w:val="22"/>
        </w:rPr>
        <w:t>Wild</w:t>
      </w:r>
      <w:r w:rsidRPr="00715B61">
        <w:rPr>
          <w:sz w:val="22"/>
          <w:szCs w:val="22"/>
        </w:rPr>
        <w:t xml:space="preserve">, </w:t>
      </w:r>
      <w:r w:rsidRPr="00715B61">
        <w:rPr>
          <w:sz w:val="22"/>
          <w:szCs w:val="22"/>
        </w:rPr>
        <w:t xml:space="preserve">Stephen A, Men as women: Female Dance Symbolism in </w:t>
      </w:r>
      <w:proofErr w:type="spellStart"/>
      <w:r w:rsidRPr="00715B61">
        <w:rPr>
          <w:sz w:val="22"/>
          <w:szCs w:val="22"/>
        </w:rPr>
        <w:t>Walbiri</w:t>
      </w:r>
      <w:proofErr w:type="spellEnd"/>
      <w:r w:rsidRPr="00715B61">
        <w:rPr>
          <w:sz w:val="22"/>
          <w:szCs w:val="22"/>
        </w:rPr>
        <w:t xml:space="preserve"> Men’s Rituals, (1977</w:t>
      </w:r>
      <w:proofErr w:type="gramStart"/>
      <w:r w:rsidRPr="00715B61">
        <w:rPr>
          <w:sz w:val="22"/>
          <w:szCs w:val="22"/>
        </w:rPr>
        <w:t>).&lt;</w:t>
      </w:r>
      <w:proofErr w:type="gramEnd"/>
      <w:r w:rsidRPr="00715B61">
        <w:rPr>
          <w:sz w:val="22"/>
          <w:szCs w:val="22"/>
        </w:rPr>
        <w:t>https://www. jstor.com&gt; [accessed on 18 December 2019].</w:t>
      </w:r>
    </w:p>
    <w:p w14:paraId="6DF6D8A0" w14:textId="77777777" w:rsidR="00715B61" w:rsidRPr="00715B61" w:rsidRDefault="00715B61" w:rsidP="00715B61">
      <w:pPr>
        <w:pStyle w:val="FootnoteText"/>
        <w:rPr>
          <w:sz w:val="22"/>
          <w:szCs w:val="22"/>
        </w:rPr>
      </w:pPr>
    </w:p>
    <w:p w14:paraId="6D44DEDB" w14:textId="77777777" w:rsidR="00715B61" w:rsidRDefault="00715B61" w:rsidP="006D0415"/>
    <w:p w14:paraId="78321CA1" w14:textId="77777777" w:rsidR="00715B61" w:rsidRDefault="00715B61" w:rsidP="006D0415"/>
    <w:p w14:paraId="557FB20A" w14:textId="77777777" w:rsidR="00715B61" w:rsidRPr="006D0415" w:rsidRDefault="00715B61" w:rsidP="006D0415">
      <w:pPr>
        <w:rPr>
          <w:sz w:val="24"/>
          <w:szCs w:val="24"/>
        </w:rPr>
      </w:pPr>
    </w:p>
    <w:sectPr w:rsidR="00715B61" w:rsidRPr="006D04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A1BF0F" w14:textId="77777777" w:rsidR="005E5166" w:rsidRDefault="005E5166" w:rsidP="00BE5A17">
      <w:pPr>
        <w:spacing w:after="0" w:line="240" w:lineRule="auto"/>
      </w:pPr>
      <w:r>
        <w:separator/>
      </w:r>
    </w:p>
  </w:endnote>
  <w:endnote w:type="continuationSeparator" w:id="0">
    <w:p w14:paraId="57C22645" w14:textId="77777777" w:rsidR="005E5166" w:rsidRDefault="005E5166" w:rsidP="00BE5A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8BED39" w14:textId="77777777" w:rsidR="005E5166" w:rsidRDefault="005E5166" w:rsidP="00BE5A17">
      <w:pPr>
        <w:spacing w:after="0" w:line="240" w:lineRule="auto"/>
      </w:pPr>
      <w:r>
        <w:separator/>
      </w:r>
    </w:p>
  </w:footnote>
  <w:footnote w:type="continuationSeparator" w:id="0">
    <w:p w14:paraId="6005FE87" w14:textId="77777777" w:rsidR="005E5166" w:rsidRDefault="005E5166" w:rsidP="00BE5A17">
      <w:pPr>
        <w:spacing w:after="0" w:line="240" w:lineRule="auto"/>
      </w:pPr>
      <w:r>
        <w:continuationSeparator/>
      </w:r>
    </w:p>
  </w:footnote>
  <w:footnote w:id="1">
    <w:p w14:paraId="6E5F1E83" w14:textId="03E944A3" w:rsidR="00BE5A17" w:rsidRDefault="00BE5A17">
      <w:pPr>
        <w:pStyle w:val="FootnoteText"/>
      </w:pPr>
      <w:r>
        <w:rPr>
          <w:rStyle w:val="FootnoteReference"/>
        </w:rPr>
        <w:footnoteRef/>
      </w:r>
      <w:r>
        <w:t xml:space="preserve"> Fiona </w:t>
      </w:r>
      <w:r w:rsidR="001D6933">
        <w:t>Bowie,</w:t>
      </w:r>
      <w:r w:rsidR="001D6933" w:rsidRPr="001D6933">
        <w:rPr>
          <w:i/>
          <w:iCs/>
        </w:rPr>
        <w:t xml:space="preserve"> The Anthropology of Religion</w:t>
      </w:r>
      <w:r w:rsidR="001D6933">
        <w:t>, 2</w:t>
      </w:r>
      <w:r w:rsidR="001D6933" w:rsidRPr="001D6933">
        <w:rPr>
          <w:vertAlign w:val="superscript"/>
        </w:rPr>
        <w:t>nd</w:t>
      </w:r>
      <w:r w:rsidR="001D6933">
        <w:t xml:space="preserve"> edition. (Oxford; Blackwell publishing, 2006).</w:t>
      </w:r>
    </w:p>
  </w:footnote>
  <w:footnote w:id="2">
    <w:p w14:paraId="314A1290" w14:textId="4B7CD75A" w:rsidR="00EE12F8" w:rsidRDefault="00EE12F8">
      <w:pPr>
        <w:pStyle w:val="FootnoteText"/>
      </w:pPr>
      <w:r>
        <w:rPr>
          <w:rStyle w:val="FootnoteReference"/>
        </w:rPr>
        <w:footnoteRef/>
      </w:r>
      <w:r>
        <w:t xml:space="preserve"> Bowie</w:t>
      </w:r>
      <w:r w:rsidR="001D6933">
        <w:t xml:space="preserve">, </w:t>
      </w:r>
      <w:r w:rsidR="001D6933" w:rsidRPr="001832A1">
        <w:rPr>
          <w:i/>
          <w:iCs/>
        </w:rPr>
        <w:t>The Anthropology of Religion</w:t>
      </w:r>
      <w:r w:rsidR="001D6933">
        <w:t>, pg.</w:t>
      </w:r>
      <w:r w:rsidR="001832A1">
        <w:t>139</w:t>
      </w:r>
    </w:p>
  </w:footnote>
  <w:footnote w:id="3">
    <w:p w14:paraId="6DDE308E" w14:textId="3C05CAF2" w:rsidR="000E26CA" w:rsidRDefault="000E26CA">
      <w:pPr>
        <w:pStyle w:val="FootnoteText"/>
      </w:pPr>
      <w:r>
        <w:rPr>
          <w:rStyle w:val="FootnoteReference"/>
        </w:rPr>
        <w:footnoteRef/>
      </w:r>
      <w:r>
        <w:t xml:space="preserve"> Bowie</w:t>
      </w:r>
      <w:r w:rsidR="001832A1">
        <w:t xml:space="preserve">, </w:t>
      </w:r>
      <w:r w:rsidR="001832A1" w:rsidRPr="001832A1">
        <w:rPr>
          <w:i/>
          <w:iCs/>
        </w:rPr>
        <w:t>The Anthropology of Religion</w:t>
      </w:r>
      <w:r w:rsidR="001832A1">
        <w:t>, pg.145</w:t>
      </w:r>
    </w:p>
  </w:footnote>
  <w:footnote w:id="4">
    <w:p w14:paraId="01E6B2F4" w14:textId="6419A798" w:rsidR="00A51E90" w:rsidRDefault="00A51E90">
      <w:pPr>
        <w:pStyle w:val="FootnoteText"/>
      </w:pPr>
      <w:r>
        <w:rPr>
          <w:rStyle w:val="FootnoteReference"/>
        </w:rPr>
        <w:footnoteRef/>
      </w:r>
      <w:r>
        <w:t xml:space="preserve"> </w:t>
      </w:r>
      <w:r w:rsidR="001832A1">
        <w:t>Bowie, The Anthropology of Religion, pg.140</w:t>
      </w:r>
    </w:p>
  </w:footnote>
  <w:footnote w:id="5">
    <w:p w14:paraId="08CEDF6F" w14:textId="77777777" w:rsidR="00715B61" w:rsidRPr="00715B61" w:rsidRDefault="00EE6BCC" w:rsidP="00715B61">
      <w:pPr>
        <w:pStyle w:val="FootnoteText"/>
      </w:pPr>
      <w:r>
        <w:rPr>
          <w:rStyle w:val="FootnoteReference"/>
        </w:rPr>
        <w:footnoteRef/>
      </w:r>
      <w:r>
        <w:t xml:space="preserve"> </w:t>
      </w:r>
      <w:r w:rsidR="00715B61">
        <w:t xml:space="preserve">Bettina E. Schmidt, </w:t>
      </w:r>
      <w:r w:rsidR="00715B61">
        <w:rPr>
          <w:i/>
          <w:iCs/>
        </w:rPr>
        <w:t>Anthropology of Religion Victor Turner</w:t>
      </w:r>
      <w:r w:rsidR="00715B61">
        <w:t xml:space="preserve"> </w:t>
      </w:r>
      <w:r w:rsidR="00715B61">
        <w:rPr>
          <w:i/>
          <w:iCs/>
        </w:rPr>
        <w:t>lecture</w:t>
      </w:r>
      <w:r w:rsidR="00715B61">
        <w:t>.</w:t>
      </w:r>
      <w:r w:rsidR="00715B61">
        <w:rPr>
          <w:i/>
          <w:iCs/>
        </w:rPr>
        <w:t xml:space="preserve"> </w:t>
      </w:r>
      <w:r w:rsidR="00715B61">
        <w:t>(not published, 2019).</w:t>
      </w:r>
    </w:p>
    <w:p w14:paraId="6BA39F49" w14:textId="44F86887" w:rsidR="00EE6BCC" w:rsidRDefault="00EE6BCC">
      <w:pPr>
        <w:pStyle w:val="FootnoteText"/>
      </w:pPr>
    </w:p>
  </w:footnote>
  <w:footnote w:id="6">
    <w:p w14:paraId="676AE3AE" w14:textId="77777777" w:rsidR="00715B61" w:rsidRPr="00715B61" w:rsidRDefault="00EE6BCC" w:rsidP="00715B61">
      <w:pPr>
        <w:pStyle w:val="FootnoteText"/>
      </w:pPr>
      <w:r>
        <w:rPr>
          <w:rStyle w:val="FootnoteReference"/>
        </w:rPr>
        <w:footnoteRef/>
      </w:r>
      <w:r>
        <w:t xml:space="preserve"> </w:t>
      </w:r>
      <w:r w:rsidR="00715B61">
        <w:t xml:space="preserve">Bettina E. Schmidt, </w:t>
      </w:r>
      <w:r w:rsidR="00715B61">
        <w:rPr>
          <w:i/>
          <w:iCs/>
        </w:rPr>
        <w:t>Anthropology of Religion Victor Turner</w:t>
      </w:r>
      <w:r w:rsidR="00715B61">
        <w:t xml:space="preserve"> </w:t>
      </w:r>
      <w:r w:rsidR="00715B61">
        <w:rPr>
          <w:i/>
          <w:iCs/>
        </w:rPr>
        <w:t>lecture</w:t>
      </w:r>
      <w:r w:rsidR="00715B61">
        <w:t>.</w:t>
      </w:r>
      <w:r w:rsidR="00715B61">
        <w:rPr>
          <w:i/>
          <w:iCs/>
        </w:rPr>
        <w:t xml:space="preserve"> </w:t>
      </w:r>
      <w:r w:rsidR="00715B61">
        <w:t>(not published, 2019).</w:t>
      </w:r>
    </w:p>
    <w:p w14:paraId="3E75D6FA" w14:textId="04270156" w:rsidR="00EE6BCC" w:rsidRDefault="00EE6BCC">
      <w:pPr>
        <w:pStyle w:val="FootnoteText"/>
      </w:pPr>
    </w:p>
  </w:footnote>
  <w:footnote w:id="7">
    <w:p w14:paraId="26B36A18" w14:textId="2713EA47" w:rsidR="00EE6BCC" w:rsidRPr="00715B61" w:rsidRDefault="00EE6BCC">
      <w:pPr>
        <w:pStyle w:val="FootnoteText"/>
      </w:pPr>
      <w:r>
        <w:rPr>
          <w:rStyle w:val="FootnoteReference"/>
        </w:rPr>
        <w:footnoteRef/>
      </w:r>
      <w:r>
        <w:t xml:space="preserve"> Bettina E. Schmidt, </w:t>
      </w:r>
      <w:r>
        <w:rPr>
          <w:i/>
          <w:iCs/>
        </w:rPr>
        <w:t xml:space="preserve">Anthropology of Religion </w:t>
      </w:r>
      <w:r w:rsidR="00715B61">
        <w:rPr>
          <w:i/>
          <w:iCs/>
        </w:rPr>
        <w:t>Victor Turner</w:t>
      </w:r>
      <w:r w:rsidR="00715B61">
        <w:t xml:space="preserve"> </w:t>
      </w:r>
      <w:r w:rsidR="00715B61">
        <w:rPr>
          <w:i/>
          <w:iCs/>
        </w:rPr>
        <w:t>lecture</w:t>
      </w:r>
      <w:r w:rsidR="00715B61">
        <w:t>.</w:t>
      </w:r>
      <w:r w:rsidR="00715B61">
        <w:rPr>
          <w:i/>
          <w:iCs/>
        </w:rPr>
        <w:t xml:space="preserve"> </w:t>
      </w:r>
      <w:r w:rsidR="00715B61">
        <w:t>(not published, 2019).</w:t>
      </w:r>
    </w:p>
  </w:footnote>
  <w:footnote w:id="8">
    <w:p w14:paraId="15BB13EF" w14:textId="77777777" w:rsidR="00715B61" w:rsidRPr="00715B61" w:rsidRDefault="00EE6BCC" w:rsidP="00715B61">
      <w:pPr>
        <w:pStyle w:val="FootnoteText"/>
      </w:pPr>
      <w:r>
        <w:rPr>
          <w:rStyle w:val="FootnoteReference"/>
        </w:rPr>
        <w:footnoteRef/>
      </w:r>
      <w:r>
        <w:t xml:space="preserve"> </w:t>
      </w:r>
      <w:r w:rsidR="00715B61">
        <w:t xml:space="preserve">Bettina E. Schmidt, </w:t>
      </w:r>
      <w:r w:rsidR="00715B61">
        <w:rPr>
          <w:i/>
          <w:iCs/>
        </w:rPr>
        <w:t>Anthropology of Religion Victor Turner</w:t>
      </w:r>
      <w:r w:rsidR="00715B61">
        <w:t xml:space="preserve"> </w:t>
      </w:r>
      <w:r w:rsidR="00715B61">
        <w:rPr>
          <w:i/>
          <w:iCs/>
        </w:rPr>
        <w:t>lecture</w:t>
      </w:r>
      <w:r w:rsidR="00715B61">
        <w:t>.</w:t>
      </w:r>
      <w:r w:rsidR="00715B61">
        <w:rPr>
          <w:i/>
          <w:iCs/>
        </w:rPr>
        <w:t xml:space="preserve"> </w:t>
      </w:r>
      <w:r w:rsidR="00715B61">
        <w:t>(not published, 2019).</w:t>
      </w:r>
    </w:p>
    <w:p w14:paraId="576A9A9F" w14:textId="37E6363A" w:rsidR="00EE6BCC" w:rsidRDefault="00EE6BCC">
      <w:pPr>
        <w:pStyle w:val="FootnoteText"/>
      </w:pPr>
    </w:p>
  </w:footnote>
  <w:footnote w:id="9">
    <w:p w14:paraId="012378F1" w14:textId="32AA74DC" w:rsidR="002106DC" w:rsidRDefault="002106DC">
      <w:pPr>
        <w:pStyle w:val="FootnoteText"/>
      </w:pPr>
      <w:r>
        <w:rPr>
          <w:rStyle w:val="FootnoteReference"/>
        </w:rPr>
        <w:footnoteRef/>
      </w:r>
      <w:r>
        <w:t xml:space="preserve"> Bowie</w:t>
      </w:r>
      <w:r w:rsidR="001832A1">
        <w:t>, The Anthropology of Religion, pg. 141</w:t>
      </w:r>
      <w:r>
        <w:t xml:space="preserve"> </w:t>
      </w:r>
    </w:p>
  </w:footnote>
  <w:footnote w:id="10">
    <w:p w14:paraId="66CE80D0" w14:textId="28D771CC" w:rsidR="001A1D77" w:rsidRDefault="001A1D77">
      <w:pPr>
        <w:pStyle w:val="FootnoteText"/>
      </w:pPr>
      <w:r>
        <w:rPr>
          <w:rStyle w:val="FootnoteReference"/>
        </w:rPr>
        <w:footnoteRef/>
      </w:r>
      <w:r>
        <w:t xml:space="preserve"> </w:t>
      </w:r>
      <w:r w:rsidR="001832A1">
        <w:t xml:space="preserve">Hans H. Penner, </w:t>
      </w:r>
      <w:r w:rsidR="001832A1" w:rsidRPr="001832A1">
        <w:rPr>
          <w:i/>
          <w:iCs/>
        </w:rPr>
        <w:t>Ritual</w:t>
      </w:r>
      <w:r w:rsidR="001832A1">
        <w:t xml:space="preserve"> (2019) &lt;http://www.</w:t>
      </w:r>
      <w:r>
        <w:t>Britannica.com</w:t>
      </w:r>
      <w:r w:rsidR="001832A1">
        <w:t>&gt; [accessed on 17 December 2019]</w:t>
      </w:r>
    </w:p>
  </w:footnote>
  <w:footnote w:id="11">
    <w:p w14:paraId="59A9B057" w14:textId="51EA9B08" w:rsidR="001A1D77" w:rsidRDefault="001A1D77">
      <w:pPr>
        <w:pStyle w:val="FootnoteText"/>
      </w:pPr>
      <w:r>
        <w:rPr>
          <w:rStyle w:val="FootnoteReference"/>
        </w:rPr>
        <w:footnoteRef/>
      </w:r>
      <w:r>
        <w:t xml:space="preserve"> </w:t>
      </w:r>
      <w:r w:rsidR="00452812">
        <w:t xml:space="preserve">Medium, </w:t>
      </w:r>
      <w:r w:rsidR="00452812" w:rsidRPr="00452812">
        <w:rPr>
          <w:i/>
          <w:iCs/>
        </w:rPr>
        <w:t>Rituals</w:t>
      </w:r>
      <w:r w:rsidR="00452812">
        <w:t>, (2019). &lt;https://www.</w:t>
      </w:r>
      <w:r>
        <w:t>Medium.com</w:t>
      </w:r>
      <w:r w:rsidR="00452812">
        <w:t>&gt; [accessed on 16 December 2019]</w:t>
      </w:r>
      <w:r>
        <w:t xml:space="preserve"> </w:t>
      </w:r>
    </w:p>
  </w:footnote>
  <w:footnote w:id="12">
    <w:p w14:paraId="2EA4E885" w14:textId="35495D25" w:rsidR="008658C2" w:rsidRDefault="008658C2">
      <w:pPr>
        <w:pStyle w:val="FootnoteText"/>
      </w:pPr>
      <w:r>
        <w:rPr>
          <w:rStyle w:val="FootnoteReference"/>
        </w:rPr>
        <w:footnoteRef/>
      </w:r>
      <w:r>
        <w:t xml:space="preserve"> </w:t>
      </w:r>
      <w:bookmarkStart w:id="0" w:name="_Hlk27643374"/>
      <w:r w:rsidR="00B717EB">
        <w:t>S</w:t>
      </w:r>
      <w:r w:rsidR="00B717EB">
        <w:t>tephen A Wild</w:t>
      </w:r>
      <w:r w:rsidR="00B717EB">
        <w:t>,</w:t>
      </w:r>
      <w:r w:rsidR="00B717EB">
        <w:t xml:space="preserve"> </w:t>
      </w:r>
      <w:r w:rsidRPr="00B717EB">
        <w:rPr>
          <w:i/>
          <w:iCs/>
        </w:rPr>
        <w:t xml:space="preserve">Men as women: Female Dance Symbolism in </w:t>
      </w:r>
      <w:proofErr w:type="spellStart"/>
      <w:r w:rsidRPr="00B717EB">
        <w:rPr>
          <w:i/>
          <w:iCs/>
        </w:rPr>
        <w:t>Walbiri</w:t>
      </w:r>
      <w:proofErr w:type="spellEnd"/>
      <w:r w:rsidRPr="00B717EB">
        <w:rPr>
          <w:i/>
          <w:iCs/>
        </w:rPr>
        <w:t xml:space="preserve"> Men’s Rituals</w:t>
      </w:r>
      <w:r w:rsidR="00B717EB">
        <w:t>, (1977</w:t>
      </w:r>
      <w:proofErr w:type="gramStart"/>
      <w:r w:rsidR="00EE6BCC">
        <w:t>).&lt;</w:t>
      </w:r>
      <w:proofErr w:type="gramEnd"/>
      <w:r w:rsidR="00EE6BCC">
        <w:t>https://www.</w:t>
      </w:r>
      <w:r>
        <w:t xml:space="preserve"> jstor.com</w:t>
      </w:r>
      <w:r w:rsidR="00EE6BCC">
        <w:t xml:space="preserve">&gt; [accessed on 18 December 2019]. </w:t>
      </w:r>
      <w:bookmarkEnd w:id="0"/>
    </w:p>
  </w:footnote>
  <w:footnote w:id="13">
    <w:p w14:paraId="5FF3A687" w14:textId="1005618C" w:rsidR="007B0CBB" w:rsidRDefault="007B0CBB">
      <w:pPr>
        <w:pStyle w:val="FootnoteText"/>
      </w:pPr>
      <w:r>
        <w:rPr>
          <w:rStyle w:val="FootnoteReference"/>
        </w:rPr>
        <w:footnoteRef/>
      </w:r>
      <w:r>
        <w:t xml:space="preserve"> </w:t>
      </w:r>
      <w:bookmarkStart w:id="1" w:name="_Hlk27643396"/>
      <w:proofErr w:type="spellStart"/>
      <w:r w:rsidR="00EE6BCC">
        <w:t>Ioan</w:t>
      </w:r>
      <w:proofErr w:type="spellEnd"/>
      <w:r w:rsidR="00EE6BCC">
        <w:t xml:space="preserve"> Lewis</w:t>
      </w:r>
      <w:r w:rsidR="00EE6BCC" w:rsidRPr="00EE6BCC">
        <w:rPr>
          <w:i/>
          <w:iCs/>
        </w:rPr>
        <w:t xml:space="preserve">, </w:t>
      </w:r>
      <w:r w:rsidRPr="00EE6BCC">
        <w:rPr>
          <w:i/>
          <w:iCs/>
        </w:rPr>
        <w:t>Symbols and sentiments</w:t>
      </w:r>
      <w:r w:rsidR="00EE6BCC" w:rsidRPr="00EE6BCC">
        <w:rPr>
          <w:i/>
          <w:iCs/>
        </w:rPr>
        <w:t xml:space="preserve"> Cross-cultural Studies in </w:t>
      </w:r>
      <w:proofErr w:type="gramStart"/>
      <w:r w:rsidR="00EE6BCC" w:rsidRPr="00EE6BCC">
        <w:rPr>
          <w:i/>
          <w:iCs/>
        </w:rPr>
        <w:t>Symbolism</w:t>
      </w:r>
      <w:r w:rsidR="00EE6BCC">
        <w:t>,(</w:t>
      </w:r>
      <w:proofErr w:type="gramEnd"/>
      <w:r w:rsidR="00EE6BCC">
        <w:t>London: Academic Press, 1977)</w:t>
      </w:r>
      <w:r>
        <w:t xml:space="preserve"> </w:t>
      </w:r>
      <w:bookmarkEnd w:id="1"/>
      <w:r>
        <w:t>pg.123</w:t>
      </w:r>
    </w:p>
  </w:footnote>
  <w:footnote w:id="14">
    <w:p w14:paraId="44766B36" w14:textId="6F79B46B" w:rsidR="007B0CBB" w:rsidRDefault="007B0CBB">
      <w:pPr>
        <w:pStyle w:val="FootnoteText"/>
      </w:pPr>
      <w:r>
        <w:rPr>
          <w:rStyle w:val="FootnoteReference"/>
        </w:rPr>
        <w:footnoteRef/>
      </w:r>
      <w:r>
        <w:t xml:space="preserve"> </w:t>
      </w:r>
      <w:bookmarkStart w:id="2" w:name="_Hlk27642855"/>
      <w:r w:rsidR="00EE6BCC">
        <w:t xml:space="preserve">Lewis, </w:t>
      </w:r>
      <w:r w:rsidR="00EE6BCC" w:rsidRPr="00EE6BCC">
        <w:rPr>
          <w:i/>
          <w:iCs/>
        </w:rPr>
        <w:t>Symbols and sentiments Cross-cultural Studies in Symbolism</w:t>
      </w:r>
      <w:r w:rsidR="00EE6BCC">
        <w:rPr>
          <w:i/>
          <w:iCs/>
        </w:rPr>
        <w:t>,</w:t>
      </w:r>
      <w:r>
        <w:t xml:space="preserve"> </w:t>
      </w:r>
      <w:bookmarkEnd w:id="2"/>
      <w:r>
        <w:t>pg.122</w:t>
      </w:r>
    </w:p>
  </w:footnote>
  <w:footnote w:id="15">
    <w:p w14:paraId="4E8EC249" w14:textId="2CD75977" w:rsidR="007B0CBB" w:rsidRPr="00EE6BCC" w:rsidRDefault="007B0CBB">
      <w:pPr>
        <w:pStyle w:val="FootnoteText"/>
      </w:pPr>
      <w:r>
        <w:rPr>
          <w:rStyle w:val="FootnoteReference"/>
        </w:rPr>
        <w:footnoteRef/>
      </w:r>
      <w:r>
        <w:t xml:space="preserve"> </w:t>
      </w:r>
      <w:r w:rsidR="00EE6BCC">
        <w:t xml:space="preserve">Lewis, </w:t>
      </w:r>
      <w:r w:rsidR="00EE6BCC" w:rsidRPr="00EE6BCC">
        <w:rPr>
          <w:i/>
          <w:iCs/>
        </w:rPr>
        <w:t>Symbols and sentiments Cross-cultural Studies in Symbolism</w:t>
      </w:r>
      <w:r w:rsidR="00EE6BCC">
        <w:rPr>
          <w:i/>
          <w:iCs/>
        </w:rPr>
        <w:t>,</w:t>
      </w:r>
      <w:r w:rsidR="00EE6BCC">
        <w:rPr>
          <w:i/>
          <w:iCs/>
        </w:rPr>
        <w:t xml:space="preserve"> </w:t>
      </w:r>
      <w:r w:rsidR="00EE6BCC">
        <w:t>pg.123</w:t>
      </w:r>
    </w:p>
  </w:footnote>
  <w:footnote w:id="16">
    <w:p w14:paraId="5B4DD646" w14:textId="24D11255" w:rsidR="00953709" w:rsidRPr="00EE6BCC" w:rsidRDefault="00953709">
      <w:pPr>
        <w:pStyle w:val="FootnoteText"/>
      </w:pPr>
      <w:r>
        <w:rPr>
          <w:rStyle w:val="FootnoteReference"/>
        </w:rPr>
        <w:footnoteRef/>
      </w:r>
      <w:r>
        <w:t xml:space="preserve"> </w:t>
      </w:r>
      <w:r w:rsidR="00EE6BCC">
        <w:t xml:space="preserve">Lewis, </w:t>
      </w:r>
      <w:r w:rsidR="00EE6BCC" w:rsidRPr="00EE6BCC">
        <w:rPr>
          <w:i/>
          <w:iCs/>
        </w:rPr>
        <w:t>Symbols and sentiments Cross-cultural Studies in Symbolism</w:t>
      </w:r>
      <w:r w:rsidR="00EE6BCC">
        <w:rPr>
          <w:i/>
          <w:iCs/>
        </w:rPr>
        <w:t>,</w:t>
      </w:r>
      <w:r w:rsidR="00EE6BCC">
        <w:rPr>
          <w:i/>
          <w:iCs/>
        </w:rPr>
        <w:t xml:space="preserve"> </w:t>
      </w:r>
      <w:r w:rsidR="00EE6BCC">
        <w:t>pg.123</w:t>
      </w:r>
    </w:p>
  </w:footnote>
  <w:footnote w:id="17">
    <w:p w14:paraId="2FD6DC7D" w14:textId="50FC2BE7" w:rsidR="00B851CB" w:rsidRDefault="00B851CB">
      <w:pPr>
        <w:pStyle w:val="FootnoteText"/>
      </w:pPr>
      <w:r>
        <w:rPr>
          <w:rStyle w:val="FootnoteReference"/>
        </w:rPr>
        <w:footnoteRef/>
      </w:r>
      <w:r>
        <w:t xml:space="preserve"> </w:t>
      </w:r>
      <w:r w:rsidR="00EE6BCC">
        <w:t xml:space="preserve">Lewis, </w:t>
      </w:r>
      <w:r w:rsidR="00EE6BCC" w:rsidRPr="00EE6BCC">
        <w:rPr>
          <w:i/>
          <w:iCs/>
        </w:rPr>
        <w:t>Symbols and sentiments Cross-cultural Studies in Symbolism</w:t>
      </w:r>
      <w:r w:rsidR="00EE6BCC">
        <w:rPr>
          <w:i/>
          <w:iCs/>
        </w:rPr>
        <w:t>,</w:t>
      </w:r>
      <w:r w:rsidR="00EE6BCC">
        <w:rPr>
          <w:i/>
          <w:iCs/>
        </w:rPr>
        <w:t xml:space="preserve"> </w:t>
      </w:r>
      <w:r w:rsidR="00EE6BCC">
        <w:t>pg.123</w:t>
      </w:r>
      <w:r w:rsidR="006E4DE3">
        <w:br/>
      </w:r>
    </w:p>
  </w:footnote>
  <w:footnote w:id="18">
    <w:p w14:paraId="4325BC1D" w14:textId="49B136E9" w:rsidR="00D21C1F" w:rsidRDefault="00D21C1F">
      <w:pPr>
        <w:pStyle w:val="FootnoteText"/>
      </w:pPr>
      <w:r>
        <w:rPr>
          <w:rStyle w:val="FootnoteReference"/>
        </w:rPr>
        <w:footnoteRef/>
      </w:r>
      <w:r>
        <w:t xml:space="preserve"> </w:t>
      </w:r>
      <w:r w:rsidR="00EE6BCC">
        <w:t xml:space="preserve">Lewis, </w:t>
      </w:r>
      <w:r w:rsidR="00EE6BCC" w:rsidRPr="00EE6BCC">
        <w:rPr>
          <w:i/>
          <w:iCs/>
        </w:rPr>
        <w:t xml:space="preserve">Symbols and sentiments Cross-cultural Studies in </w:t>
      </w:r>
      <w:r w:rsidR="00EE6BCC" w:rsidRPr="00EE6BCC">
        <w:rPr>
          <w:i/>
          <w:iCs/>
        </w:rPr>
        <w:t>Symbolism</w:t>
      </w:r>
      <w:r w:rsidR="00EE6BCC">
        <w:rPr>
          <w:i/>
          <w:iCs/>
        </w:rPr>
        <w:t>,</w:t>
      </w:r>
      <w:r w:rsidR="00EE6BCC">
        <w:t xml:space="preserve"> pg.</w:t>
      </w:r>
      <w:r>
        <w:t>123</w:t>
      </w:r>
    </w:p>
  </w:footnote>
  <w:footnote w:id="19">
    <w:p w14:paraId="2A29753C" w14:textId="5B2B4224" w:rsidR="007D09B8" w:rsidRDefault="007D09B8">
      <w:pPr>
        <w:pStyle w:val="FootnoteText"/>
      </w:pPr>
      <w:r>
        <w:rPr>
          <w:rStyle w:val="FootnoteReference"/>
        </w:rPr>
        <w:footnoteRef/>
      </w:r>
      <w:r w:rsidR="00EE6BCC" w:rsidRPr="00EE6BCC">
        <w:t xml:space="preserve">Lewis, Symbols and sentiments Cross-cultural Studies in Symbolism, </w:t>
      </w:r>
      <w:r>
        <w:t>Pg</w:t>
      </w:r>
      <w:r w:rsidR="00EE6BCC">
        <w:t>.</w:t>
      </w:r>
      <w:r>
        <w:t>123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5B607E"/>
    <w:multiLevelType w:val="hybridMultilevel"/>
    <w:tmpl w:val="0D7C9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415"/>
    <w:rsid w:val="00053167"/>
    <w:rsid w:val="000578DB"/>
    <w:rsid w:val="000C04AB"/>
    <w:rsid w:val="000D2406"/>
    <w:rsid w:val="000E26CA"/>
    <w:rsid w:val="00155F53"/>
    <w:rsid w:val="001832A1"/>
    <w:rsid w:val="001A1D77"/>
    <w:rsid w:val="001B367F"/>
    <w:rsid w:val="001C6459"/>
    <w:rsid w:val="001D2FBF"/>
    <w:rsid w:val="001D6933"/>
    <w:rsid w:val="002106DC"/>
    <w:rsid w:val="002726DB"/>
    <w:rsid w:val="00280A23"/>
    <w:rsid w:val="00283580"/>
    <w:rsid w:val="00336747"/>
    <w:rsid w:val="003E1B18"/>
    <w:rsid w:val="004042A1"/>
    <w:rsid w:val="004135A4"/>
    <w:rsid w:val="00452812"/>
    <w:rsid w:val="005526B5"/>
    <w:rsid w:val="005E5166"/>
    <w:rsid w:val="006909F7"/>
    <w:rsid w:val="006D0415"/>
    <w:rsid w:val="006E4DE3"/>
    <w:rsid w:val="00715B61"/>
    <w:rsid w:val="007B0CBB"/>
    <w:rsid w:val="007C0A4A"/>
    <w:rsid w:val="007D09B8"/>
    <w:rsid w:val="007F1289"/>
    <w:rsid w:val="008658C2"/>
    <w:rsid w:val="00887C3A"/>
    <w:rsid w:val="00953709"/>
    <w:rsid w:val="00957BF8"/>
    <w:rsid w:val="00987C9B"/>
    <w:rsid w:val="009913AD"/>
    <w:rsid w:val="009C00B9"/>
    <w:rsid w:val="009C4F2D"/>
    <w:rsid w:val="009F0C47"/>
    <w:rsid w:val="00A20D3B"/>
    <w:rsid w:val="00A51E90"/>
    <w:rsid w:val="00A82409"/>
    <w:rsid w:val="00AF2165"/>
    <w:rsid w:val="00B13CCD"/>
    <w:rsid w:val="00B463C5"/>
    <w:rsid w:val="00B71406"/>
    <w:rsid w:val="00B717EB"/>
    <w:rsid w:val="00B851CB"/>
    <w:rsid w:val="00BA40AB"/>
    <w:rsid w:val="00BE5A17"/>
    <w:rsid w:val="00D21C1F"/>
    <w:rsid w:val="00D83A2D"/>
    <w:rsid w:val="00D913D1"/>
    <w:rsid w:val="00D9255C"/>
    <w:rsid w:val="00D9770D"/>
    <w:rsid w:val="00ED3027"/>
    <w:rsid w:val="00EE12F8"/>
    <w:rsid w:val="00EE6BCC"/>
    <w:rsid w:val="00EF132C"/>
    <w:rsid w:val="00F00CF7"/>
    <w:rsid w:val="00F71D97"/>
    <w:rsid w:val="00FA3F4D"/>
    <w:rsid w:val="00FE5EE5"/>
    <w:rsid w:val="00FF69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932DC"/>
  <w15:chartTrackingRefBased/>
  <w15:docId w15:val="{23E37148-77BD-4EAC-8BD0-C4F672B5B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E5A1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E5A17"/>
    <w:rPr>
      <w:sz w:val="20"/>
      <w:szCs w:val="20"/>
    </w:rPr>
  </w:style>
  <w:style w:type="character" w:styleId="FootnoteReference">
    <w:name w:val="footnote reference"/>
    <w:basedOn w:val="DefaultParagraphFont"/>
    <w:uiPriority w:val="99"/>
    <w:semiHidden/>
    <w:unhideWhenUsed/>
    <w:rsid w:val="00BE5A17"/>
    <w:rPr>
      <w:vertAlign w:val="superscript"/>
    </w:rPr>
  </w:style>
  <w:style w:type="character" w:styleId="Hyperlink">
    <w:name w:val="Hyperlink"/>
    <w:basedOn w:val="DefaultParagraphFont"/>
    <w:uiPriority w:val="99"/>
    <w:unhideWhenUsed/>
    <w:rsid w:val="001832A1"/>
    <w:rPr>
      <w:color w:val="0563C1" w:themeColor="hyperlink"/>
      <w:u w:val="single"/>
    </w:rPr>
  </w:style>
  <w:style w:type="character" w:styleId="UnresolvedMention">
    <w:name w:val="Unresolved Mention"/>
    <w:basedOn w:val="DefaultParagraphFont"/>
    <w:uiPriority w:val="99"/>
    <w:semiHidden/>
    <w:unhideWhenUsed/>
    <w:rsid w:val="001832A1"/>
    <w:rPr>
      <w:color w:val="605E5C"/>
      <w:shd w:val="clear" w:color="auto" w:fill="E1DFDD"/>
    </w:rPr>
  </w:style>
  <w:style w:type="paragraph" w:styleId="ListParagraph">
    <w:name w:val="List Paragraph"/>
    <w:basedOn w:val="Normal"/>
    <w:uiPriority w:val="34"/>
    <w:qFormat/>
    <w:rsid w:val="00715B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89063C-96E2-4461-8995-26287E300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1111</TotalTime>
  <Pages>4</Pages>
  <Words>1752</Words>
  <Characters>9989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alana richards</dc:creator>
  <cp:keywords/>
  <dc:description/>
  <cp:lastModifiedBy>alana richards</cp:lastModifiedBy>
  <cp:revision>20</cp:revision>
  <dcterms:created xsi:type="dcterms:W3CDTF">2019-12-16T18:23:00Z</dcterms:created>
  <dcterms:modified xsi:type="dcterms:W3CDTF">2019-12-19T10:38:00Z</dcterms:modified>
</cp:coreProperties>
</file>