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AF" w:rsidRDefault="00C06563" w:rsidP="00C06563">
      <w:pPr>
        <w:jc w:val="right"/>
        <w:rPr>
          <w:u w:val="single"/>
        </w:rPr>
      </w:pPr>
      <w:r>
        <w:rPr>
          <w:u w:val="single"/>
        </w:rPr>
        <w:t xml:space="preserve">Laura Evans: 1400299. </w:t>
      </w:r>
    </w:p>
    <w:p w:rsidR="00C06563" w:rsidRDefault="00C06563" w:rsidP="00C06563">
      <w:pPr>
        <w:jc w:val="right"/>
        <w:rPr>
          <w:u w:val="single"/>
        </w:rPr>
      </w:pPr>
      <w:r>
        <w:rPr>
          <w:u w:val="single"/>
        </w:rPr>
        <w:t xml:space="preserve">HPAH6058. </w:t>
      </w:r>
    </w:p>
    <w:p w:rsidR="00C06563" w:rsidRDefault="00C06563" w:rsidP="00C06563">
      <w:pPr>
        <w:jc w:val="right"/>
        <w:rPr>
          <w:u w:val="single"/>
        </w:rPr>
      </w:pPr>
      <w:r>
        <w:rPr>
          <w:u w:val="single"/>
        </w:rPr>
        <w:t>Assignment 3.</w:t>
      </w:r>
    </w:p>
    <w:p w:rsidR="00090B70" w:rsidRPr="00090B70" w:rsidRDefault="00090B70" w:rsidP="00090B70">
      <w:r>
        <w:t xml:space="preserve">Analyse the function of the depiction of Achilles’ education and/or upbringing in any one or two Latin texts focussed upon in this module. </w:t>
      </w:r>
    </w:p>
    <w:p w:rsidR="00C06563" w:rsidRDefault="00C06563" w:rsidP="00C06563">
      <w:pPr>
        <w:jc w:val="right"/>
      </w:pPr>
    </w:p>
    <w:p w:rsidR="00C06563" w:rsidRDefault="007E281E" w:rsidP="00C06563">
      <w:r>
        <w:t xml:space="preserve">Achilles is most famously known for his role in the fall of Troy and his </w:t>
      </w:r>
      <w:r w:rsidR="00435A23">
        <w:t xml:space="preserve">skills and abilities on the battlefield. </w:t>
      </w:r>
      <w:r w:rsidR="0044489D">
        <w:t xml:space="preserve">It is interesting to see the various sources that explore his upbringing and education, linking the events of his earlier life with his destiny. This essay will be analysing Statius’ </w:t>
      </w:r>
      <w:proofErr w:type="spellStart"/>
      <w:r w:rsidR="0044489D">
        <w:rPr>
          <w:i/>
          <w:iCs/>
        </w:rPr>
        <w:t>Achilleid</w:t>
      </w:r>
      <w:proofErr w:type="spellEnd"/>
      <w:r w:rsidR="0044489D">
        <w:t xml:space="preserve">, </w:t>
      </w:r>
      <w:r w:rsidR="00870CF6">
        <w:t xml:space="preserve">its literary connections with Ovid’s </w:t>
      </w:r>
      <w:r w:rsidR="00870CF6">
        <w:rPr>
          <w:i/>
          <w:iCs/>
        </w:rPr>
        <w:t xml:space="preserve">Metamorphosis </w:t>
      </w:r>
      <w:r w:rsidR="00870CF6">
        <w:t xml:space="preserve">and the significance of destiny in the Catullus 64. </w:t>
      </w:r>
      <w:r w:rsidR="00311BFA">
        <w:t xml:space="preserve">All these pieces form a complex web of subtle references to the components that later effect the character that is Achilles. </w:t>
      </w:r>
    </w:p>
    <w:p w:rsidR="00311BFA" w:rsidRDefault="00311BFA" w:rsidP="00C06563">
      <w:r>
        <w:tab/>
      </w:r>
      <w:r w:rsidR="002548B9">
        <w:t xml:space="preserve">Achilles upbringing and education were heavily influenced by events that occurred before his </w:t>
      </w:r>
      <w:r w:rsidR="004551E2">
        <w:t>birth</w:t>
      </w:r>
      <w:r w:rsidR="002548B9">
        <w:t xml:space="preserve">; events described in Catullus 64. The poem is </w:t>
      </w:r>
      <w:r w:rsidR="009A3BE5">
        <w:t>describing</w:t>
      </w:r>
      <w:r w:rsidR="002548B9">
        <w:t xml:space="preserve"> the relationship between Peleus, Achilles father, and Thetis, Achilles mother who is also a sea goddess. At their wedding the Fates perform a wedding song predicting that</w:t>
      </w:r>
      <w:r w:rsidR="004551E2">
        <w:t xml:space="preserve"> the birth of</w:t>
      </w:r>
      <w:r w:rsidR="002548B9">
        <w:t xml:space="preserve"> Achilles and his involvement in the Trojan war</w:t>
      </w:r>
      <w:r w:rsidR="009A3BE5">
        <w:t>, providing the steppingstone for Thetis maternal anxiety over her only son. The fates explicitly state that Achilles will fall if the Trojan war happens, “Lastly, witness to shall be the prize assigned to him in death, when the rounded barrow heaped up with lofty mound shall receive the snowy limbs of the slaughtered maiden”.</w:t>
      </w:r>
      <w:r w:rsidR="009A3BE5">
        <w:rPr>
          <w:rStyle w:val="FootnoteReference"/>
        </w:rPr>
        <w:footnoteReference w:id="1"/>
      </w:r>
      <w:r w:rsidR="00C172B4">
        <w:t xml:space="preserve"> So on Thetis’s wedding day she is already given this dark and heavy burden of knowing her sons fate, </w:t>
      </w:r>
      <w:r w:rsidR="00FD09CA">
        <w:t xml:space="preserve">her grief is evident in the beginning of the </w:t>
      </w:r>
      <w:proofErr w:type="spellStart"/>
      <w:r w:rsidR="00FD09CA">
        <w:rPr>
          <w:i/>
          <w:iCs/>
        </w:rPr>
        <w:t>Achilleid</w:t>
      </w:r>
      <w:proofErr w:type="spellEnd"/>
      <w:r w:rsidR="00FD09CA">
        <w:t xml:space="preserve"> when she sees the Greek ships and emphasises the fruitless struggle Thetis has with fate.</w:t>
      </w:r>
      <w:r w:rsidR="00FD09CA">
        <w:rPr>
          <w:rStyle w:val="FootnoteReference"/>
        </w:rPr>
        <w:footnoteReference w:id="2"/>
      </w:r>
      <w:r w:rsidR="006420C2">
        <w:t xml:space="preserve"> There is also a sense of foreshadowing as the fates describe the </w:t>
      </w:r>
      <w:r w:rsidR="00DC2FD8">
        <w:t xml:space="preserve">mothers of the men who will inevitable fall at Achilles hand, “The hero’s surpassing </w:t>
      </w:r>
      <w:r w:rsidR="002366AC">
        <w:t>achievement and renowned deeds often shall mothers own at the burial of their sons, loosing dishevelled hair from hoary head, and marring their withered breasts with weak hands”.</w:t>
      </w:r>
      <w:r w:rsidR="002366AC">
        <w:rPr>
          <w:rStyle w:val="FootnoteReference"/>
        </w:rPr>
        <w:footnoteReference w:id="3"/>
      </w:r>
      <w:r w:rsidR="002366AC">
        <w:t xml:space="preserve"> </w:t>
      </w:r>
      <w:proofErr w:type="spellStart"/>
      <w:r w:rsidR="002366AC">
        <w:t>Mendelohn</w:t>
      </w:r>
      <w:proofErr w:type="spellEnd"/>
      <w:r w:rsidR="002366AC">
        <w:t xml:space="preserve"> states that in the “dream” she creates in order to trick Chiron she describes her womb and breasts being savaged by swords and beasts</w:t>
      </w:r>
      <w:r w:rsidR="00487A1C">
        <w:t>, implying that the “death of the child is subsequently associated with the violence committed against the maternal body”</w:t>
      </w:r>
      <w:r w:rsidR="002366AC">
        <w:t>.</w:t>
      </w:r>
      <w:r w:rsidR="002366AC">
        <w:rPr>
          <w:rStyle w:val="FootnoteReference"/>
        </w:rPr>
        <w:footnoteReference w:id="4"/>
      </w:r>
      <w:r w:rsidR="002366AC">
        <w:t xml:space="preserve"> </w:t>
      </w:r>
      <w:r w:rsidR="00487A1C">
        <w:t xml:space="preserve">It could be suggested that “dream” is a direct reflection of the Fates wedding song and a subconscious anxiety that she will suffer the same fate as she too will loose her son. </w:t>
      </w:r>
      <w:r w:rsidR="00D70617">
        <w:t>Thetis is isolated from the world the Fates weave for Achilles, “There shall be born to you a son that knows no fear, Achilles, known to his enemies not by his back but by his stout breast; who right often winner in the contest of the wide-ranging race shall out</w:t>
      </w:r>
      <w:r w:rsidR="00020473">
        <w:t>strip the flame-feet footsteps of the flying hind”.</w:t>
      </w:r>
      <w:r w:rsidR="00020473">
        <w:rPr>
          <w:rStyle w:val="FootnoteReference"/>
        </w:rPr>
        <w:footnoteReference w:id="5"/>
      </w:r>
      <w:r w:rsidR="00020473">
        <w:t xml:space="preserve"> </w:t>
      </w:r>
      <w:r w:rsidR="00AC658B">
        <w:t>The list of attributes and accomplishments the Fates sing of belong to his “father’s world”,</w:t>
      </w:r>
      <w:r w:rsidR="00AC658B">
        <w:rPr>
          <w:rStyle w:val="FootnoteReference"/>
        </w:rPr>
        <w:footnoteReference w:id="6"/>
      </w:r>
      <w:r w:rsidR="00AC658B">
        <w:t xml:space="preserve"> a world where war and death feature heavily and will dominate Thetis emotionally. </w:t>
      </w:r>
      <w:r w:rsidR="00BD7F08">
        <w:t xml:space="preserve">The emotional barrier between Achilles and Thetis is further emphasised by the lack of motherly nurturing in his upbringing, “I took no ordinary </w:t>
      </w:r>
      <w:r w:rsidR="00BD7F08">
        <w:lastRenderedPageBreak/>
        <w:t>food not satisfied hunger from nurturing breasts, but tore at the tough flesh of lions and offal of a she-wolf still half alive”.</w:t>
      </w:r>
      <w:r w:rsidR="00BD7F08">
        <w:rPr>
          <w:rStyle w:val="FootnoteReference"/>
        </w:rPr>
        <w:footnoteReference w:id="7"/>
      </w:r>
    </w:p>
    <w:p w:rsidR="00AC658B" w:rsidRDefault="00AC658B" w:rsidP="00C06563">
      <w:r>
        <w:tab/>
      </w:r>
      <w:r w:rsidR="0008739F">
        <w:t>Achilles’ and his “father’s world” threaten everything that Thetis holds dear. Chiron tells Thetis of Achilles’ training and his progress, hinting at his potential, “His precocious force is brewing something big (my father’s omens do not deceive me), going beyond his scanty years”.</w:t>
      </w:r>
      <w:r w:rsidR="0008739F">
        <w:rPr>
          <w:rStyle w:val="FootnoteReference"/>
        </w:rPr>
        <w:footnoteReference w:id="8"/>
      </w:r>
      <w:r w:rsidR="0008739F">
        <w:t xml:space="preserve"> Thetis is inevitably loosing Achilles through his enthusiasm for battle and warrior like traits, losing him to the world of mortal men, further isolating Thetis from her son.</w:t>
      </w:r>
      <w:r w:rsidR="0008739F">
        <w:rPr>
          <w:rStyle w:val="FootnoteReference"/>
        </w:rPr>
        <w:footnoteReference w:id="9"/>
      </w:r>
      <w:r w:rsidR="0008739F">
        <w:t xml:space="preserve"> </w:t>
      </w:r>
      <w:r w:rsidR="00CF14BF">
        <w:t xml:space="preserve">As </w:t>
      </w:r>
      <w:proofErr w:type="spellStart"/>
      <w:r w:rsidR="00CF14BF">
        <w:t>Mendelohn</w:t>
      </w:r>
      <w:proofErr w:type="spellEnd"/>
      <w:r w:rsidR="00CF14BF">
        <w:t xml:space="preserve"> states, “Achilles’ growing taste for aggression foreshadows his greatest adventure, the one that will forever deprive Thetis of her son”.</w:t>
      </w:r>
      <w:r w:rsidR="00CF14BF">
        <w:rPr>
          <w:rStyle w:val="FootnoteReference"/>
        </w:rPr>
        <w:footnoteReference w:id="10"/>
      </w:r>
      <w:r w:rsidR="00CF14BF">
        <w:t xml:space="preserve"> This would also deprive Thetis of the role as mother, forcing her to carry her grief throughout her life as an immortal. The anxiety experienced by Thetis will later shape Achilles transition through the roles of mortal and man, by dressing Achilles in women’s clothing and essentially hiding him in the “mother’s world”, a feminine world, she enables Achilles to </w:t>
      </w:r>
      <w:r w:rsidR="00905774">
        <w:t xml:space="preserve">fulfil his destiny. ““For a short time adopt safe clothing which will do no harm to your spirit. Why do you withdraw your gaze, what do your eyes intend? Are you ashamed to soften in this dress? I swear by you, dear boy, and my kindred sea, Chiron will know nothing of this”. So she worked on his severe mind, beguiling him in vain. Against her plea was his father and his mighty foster father and the raw rudiments of a great nature”. </w:t>
      </w:r>
      <w:r w:rsidR="00905774">
        <w:rPr>
          <w:rStyle w:val="FootnoteReference"/>
        </w:rPr>
        <w:footnoteReference w:id="11"/>
      </w:r>
      <w:r w:rsidR="001567BD">
        <w:t xml:space="preserve"> It could be interpreted that Thetis is corrupting his masculinity now that his masculine figures are no longer present, an anxiety often associated with Roman ideals.</w:t>
      </w:r>
      <w:r w:rsidR="001567BD">
        <w:rPr>
          <w:rStyle w:val="FootnoteReference"/>
        </w:rPr>
        <w:footnoteReference w:id="12"/>
      </w:r>
      <w:r w:rsidR="00236FB6">
        <w:t xml:space="preserve"> On the other hand, </w:t>
      </w:r>
      <w:r w:rsidR="005D4B08">
        <w:t xml:space="preserve">many heroes that were favoured by the Romans have once blurred the borders between male and female as Thetis points out to Achilles, “Let us give way. Lower your manly spirit a little and condescend to wearing my clothes. If Hercules carried Lydian wool in his hard hand and effeminate spears, if it suits Bacchus to sweep his footsteps with a gold-embroidered robe, if Jupiter donned a virgin’s limbs, and </w:t>
      </w:r>
      <w:proofErr w:type="spellStart"/>
      <w:r w:rsidR="005D4B08">
        <w:t>Caenus</w:t>
      </w:r>
      <w:proofErr w:type="spellEnd"/>
      <w:r w:rsidR="005D4B08">
        <w:t xml:space="preserve"> was not weakened by his uncertain sex”.</w:t>
      </w:r>
      <w:r w:rsidR="005D4B08">
        <w:rPr>
          <w:rStyle w:val="FootnoteReference"/>
        </w:rPr>
        <w:footnoteReference w:id="13"/>
      </w:r>
      <w:r w:rsidR="005D4B08">
        <w:t xml:space="preserve"> </w:t>
      </w:r>
      <w:r w:rsidR="00BD7F08">
        <w:t>This could suggest that gender becomes blurred as the hero finds himself but can also prove to be dangerous.</w:t>
      </w:r>
      <w:r w:rsidR="00BD7F08">
        <w:rPr>
          <w:rStyle w:val="FootnoteReference"/>
        </w:rPr>
        <w:footnoteReference w:id="14"/>
      </w:r>
    </w:p>
    <w:p w:rsidR="00BD7F08" w:rsidRDefault="00BD7F08" w:rsidP="00C06563">
      <w:r>
        <w:tab/>
        <w:t xml:space="preserve">Monica Silveira </w:t>
      </w:r>
      <w:proofErr w:type="spellStart"/>
      <w:r>
        <w:t>Cyrino</w:t>
      </w:r>
      <w:proofErr w:type="spellEnd"/>
      <w:r>
        <w:t xml:space="preserve"> in her article ‘Heroes in D(u)</w:t>
      </w:r>
      <w:proofErr w:type="spellStart"/>
      <w:r>
        <w:t>ress</w:t>
      </w:r>
      <w:proofErr w:type="spellEnd"/>
      <w:r>
        <w:t>’ links the ancient Greek puberty rituals involving wearing feminine clothing with Greek heroes and their transition to man.</w:t>
      </w:r>
      <w:r>
        <w:rPr>
          <w:rStyle w:val="FootnoteReference"/>
        </w:rPr>
        <w:footnoteReference w:id="15"/>
      </w:r>
      <w:r>
        <w:t xml:space="preserve"> “After a temporary period of wearing women’s clothing the young male initiate, in the climax of the ritual, is invited to enter into the domain of masculinity and accept the civic responsibility of manhood”,</w:t>
      </w:r>
      <w:r>
        <w:rPr>
          <w:rStyle w:val="FootnoteReference"/>
        </w:rPr>
        <w:footnoteReference w:id="16"/>
      </w:r>
      <w:r>
        <w:t xml:space="preserve"> </w:t>
      </w:r>
      <w:r w:rsidR="00F90B8D">
        <w:t xml:space="preserve">this draws on the ritual in which Achilles reveals himself to Deidamia </w:t>
      </w:r>
      <w:r w:rsidR="003E635D">
        <w:t>by forcing himself on her. The reader is reminded that the ritual forbids any men from being present, “By law men must go far away. The venerable monarch repeats the rule, the grot is proclaimed out of bounds for males. And that is not enough. At the appointed boundary stands a priestess, figure of fear, searching the approaches lest a violator appear among the female band”.</w:t>
      </w:r>
      <w:r w:rsidR="003E635D">
        <w:rPr>
          <w:rStyle w:val="FootnoteReference"/>
        </w:rPr>
        <w:footnoteReference w:id="17"/>
      </w:r>
      <w:r w:rsidR="003E635D">
        <w:t xml:space="preserve"> It could be suggested that Achilles is not yet a man and therefore the ritual is necessary for him and is a gateway to becoming a man. </w:t>
      </w:r>
      <w:r w:rsidR="00DB0D02">
        <w:t xml:space="preserve">Achilles appearance emphasises this, “For an abundance of gracefulness remains left in him, though </w:t>
      </w:r>
      <w:r w:rsidR="00DB0D02">
        <w:lastRenderedPageBreak/>
        <w:t>his manhood unwilling, and viewers are deceived by ambiguous sex hiding in a narrow distinction”.</w:t>
      </w:r>
      <w:r w:rsidR="00DB0D02">
        <w:rPr>
          <w:rStyle w:val="FootnoteReference"/>
        </w:rPr>
        <w:footnoteReference w:id="18"/>
      </w:r>
      <w:r w:rsidR="004551E2">
        <w:t xml:space="preserve">It is interesting that in Ovid’s </w:t>
      </w:r>
      <w:r w:rsidR="004551E2">
        <w:rPr>
          <w:i/>
          <w:iCs/>
        </w:rPr>
        <w:t xml:space="preserve">Metamorphoses </w:t>
      </w:r>
      <w:r w:rsidR="004551E2">
        <w:t>that Achilles is conceived through force and that he reveals himself as a man through the same violent act. “Tis not without some god’s assistance that you conquer,” and gave herself up as Thetis. Her, thus owning her defeat, the hero caught in his embrace, attained his desire, and begat on her the great Achilles”,</w:t>
      </w:r>
      <w:r w:rsidR="004551E2">
        <w:rPr>
          <w:rStyle w:val="FootnoteReference"/>
        </w:rPr>
        <w:footnoteReference w:id="19"/>
      </w:r>
      <w:r w:rsidR="004551E2">
        <w:t xml:space="preserve"> again we see here Achilles resorting to the violence associated with his “father’s world” and creating further distance between him and Thetis.</w:t>
      </w:r>
      <w:r w:rsidR="004551E2">
        <w:rPr>
          <w:rStyle w:val="FootnoteReference"/>
        </w:rPr>
        <w:footnoteReference w:id="20"/>
      </w:r>
      <w:r w:rsidR="00DB0D02">
        <w:t xml:space="preserve"> This could be interpreted as Achilles first conquest, a step closer to adulthood a she is still an adolescent at this time.</w:t>
      </w:r>
      <w:r w:rsidR="00DE672A">
        <w:t xml:space="preserve"> </w:t>
      </w:r>
      <w:proofErr w:type="spellStart"/>
      <w:r w:rsidR="00DE672A">
        <w:t>Richlin</w:t>
      </w:r>
      <w:proofErr w:type="spellEnd"/>
      <w:r w:rsidR="00DE672A">
        <w:t xml:space="preserve"> </w:t>
      </w:r>
      <w:proofErr w:type="spellStart"/>
      <w:r w:rsidR="00DE672A">
        <w:t>commets</w:t>
      </w:r>
      <w:proofErr w:type="spellEnd"/>
      <w:r w:rsidR="00DE672A">
        <w:t>, “When we want to know the gender of the adolescent hero dressed in women’s clothing, the signifier of his maleness is his ability to commit rape”.</w:t>
      </w:r>
      <w:r w:rsidR="00DE672A">
        <w:rPr>
          <w:rStyle w:val="FootnoteReference"/>
        </w:rPr>
        <w:footnoteReference w:id="21"/>
      </w:r>
      <w:r w:rsidR="00DB0D02">
        <w:t xml:space="preserve"> Statius reinforces further that Achilles is ‘flexing his muscles’ and is testing his boundaries when he attempts to comfort Deidamia after the rape, “I am he (why do you tremble?) that my sea-green mother almost bore to Jove and sent to Thessaly’s woods and snows to be reared. Nor should I have donned this habit, these shameful clothes, if I had not seen you at the shore’s verge: on your account I yielded, for you I handled wool and bear womanish drums. Why do you weep? You have joined the great sea, a daughter-in-law. </w:t>
      </w:r>
      <w:r w:rsidR="00352169">
        <w:t>Why do you moan? You shall bear mighty grandsons for the sky. As for your father- Scyros shall lie razed by fire and sword and these walls be overturned and pass into swollen tempests before you shall expire my nuptials by a cruel death. Not so in all things shall I obey my mother.”</w:t>
      </w:r>
      <w:r w:rsidR="00352169">
        <w:rPr>
          <w:rStyle w:val="FootnoteReference"/>
        </w:rPr>
        <w:footnoteReference w:id="22"/>
      </w:r>
      <w:r w:rsidR="00352169">
        <w:t xml:space="preserve"> Here Achilles hints as to who his father could have been, this implies that he is aware of the complications of his mortal father and his mother’s disappointment and perhaps resentment.</w:t>
      </w:r>
      <w:r w:rsidR="00352169">
        <w:rPr>
          <w:rStyle w:val="FootnoteReference"/>
        </w:rPr>
        <w:footnoteReference w:id="23"/>
      </w:r>
      <w:r w:rsidR="00352169">
        <w:t xml:space="preserve"> Achilles is also establishing his independence, he grows tired of obeying her and compromising his masculinity. </w:t>
      </w:r>
      <w:r w:rsidR="00C06F27">
        <w:t>He has transitioned as the vulnerable son who needs his mother to hide him to becoming a love interest and eventually becoming Deidamia’s husband and the father to her son.</w:t>
      </w:r>
      <w:r w:rsidR="00C06F27">
        <w:rPr>
          <w:rStyle w:val="FootnoteReference"/>
        </w:rPr>
        <w:footnoteReference w:id="24"/>
      </w:r>
      <w:r w:rsidR="00C06F27">
        <w:t xml:space="preserve"> </w:t>
      </w:r>
    </w:p>
    <w:p w:rsidR="00DE672A" w:rsidRDefault="00C06F27" w:rsidP="00C06563">
      <w:r>
        <w:tab/>
        <w:t xml:space="preserve">The next part of Achilles transition from adolescent boy to man is his discovery at the hands of Odysseus. Odysseus tricks Achilles into revealing himself by placing blood soaked weapons in front of him, </w:t>
      </w:r>
      <w:r w:rsidR="001C515A">
        <w:t>who as we know from his passions in learning with Chiron could not resist them, “Even then arms were in my hand, even than a quiver at my neck, precocious love of steel, skin hardened by sun”.</w:t>
      </w:r>
      <w:r w:rsidR="001C515A">
        <w:rPr>
          <w:rStyle w:val="FootnoteReference"/>
        </w:rPr>
        <w:footnoteReference w:id="25"/>
      </w:r>
      <w:r w:rsidR="001C515A">
        <w:t xml:space="preserve"> Odysseus seeing his interest in the weapons has a trumpet blast, </w:t>
      </w:r>
      <w:proofErr w:type="spellStart"/>
      <w:r w:rsidR="001C515A">
        <w:t>Cyrino</w:t>
      </w:r>
      <w:proofErr w:type="spellEnd"/>
      <w:r w:rsidR="001C515A">
        <w:t xml:space="preserve"> suggests that at this point Achilles accepts his destiny, “as if wakened from hypnosis by the noise, Achilles leaps forward and grabs the weapons, proving that his genetically-encoded male lust for battle and glory has superseded his softer desire for all things feminine”.</w:t>
      </w:r>
      <w:r w:rsidR="001C515A">
        <w:rPr>
          <w:rStyle w:val="FootnoteReference"/>
        </w:rPr>
        <w:footnoteReference w:id="26"/>
      </w:r>
      <w:r w:rsidR="001C515A">
        <w:t xml:space="preserve"> Despite Thetis removing all masculine role models from Achilles at a pinnacle time in his development, it appears that it is inevitable that he will be fully immersed in his “father’s world”. However, it is not Peleus who aids his son into adulthood but the keen mind of Odysseus, it could be interpreted that Odysseus is Thetis’s equal in wits but has the advantage of destiny. Odysseus is the catalyst to Achilles’ coming of age moment, “did your crafty mother defile you with woman’s apparel and commit so grand a cheat to that hiding place and hope the secret would be kept? Too fearful she, too much </w:t>
      </w:r>
      <w:r w:rsidR="00421E96">
        <w:t xml:space="preserve">a mother! Was such valour to lie torpid in silent shade? Trumpet blast scarce heard, it fled Thetis and companions and passion </w:t>
      </w:r>
      <w:r w:rsidR="00421E96">
        <w:lastRenderedPageBreak/>
        <w:t>suppressed”.</w:t>
      </w:r>
      <w:r w:rsidR="00421E96">
        <w:rPr>
          <w:rStyle w:val="FootnoteReference"/>
        </w:rPr>
        <w:footnoteReference w:id="27"/>
      </w:r>
      <w:r w:rsidR="00421E96">
        <w:t xml:space="preserve"> It is interesting that Thetis is accused of defiling Achilles with women’s clothing, as the disguise allowed him to rape Deidamia and to become a father. Had Thetis not disguised Achilles in this way would he have been prepared for Troy? It could be interpreted that without the opportunity to disobey his mother and reveal himself as a new man, Achilles would have been lacking in character development. It is this moment that Odysseus uses to his benefit in claiming the </w:t>
      </w:r>
      <w:r w:rsidR="00427F85">
        <w:t>armour. Odysseus claims that by using weapons he was able to “incite Achille’s masculine aggression to emerge from its feminine bonds”.</w:t>
      </w:r>
      <w:r w:rsidR="00427F85">
        <w:rPr>
          <w:rStyle w:val="FootnoteReference"/>
        </w:rPr>
        <w:footnoteReference w:id="28"/>
      </w:r>
      <w:r w:rsidR="00427F85">
        <w:t xml:space="preserve"> “Achilles’ Nereid mother, foreseeing her son’s destruction, had disguised him, and the trick of the clothing that he wore deceived them all, Ajax among the rest. But I placed among women’s wares some arms such as would attract a man. The hero still wore a girl’s clothing when, as he laid hands on shield and spear, I said to him: ‘O son of Thetis, </w:t>
      </w:r>
      <w:proofErr w:type="spellStart"/>
      <w:r w:rsidR="00427F85">
        <w:t>Pergama</w:t>
      </w:r>
      <w:proofErr w:type="spellEnd"/>
      <w:r w:rsidR="00427F85">
        <w:t>, doomed to perish, is keeping herself for you! Why do you delay the fall of mighty Troy?’ And I laid my hand on him and sent the brave fellow forth to do brave deeds. So then, all that he did is mine”.</w:t>
      </w:r>
      <w:r w:rsidR="00427F85">
        <w:rPr>
          <w:rStyle w:val="FootnoteReference"/>
        </w:rPr>
        <w:footnoteReference w:id="29"/>
      </w:r>
      <w:r w:rsidR="00427F85">
        <w:t xml:space="preserve"> It could be implied that Odysseus brought symbolic arms to Achilles, </w:t>
      </w:r>
      <w:r w:rsidR="00F70764">
        <w:t>Chiron trained to him and Odysseus arms him ready for his destiny. It is only fitting then that he receives the armour of Achilles.</w:t>
      </w:r>
      <w:r w:rsidR="00F70764">
        <w:rPr>
          <w:rStyle w:val="FootnoteReference"/>
        </w:rPr>
        <w:footnoteReference w:id="30"/>
      </w:r>
      <w:r w:rsidR="00F70764">
        <w:t xml:space="preserve"> </w:t>
      </w:r>
    </w:p>
    <w:p w:rsidR="00F70764" w:rsidRDefault="00F70764" w:rsidP="00C06563">
      <w:r>
        <w:tab/>
      </w:r>
      <w:r w:rsidR="00B962EA">
        <w:t xml:space="preserve">These moment in Achilles upbringing continue to have an impact on his future decisions and interactions in the Trojan war. An example of this is his interest in the story of </w:t>
      </w:r>
      <w:proofErr w:type="spellStart"/>
      <w:r w:rsidR="00B962EA">
        <w:t>Caenus</w:t>
      </w:r>
      <w:proofErr w:type="spellEnd"/>
      <w:r w:rsidR="00B962EA">
        <w:t xml:space="preserve">. </w:t>
      </w:r>
      <w:r w:rsidR="00BF33B8">
        <w:t>“</w:t>
      </w:r>
      <w:proofErr w:type="spellStart"/>
      <w:r w:rsidR="00BF33B8">
        <w:t>Caeneus</w:t>
      </w:r>
      <w:proofErr w:type="spellEnd"/>
      <w:r w:rsidR="00BF33B8">
        <w:t xml:space="preserve"> of Thessaly, I say, who once dwelt on Mount </w:t>
      </w:r>
      <w:proofErr w:type="spellStart"/>
      <w:r w:rsidR="00BF33B8">
        <w:t>Othrys</w:t>
      </w:r>
      <w:proofErr w:type="spellEnd"/>
      <w:r w:rsidR="00BF33B8">
        <w:t>, famed for his mighty deeds; and to enhance the marvel of him, he had been born a woman”.</w:t>
      </w:r>
      <w:r w:rsidR="00BF33B8">
        <w:rPr>
          <w:rStyle w:val="FootnoteReference"/>
        </w:rPr>
        <w:footnoteReference w:id="31"/>
      </w:r>
      <w:r w:rsidR="00BF33B8">
        <w:t xml:space="preserve"> </w:t>
      </w:r>
      <w:r w:rsidR="00BF33B8" w:rsidRPr="00BF33B8">
        <w:t xml:space="preserve">The figure of </w:t>
      </w:r>
      <w:proofErr w:type="spellStart"/>
      <w:r w:rsidR="00BF33B8" w:rsidRPr="00BF33B8">
        <w:t>Caenus</w:t>
      </w:r>
      <w:proofErr w:type="spellEnd"/>
      <w:r w:rsidR="00BF33B8" w:rsidRPr="00BF33B8">
        <w:t xml:space="preserve"> was previously mentioned by Thetis when convincing Achilles to wear her clothes. Achilles may be curious to hear </w:t>
      </w:r>
      <w:proofErr w:type="spellStart"/>
      <w:r w:rsidR="00BF33B8" w:rsidRPr="00BF33B8">
        <w:t>Caenus</w:t>
      </w:r>
      <w:proofErr w:type="spellEnd"/>
      <w:r w:rsidR="00BF33B8" w:rsidRPr="00BF33B8">
        <w:t xml:space="preserve"> story so he can relieve his underlying anxiety over wearing female clothing.</w:t>
      </w:r>
      <w:r w:rsidR="00BF33B8">
        <w:t xml:space="preserve"> When hearing his name, it could be implied that Achilles wishes to know of other warriors who were able to redeem themselves, “Among the rest Achilles said: “Tell on, old man, eloquent wisdom of our age, for all of us alike desire to hear, who was this </w:t>
      </w:r>
      <w:proofErr w:type="spellStart"/>
      <w:r w:rsidR="00BF33B8">
        <w:t>Caeneus</w:t>
      </w:r>
      <w:proofErr w:type="spellEnd"/>
      <w:r w:rsidR="00BF33B8">
        <w:t>, why was he changed in sex, in what campaign did you know him and fighting against whom; by whom he was conquered if he was conquered by anyone”.</w:t>
      </w:r>
      <w:r w:rsidR="00BF33B8">
        <w:rPr>
          <w:rStyle w:val="FootnoteReference"/>
        </w:rPr>
        <w:footnoteReference w:id="32"/>
      </w:r>
      <w:r w:rsidR="00BF33B8">
        <w:t xml:space="preserve"> Why is Achilles so fixated on whether </w:t>
      </w:r>
      <w:proofErr w:type="spellStart"/>
      <w:r w:rsidR="00BF33B8">
        <w:t>Caenus</w:t>
      </w:r>
      <w:proofErr w:type="spellEnd"/>
      <w:r w:rsidR="00BF33B8">
        <w:t xml:space="preserve"> was conquered or not? Perhaps he believes</w:t>
      </w:r>
      <w:r w:rsidR="00520F0A">
        <w:t xml:space="preserve"> that he was conquered by his mother by obeying her, or was his consummation with Deidamia questionable due to his dress? The term ‘conquered’ has also been used in reference to Briseis and Achilles relationship in a letter from his wife. It could be interpreted that Deidamia was aware of this anxiety and then used it to her advantage. Another example of this anxiety could be seen in the disagreement between Achilles and Agamemno</w:t>
      </w:r>
      <w:r w:rsidR="00317B07">
        <w:t>n. “Let him submit to me, Let him bow down to me! I am the greater king, I am the elder born, I claim – the greater man”,</w:t>
      </w:r>
      <w:r w:rsidR="00317B07">
        <w:rPr>
          <w:rStyle w:val="FootnoteReference"/>
        </w:rPr>
        <w:footnoteReference w:id="33"/>
      </w:r>
      <w:r w:rsidR="00317B07">
        <w:t xml:space="preserve"> the key antagonist work here is submit. Often considered a female quality and Achilles may have seen this as a slight to his manhood as well as his honour. As </w:t>
      </w:r>
      <w:proofErr w:type="spellStart"/>
      <w:r w:rsidR="00317B07">
        <w:t>knox</w:t>
      </w:r>
      <w:proofErr w:type="spellEnd"/>
      <w:r w:rsidR="00317B07">
        <w:t xml:space="preserve"> comments, “The word translated “bow down” is a passive form, </w:t>
      </w:r>
      <w:proofErr w:type="spellStart"/>
      <w:r w:rsidR="00317B07">
        <w:rPr>
          <w:i/>
          <w:iCs/>
        </w:rPr>
        <w:t>dmetheto</w:t>
      </w:r>
      <w:proofErr w:type="spellEnd"/>
      <w:r w:rsidR="00317B07">
        <w:rPr>
          <w:i/>
          <w:iCs/>
        </w:rPr>
        <w:t xml:space="preserve">, </w:t>
      </w:r>
      <w:r w:rsidR="00317B07">
        <w:t xml:space="preserve">a verb </w:t>
      </w:r>
      <w:proofErr w:type="spellStart"/>
      <w:r w:rsidR="00317B07">
        <w:rPr>
          <w:i/>
          <w:iCs/>
        </w:rPr>
        <w:t>damno</w:t>
      </w:r>
      <w:proofErr w:type="spellEnd"/>
      <w:r w:rsidR="00317B07">
        <w:rPr>
          <w:i/>
          <w:iCs/>
        </w:rPr>
        <w:t xml:space="preserve"> </w:t>
      </w:r>
      <w:r w:rsidR="00317B07">
        <w:t xml:space="preserve">which means: “tame”, “subdue”. It is a word the Homeric Poems use for the taming of wild asses, the taming of a bride by a man, the subjection of a people to a ruler, of a beaten warrior to the victor”. </w:t>
      </w:r>
      <w:r w:rsidR="00317B07">
        <w:rPr>
          <w:rStyle w:val="FootnoteReference"/>
        </w:rPr>
        <w:footnoteReference w:id="34"/>
      </w:r>
      <w:r w:rsidR="00317B07">
        <w:t xml:space="preserve"> It could be suggested that the connotations of submitting triggers Achilles anxiety over being preserved as still female, as conquerable, him in the same role as </w:t>
      </w:r>
      <w:r w:rsidR="00317B07">
        <w:lastRenderedPageBreak/>
        <w:t xml:space="preserve">Deidamia during the ritual. </w:t>
      </w:r>
      <w:r w:rsidR="002B078D">
        <w:t xml:space="preserve">Achilles determination to prove himself as a man and as a dominant man after the submission to his mother in Scyros may be a factor in his destiny. </w:t>
      </w:r>
    </w:p>
    <w:p w:rsidR="002B078D" w:rsidRDefault="002B078D" w:rsidP="00C06563"/>
    <w:p w:rsidR="002B078D" w:rsidRPr="00317B07" w:rsidRDefault="002B078D" w:rsidP="00C06563">
      <w:r>
        <w:t xml:space="preserve">Words: 2356. </w:t>
      </w:r>
      <w:bookmarkStart w:id="0" w:name="_GoBack"/>
      <w:bookmarkEnd w:id="0"/>
    </w:p>
    <w:p w:rsidR="00487A1C" w:rsidRPr="00FD09CA" w:rsidRDefault="00487A1C" w:rsidP="00C06563">
      <w:r>
        <w:tab/>
      </w:r>
    </w:p>
    <w:p w:rsidR="00C06563" w:rsidRDefault="00C06563">
      <w:pPr>
        <w:rPr>
          <w:b/>
          <w:bCs/>
        </w:rPr>
      </w:pPr>
      <w:r>
        <w:rPr>
          <w:b/>
          <w:bCs/>
        </w:rPr>
        <w:br w:type="page"/>
      </w:r>
    </w:p>
    <w:p w:rsidR="00C06563" w:rsidRDefault="00C06563">
      <w:pPr>
        <w:rPr>
          <w:b/>
          <w:bCs/>
        </w:rPr>
      </w:pPr>
    </w:p>
    <w:p w:rsidR="00C06563" w:rsidRDefault="00C06563" w:rsidP="00C06563">
      <w:r>
        <w:rPr>
          <w:b/>
          <w:bCs/>
        </w:rPr>
        <w:t xml:space="preserve">Bibliography. </w:t>
      </w:r>
    </w:p>
    <w:p w:rsidR="00090B70" w:rsidRDefault="00D32257" w:rsidP="00C06563">
      <w:r>
        <w:rPr>
          <w:u w:val="single"/>
        </w:rPr>
        <w:t xml:space="preserve">Primary Sources. </w:t>
      </w:r>
    </w:p>
    <w:p w:rsidR="00435A23" w:rsidRDefault="00435A23" w:rsidP="00090B70">
      <w:pPr>
        <w:pStyle w:val="ListParagraph"/>
        <w:numPr>
          <w:ilvl w:val="0"/>
          <w:numId w:val="2"/>
        </w:numPr>
      </w:pPr>
      <w:r>
        <w:t xml:space="preserve">Catullus. </w:t>
      </w:r>
      <w:r>
        <w:rPr>
          <w:i/>
          <w:iCs/>
        </w:rPr>
        <w:t xml:space="preserve">The </w:t>
      </w:r>
      <w:proofErr w:type="spellStart"/>
      <w:r>
        <w:rPr>
          <w:i/>
          <w:iCs/>
        </w:rPr>
        <w:t>Carmia</w:t>
      </w:r>
      <w:proofErr w:type="spellEnd"/>
      <w:r>
        <w:rPr>
          <w:i/>
          <w:iCs/>
        </w:rPr>
        <w:t xml:space="preserve"> of Gaius </w:t>
      </w:r>
      <w:proofErr w:type="spellStart"/>
      <w:r>
        <w:rPr>
          <w:i/>
          <w:iCs/>
        </w:rPr>
        <w:t>Valerius</w:t>
      </w:r>
      <w:proofErr w:type="spellEnd"/>
      <w:r>
        <w:rPr>
          <w:i/>
          <w:iCs/>
        </w:rPr>
        <w:t xml:space="preserve"> Catullus. </w:t>
      </w:r>
      <w:r>
        <w:t xml:space="preserve">Leonard C. Smithers. (London: Smithers, 1894). </w:t>
      </w:r>
    </w:p>
    <w:p w:rsidR="00090B70" w:rsidRDefault="00090B70" w:rsidP="00090B70">
      <w:pPr>
        <w:pStyle w:val="ListParagraph"/>
        <w:numPr>
          <w:ilvl w:val="0"/>
          <w:numId w:val="2"/>
        </w:numPr>
      </w:pPr>
      <w:r>
        <w:t xml:space="preserve">Statius, P. </w:t>
      </w:r>
      <w:proofErr w:type="spellStart"/>
      <w:r>
        <w:t>Papinius</w:t>
      </w:r>
      <w:proofErr w:type="spellEnd"/>
      <w:r>
        <w:t xml:space="preserve"> &amp; Shackleton Bailey, </w:t>
      </w:r>
      <w:proofErr w:type="spellStart"/>
      <w:r>
        <w:rPr>
          <w:i/>
          <w:iCs/>
        </w:rPr>
        <w:t>Thebaid</w:t>
      </w:r>
      <w:proofErr w:type="spellEnd"/>
      <w:r>
        <w:rPr>
          <w:i/>
          <w:iCs/>
        </w:rPr>
        <w:t xml:space="preserve">, books VIII-XII; </w:t>
      </w:r>
      <w:proofErr w:type="spellStart"/>
      <w:r>
        <w:rPr>
          <w:i/>
          <w:iCs/>
        </w:rPr>
        <w:t>Achilleid</w:t>
      </w:r>
      <w:proofErr w:type="spellEnd"/>
      <w:r>
        <w:rPr>
          <w:i/>
          <w:iCs/>
        </w:rPr>
        <w:t xml:space="preserve">. </w:t>
      </w:r>
      <w:r>
        <w:t xml:space="preserve">(Harvard University Press, 2003). </w:t>
      </w:r>
    </w:p>
    <w:p w:rsidR="00090B70" w:rsidRPr="00090B70" w:rsidRDefault="00090B70" w:rsidP="00090B70">
      <w:pPr>
        <w:pStyle w:val="ListParagraph"/>
        <w:numPr>
          <w:ilvl w:val="0"/>
          <w:numId w:val="2"/>
        </w:numPr>
      </w:pPr>
      <w:r>
        <w:rPr>
          <w:i/>
          <w:iCs/>
        </w:rPr>
        <w:t xml:space="preserve">The Metamorphoses of Ovid, </w:t>
      </w:r>
      <w:r>
        <w:t xml:space="preserve">Trans. Mary M. Innes. (London: The Penguin Group, 1995). </w:t>
      </w:r>
    </w:p>
    <w:p w:rsidR="00D32257" w:rsidRDefault="00D32257" w:rsidP="00C06563">
      <w:r>
        <w:rPr>
          <w:u w:val="single"/>
        </w:rPr>
        <w:t xml:space="preserve">Secondary Sources. </w:t>
      </w:r>
    </w:p>
    <w:p w:rsidR="009F283B" w:rsidRDefault="009F283B" w:rsidP="00D32257">
      <w:pPr>
        <w:pStyle w:val="ListParagraph"/>
        <w:numPr>
          <w:ilvl w:val="0"/>
          <w:numId w:val="1"/>
        </w:numPr>
      </w:pPr>
      <w:proofErr w:type="spellStart"/>
      <w:r>
        <w:t>Barchiesi</w:t>
      </w:r>
      <w:proofErr w:type="spellEnd"/>
      <w:r>
        <w:t xml:space="preserve">, A. ‘Masculinity in the 90s: The Education of Achilles in Statius and Quintilian’, in </w:t>
      </w:r>
      <w:proofErr w:type="spellStart"/>
      <w:r>
        <w:t>Paschslis</w:t>
      </w:r>
      <w:proofErr w:type="spellEnd"/>
      <w:r>
        <w:t xml:space="preserve">, M. </w:t>
      </w:r>
      <w:r>
        <w:rPr>
          <w:i/>
          <w:iCs/>
        </w:rPr>
        <w:t xml:space="preserve">Roman and Greek Imperial Epic. </w:t>
      </w:r>
      <w:r>
        <w:t xml:space="preserve">(Michael Paschalis, 2005). </w:t>
      </w:r>
    </w:p>
    <w:p w:rsidR="009F283B" w:rsidRDefault="009F283B" w:rsidP="00D32257">
      <w:pPr>
        <w:pStyle w:val="ListParagraph"/>
        <w:numPr>
          <w:ilvl w:val="0"/>
          <w:numId w:val="1"/>
        </w:numPr>
      </w:pPr>
      <w:proofErr w:type="spellStart"/>
      <w:r>
        <w:t>Cyrino</w:t>
      </w:r>
      <w:proofErr w:type="spellEnd"/>
      <w:r>
        <w:t>, M. S, ‘Heroes in D(u)</w:t>
      </w:r>
      <w:proofErr w:type="spellStart"/>
      <w:r>
        <w:t>ress</w:t>
      </w:r>
      <w:proofErr w:type="spellEnd"/>
      <w:r>
        <w:t xml:space="preserve">: Transvestism and Power in the Myths </w:t>
      </w:r>
      <w:r w:rsidR="00BD7F08">
        <w:t xml:space="preserve">of </w:t>
      </w:r>
      <w:r>
        <w:t xml:space="preserve">Herakles and Achilles’, </w:t>
      </w:r>
      <w:r>
        <w:rPr>
          <w:i/>
          <w:iCs/>
        </w:rPr>
        <w:t xml:space="preserve">Arethusa, </w:t>
      </w:r>
      <w:r>
        <w:t xml:space="preserve">31(2) (1998), pp. 207-241. </w:t>
      </w:r>
    </w:p>
    <w:p w:rsidR="00D120CC" w:rsidRDefault="00D120CC" w:rsidP="00D32257">
      <w:pPr>
        <w:pStyle w:val="ListParagraph"/>
        <w:numPr>
          <w:ilvl w:val="0"/>
          <w:numId w:val="1"/>
        </w:numPr>
      </w:pPr>
      <w:r>
        <w:t xml:space="preserve">Knox, B, ‘Achilles’, </w:t>
      </w:r>
      <w:r>
        <w:rPr>
          <w:i/>
          <w:iCs/>
        </w:rPr>
        <w:t>Grand Street</w:t>
      </w:r>
      <w:r>
        <w:t xml:space="preserve">, 9(3) (1990), pp. 129-150. </w:t>
      </w:r>
    </w:p>
    <w:p w:rsidR="00D32257" w:rsidRDefault="00D32257" w:rsidP="00D32257">
      <w:pPr>
        <w:pStyle w:val="ListParagraph"/>
        <w:numPr>
          <w:ilvl w:val="0"/>
          <w:numId w:val="1"/>
        </w:numPr>
      </w:pPr>
      <w:proofErr w:type="spellStart"/>
      <w:r>
        <w:t>Mendelohn</w:t>
      </w:r>
      <w:proofErr w:type="spellEnd"/>
      <w:r>
        <w:t>, D, ‘Empty Nest, Abandoned Cave: Maternal Anxiety in “</w:t>
      </w:r>
      <w:proofErr w:type="spellStart"/>
      <w:r>
        <w:t>Achilleid</w:t>
      </w:r>
      <w:proofErr w:type="spellEnd"/>
      <w:r>
        <w:t>” 1’</w:t>
      </w:r>
      <w:r w:rsidR="00D120CC">
        <w:t>,</w:t>
      </w:r>
      <w:r>
        <w:t xml:space="preserve"> </w:t>
      </w:r>
      <w:r>
        <w:rPr>
          <w:i/>
          <w:iCs/>
        </w:rPr>
        <w:t xml:space="preserve">Classical Antiquity, </w:t>
      </w:r>
      <w:r>
        <w:t xml:space="preserve">9(2) (1990), pp. 295-308. </w:t>
      </w:r>
    </w:p>
    <w:p w:rsidR="00D120CC" w:rsidRPr="00D32257" w:rsidRDefault="00D120CC" w:rsidP="00435A23">
      <w:pPr>
        <w:ind w:left="360"/>
      </w:pPr>
    </w:p>
    <w:sectPr w:rsidR="00D120CC" w:rsidRPr="00D322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6A8B" w:rsidRDefault="00496A8B" w:rsidP="009A3BE5">
      <w:pPr>
        <w:spacing w:after="0" w:line="240" w:lineRule="auto"/>
      </w:pPr>
      <w:r>
        <w:separator/>
      </w:r>
    </w:p>
  </w:endnote>
  <w:endnote w:type="continuationSeparator" w:id="0">
    <w:p w:rsidR="00496A8B" w:rsidRDefault="00496A8B" w:rsidP="009A3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6A8B" w:rsidRDefault="00496A8B" w:rsidP="009A3BE5">
      <w:pPr>
        <w:spacing w:after="0" w:line="240" w:lineRule="auto"/>
      </w:pPr>
      <w:r>
        <w:separator/>
      </w:r>
    </w:p>
  </w:footnote>
  <w:footnote w:type="continuationSeparator" w:id="0">
    <w:p w:rsidR="00496A8B" w:rsidRDefault="00496A8B" w:rsidP="009A3BE5">
      <w:pPr>
        <w:spacing w:after="0" w:line="240" w:lineRule="auto"/>
      </w:pPr>
      <w:r>
        <w:continuationSeparator/>
      </w:r>
    </w:p>
  </w:footnote>
  <w:footnote w:id="1">
    <w:p w:rsidR="00DE672A" w:rsidRPr="009A3BE5" w:rsidRDefault="00DE672A">
      <w:pPr>
        <w:pStyle w:val="FootnoteText"/>
      </w:pPr>
      <w:r>
        <w:rPr>
          <w:rStyle w:val="FootnoteReference"/>
        </w:rPr>
        <w:footnoteRef/>
      </w:r>
      <w:r>
        <w:t xml:space="preserve"> Catullus. </w:t>
      </w:r>
      <w:r>
        <w:rPr>
          <w:i/>
          <w:iCs/>
        </w:rPr>
        <w:t xml:space="preserve">The </w:t>
      </w:r>
      <w:proofErr w:type="spellStart"/>
      <w:r>
        <w:rPr>
          <w:i/>
          <w:iCs/>
        </w:rPr>
        <w:t>Carmia</w:t>
      </w:r>
      <w:proofErr w:type="spellEnd"/>
      <w:r>
        <w:rPr>
          <w:i/>
          <w:iCs/>
        </w:rPr>
        <w:t xml:space="preserve"> of Gaius </w:t>
      </w:r>
      <w:proofErr w:type="spellStart"/>
      <w:r>
        <w:rPr>
          <w:i/>
          <w:iCs/>
        </w:rPr>
        <w:t>Valerius</w:t>
      </w:r>
      <w:proofErr w:type="spellEnd"/>
      <w:r>
        <w:rPr>
          <w:i/>
          <w:iCs/>
        </w:rPr>
        <w:t xml:space="preserve"> Catullus. </w:t>
      </w:r>
      <w:r>
        <w:t xml:space="preserve">Leonard C. Smithers, (London: Smithers, 1894). </w:t>
      </w:r>
    </w:p>
  </w:footnote>
  <w:footnote w:id="2">
    <w:p w:rsidR="00DE672A" w:rsidRPr="00FD09CA" w:rsidRDefault="00DE672A">
      <w:pPr>
        <w:pStyle w:val="FootnoteText"/>
      </w:pPr>
      <w:r>
        <w:rPr>
          <w:rStyle w:val="FootnoteReference"/>
        </w:rPr>
        <w:footnoteRef/>
      </w:r>
      <w:r>
        <w:t xml:space="preserve"> Daniel </w:t>
      </w:r>
      <w:proofErr w:type="spellStart"/>
      <w:r>
        <w:t>Mendelohn</w:t>
      </w:r>
      <w:proofErr w:type="spellEnd"/>
      <w:r>
        <w:t>, ‘Empty Nest, Abandoned Cave: Maternal Anxiety in “</w:t>
      </w:r>
      <w:proofErr w:type="spellStart"/>
      <w:r>
        <w:t>Achilleid</w:t>
      </w:r>
      <w:proofErr w:type="spellEnd"/>
      <w:r>
        <w:t xml:space="preserve">” 1’, </w:t>
      </w:r>
      <w:r>
        <w:rPr>
          <w:i/>
          <w:iCs/>
        </w:rPr>
        <w:t xml:space="preserve">Classical Antiquity, </w:t>
      </w:r>
      <w:r>
        <w:t xml:space="preserve">9(2) (1990), 295-308 (p. 298). </w:t>
      </w:r>
    </w:p>
  </w:footnote>
  <w:footnote w:id="3">
    <w:p w:rsidR="00DE672A" w:rsidRDefault="00DE672A">
      <w:pPr>
        <w:pStyle w:val="FootnoteText"/>
      </w:pPr>
      <w:r>
        <w:rPr>
          <w:rStyle w:val="FootnoteReference"/>
        </w:rPr>
        <w:footnoteRef/>
      </w:r>
      <w:r>
        <w:t xml:space="preserve"> Catullus. </w:t>
      </w:r>
    </w:p>
  </w:footnote>
  <w:footnote w:id="4">
    <w:p w:rsidR="00DE672A" w:rsidRDefault="00DE672A">
      <w:pPr>
        <w:pStyle w:val="FootnoteText"/>
      </w:pPr>
      <w:r>
        <w:rPr>
          <w:rStyle w:val="FootnoteReference"/>
        </w:rPr>
        <w:footnoteRef/>
      </w:r>
      <w:r>
        <w:t xml:space="preserve"> Daniel </w:t>
      </w:r>
      <w:proofErr w:type="spellStart"/>
      <w:r>
        <w:t>Mendelohn</w:t>
      </w:r>
      <w:proofErr w:type="spellEnd"/>
      <w:r>
        <w:t xml:space="preserve">, ‘Empty Nest’, p. 299. </w:t>
      </w:r>
    </w:p>
  </w:footnote>
  <w:footnote w:id="5">
    <w:p w:rsidR="00DE672A" w:rsidRDefault="00DE672A">
      <w:pPr>
        <w:pStyle w:val="FootnoteText"/>
      </w:pPr>
      <w:r>
        <w:rPr>
          <w:rStyle w:val="FootnoteReference"/>
        </w:rPr>
        <w:footnoteRef/>
      </w:r>
      <w:r>
        <w:t xml:space="preserve"> Catullus. </w:t>
      </w:r>
    </w:p>
  </w:footnote>
  <w:footnote w:id="6">
    <w:p w:rsidR="00DE672A" w:rsidRDefault="00DE672A">
      <w:pPr>
        <w:pStyle w:val="FootnoteText"/>
      </w:pPr>
      <w:r>
        <w:rPr>
          <w:rStyle w:val="FootnoteReference"/>
        </w:rPr>
        <w:footnoteRef/>
      </w:r>
      <w:r>
        <w:t xml:space="preserve"> Daniel </w:t>
      </w:r>
      <w:proofErr w:type="spellStart"/>
      <w:r>
        <w:t>Mendelohn</w:t>
      </w:r>
      <w:proofErr w:type="spellEnd"/>
      <w:r>
        <w:t xml:space="preserve">, ‘Empty Nest’, p. 300. </w:t>
      </w:r>
    </w:p>
  </w:footnote>
  <w:footnote w:id="7">
    <w:p w:rsidR="00DE672A" w:rsidRPr="00BD7F08" w:rsidRDefault="00DE672A">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8">
    <w:p w:rsidR="00DE672A" w:rsidRPr="0008739F" w:rsidRDefault="00DE672A">
      <w:pPr>
        <w:pStyle w:val="FootnoteText"/>
      </w:pPr>
      <w:r>
        <w:rPr>
          <w:rStyle w:val="FootnoteReference"/>
        </w:rPr>
        <w:footnoteRef/>
      </w:r>
      <w:r>
        <w:t xml:space="preserve"> Statius, P. </w:t>
      </w:r>
      <w:proofErr w:type="spellStart"/>
      <w:r>
        <w:t>Papinius</w:t>
      </w:r>
      <w:proofErr w:type="spellEnd"/>
      <w:r>
        <w:t xml:space="preserve"> &amp; Shackleton Bailey, </w:t>
      </w:r>
      <w:proofErr w:type="spellStart"/>
      <w:r>
        <w:rPr>
          <w:i/>
          <w:iCs/>
        </w:rPr>
        <w:t>Thebaid</w:t>
      </w:r>
      <w:proofErr w:type="spellEnd"/>
      <w:r>
        <w:rPr>
          <w:i/>
          <w:iCs/>
        </w:rPr>
        <w:t xml:space="preserve">, books VIII-XII; </w:t>
      </w:r>
      <w:proofErr w:type="spellStart"/>
      <w:r>
        <w:rPr>
          <w:i/>
          <w:iCs/>
        </w:rPr>
        <w:t>Achilleid</w:t>
      </w:r>
      <w:proofErr w:type="spellEnd"/>
      <w:r>
        <w:rPr>
          <w:i/>
          <w:iCs/>
        </w:rPr>
        <w:t xml:space="preserve">. </w:t>
      </w:r>
      <w:r>
        <w:t xml:space="preserve">(Harvard University Press, 2003). </w:t>
      </w:r>
    </w:p>
  </w:footnote>
  <w:footnote w:id="9">
    <w:p w:rsidR="00DE672A" w:rsidRDefault="00DE672A">
      <w:pPr>
        <w:pStyle w:val="FootnoteText"/>
      </w:pPr>
      <w:r>
        <w:rPr>
          <w:rStyle w:val="FootnoteReference"/>
        </w:rPr>
        <w:footnoteRef/>
      </w:r>
      <w:r>
        <w:t xml:space="preserve"> Daniel </w:t>
      </w:r>
      <w:proofErr w:type="spellStart"/>
      <w:r>
        <w:t>Mendelohn</w:t>
      </w:r>
      <w:proofErr w:type="spellEnd"/>
      <w:r>
        <w:t xml:space="preserve">, ‘Empty Nest’, p. 299. </w:t>
      </w:r>
    </w:p>
  </w:footnote>
  <w:footnote w:id="10">
    <w:p w:rsidR="00DE672A" w:rsidRDefault="00DE672A">
      <w:pPr>
        <w:pStyle w:val="FootnoteText"/>
      </w:pPr>
      <w:r>
        <w:rPr>
          <w:rStyle w:val="FootnoteReference"/>
        </w:rPr>
        <w:footnoteRef/>
      </w:r>
      <w:r>
        <w:t xml:space="preserve"> Ibid. </w:t>
      </w:r>
    </w:p>
  </w:footnote>
  <w:footnote w:id="11">
    <w:p w:rsidR="00DE672A" w:rsidRPr="00223448" w:rsidRDefault="00DE672A">
      <w:pPr>
        <w:pStyle w:val="FootnoteText"/>
        <w:rPr>
          <w:i/>
          <w:iCs/>
        </w:rPr>
      </w:pPr>
      <w:r>
        <w:rPr>
          <w:rStyle w:val="FootnoteReference"/>
        </w:rPr>
        <w:footnoteRef/>
      </w:r>
      <w:r>
        <w:t xml:space="preserve"> </w:t>
      </w:r>
      <w:proofErr w:type="spellStart"/>
      <w:r>
        <w:rPr>
          <w:i/>
          <w:iCs/>
        </w:rPr>
        <w:t>Achilleid</w:t>
      </w:r>
      <w:proofErr w:type="spellEnd"/>
      <w:r>
        <w:rPr>
          <w:i/>
          <w:iCs/>
        </w:rPr>
        <w:t xml:space="preserve">. </w:t>
      </w:r>
    </w:p>
  </w:footnote>
  <w:footnote w:id="12">
    <w:p w:rsidR="00DE672A" w:rsidRPr="001567BD" w:rsidRDefault="00DE672A">
      <w:pPr>
        <w:pStyle w:val="FootnoteText"/>
      </w:pPr>
      <w:r>
        <w:rPr>
          <w:rStyle w:val="FootnoteReference"/>
        </w:rPr>
        <w:footnoteRef/>
      </w:r>
      <w:r>
        <w:t xml:space="preserve"> Alessandro </w:t>
      </w:r>
      <w:proofErr w:type="spellStart"/>
      <w:r>
        <w:t>Barchiesi</w:t>
      </w:r>
      <w:proofErr w:type="spellEnd"/>
      <w:r>
        <w:t xml:space="preserve">. ‘Masculinity in the 90s: The Education of Achilles in Statius and Quintilian’, in Michael </w:t>
      </w:r>
      <w:proofErr w:type="spellStart"/>
      <w:r>
        <w:t>Paschslis</w:t>
      </w:r>
      <w:proofErr w:type="spellEnd"/>
      <w:r>
        <w:t xml:space="preserve">, M. </w:t>
      </w:r>
      <w:r>
        <w:rPr>
          <w:i/>
          <w:iCs/>
        </w:rPr>
        <w:t>Roman and Greek Imperial Epic.</w:t>
      </w:r>
      <w:r>
        <w:t xml:space="preserve"> (Michael Paschalis, 2005) p. 52.</w:t>
      </w:r>
    </w:p>
  </w:footnote>
  <w:footnote w:id="13">
    <w:p w:rsidR="00DE672A" w:rsidRPr="005D4B08" w:rsidRDefault="00DE672A">
      <w:pPr>
        <w:pStyle w:val="FootnoteText"/>
      </w:pPr>
      <w:r>
        <w:rPr>
          <w:rStyle w:val="FootnoteReference"/>
        </w:rPr>
        <w:footnoteRef/>
      </w:r>
      <w:r>
        <w:t xml:space="preserve"> </w:t>
      </w:r>
      <w:proofErr w:type="spellStart"/>
      <w:r>
        <w:rPr>
          <w:i/>
          <w:iCs/>
        </w:rPr>
        <w:t>Achilleird</w:t>
      </w:r>
      <w:proofErr w:type="spellEnd"/>
      <w:r>
        <w:rPr>
          <w:i/>
          <w:iCs/>
        </w:rPr>
        <w:t xml:space="preserve">. </w:t>
      </w:r>
    </w:p>
  </w:footnote>
  <w:footnote w:id="14">
    <w:p w:rsidR="00DE672A" w:rsidRDefault="00DE672A">
      <w:pPr>
        <w:pStyle w:val="FootnoteText"/>
      </w:pPr>
      <w:r>
        <w:t xml:space="preserve">. </w:t>
      </w:r>
      <w:r>
        <w:rPr>
          <w:rStyle w:val="FootnoteReference"/>
        </w:rPr>
        <w:footnoteRef/>
      </w:r>
      <w:r>
        <w:t xml:space="preserve"> Alessandro </w:t>
      </w:r>
      <w:proofErr w:type="spellStart"/>
      <w:r>
        <w:t>Barchiesi</w:t>
      </w:r>
      <w:proofErr w:type="spellEnd"/>
      <w:r>
        <w:t xml:space="preserve">, ‘Masculinity in the 90s’, p. </w:t>
      </w:r>
    </w:p>
  </w:footnote>
  <w:footnote w:id="15">
    <w:p w:rsidR="00DE672A" w:rsidRPr="00BD7F08" w:rsidRDefault="00DE672A">
      <w:pPr>
        <w:pStyle w:val="FootnoteText"/>
      </w:pPr>
      <w:r>
        <w:rPr>
          <w:rStyle w:val="FootnoteReference"/>
        </w:rPr>
        <w:footnoteRef/>
      </w:r>
      <w:r>
        <w:t xml:space="preserve"> Monica Silveira </w:t>
      </w:r>
      <w:proofErr w:type="spellStart"/>
      <w:r>
        <w:t>Cyrino</w:t>
      </w:r>
      <w:proofErr w:type="spellEnd"/>
      <w:r>
        <w:t>, ‘Heroes in D(u)</w:t>
      </w:r>
      <w:proofErr w:type="spellStart"/>
      <w:r>
        <w:t>ress</w:t>
      </w:r>
      <w:proofErr w:type="spellEnd"/>
      <w:r>
        <w:t xml:space="preserve">: Transvestism and Power in the Myths of Herakles and Achilles’, </w:t>
      </w:r>
      <w:r>
        <w:rPr>
          <w:i/>
          <w:iCs/>
        </w:rPr>
        <w:t xml:space="preserve">Arethusa, </w:t>
      </w:r>
      <w:r>
        <w:t xml:space="preserve">31(2) (1998), 207-241 (p. 211). </w:t>
      </w:r>
    </w:p>
  </w:footnote>
  <w:footnote w:id="16">
    <w:p w:rsidR="00DE672A" w:rsidRDefault="00DE672A">
      <w:pPr>
        <w:pStyle w:val="FootnoteText"/>
      </w:pPr>
      <w:r>
        <w:rPr>
          <w:rStyle w:val="FootnoteReference"/>
        </w:rPr>
        <w:footnoteRef/>
      </w:r>
      <w:r>
        <w:t xml:space="preserve"> Monica Silveira </w:t>
      </w:r>
      <w:proofErr w:type="spellStart"/>
      <w:r>
        <w:t>Cyrino</w:t>
      </w:r>
      <w:proofErr w:type="spellEnd"/>
      <w:r>
        <w:t>, ‘Heroes in D(u)</w:t>
      </w:r>
      <w:proofErr w:type="spellStart"/>
      <w:r>
        <w:t>ress</w:t>
      </w:r>
      <w:proofErr w:type="spellEnd"/>
      <w:r>
        <w:t xml:space="preserve">’, p. 211. </w:t>
      </w:r>
    </w:p>
  </w:footnote>
  <w:footnote w:id="17">
    <w:p w:rsidR="00DE672A" w:rsidRPr="003E635D" w:rsidRDefault="00DE672A">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18">
    <w:p w:rsidR="00DE672A" w:rsidRPr="00DB0D02" w:rsidRDefault="00DE672A">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19">
    <w:p w:rsidR="00DE672A" w:rsidRPr="004551E2" w:rsidRDefault="00DE672A">
      <w:pPr>
        <w:pStyle w:val="FootnoteText"/>
      </w:pPr>
      <w:r>
        <w:rPr>
          <w:rStyle w:val="FootnoteReference"/>
        </w:rPr>
        <w:footnoteRef/>
      </w:r>
      <w:r>
        <w:t xml:space="preserve"> </w:t>
      </w:r>
      <w:r>
        <w:rPr>
          <w:i/>
          <w:iCs/>
        </w:rPr>
        <w:t xml:space="preserve">The Metamorphoses of Ovid, </w:t>
      </w:r>
      <w:r>
        <w:t xml:space="preserve">Trans. Mary M. Innes. (London: The Penguin Group, 1995). </w:t>
      </w:r>
    </w:p>
  </w:footnote>
  <w:footnote w:id="20">
    <w:p w:rsidR="00DE672A" w:rsidRDefault="00DE672A">
      <w:pPr>
        <w:pStyle w:val="FootnoteText"/>
      </w:pPr>
      <w:r>
        <w:rPr>
          <w:rStyle w:val="FootnoteReference"/>
        </w:rPr>
        <w:footnoteRef/>
      </w:r>
      <w:r>
        <w:t xml:space="preserve"> Daniel </w:t>
      </w:r>
      <w:proofErr w:type="spellStart"/>
      <w:r>
        <w:t>Mendelohn</w:t>
      </w:r>
      <w:proofErr w:type="spellEnd"/>
      <w:r>
        <w:t xml:space="preserve">, ‘Empty Nest’, p. 305. </w:t>
      </w:r>
    </w:p>
  </w:footnote>
  <w:footnote w:id="21">
    <w:p w:rsidR="00DE672A" w:rsidRDefault="00DE672A">
      <w:pPr>
        <w:pStyle w:val="FootnoteText"/>
      </w:pPr>
      <w:r>
        <w:rPr>
          <w:rStyle w:val="FootnoteReference"/>
        </w:rPr>
        <w:footnoteRef/>
      </w:r>
      <w:r>
        <w:t xml:space="preserve"> Monica Silveira </w:t>
      </w:r>
      <w:proofErr w:type="spellStart"/>
      <w:r>
        <w:t>Cyrino</w:t>
      </w:r>
      <w:proofErr w:type="spellEnd"/>
      <w:r>
        <w:t>, ‘Heroes in D(u)</w:t>
      </w:r>
      <w:proofErr w:type="spellStart"/>
      <w:r>
        <w:t>ress</w:t>
      </w:r>
      <w:proofErr w:type="spellEnd"/>
      <w:r>
        <w:t xml:space="preserve">’, p. 231. </w:t>
      </w:r>
    </w:p>
  </w:footnote>
  <w:footnote w:id="22">
    <w:p w:rsidR="00DE672A" w:rsidRPr="00352169" w:rsidRDefault="00DE672A">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23">
    <w:p w:rsidR="00DE672A" w:rsidRDefault="00DE672A">
      <w:pPr>
        <w:pStyle w:val="FootnoteText"/>
      </w:pPr>
      <w:r>
        <w:rPr>
          <w:rStyle w:val="FootnoteReference"/>
        </w:rPr>
        <w:footnoteRef/>
      </w:r>
      <w:r>
        <w:t xml:space="preserve"> Daniel </w:t>
      </w:r>
      <w:proofErr w:type="spellStart"/>
      <w:r>
        <w:t>Mendelohn</w:t>
      </w:r>
      <w:proofErr w:type="spellEnd"/>
      <w:r>
        <w:t xml:space="preserve">, ‘Empty Nest’, p. 296. </w:t>
      </w:r>
    </w:p>
  </w:footnote>
  <w:footnote w:id="24">
    <w:p w:rsidR="00C06F27" w:rsidRDefault="00C06F27">
      <w:pPr>
        <w:pStyle w:val="FootnoteText"/>
      </w:pPr>
      <w:r>
        <w:rPr>
          <w:rStyle w:val="FootnoteReference"/>
        </w:rPr>
        <w:footnoteRef/>
      </w:r>
      <w:r>
        <w:t xml:space="preserve"> Monica Silveira </w:t>
      </w:r>
      <w:proofErr w:type="spellStart"/>
      <w:r>
        <w:t>Cyrino</w:t>
      </w:r>
      <w:proofErr w:type="spellEnd"/>
      <w:r>
        <w:t>, ‘Heroes in D(u)</w:t>
      </w:r>
      <w:proofErr w:type="spellStart"/>
      <w:r>
        <w:t>ress</w:t>
      </w:r>
      <w:proofErr w:type="spellEnd"/>
      <w:r>
        <w:t xml:space="preserve">’, p. 237. </w:t>
      </w:r>
    </w:p>
  </w:footnote>
  <w:footnote w:id="25">
    <w:p w:rsidR="001C515A" w:rsidRPr="001C515A" w:rsidRDefault="001C515A">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26">
    <w:p w:rsidR="001C515A" w:rsidRDefault="001C515A">
      <w:pPr>
        <w:pStyle w:val="FootnoteText"/>
      </w:pPr>
      <w:r>
        <w:rPr>
          <w:rStyle w:val="FootnoteReference"/>
        </w:rPr>
        <w:footnoteRef/>
      </w:r>
      <w:r>
        <w:t xml:space="preserve"> Monica Silveira </w:t>
      </w:r>
      <w:proofErr w:type="spellStart"/>
      <w:r>
        <w:t>Cyrino</w:t>
      </w:r>
      <w:proofErr w:type="spellEnd"/>
      <w:r>
        <w:t>, ‘Heroes in D(u)</w:t>
      </w:r>
      <w:proofErr w:type="spellStart"/>
      <w:r>
        <w:t>ress</w:t>
      </w:r>
      <w:proofErr w:type="spellEnd"/>
      <w:r>
        <w:t xml:space="preserve">’, p. 228. </w:t>
      </w:r>
    </w:p>
  </w:footnote>
  <w:footnote w:id="27">
    <w:p w:rsidR="00421E96" w:rsidRPr="00421E96" w:rsidRDefault="00421E96">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28">
    <w:p w:rsidR="00427F85" w:rsidRDefault="00427F85">
      <w:pPr>
        <w:pStyle w:val="FootnoteText"/>
      </w:pPr>
      <w:r>
        <w:rPr>
          <w:rStyle w:val="FootnoteReference"/>
        </w:rPr>
        <w:footnoteRef/>
      </w:r>
      <w:r>
        <w:t xml:space="preserve"> Monica Silve</w:t>
      </w:r>
      <w:r w:rsidR="00F70764">
        <w:t>ir</w:t>
      </w:r>
      <w:r>
        <w:t xml:space="preserve">a </w:t>
      </w:r>
      <w:proofErr w:type="spellStart"/>
      <w:r>
        <w:t>Cyrino</w:t>
      </w:r>
      <w:proofErr w:type="spellEnd"/>
      <w:r>
        <w:t>, ‘Heroes in D(u)</w:t>
      </w:r>
      <w:proofErr w:type="spellStart"/>
      <w:r>
        <w:t>ress</w:t>
      </w:r>
      <w:proofErr w:type="spellEnd"/>
      <w:r>
        <w:t xml:space="preserve">’, p. 230. </w:t>
      </w:r>
    </w:p>
  </w:footnote>
  <w:footnote w:id="29">
    <w:p w:rsidR="00427F85" w:rsidRPr="00427F85" w:rsidRDefault="00427F85">
      <w:pPr>
        <w:pStyle w:val="FootnoteText"/>
      </w:pPr>
      <w:r>
        <w:rPr>
          <w:rStyle w:val="FootnoteReference"/>
        </w:rPr>
        <w:footnoteRef/>
      </w:r>
      <w:r>
        <w:t xml:space="preserve"> </w:t>
      </w:r>
      <w:proofErr w:type="spellStart"/>
      <w:r>
        <w:rPr>
          <w:i/>
          <w:iCs/>
        </w:rPr>
        <w:t>Achilleid</w:t>
      </w:r>
      <w:proofErr w:type="spellEnd"/>
      <w:r>
        <w:rPr>
          <w:i/>
          <w:iCs/>
        </w:rPr>
        <w:t xml:space="preserve">. </w:t>
      </w:r>
    </w:p>
  </w:footnote>
  <w:footnote w:id="30">
    <w:p w:rsidR="00F70764" w:rsidRDefault="00F70764">
      <w:pPr>
        <w:pStyle w:val="FootnoteText"/>
      </w:pPr>
      <w:r>
        <w:rPr>
          <w:rStyle w:val="FootnoteReference"/>
        </w:rPr>
        <w:footnoteRef/>
      </w:r>
      <w:r>
        <w:t xml:space="preserve"> Monica </w:t>
      </w:r>
      <w:proofErr w:type="spellStart"/>
      <w:r>
        <w:t>SilveiraCyrino</w:t>
      </w:r>
      <w:proofErr w:type="spellEnd"/>
      <w:r>
        <w:t>, ‘Heroes in D(u)</w:t>
      </w:r>
      <w:proofErr w:type="spellStart"/>
      <w:r>
        <w:t>ress</w:t>
      </w:r>
      <w:proofErr w:type="spellEnd"/>
      <w:r>
        <w:t xml:space="preserve">’, p. 230. </w:t>
      </w:r>
    </w:p>
  </w:footnote>
  <w:footnote w:id="31">
    <w:p w:rsidR="00BF33B8" w:rsidRPr="00BF33B8" w:rsidRDefault="00BF33B8">
      <w:pPr>
        <w:pStyle w:val="FootnoteText"/>
      </w:pPr>
      <w:r>
        <w:rPr>
          <w:rStyle w:val="FootnoteReference"/>
        </w:rPr>
        <w:footnoteRef/>
      </w:r>
      <w:r>
        <w:t xml:space="preserve"> </w:t>
      </w:r>
      <w:r>
        <w:rPr>
          <w:i/>
          <w:iCs/>
        </w:rPr>
        <w:t xml:space="preserve">The Metamorphoses of Ovid. </w:t>
      </w:r>
    </w:p>
  </w:footnote>
  <w:footnote w:id="32">
    <w:p w:rsidR="00BF33B8" w:rsidRDefault="00BF33B8">
      <w:pPr>
        <w:pStyle w:val="FootnoteText"/>
      </w:pPr>
      <w:r>
        <w:rPr>
          <w:rStyle w:val="FootnoteReference"/>
        </w:rPr>
        <w:footnoteRef/>
      </w:r>
      <w:r>
        <w:t xml:space="preserve"> Ibid. </w:t>
      </w:r>
    </w:p>
  </w:footnote>
  <w:footnote w:id="33">
    <w:p w:rsidR="00317B07" w:rsidRPr="00317B07" w:rsidRDefault="00317B07">
      <w:pPr>
        <w:pStyle w:val="FootnoteText"/>
      </w:pPr>
      <w:r>
        <w:rPr>
          <w:rStyle w:val="FootnoteReference"/>
        </w:rPr>
        <w:footnoteRef/>
      </w:r>
      <w:r>
        <w:t xml:space="preserve"> Bernard Knox, ‘Achilles’, </w:t>
      </w:r>
      <w:r>
        <w:rPr>
          <w:i/>
          <w:iCs/>
        </w:rPr>
        <w:t xml:space="preserve">Grand Street, </w:t>
      </w:r>
      <w:r>
        <w:t>9(3) (1990), 129-150 (p. 132.)</w:t>
      </w:r>
    </w:p>
  </w:footnote>
  <w:footnote w:id="34">
    <w:p w:rsidR="00317B07" w:rsidRDefault="00317B07">
      <w:pPr>
        <w:pStyle w:val="FootnoteText"/>
      </w:pPr>
      <w:r>
        <w:rPr>
          <w:rStyle w:val="FootnoteReference"/>
        </w:rPr>
        <w:footnoteRef/>
      </w:r>
      <w:r>
        <w:t xml:space="preserve"> Bernard Knox, ‘Achilles’, p. 132.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AC1519"/>
    <w:multiLevelType w:val="hybridMultilevel"/>
    <w:tmpl w:val="352E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38415E"/>
    <w:multiLevelType w:val="hybridMultilevel"/>
    <w:tmpl w:val="CFEE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563"/>
    <w:rsid w:val="00020473"/>
    <w:rsid w:val="0008739F"/>
    <w:rsid w:val="00090B70"/>
    <w:rsid w:val="00155031"/>
    <w:rsid w:val="001567BD"/>
    <w:rsid w:val="001C515A"/>
    <w:rsid w:val="00223448"/>
    <w:rsid w:val="002366AC"/>
    <w:rsid w:val="00236FB6"/>
    <w:rsid w:val="002548B9"/>
    <w:rsid w:val="002B078D"/>
    <w:rsid w:val="00311BFA"/>
    <w:rsid w:val="00317B07"/>
    <w:rsid w:val="00352169"/>
    <w:rsid w:val="003E635D"/>
    <w:rsid w:val="00421E96"/>
    <w:rsid w:val="00427F85"/>
    <w:rsid w:val="00435A23"/>
    <w:rsid w:val="0044489D"/>
    <w:rsid w:val="004551E2"/>
    <w:rsid w:val="00487A1C"/>
    <w:rsid w:val="00496A8B"/>
    <w:rsid w:val="00520F0A"/>
    <w:rsid w:val="005D4B08"/>
    <w:rsid w:val="006420C2"/>
    <w:rsid w:val="007E281E"/>
    <w:rsid w:val="00870CF6"/>
    <w:rsid w:val="00905774"/>
    <w:rsid w:val="009A3BE5"/>
    <w:rsid w:val="009F283B"/>
    <w:rsid w:val="00AC658B"/>
    <w:rsid w:val="00B6216B"/>
    <w:rsid w:val="00B962EA"/>
    <w:rsid w:val="00BD7F08"/>
    <w:rsid w:val="00BF33B8"/>
    <w:rsid w:val="00C06563"/>
    <w:rsid w:val="00C06F27"/>
    <w:rsid w:val="00C172B4"/>
    <w:rsid w:val="00CF14BF"/>
    <w:rsid w:val="00D120CC"/>
    <w:rsid w:val="00D32257"/>
    <w:rsid w:val="00D70617"/>
    <w:rsid w:val="00DA29AF"/>
    <w:rsid w:val="00DB0D02"/>
    <w:rsid w:val="00DC2FD8"/>
    <w:rsid w:val="00DE672A"/>
    <w:rsid w:val="00F70764"/>
    <w:rsid w:val="00F90B8D"/>
    <w:rsid w:val="00FD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69544C"/>
  <w15:chartTrackingRefBased/>
  <w15:docId w15:val="{2FD88C63-6E84-4F6A-B1BE-BDF75B6CD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257"/>
    <w:pPr>
      <w:ind w:left="720"/>
      <w:contextualSpacing/>
    </w:pPr>
  </w:style>
  <w:style w:type="paragraph" w:styleId="FootnoteText">
    <w:name w:val="footnote text"/>
    <w:basedOn w:val="Normal"/>
    <w:link w:val="FootnoteTextChar"/>
    <w:uiPriority w:val="99"/>
    <w:semiHidden/>
    <w:unhideWhenUsed/>
    <w:rsid w:val="009A3B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3BE5"/>
    <w:rPr>
      <w:sz w:val="20"/>
      <w:szCs w:val="20"/>
    </w:rPr>
  </w:style>
  <w:style w:type="character" w:styleId="FootnoteReference">
    <w:name w:val="footnote reference"/>
    <w:basedOn w:val="DefaultParagraphFont"/>
    <w:uiPriority w:val="99"/>
    <w:semiHidden/>
    <w:unhideWhenUsed/>
    <w:rsid w:val="009A3BE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6</Pages>
  <Words>2287</Words>
  <Characters>12491</Characters>
  <Application>Microsoft Office Word</Application>
  <DocSecurity>0</DocSecurity>
  <Lines>227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15</cp:revision>
  <dcterms:created xsi:type="dcterms:W3CDTF">2020-01-31T11:52:00Z</dcterms:created>
  <dcterms:modified xsi:type="dcterms:W3CDTF">2020-01-31T20:02:00Z</dcterms:modified>
</cp:coreProperties>
</file>