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146E4" w14:textId="77777777" w:rsidR="002E018A" w:rsidRPr="001B3ED4" w:rsidRDefault="002E018A" w:rsidP="002E018A">
      <w:pPr>
        <w:spacing w:after="158" w:line="360" w:lineRule="auto"/>
        <w:ind w:left="49"/>
        <w:jc w:val="center"/>
        <w:rPr>
          <w:rFonts w:ascii="Arial" w:hAnsi="Arial" w:cs="Arial"/>
        </w:rPr>
      </w:pPr>
      <w:r w:rsidRPr="001B3ED4">
        <w:rPr>
          <w:rFonts w:ascii="Arial" w:hAnsi="Arial" w:cs="Arial"/>
          <w:noProof/>
        </w:rPr>
        <w:drawing>
          <wp:inline distT="0" distB="0" distL="0" distR="0" wp14:anchorId="491A7461" wp14:editId="16EF9B63">
            <wp:extent cx="2411095" cy="954860"/>
            <wp:effectExtent l="0" t="0" r="8255" b="0"/>
            <wp:docPr id="2"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7263" cy="961263"/>
                    </a:xfrm>
                    <a:prstGeom prst="rect">
                      <a:avLst/>
                    </a:prstGeom>
                    <a:noFill/>
                  </pic:spPr>
                </pic:pic>
              </a:graphicData>
            </a:graphic>
          </wp:inline>
        </w:drawing>
      </w:r>
      <w:r w:rsidRPr="001B3ED4">
        <w:rPr>
          <w:rFonts w:ascii="Arial" w:eastAsia="Calibri" w:hAnsi="Arial" w:cs="Arial"/>
        </w:rPr>
        <w:t xml:space="preserve"> </w:t>
      </w:r>
    </w:p>
    <w:p w14:paraId="69B97F07" w14:textId="77777777" w:rsidR="002E018A" w:rsidRPr="001B3ED4" w:rsidRDefault="002E018A" w:rsidP="002E018A">
      <w:pPr>
        <w:spacing w:line="360" w:lineRule="auto"/>
        <w:ind w:left="49"/>
        <w:jc w:val="center"/>
        <w:rPr>
          <w:rFonts w:ascii="Arial" w:hAnsi="Arial" w:cs="Arial"/>
        </w:rPr>
      </w:pPr>
      <w:r w:rsidRPr="001B3ED4">
        <w:rPr>
          <w:rFonts w:ascii="Arial" w:eastAsia="Calibri" w:hAnsi="Arial" w:cs="Arial"/>
        </w:rPr>
        <w:t xml:space="preserve"> </w:t>
      </w:r>
    </w:p>
    <w:p w14:paraId="0C4B2675" w14:textId="77777777" w:rsidR="002E018A" w:rsidRPr="001B3ED4" w:rsidRDefault="002E018A" w:rsidP="002E018A">
      <w:pPr>
        <w:spacing w:after="158" w:line="360" w:lineRule="auto"/>
        <w:ind w:left="49"/>
        <w:jc w:val="center"/>
        <w:rPr>
          <w:rFonts w:ascii="Arial" w:hAnsi="Arial" w:cs="Arial"/>
        </w:rPr>
      </w:pPr>
      <w:r w:rsidRPr="001B3ED4">
        <w:rPr>
          <w:rFonts w:ascii="Arial" w:eastAsia="Calibri" w:hAnsi="Arial" w:cs="Arial"/>
        </w:rPr>
        <w:t xml:space="preserve"> </w:t>
      </w:r>
    </w:p>
    <w:p w14:paraId="3A0F1418" w14:textId="77777777" w:rsidR="002E018A" w:rsidRPr="001B3ED4" w:rsidRDefault="002E018A" w:rsidP="002E018A">
      <w:pPr>
        <w:spacing w:line="360" w:lineRule="auto"/>
        <w:ind w:left="49"/>
        <w:jc w:val="center"/>
        <w:rPr>
          <w:rFonts w:ascii="Arial" w:hAnsi="Arial" w:cs="Arial"/>
        </w:rPr>
      </w:pPr>
      <w:r w:rsidRPr="001B3ED4">
        <w:rPr>
          <w:rFonts w:ascii="Arial" w:eastAsia="Calibri" w:hAnsi="Arial" w:cs="Arial"/>
        </w:rPr>
        <w:t xml:space="preserve"> </w:t>
      </w:r>
    </w:p>
    <w:p w14:paraId="6F82C265" w14:textId="77777777" w:rsidR="002E018A" w:rsidRPr="001B3ED4" w:rsidRDefault="002E018A" w:rsidP="002E018A">
      <w:pPr>
        <w:jc w:val="center"/>
        <w:rPr>
          <w:rFonts w:ascii="Arial" w:hAnsi="Arial" w:cs="Arial"/>
          <w:b/>
          <w:bCs/>
        </w:rPr>
      </w:pPr>
      <w:r w:rsidRPr="001B3ED4">
        <w:rPr>
          <w:rFonts w:ascii="Arial" w:hAnsi="Arial" w:cs="Arial"/>
          <w:b/>
          <w:bCs/>
        </w:rPr>
        <w:t>Evaluating the impact of BCG (Bacillus Calmette Guerin) vaccination campaign on Tuberculosis (TB) in High-Risk Districts of Delhi’s (India) populations aged 15 to 60 years</w:t>
      </w:r>
      <w:r w:rsidRPr="001B3ED4">
        <w:rPr>
          <w:rFonts w:ascii="Arial" w:hAnsi="Arial" w:cs="Arial"/>
          <w:b/>
          <w:bCs/>
          <w:color w:val="000000"/>
        </w:rPr>
        <w:t>: A Systematic Review</w:t>
      </w:r>
    </w:p>
    <w:p w14:paraId="06688931" w14:textId="77777777" w:rsidR="002E018A" w:rsidRPr="001B3ED4" w:rsidRDefault="002E018A" w:rsidP="002E018A">
      <w:pPr>
        <w:spacing w:after="42" w:line="360" w:lineRule="auto"/>
        <w:ind w:left="89"/>
        <w:jc w:val="center"/>
        <w:rPr>
          <w:rFonts w:ascii="Arial" w:hAnsi="Arial" w:cs="Arial"/>
          <w:b/>
          <w:bCs/>
        </w:rPr>
      </w:pPr>
      <w:r w:rsidRPr="001B3ED4">
        <w:rPr>
          <w:rFonts w:ascii="Arial" w:hAnsi="Arial" w:cs="Arial"/>
          <w:b/>
          <w:bCs/>
        </w:rPr>
        <w:t xml:space="preserve"> </w:t>
      </w:r>
    </w:p>
    <w:p w14:paraId="7363D0E0" w14:textId="77777777" w:rsidR="002E018A" w:rsidRPr="001B3ED4" w:rsidRDefault="002E018A" w:rsidP="002E018A">
      <w:pPr>
        <w:spacing w:after="157" w:line="360" w:lineRule="auto"/>
        <w:ind w:left="2367" w:right="2358"/>
        <w:jc w:val="center"/>
        <w:rPr>
          <w:rFonts w:ascii="Arial" w:hAnsi="Arial" w:cs="Arial"/>
          <w:b/>
          <w:bCs/>
          <w:sz w:val="28"/>
          <w:szCs w:val="28"/>
        </w:rPr>
      </w:pPr>
      <w:r w:rsidRPr="001B3ED4">
        <w:rPr>
          <w:rFonts w:ascii="Arial" w:hAnsi="Arial" w:cs="Arial"/>
          <w:b/>
          <w:bCs/>
          <w:sz w:val="28"/>
          <w:szCs w:val="28"/>
        </w:rPr>
        <w:t xml:space="preserve">by </w:t>
      </w:r>
    </w:p>
    <w:p w14:paraId="5751046E" w14:textId="77777777" w:rsidR="002E018A" w:rsidRPr="001B3ED4" w:rsidRDefault="002E018A" w:rsidP="002E018A">
      <w:pPr>
        <w:spacing w:after="158" w:line="360" w:lineRule="auto"/>
        <w:ind w:left="59"/>
        <w:jc w:val="center"/>
        <w:rPr>
          <w:rFonts w:ascii="Arial" w:hAnsi="Arial" w:cs="Arial"/>
        </w:rPr>
      </w:pPr>
      <w:r w:rsidRPr="001B3ED4">
        <w:rPr>
          <w:rFonts w:ascii="Arial" w:hAnsi="Arial" w:cs="Arial"/>
        </w:rPr>
        <w:t xml:space="preserve"> </w:t>
      </w:r>
    </w:p>
    <w:p w14:paraId="5A23CEE5" w14:textId="4314B3E6" w:rsidR="002E018A" w:rsidRPr="001B3ED4" w:rsidRDefault="002E018A" w:rsidP="002E018A">
      <w:pPr>
        <w:spacing w:after="158" w:line="360" w:lineRule="auto"/>
        <w:ind w:left="59"/>
        <w:jc w:val="center"/>
        <w:rPr>
          <w:rFonts w:ascii="Arial" w:hAnsi="Arial" w:cs="Arial"/>
          <w:b/>
          <w:bCs/>
        </w:rPr>
      </w:pPr>
      <w:r w:rsidRPr="001B3ED4">
        <w:rPr>
          <w:rFonts w:ascii="Arial" w:hAnsi="Arial" w:cs="Arial"/>
          <w:b/>
          <w:bCs/>
        </w:rPr>
        <w:t>Kruti</w:t>
      </w:r>
      <w:r w:rsidR="009535FE">
        <w:rPr>
          <w:rFonts w:ascii="Arial" w:hAnsi="Arial" w:cs="Arial"/>
          <w:b/>
          <w:bCs/>
        </w:rPr>
        <w:t xml:space="preserve"> </w:t>
      </w:r>
      <w:proofErr w:type="spellStart"/>
      <w:r w:rsidR="009535FE">
        <w:rPr>
          <w:rFonts w:ascii="Arial" w:hAnsi="Arial" w:cs="Arial"/>
          <w:b/>
          <w:bCs/>
        </w:rPr>
        <w:t>Dilipbhai</w:t>
      </w:r>
      <w:proofErr w:type="spellEnd"/>
      <w:r w:rsidR="00570C95" w:rsidRPr="001B3ED4">
        <w:rPr>
          <w:rFonts w:ascii="Arial" w:hAnsi="Arial" w:cs="Arial"/>
          <w:b/>
          <w:bCs/>
        </w:rPr>
        <w:t xml:space="preserve"> Borad</w:t>
      </w:r>
    </w:p>
    <w:p w14:paraId="2AC5065A" w14:textId="77777777" w:rsidR="002E018A" w:rsidRPr="001B3ED4" w:rsidRDefault="002E018A" w:rsidP="002E018A">
      <w:pPr>
        <w:spacing w:after="156" w:line="360" w:lineRule="auto"/>
        <w:ind w:left="59"/>
        <w:jc w:val="center"/>
        <w:rPr>
          <w:rFonts w:ascii="Arial" w:hAnsi="Arial" w:cs="Arial"/>
        </w:rPr>
      </w:pPr>
      <w:r w:rsidRPr="001B3ED4">
        <w:rPr>
          <w:rFonts w:ascii="Arial" w:hAnsi="Arial" w:cs="Arial"/>
        </w:rPr>
        <w:t xml:space="preserve">   </w:t>
      </w:r>
    </w:p>
    <w:p w14:paraId="63917865" w14:textId="1CD6C1E9" w:rsidR="002E018A" w:rsidRPr="001B3ED4" w:rsidRDefault="002E018A" w:rsidP="002E018A">
      <w:pPr>
        <w:spacing w:after="156" w:line="360" w:lineRule="auto"/>
        <w:ind w:left="59"/>
        <w:jc w:val="center"/>
        <w:rPr>
          <w:rFonts w:ascii="Arial" w:hAnsi="Arial" w:cs="Arial"/>
        </w:rPr>
      </w:pPr>
      <w:r w:rsidRPr="001B3ED4">
        <w:rPr>
          <w:rFonts w:ascii="Arial" w:hAnsi="Arial" w:cs="Arial"/>
        </w:rPr>
        <w:t xml:space="preserve">A Dissertation submitted in partial fulfilment of the requirements for the degree of </w:t>
      </w:r>
      <w:r w:rsidR="00FB66E1" w:rsidRPr="001B3ED4">
        <w:rPr>
          <w:rFonts w:ascii="Arial" w:hAnsi="Arial" w:cs="Arial"/>
        </w:rPr>
        <w:t>Master</w:t>
      </w:r>
      <w:r w:rsidRPr="001B3ED4">
        <w:rPr>
          <w:rFonts w:ascii="Arial" w:hAnsi="Arial" w:cs="Arial"/>
        </w:rPr>
        <w:t xml:space="preserve"> of Science in Public Health and Social Care in Practice</w:t>
      </w:r>
    </w:p>
    <w:p w14:paraId="5EC4A264" w14:textId="77777777" w:rsidR="002E018A" w:rsidRPr="001B3ED4" w:rsidRDefault="002E018A" w:rsidP="002E018A">
      <w:pPr>
        <w:spacing w:after="169" w:line="360" w:lineRule="auto"/>
        <w:jc w:val="center"/>
        <w:rPr>
          <w:rFonts w:ascii="Arial" w:hAnsi="Arial" w:cs="Arial"/>
          <w:b/>
          <w:bCs/>
        </w:rPr>
      </w:pPr>
    </w:p>
    <w:p w14:paraId="3896BF27" w14:textId="77777777" w:rsidR="002E018A" w:rsidRPr="001B3ED4" w:rsidRDefault="002E018A" w:rsidP="002E018A">
      <w:pPr>
        <w:spacing w:after="169" w:line="360" w:lineRule="auto"/>
        <w:jc w:val="center"/>
        <w:rPr>
          <w:rFonts w:ascii="Arial" w:hAnsi="Arial" w:cs="Arial"/>
          <w:b/>
          <w:bCs/>
        </w:rPr>
      </w:pPr>
      <w:r w:rsidRPr="001B3ED4">
        <w:rPr>
          <w:rFonts w:ascii="Arial" w:hAnsi="Arial" w:cs="Arial"/>
          <w:b/>
          <w:bCs/>
        </w:rPr>
        <w:t>The Institute of Inner-City Learning</w:t>
      </w:r>
    </w:p>
    <w:p w14:paraId="0A30196E" w14:textId="77777777" w:rsidR="002E018A" w:rsidRPr="001B3ED4" w:rsidRDefault="002E018A" w:rsidP="002E018A">
      <w:pPr>
        <w:spacing w:after="169" w:line="360" w:lineRule="auto"/>
        <w:jc w:val="center"/>
        <w:rPr>
          <w:rFonts w:ascii="Arial" w:hAnsi="Arial" w:cs="Arial"/>
          <w:b/>
          <w:bCs/>
        </w:rPr>
      </w:pPr>
      <w:r w:rsidRPr="001B3ED4">
        <w:rPr>
          <w:rFonts w:ascii="Arial" w:hAnsi="Arial" w:cs="Arial"/>
          <w:b/>
          <w:bCs/>
        </w:rPr>
        <w:t>University of Wales Trinity Saint David – London Campus</w:t>
      </w:r>
    </w:p>
    <w:p w14:paraId="724C57C4" w14:textId="77777777" w:rsidR="002E018A" w:rsidRDefault="002E018A" w:rsidP="002E018A">
      <w:pPr>
        <w:spacing w:after="157" w:line="360" w:lineRule="auto"/>
        <w:ind w:left="2367" w:right="2357"/>
        <w:jc w:val="center"/>
        <w:rPr>
          <w:rFonts w:ascii="Arial" w:hAnsi="Arial" w:cs="Arial"/>
          <w:b/>
          <w:bCs/>
        </w:rPr>
      </w:pPr>
    </w:p>
    <w:p w14:paraId="3E4D6B6A" w14:textId="77777777" w:rsidR="00024F3C" w:rsidRPr="001B3ED4" w:rsidRDefault="00024F3C" w:rsidP="002E018A">
      <w:pPr>
        <w:spacing w:after="157" w:line="360" w:lineRule="auto"/>
        <w:ind w:left="2367" w:right="2357"/>
        <w:jc w:val="center"/>
        <w:rPr>
          <w:rFonts w:ascii="Arial" w:hAnsi="Arial" w:cs="Arial"/>
          <w:b/>
          <w:bCs/>
        </w:rPr>
      </w:pPr>
    </w:p>
    <w:p w14:paraId="75CFECFE" w14:textId="3B6CAF14" w:rsidR="002E018A" w:rsidRPr="001B3ED4" w:rsidRDefault="00490080" w:rsidP="002E018A">
      <w:pPr>
        <w:spacing w:after="157" w:line="360" w:lineRule="auto"/>
        <w:ind w:left="2367" w:right="2357"/>
        <w:jc w:val="center"/>
        <w:rPr>
          <w:rFonts w:ascii="Arial" w:hAnsi="Arial" w:cs="Arial"/>
          <w:b/>
          <w:bCs/>
        </w:rPr>
      </w:pPr>
      <w:proofErr w:type="gramStart"/>
      <w:r w:rsidRPr="001B3ED4">
        <w:rPr>
          <w:rFonts w:ascii="Arial" w:hAnsi="Arial" w:cs="Arial"/>
          <w:b/>
          <w:bCs/>
        </w:rPr>
        <w:t>January,</w:t>
      </w:r>
      <w:proofErr w:type="gramEnd"/>
      <w:r w:rsidRPr="001B3ED4">
        <w:rPr>
          <w:rFonts w:ascii="Arial" w:hAnsi="Arial" w:cs="Arial"/>
          <w:b/>
          <w:bCs/>
        </w:rPr>
        <w:t xml:space="preserve"> 2026</w:t>
      </w:r>
    </w:p>
    <w:p w14:paraId="44C3B09A" w14:textId="77777777" w:rsidR="002E018A" w:rsidRPr="001B3ED4" w:rsidRDefault="002E018A" w:rsidP="002E018A">
      <w:pPr>
        <w:rPr>
          <w:rFonts w:ascii="Arial" w:hAnsi="Arial" w:cs="Arial"/>
        </w:rPr>
      </w:pPr>
    </w:p>
    <w:p w14:paraId="225AE62E" w14:textId="77777777" w:rsidR="002E018A" w:rsidRPr="001B3ED4" w:rsidRDefault="002E018A" w:rsidP="002E018A">
      <w:pPr>
        <w:rPr>
          <w:rFonts w:ascii="Arial" w:hAnsi="Arial" w:cs="Arial"/>
        </w:rPr>
      </w:pPr>
    </w:p>
    <w:p w14:paraId="393054F8" w14:textId="77777777" w:rsidR="00F50BD3" w:rsidRPr="001B3ED4" w:rsidRDefault="00F50BD3" w:rsidP="002E018A">
      <w:pPr>
        <w:rPr>
          <w:rFonts w:ascii="Arial" w:hAnsi="Arial" w:cs="Arial"/>
        </w:rPr>
      </w:pPr>
    </w:p>
    <w:p w14:paraId="26EF4E17" w14:textId="77777777" w:rsidR="00F50BD3" w:rsidRPr="001B3ED4" w:rsidRDefault="00F50BD3" w:rsidP="002E018A">
      <w:pPr>
        <w:rPr>
          <w:rFonts w:ascii="Arial" w:hAnsi="Arial" w:cs="Arial"/>
        </w:rPr>
      </w:pPr>
    </w:p>
    <w:p w14:paraId="4658A82C" w14:textId="77777777" w:rsidR="00F50BD3" w:rsidRPr="001B3ED4" w:rsidRDefault="00F50BD3" w:rsidP="002E018A">
      <w:pPr>
        <w:rPr>
          <w:rFonts w:ascii="Arial" w:hAnsi="Arial" w:cs="Arial"/>
        </w:rPr>
      </w:pPr>
    </w:p>
    <w:p w14:paraId="4ADDF660" w14:textId="77777777" w:rsidR="003F434E" w:rsidRPr="001B3ED4" w:rsidRDefault="003F434E" w:rsidP="003F434E">
      <w:pPr>
        <w:spacing w:line="360" w:lineRule="auto"/>
        <w:rPr>
          <w:rFonts w:ascii="Arial" w:hAnsi="Arial" w:cs="Arial"/>
          <w:b/>
          <w:bCs/>
        </w:rPr>
      </w:pPr>
      <w:r w:rsidRPr="001B3ED4">
        <w:rPr>
          <w:rFonts w:ascii="Arial" w:eastAsia="Times New Roman" w:hAnsi="Arial" w:cs="Arial"/>
          <w:b/>
          <w:bCs/>
          <w:color w:val="000000" w:themeColor="text1"/>
        </w:rPr>
        <w:t>DECLARATION</w:t>
      </w:r>
    </w:p>
    <w:p w14:paraId="4041AF65" w14:textId="77777777" w:rsidR="003F434E" w:rsidRPr="001B3ED4" w:rsidRDefault="003F434E" w:rsidP="003F434E">
      <w:pPr>
        <w:spacing w:after="200" w:line="360" w:lineRule="auto"/>
        <w:rPr>
          <w:rFonts w:ascii="Arial" w:eastAsia="Times New Roman" w:hAnsi="Arial" w:cs="Arial"/>
          <w:color w:val="000000" w:themeColor="text1"/>
        </w:rPr>
      </w:pPr>
    </w:p>
    <w:p w14:paraId="32F28C76" w14:textId="4ECD89B1" w:rsidR="003F434E" w:rsidRPr="001B3ED4" w:rsidRDefault="003F434E" w:rsidP="003F434E">
      <w:pPr>
        <w:spacing w:after="200" w:line="360" w:lineRule="auto"/>
        <w:rPr>
          <w:rFonts w:ascii="Arial" w:eastAsia="Times New Roman" w:hAnsi="Arial" w:cs="Arial"/>
          <w:color w:val="000000" w:themeColor="text1"/>
        </w:rPr>
      </w:pPr>
      <w:r w:rsidRPr="001B3ED4">
        <w:rPr>
          <w:rFonts w:ascii="Arial" w:hAnsi="Arial" w:cs="Arial"/>
          <w:noProof/>
        </w:rPr>
        <mc:AlternateContent>
          <mc:Choice Requires="wpi">
            <w:drawing>
              <wp:anchor distT="0" distB="0" distL="114300" distR="114300" simplePos="0" relativeHeight="251677696" behindDoc="0" locked="0" layoutInCell="1" allowOverlap="1" wp14:anchorId="63C00FF4" wp14:editId="5A30F3CF">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B3949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sidRPr="001B3ED4">
        <w:rPr>
          <w:rFonts w:ascii="Arial" w:hAnsi="Arial" w:cs="Arial"/>
          <w:noProof/>
        </w:rPr>
        <mc:AlternateContent>
          <mc:Choice Requires="wpi">
            <w:drawing>
              <wp:anchor distT="0" distB="0" distL="114300" distR="114300" simplePos="0" relativeHeight="251678720" behindDoc="0" locked="0" layoutInCell="1" allowOverlap="1" wp14:anchorId="230622D2" wp14:editId="3D7284DE">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573C7639" id="Ink 15"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2" o:title=""/>
                <o:lock v:ext="edit" rotation="t" verticies="t" shapetype="t"/>
              </v:shape>
            </w:pict>
          </mc:Fallback>
        </mc:AlternateContent>
      </w:r>
      <w:r w:rsidRPr="001B3ED4">
        <w:rPr>
          <w:rFonts w:ascii="Arial" w:hAnsi="Arial" w:cs="Arial"/>
          <w:noProof/>
        </w:rPr>
        <mc:AlternateContent>
          <mc:Choice Requires="wpi">
            <w:drawing>
              <wp:anchor distT="0" distB="0" distL="114300" distR="114300" simplePos="0" relativeHeight="251679744" behindDoc="0" locked="0" layoutInCell="1" allowOverlap="1" wp14:anchorId="6D60036D" wp14:editId="17705114">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624D33F" id="Ink 14"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sidRPr="001B3ED4">
        <w:rPr>
          <w:rFonts w:ascii="Arial" w:hAnsi="Arial" w:cs="Arial"/>
          <w:noProof/>
        </w:rPr>
        <mc:AlternateContent>
          <mc:Choice Requires="wpi">
            <w:drawing>
              <wp:anchor distT="0" distB="0" distL="114300" distR="114300" simplePos="0" relativeHeight="251680768" behindDoc="0" locked="0" layoutInCell="1" allowOverlap="1" wp14:anchorId="4AE33612" wp14:editId="099E2729">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16AEE2C" id="Ink 11"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sidRPr="001B3ED4">
        <w:rPr>
          <w:rFonts w:ascii="Arial" w:eastAsia="Times New Roman" w:hAnsi="Arial" w:cs="Arial"/>
          <w:color w:val="000000" w:themeColor="text1"/>
        </w:rPr>
        <w:t>I, Kruti Borad</w:t>
      </w:r>
      <w:r w:rsidR="004F2450" w:rsidRPr="001B3ED4">
        <w:rPr>
          <w:rFonts w:ascii="Arial" w:eastAsia="Times New Roman" w:hAnsi="Arial" w:cs="Arial"/>
          <w:color w:val="000000" w:themeColor="text1"/>
        </w:rPr>
        <w:t>,</w:t>
      </w:r>
      <w:r w:rsidRPr="001B3ED4">
        <w:rPr>
          <w:rFonts w:ascii="Arial" w:eastAsia="Times New Roman" w:hAnsi="Arial" w:cs="Arial"/>
          <w:color w:val="000000" w:themeColor="text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E034B62" w14:textId="77777777" w:rsidR="003F434E" w:rsidRPr="001B3ED4" w:rsidRDefault="003F434E" w:rsidP="003F434E">
      <w:pPr>
        <w:spacing w:after="200" w:line="360" w:lineRule="auto"/>
        <w:rPr>
          <w:rFonts w:ascii="Arial" w:eastAsia="Times New Roman" w:hAnsi="Arial" w:cs="Arial"/>
          <w:color w:val="000000" w:themeColor="text1"/>
        </w:rPr>
      </w:pPr>
    </w:p>
    <w:p w14:paraId="7F6FB122" w14:textId="77777777" w:rsidR="003F434E" w:rsidRPr="001B3ED4" w:rsidRDefault="003F434E" w:rsidP="003F434E">
      <w:pPr>
        <w:spacing w:after="200" w:line="360" w:lineRule="auto"/>
        <w:rPr>
          <w:rFonts w:ascii="Arial" w:eastAsia="Times New Roman" w:hAnsi="Arial" w:cs="Arial"/>
          <w:color w:val="000000" w:themeColor="text1"/>
        </w:rPr>
      </w:pPr>
    </w:p>
    <w:p w14:paraId="7AEB70F1" w14:textId="74D88DEB" w:rsidR="003F434E" w:rsidRPr="001B3ED4" w:rsidRDefault="003F434E" w:rsidP="003F434E">
      <w:pPr>
        <w:spacing w:after="200" w:line="360" w:lineRule="auto"/>
        <w:rPr>
          <w:rFonts w:ascii="Arial" w:eastAsia="Times New Roman" w:hAnsi="Arial" w:cs="Arial"/>
          <w:color w:val="000000" w:themeColor="text1"/>
        </w:rPr>
      </w:pPr>
      <w:r w:rsidRPr="001B3ED4">
        <w:rPr>
          <w:rFonts w:ascii="Arial" w:eastAsia="Times New Roman" w:hAnsi="Arial" w:cs="Arial"/>
          <w:color w:val="000000" w:themeColor="text1"/>
        </w:rPr>
        <w:t>Signed:</w:t>
      </w:r>
      <w:r w:rsidR="005862A1">
        <w:rPr>
          <w:rFonts w:ascii="Arial" w:eastAsia="Times New Roman" w:hAnsi="Arial" w:cs="Arial"/>
          <w:color w:val="000000" w:themeColor="text1"/>
        </w:rPr>
        <w:t xml:space="preserve"> Kruti </w:t>
      </w:r>
      <w:proofErr w:type="spellStart"/>
      <w:r w:rsidR="005862A1">
        <w:rPr>
          <w:rFonts w:ascii="Arial" w:eastAsia="Times New Roman" w:hAnsi="Arial" w:cs="Arial"/>
          <w:color w:val="000000" w:themeColor="text1"/>
        </w:rPr>
        <w:t>Dilipbhai</w:t>
      </w:r>
      <w:proofErr w:type="spellEnd"/>
      <w:r w:rsidR="005862A1">
        <w:rPr>
          <w:rFonts w:ascii="Arial" w:eastAsia="Times New Roman" w:hAnsi="Arial" w:cs="Arial"/>
          <w:color w:val="000000" w:themeColor="text1"/>
        </w:rPr>
        <w:t xml:space="preserve"> Borad</w:t>
      </w:r>
    </w:p>
    <w:p w14:paraId="3558B6AD" w14:textId="77777777" w:rsidR="003F434E" w:rsidRPr="001B3ED4" w:rsidRDefault="003F434E" w:rsidP="003F434E">
      <w:pPr>
        <w:spacing w:after="200" w:line="360" w:lineRule="auto"/>
        <w:rPr>
          <w:rFonts w:ascii="Arial" w:eastAsia="Times New Roman" w:hAnsi="Arial" w:cs="Arial"/>
          <w:color w:val="000000" w:themeColor="text1"/>
        </w:rPr>
      </w:pPr>
    </w:p>
    <w:p w14:paraId="2764DEB2" w14:textId="76D270B5" w:rsidR="003F434E" w:rsidRPr="001B3ED4" w:rsidRDefault="003F434E" w:rsidP="003F434E">
      <w:pPr>
        <w:spacing w:after="200" w:line="360" w:lineRule="auto"/>
        <w:rPr>
          <w:rFonts w:ascii="Arial" w:eastAsia="Times New Roman" w:hAnsi="Arial" w:cs="Arial"/>
          <w:color w:val="000000" w:themeColor="text1"/>
        </w:rPr>
      </w:pPr>
      <w:r w:rsidRPr="001B3ED4">
        <w:rPr>
          <w:rFonts w:ascii="Arial" w:eastAsia="Times New Roman" w:hAnsi="Arial" w:cs="Arial"/>
          <w:color w:val="000000" w:themeColor="text1"/>
        </w:rPr>
        <w:t>Date:</w:t>
      </w:r>
      <w:r w:rsidR="005862A1">
        <w:rPr>
          <w:rFonts w:ascii="Arial" w:eastAsia="Times New Roman" w:hAnsi="Arial" w:cs="Arial"/>
          <w:color w:val="000000" w:themeColor="text1"/>
        </w:rPr>
        <w:t xml:space="preserve"> 21/01/2026</w:t>
      </w:r>
    </w:p>
    <w:p w14:paraId="2A3EEB84" w14:textId="77777777" w:rsidR="003F434E" w:rsidRPr="001B3ED4" w:rsidRDefault="003F434E" w:rsidP="002E018A">
      <w:pPr>
        <w:rPr>
          <w:rFonts w:ascii="Arial" w:hAnsi="Arial" w:cs="Arial"/>
        </w:rPr>
      </w:pPr>
    </w:p>
    <w:p w14:paraId="22D4C9FA" w14:textId="77777777" w:rsidR="003F434E" w:rsidRPr="001B3ED4" w:rsidRDefault="003F434E" w:rsidP="002E018A">
      <w:pPr>
        <w:rPr>
          <w:rFonts w:ascii="Arial" w:hAnsi="Arial" w:cs="Arial"/>
        </w:rPr>
      </w:pPr>
    </w:p>
    <w:p w14:paraId="57E19E52" w14:textId="77777777" w:rsidR="003F434E" w:rsidRPr="001B3ED4" w:rsidRDefault="003F434E" w:rsidP="002E018A">
      <w:pPr>
        <w:rPr>
          <w:rFonts w:ascii="Arial" w:hAnsi="Arial" w:cs="Arial"/>
        </w:rPr>
      </w:pPr>
    </w:p>
    <w:p w14:paraId="2662A7B3" w14:textId="77777777" w:rsidR="003F434E" w:rsidRPr="001B3ED4" w:rsidRDefault="003F434E" w:rsidP="002E018A">
      <w:pPr>
        <w:rPr>
          <w:rFonts w:ascii="Arial" w:hAnsi="Arial" w:cs="Arial"/>
        </w:rPr>
      </w:pPr>
    </w:p>
    <w:p w14:paraId="6B5EAE28" w14:textId="77777777" w:rsidR="003F434E" w:rsidRPr="001B3ED4" w:rsidRDefault="003F434E" w:rsidP="002E018A">
      <w:pPr>
        <w:rPr>
          <w:rFonts w:ascii="Arial" w:hAnsi="Arial" w:cs="Arial"/>
        </w:rPr>
      </w:pPr>
    </w:p>
    <w:p w14:paraId="483C85DE" w14:textId="77777777" w:rsidR="003F434E" w:rsidRPr="001B3ED4" w:rsidRDefault="003F434E" w:rsidP="002E018A">
      <w:pPr>
        <w:rPr>
          <w:rFonts w:ascii="Arial" w:hAnsi="Arial" w:cs="Arial"/>
        </w:rPr>
      </w:pPr>
    </w:p>
    <w:p w14:paraId="76B8E12C" w14:textId="77777777" w:rsidR="003F434E" w:rsidRPr="001B3ED4" w:rsidRDefault="003F434E" w:rsidP="002E018A">
      <w:pPr>
        <w:rPr>
          <w:rFonts w:ascii="Arial" w:hAnsi="Arial" w:cs="Arial"/>
        </w:rPr>
      </w:pPr>
    </w:p>
    <w:p w14:paraId="6A16F180" w14:textId="77777777" w:rsidR="003F434E" w:rsidRPr="001B3ED4" w:rsidRDefault="003F434E" w:rsidP="002E018A">
      <w:pPr>
        <w:rPr>
          <w:rFonts w:ascii="Arial" w:hAnsi="Arial" w:cs="Arial"/>
        </w:rPr>
      </w:pPr>
    </w:p>
    <w:p w14:paraId="45D96E5E" w14:textId="77777777" w:rsidR="003F434E" w:rsidRPr="001B3ED4" w:rsidRDefault="003F434E" w:rsidP="002E018A">
      <w:pPr>
        <w:rPr>
          <w:rFonts w:ascii="Arial" w:hAnsi="Arial" w:cs="Arial"/>
        </w:rPr>
      </w:pPr>
    </w:p>
    <w:p w14:paraId="628B5648" w14:textId="77777777" w:rsidR="003F434E" w:rsidRPr="001B3ED4" w:rsidRDefault="003F434E" w:rsidP="002E018A">
      <w:pPr>
        <w:rPr>
          <w:rFonts w:ascii="Arial" w:hAnsi="Arial" w:cs="Arial"/>
        </w:rPr>
      </w:pPr>
    </w:p>
    <w:p w14:paraId="5D21E255" w14:textId="77777777" w:rsidR="003F434E" w:rsidRPr="001B3ED4" w:rsidRDefault="003F434E" w:rsidP="002E018A">
      <w:pPr>
        <w:rPr>
          <w:rFonts w:ascii="Arial" w:hAnsi="Arial" w:cs="Arial"/>
        </w:rPr>
      </w:pPr>
    </w:p>
    <w:p w14:paraId="04261240" w14:textId="77777777" w:rsidR="003F434E" w:rsidRPr="001B3ED4" w:rsidRDefault="003F434E" w:rsidP="002E018A">
      <w:pPr>
        <w:rPr>
          <w:rFonts w:ascii="Arial" w:hAnsi="Arial" w:cs="Arial"/>
        </w:rPr>
      </w:pPr>
    </w:p>
    <w:p w14:paraId="09AE54CD" w14:textId="77777777" w:rsidR="003F434E" w:rsidRPr="001B3ED4" w:rsidRDefault="003F434E" w:rsidP="002E018A">
      <w:pPr>
        <w:rPr>
          <w:rFonts w:ascii="Arial" w:hAnsi="Arial" w:cs="Arial"/>
        </w:rPr>
      </w:pPr>
    </w:p>
    <w:p w14:paraId="66E241C2" w14:textId="77777777" w:rsidR="003F434E" w:rsidRPr="001B3ED4" w:rsidRDefault="003F434E" w:rsidP="002E018A">
      <w:pPr>
        <w:rPr>
          <w:rFonts w:ascii="Arial" w:hAnsi="Arial" w:cs="Arial"/>
        </w:rPr>
      </w:pPr>
    </w:p>
    <w:p w14:paraId="032BB808" w14:textId="77777777" w:rsidR="003F434E" w:rsidRPr="001B3ED4" w:rsidRDefault="003F434E" w:rsidP="002E018A">
      <w:pPr>
        <w:rPr>
          <w:rFonts w:ascii="Arial" w:hAnsi="Arial" w:cs="Arial"/>
        </w:rPr>
      </w:pPr>
    </w:p>
    <w:p w14:paraId="0D04356F" w14:textId="77777777" w:rsidR="003F434E" w:rsidRPr="001B3ED4" w:rsidRDefault="003F434E" w:rsidP="002E018A">
      <w:pPr>
        <w:rPr>
          <w:rFonts w:ascii="Arial" w:hAnsi="Arial" w:cs="Arial"/>
        </w:rPr>
      </w:pPr>
    </w:p>
    <w:p w14:paraId="507D2205" w14:textId="77777777" w:rsidR="00F50BD3" w:rsidRPr="001B3ED4" w:rsidRDefault="00F50BD3" w:rsidP="00FB66E1">
      <w:pPr>
        <w:spacing w:line="360" w:lineRule="auto"/>
        <w:jc w:val="center"/>
        <w:rPr>
          <w:rFonts w:ascii="Arial" w:hAnsi="Arial" w:cs="Arial"/>
        </w:rPr>
      </w:pPr>
      <w:r w:rsidRPr="001B3ED4">
        <w:rPr>
          <w:rFonts w:ascii="Arial" w:hAnsi="Arial" w:cs="Arial"/>
          <w:b/>
          <w:bCs/>
        </w:rPr>
        <w:t>Abstract</w:t>
      </w:r>
    </w:p>
    <w:p w14:paraId="6B8F0809" w14:textId="77777777" w:rsidR="00F50BD3" w:rsidRPr="001B3ED4" w:rsidRDefault="00F50BD3" w:rsidP="00A66B7A">
      <w:pPr>
        <w:spacing w:line="360" w:lineRule="auto"/>
        <w:jc w:val="both"/>
        <w:rPr>
          <w:rFonts w:ascii="Arial" w:hAnsi="Arial" w:cs="Arial"/>
        </w:rPr>
      </w:pPr>
      <w:r w:rsidRPr="001B3ED4">
        <w:rPr>
          <w:rFonts w:ascii="Arial" w:hAnsi="Arial" w:cs="Arial"/>
        </w:rPr>
        <w:t>Tuberculosis (TB) remains a major public health challenge in India, with Delhi’s high-risk districts experiencing a disproportionately high burden due to overcrowding, migration, and socio-economic deprivation. Bacillus Calmette–Guérin (BCG) vaccination has long been a cornerstone of TB prevention; however, its effectiveness in adult populations and high-risk urban settings remains uncertain. This systematic review aimed to evaluate the impact of BCG vaccination campaigns on TB control among populations aged 15–60 years in selected high-risk districts of Delhi, India. Using PRISMA-guided methods, peer-reviewed studies published between 2010 and 2025 were systematically identified and synthesised. Evidence from modelling, observational, qualitative, and policy-focused studies was analysed to examine trends in TB incidence and morbidity, vaccination coverage and outreach, and barriers to effective programme implementation.</w:t>
      </w:r>
    </w:p>
    <w:p w14:paraId="69342286" w14:textId="7EE25DA4" w:rsidR="00F50BD3" w:rsidRPr="001B3ED4" w:rsidRDefault="00F50BD3" w:rsidP="00A66B7A">
      <w:pPr>
        <w:spacing w:line="360" w:lineRule="auto"/>
        <w:jc w:val="both"/>
        <w:rPr>
          <w:rFonts w:ascii="Arial" w:hAnsi="Arial" w:cs="Arial"/>
        </w:rPr>
      </w:pPr>
      <w:r w:rsidRPr="001B3ED4">
        <w:rPr>
          <w:rFonts w:ascii="Arial" w:hAnsi="Arial" w:cs="Arial"/>
        </w:rPr>
        <w:t>The findings indicate that while BCG vaccination and revaccination have a modest direct impact on adult TB incidence, their population-level benefits are contextually significant when strategically targeted and integrated with broader TB control measures. Persistent challenges</w:t>
      </w:r>
      <w:r w:rsidR="00A66B7A" w:rsidRPr="001B3ED4">
        <w:rPr>
          <w:rFonts w:ascii="Arial" w:hAnsi="Arial" w:cs="Arial"/>
        </w:rPr>
        <w:t xml:space="preserve">, </w:t>
      </w:r>
      <w:r w:rsidRPr="001B3ED4">
        <w:rPr>
          <w:rFonts w:ascii="Arial" w:hAnsi="Arial" w:cs="Arial"/>
        </w:rPr>
        <w:t>including inequitable coverage, limited outreach to migrants and urban poor populations, socio-cultural resistance, and health-system constraints</w:t>
      </w:r>
      <w:r w:rsidR="00A66B7A" w:rsidRPr="001B3ED4">
        <w:rPr>
          <w:rFonts w:ascii="Arial" w:hAnsi="Arial" w:cs="Arial"/>
        </w:rPr>
        <w:t xml:space="preserve">, </w:t>
      </w:r>
      <w:r w:rsidRPr="001B3ED4">
        <w:rPr>
          <w:rFonts w:ascii="Arial" w:hAnsi="Arial" w:cs="Arial"/>
        </w:rPr>
        <w:t>substantially undermine campaign effectiveness. Reported coverage rates often masked delays and missed vaccination opportunities among vulnerable groups. Evidence consistently supported the need for equity-focused, risk-based strategies, strengthened routine primary healthcare systems, and community-based delivery models. Emerging research on BCG revaccination and novel TB vaccines further highlights opportunities to enhance adult protection if supported by robust implementation frameworks. Overall, the review underscores that optimising BCG campaign design, delivery, and equity is essential for achieving sustainable TB control in high-burden urban settings such as Delhi.</w:t>
      </w:r>
    </w:p>
    <w:p w14:paraId="5A4D74D8" w14:textId="77777777" w:rsidR="00F50BD3" w:rsidRPr="001B3ED4" w:rsidRDefault="00F50BD3" w:rsidP="00A66B7A">
      <w:pPr>
        <w:spacing w:line="360" w:lineRule="auto"/>
        <w:jc w:val="both"/>
        <w:rPr>
          <w:rFonts w:ascii="Arial" w:hAnsi="Arial" w:cs="Arial"/>
        </w:rPr>
      </w:pPr>
    </w:p>
    <w:p w14:paraId="143D2B36" w14:textId="77777777" w:rsidR="002E018A" w:rsidRPr="001B3ED4" w:rsidRDefault="002E018A" w:rsidP="002E018A">
      <w:pPr>
        <w:rPr>
          <w:rFonts w:ascii="Arial" w:hAnsi="Arial" w:cs="Arial"/>
        </w:rPr>
      </w:pPr>
    </w:p>
    <w:p w14:paraId="09AF6873" w14:textId="77777777" w:rsidR="002E018A" w:rsidRPr="001B3ED4" w:rsidRDefault="002E018A" w:rsidP="002E018A">
      <w:pPr>
        <w:rPr>
          <w:rFonts w:ascii="Arial" w:hAnsi="Arial" w:cs="Arial"/>
        </w:rPr>
      </w:pPr>
    </w:p>
    <w:p w14:paraId="2946AF3D" w14:textId="77777777" w:rsidR="002E018A" w:rsidRPr="001B3ED4" w:rsidRDefault="002E018A" w:rsidP="002E018A">
      <w:pPr>
        <w:spacing w:before="240" w:line="360" w:lineRule="auto"/>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679267686"/>
        <w:docPartObj>
          <w:docPartGallery w:val="Table of Contents"/>
          <w:docPartUnique/>
        </w:docPartObj>
      </w:sdtPr>
      <w:sdtEndPr>
        <w:rPr>
          <w:rFonts w:ascii="Arial" w:hAnsi="Arial" w:cs="Arial"/>
          <w:b/>
          <w:bCs/>
        </w:rPr>
      </w:sdtEndPr>
      <w:sdtContent>
        <w:p w14:paraId="26F391D2" w14:textId="5C481C73" w:rsidR="00584C66" w:rsidRPr="001B3ED4" w:rsidRDefault="00584C66" w:rsidP="004F2450">
          <w:pPr>
            <w:pStyle w:val="TOCHeading"/>
          </w:pPr>
          <w:r w:rsidRPr="001B3ED4">
            <w:t>Table of Contents</w:t>
          </w:r>
        </w:p>
        <w:p w14:paraId="0E036755" w14:textId="3E7663BA" w:rsidR="004F2450" w:rsidRPr="001B3ED4" w:rsidRDefault="00584C66" w:rsidP="004F2450">
          <w:pPr>
            <w:pStyle w:val="TOC1"/>
            <w:tabs>
              <w:tab w:val="right" w:leader="dot" w:pos="9016"/>
            </w:tabs>
            <w:spacing w:line="360" w:lineRule="auto"/>
            <w:jc w:val="both"/>
            <w:rPr>
              <w:rFonts w:ascii="Arial" w:eastAsiaTheme="minorEastAsia" w:hAnsi="Arial" w:cs="Arial"/>
              <w:lang w:eastAsia="en-GB"/>
            </w:rPr>
          </w:pPr>
          <w:r w:rsidRPr="001B3ED4">
            <w:rPr>
              <w:rFonts w:ascii="Arial" w:hAnsi="Arial" w:cs="Arial"/>
            </w:rPr>
            <w:fldChar w:fldCharType="begin"/>
          </w:r>
          <w:r w:rsidRPr="001B3ED4">
            <w:rPr>
              <w:rFonts w:ascii="Arial" w:hAnsi="Arial" w:cs="Arial"/>
            </w:rPr>
            <w:instrText xml:space="preserve"> TOC \o "1-3" \h \z \u </w:instrText>
          </w:r>
          <w:r w:rsidRPr="001B3ED4">
            <w:rPr>
              <w:rFonts w:ascii="Arial" w:hAnsi="Arial" w:cs="Arial"/>
            </w:rPr>
            <w:fldChar w:fldCharType="separate"/>
          </w:r>
          <w:hyperlink w:anchor="_Toc218418654" w:history="1">
            <w:r w:rsidR="004F2450" w:rsidRPr="001B3ED4">
              <w:rPr>
                <w:rStyle w:val="Hyperlink"/>
                <w:rFonts w:ascii="Arial" w:hAnsi="Arial" w:cs="Arial"/>
              </w:rPr>
              <w:t>Chapter 1: Introduction</w:t>
            </w:r>
            <w:r w:rsidR="004F2450" w:rsidRPr="001B3ED4">
              <w:rPr>
                <w:rFonts w:ascii="Arial" w:hAnsi="Arial" w:cs="Arial"/>
                <w:webHidden/>
              </w:rPr>
              <w:tab/>
            </w:r>
            <w:r w:rsidR="004F2450" w:rsidRPr="001B3ED4">
              <w:rPr>
                <w:rFonts w:ascii="Arial" w:hAnsi="Arial" w:cs="Arial"/>
                <w:webHidden/>
              </w:rPr>
              <w:fldChar w:fldCharType="begin"/>
            </w:r>
            <w:r w:rsidR="004F2450" w:rsidRPr="001B3ED4">
              <w:rPr>
                <w:rFonts w:ascii="Arial" w:hAnsi="Arial" w:cs="Arial"/>
                <w:webHidden/>
              </w:rPr>
              <w:instrText xml:space="preserve"> PAGEREF _Toc218418654 \h </w:instrText>
            </w:r>
            <w:r w:rsidR="004F2450" w:rsidRPr="001B3ED4">
              <w:rPr>
                <w:rFonts w:ascii="Arial" w:hAnsi="Arial" w:cs="Arial"/>
                <w:webHidden/>
              </w:rPr>
            </w:r>
            <w:r w:rsidR="004F2450" w:rsidRPr="001B3ED4">
              <w:rPr>
                <w:rFonts w:ascii="Arial" w:hAnsi="Arial" w:cs="Arial"/>
                <w:webHidden/>
              </w:rPr>
              <w:fldChar w:fldCharType="separate"/>
            </w:r>
            <w:r w:rsidR="00084D07" w:rsidRPr="001B3ED4">
              <w:rPr>
                <w:rFonts w:ascii="Arial" w:hAnsi="Arial" w:cs="Arial"/>
                <w:webHidden/>
              </w:rPr>
              <w:t>7</w:t>
            </w:r>
            <w:r w:rsidR="004F2450" w:rsidRPr="001B3ED4">
              <w:rPr>
                <w:rFonts w:ascii="Arial" w:hAnsi="Arial" w:cs="Arial"/>
                <w:webHidden/>
              </w:rPr>
              <w:fldChar w:fldCharType="end"/>
            </w:r>
          </w:hyperlink>
        </w:p>
        <w:p w14:paraId="339FDECD" w14:textId="146D7816"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55" w:history="1">
            <w:r w:rsidRPr="001B3ED4">
              <w:rPr>
                <w:rStyle w:val="Hyperlink"/>
                <w:rFonts w:ascii="Arial" w:hAnsi="Arial" w:cs="Arial"/>
              </w:rPr>
              <w:t>1.1 Establishing the Research Topic</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_Toc218418655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7</w:t>
            </w:r>
            <w:r w:rsidRPr="001B3ED4">
              <w:rPr>
                <w:rFonts w:ascii="Arial" w:hAnsi="Arial" w:cs="Arial"/>
                <w:webHidden/>
              </w:rPr>
              <w:fldChar w:fldCharType="end"/>
            </w:r>
          </w:hyperlink>
        </w:p>
        <w:p w14:paraId="17333DC9" w14:textId="46B72819"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56" w:history="1">
            <w:r w:rsidRPr="001B3ED4">
              <w:rPr>
                <w:rStyle w:val="Hyperlink"/>
                <w:rFonts w:ascii="Arial" w:hAnsi="Arial" w:cs="Arial"/>
              </w:rPr>
              <w:t>1.2 Background and Current Research</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_Toc218418656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8</w:t>
            </w:r>
            <w:r w:rsidRPr="001B3ED4">
              <w:rPr>
                <w:rFonts w:ascii="Arial" w:hAnsi="Arial" w:cs="Arial"/>
                <w:webHidden/>
              </w:rPr>
              <w:fldChar w:fldCharType="end"/>
            </w:r>
          </w:hyperlink>
        </w:p>
        <w:p w14:paraId="23D5FD4C" w14:textId="24DC1D27"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57" w:history="1">
            <w:r w:rsidRPr="001B3ED4">
              <w:rPr>
                <w:rStyle w:val="Hyperlink"/>
                <w:rFonts w:ascii="Arial" w:hAnsi="Arial" w:cs="Arial"/>
              </w:rPr>
              <w:t>1.3 Rationale for the Study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_Toc218418657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9</w:t>
            </w:r>
            <w:r w:rsidRPr="001B3ED4">
              <w:rPr>
                <w:rFonts w:ascii="Arial" w:hAnsi="Arial" w:cs="Arial"/>
                <w:webHidden/>
              </w:rPr>
              <w:fldChar w:fldCharType="end"/>
            </w:r>
          </w:hyperlink>
        </w:p>
        <w:p w14:paraId="636305B4" w14:textId="0752E32D"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58" w:history="1">
            <w:r w:rsidRPr="001B3ED4">
              <w:rPr>
                <w:rStyle w:val="Hyperlink"/>
                <w:rFonts w:ascii="Arial" w:hAnsi="Arial" w:cs="Arial"/>
              </w:rPr>
              <w:t>1.4 Research Question, Aim and Objectives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_Toc218418658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10</w:t>
            </w:r>
            <w:r w:rsidRPr="001B3ED4">
              <w:rPr>
                <w:rFonts w:ascii="Arial" w:hAnsi="Arial" w:cs="Arial"/>
                <w:webHidden/>
              </w:rPr>
              <w:fldChar w:fldCharType="end"/>
            </w:r>
          </w:hyperlink>
        </w:p>
        <w:p w14:paraId="68DEB3F6" w14:textId="072A2F66"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59" w:history="1">
            <w:r w:rsidRPr="001B3ED4">
              <w:rPr>
                <w:rStyle w:val="Hyperlink"/>
                <w:rFonts w:ascii="Arial" w:hAnsi="Arial" w:cs="Arial"/>
              </w:rPr>
              <w:t>1.5 Overview of the Dissertation Structure</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_Toc218418659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10</w:t>
            </w:r>
            <w:r w:rsidRPr="001B3ED4">
              <w:rPr>
                <w:rFonts w:ascii="Arial" w:hAnsi="Arial" w:cs="Arial"/>
                <w:webHidden/>
              </w:rPr>
              <w:fldChar w:fldCharType="end"/>
            </w:r>
          </w:hyperlink>
        </w:p>
        <w:p w14:paraId="42AAE1F2" w14:textId="3A807258"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0" w:history="1">
            <w:r w:rsidRPr="001B3ED4">
              <w:rPr>
                <w:rStyle w:val="Hyperlink"/>
                <w:rFonts w:ascii="Arial" w:hAnsi="Arial" w:cs="Arial"/>
              </w:rPr>
              <w:t>1.6 Chapter Summary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_Toc218418660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11</w:t>
            </w:r>
            <w:r w:rsidRPr="001B3ED4">
              <w:rPr>
                <w:rFonts w:ascii="Arial" w:hAnsi="Arial" w:cs="Arial"/>
                <w:webHidden/>
              </w:rPr>
              <w:fldChar w:fldCharType="end"/>
            </w:r>
          </w:hyperlink>
        </w:p>
        <w:p w14:paraId="30AAEB3D" w14:textId="69A331D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1" w:history="1">
            <w:r w:rsidRPr="001B3ED4">
              <w:rPr>
                <w:rStyle w:val="Hyperlink"/>
                <w:rFonts w:ascii="Arial" w:hAnsi="Arial" w:cs="Arial"/>
              </w:rPr>
              <w:t>Chapter 2: Literature Review</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_Toc218418661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12</w:t>
            </w:r>
            <w:r w:rsidRPr="001B3ED4">
              <w:rPr>
                <w:rFonts w:ascii="Arial" w:hAnsi="Arial" w:cs="Arial"/>
                <w:webHidden/>
              </w:rPr>
              <w:fldChar w:fldCharType="end"/>
            </w:r>
          </w:hyperlink>
        </w:p>
        <w:p w14:paraId="280F5356" w14:textId="41C61215"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2" w:history="1">
            <w:r w:rsidRPr="001B3ED4">
              <w:rPr>
                <w:rStyle w:val="Hyperlink"/>
                <w:rFonts w:ascii="Arial" w:hAnsi="Arial" w:cs="Arial"/>
              </w:rPr>
              <w:t>2.1 Introduction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_Toc218418662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12</w:t>
            </w:r>
            <w:r w:rsidRPr="001B3ED4">
              <w:rPr>
                <w:rFonts w:ascii="Arial" w:hAnsi="Arial" w:cs="Arial"/>
                <w:webHidden/>
              </w:rPr>
              <w:fldChar w:fldCharType="end"/>
            </w:r>
          </w:hyperlink>
        </w:p>
        <w:p w14:paraId="6EFCCB5A" w14:textId="67DEC12F"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3" w:history="1">
            <w:r w:rsidRPr="001B3ED4">
              <w:rPr>
                <w:rStyle w:val="Hyperlink"/>
                <w:rFonts w:ascii="Arial" w:hAnsi="Arial" w:cs="Arial"/>
              </w:rPr>
              <w:t>2.2 Tuberculosis (TB)</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_Toc218418663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12</w:t>
            </w:r>
            <w:r w:rsidRPr="001B3ED4">
              <w:rPr>
                <w:rFonts w:ascii="Arial" w:hAnsi="Arial" w:cs="Arial"/>
                <w:webHidden/>
              </w:rPr>
              <w:fldChar w:fldCharType="end"/>
            </w:r>
          </w:hyperlink>
        </w:p>
        <w:p w14:paraId="731235FA" w14:textId="2CD7E12E"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4" w:history="1">
            <w:r w:rsidRPr="001B3ED4">
              <w:rPr>
                <w:rStyle w:val="Hyperlink"/>
                <w:rFonts w:ascii="Arial" w:hAnsi="Arial" w:cs="Arial"/>
              </w:rPr>
              <w:t>2.3 Causes of Tuberculosis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_Toc218418664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12</w:t>
            </w:r>
            <w:r w:rsidRPr="001B3ED4">
              <w:rPr>
                <w:rFonts w:ascii="Arial" w:hAnsi="Arial" w:cs="Arial"/>
                <w:webHidden/>
              </w:rPr>
              <w:fldChar w:fldCharType="end"/>
            </w:r>
          </w:hyperlink>
        </w:p>
        <w:p w14:paraId="1CADA272" w14:textId="67B41B9E"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5" w:history="1">
            <w:r w:rsidRPr="001B3ED4">
              <w:rPr>
                <w:rStyle w:val="Hyperlink"/>
                <w:rFonts w:ascii="Arial" w:hAnsi="Arial" w:cs="Arial"/>
              </w:rPr>
              <w:t>2.4 Symptoms of Tuberculosis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13</w:t>
            </w:r>
            <w:r w:rsidRPr="001B3ED4">
              <w:rPr>
                <w:rFonts w:ascii="Arial" w:hAnsi="Arial" w:cs="Arial"/>
                <w:webHidden/>
              </w:rPr>
              <w:fldChar w:fldCharType="end"/>
            </w:r>
          </w:hyperlink>
        </w:p>
        <w:p w14:paraId="4C3DB52C" w14:textId="24ED2808"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6" w:history="1">
            <w:r w:rsidRPr="001B3ED4">
              <w:rPr>
                <w:rStyle w:val="Hyperlink"/>
                <w:rFonts w:ascii="Arial" w:hAnsi="Arial" w:cs="Arial"/>
              </w:rPr>
              <w:t>2.5 Global Burden of Tuberculosis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14</w:t>
            </w:r>
            <w:r w:rsidRPr="001B3ED4">
              <w:rPr>
                <w:rFonts w:ascii="Arial" w:hAnsi="Arial" w:cs="Arial"/>
                <w:webHidden/>
              </w:rPr>
              <w:fldChar w:fldCharType="end"/>
            </w:r>
          </w:hyperlink>
        </w:p>
        <w:p w14:paraId="765C36F1" w14:textId="7B909EA1"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7" w:history="1">
            <w:r w:rsidRPr="001B3ED4">
              <w:rPr>
                <w:rStyle w:val="Hyperlink"/>
                <w:rFonts w:ascii="Arial" w:hAnsi="Arial" w:cs="Arial"/>
              </w:rPr>
              <w:t>2.6 Tuberculosis in India</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15</w:t>
            </w:r>
            <w:r w:rsidRPr="001B3ED4">
              <w:rPr>
                <w:rFonts w:ascii="Arial" w:hAnsi="Arial" w:cs="Arial"/>
                <w:webHidden/>
              </w:rPr>
              <w:fldChar w:fldCharType="end"/>
            </w:r>
          </w:hyperlink>
        </w:p>
        <w:p w14:paraId="4AB4B336" w14:textId="6308B29B"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8" w:history="1">
            <w:r w:rsidRPr="001B3ED4">
              <w:rPr>
                <w:rStyle w:val="Hyperlink"/>
                <w:rFonts w:ascii="Arial" w:hAnsi="Arial" w:cs="Arial"/>
              </w:rPr>
              <w:t>2.7 BCG Vaccination: Global and National Perspectives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15</w:t>
            </w:r>
            <w:r w:rsidRPr="001B3ED4">
              <w:rPr>
                <w:rFonts w:ascii="Arial" w:hAnsi="Arial" w:cs="Arial"/>
                <w:webHidden/>
              </w:rPr>
              <w:fldChar w:fldCharType="end"/>
            </w:r>
          </w:hyperlink>
        </w:p>
        <w:p w14:paraId="114BFB9B" w14:textId="2CB8FB86"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69" w:history="1">
            <w:r w:rsidRPr="001B3ED4">
              <w:rPr>
                <w:rStyle w:val="Hyperlink"/>
                <w:rFonts w:ascii="Arial" w:hAnsi="Arial" w:cs="Arial"/>
              </w:rPr>
              <w:t>2.8 Effectiveness of BCG Vaccination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_Toc218418669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16</w:t>
            </w:r>
            <w:r w:rsidRPr="001B3ED4">
              <w:rPr>
                <w:rFonts w:ascii="Arial" w:hAnsi="Arial" w:cs="Arial"/>
                <w:webHidden/>
              </w:rPr>
              <w:fldChar w:fldCharType="end"/>
            </w:r>
          </w:hyperlink>
        </w:p>
        <w:p w14:paraId="2B002CBF" w14:textId="15A29D3F"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0" w:history="1">
            <w:r w:rsidRPr="001B3ED4">
              <w:rPr>
                <w:rStyle w:val="Hyperlink"/>
                <w:rFonts w:ascii="Arial" w:hAnsi="Arial" w:cs="Arial"/>
              </w:rPr>
              <w:t>2.9 BCG Vaccination Campaigns in Delhi</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_Toc218418670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17</w:t>
            </w:r>
            <w:r w:rsidRPr="001B3ED4">
              <w:rPr>
                <w:rFonts w:ascii="Arial" w:hAnsi="Arial" w:cs="Arial"/>
                <w:webHidden/>
              </w:rPr>
              <w:fldChar w:fldCharType="end"/>
            </w:r>
          </w:hyperlink>
        </w:p>
        <w:p w14:paraId="40C16125" w14:textId="3C062E3C"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1" w:history="1">
            <w:r w:rsidRPr="001B3ED4">
              <w:rPr>
                <w:rStyle w:val="Hyperlink"/>
                <w:rFonts w:ascii="Arial" w:hAnsi="Arial" w:cs="Arial"/>
              </w:rPr>
              <w:t>2.10 Barriers to BCG Vaccination Uptake</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_Toc218418671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18</w:t>
            </w:r>
            <w:r w:rsidRPr="001B3ED4">
              <w:rPr>
                <w:rFonts w:ascii="Arial" w:hAnsi="Arial" w:cs="Arial"/>
                <w:webHidden/>
              </w:rPr>
              <w:fldChar w:fldCharType="end"/>
            </w:r>
          </w:hyperlink>
        </w:p>
        <w:p w14:paraId="55B8A667" w14:textId="5ED7D555"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2" w:history="1">
            <w:r w:rsidRPr="001B3ED4">
              <w:rPr>
                <w:rStyle w:val="Hyperlink"/>
                <w:rFonts w:ascii="Arial" w:hAnsi="Arial" w:cs="Arial"/>
              </w:rPr>
              <w:t>2.11 Early Detection, Screening, and TB Control Measures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_Toc218418672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19</w:t>
            </w:r>
            <w:r w:rsidRPr="001B3ED4">
              <w:rPr>
                <w:rFonts w:ascii="Arial" w:hAnsi="Arial" w:cs="Arial"/>
                <w:webHidden/>
              </w:rPr>
              <w:fldChar w:fldCharType="end"/>
            </w:r>
          </w:hyperlink>
        </w:p>
        <w:p w14:paraId="27D48EB8" w14:textId="41579D49"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3" w:history="1">
            <w:r w:rsidRPr="001B3ED4">
              <w:rPr>
                <w:rStyle w:val="Hyperlink"/>
                <w:rFonts w:ascii="Arial" w:hAnsi="Arial" w:cs="Arial"/>
              </w:rPr>
              <w:t>2.12 Theoretical Framework</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_Toc218418673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20</w:t>
            </w:r>
            <w:r w:rsidRPr="001B3ED4">
              <w:rPr>
                <w:rFonts w:ascii="Arial" w:hAnsi="Arial" w:cs="Arial"/>
                <w:webHidden/>
              </w:rPr>
              <w:fldChar w:fldCharType="end"/>
            </w:r>
          </w:hyperlink>
        </w:p>
        <w:p w14:paraId="2073DF65" w14:textId="2E16D3D4"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674" w:history="1">
            <w:r w:rsidRPr="001B3ED4">
              <w:rPr>
                <w:rStyle w:val="Hyperlink"/>
                <w:rFonts w:ascii="Arial" w:eastAsiaTheme="majorEastAsia" w:hAnsi="Arial" w:cs="Arial"/>
              </w:rPr>
              <w:t>2.12.1 Health Belief Model (HBM)</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_Toc218418674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20</w:t>
            </w:r>
            <w:r w:rsidRPr="001B3ED4">
              <w:rPr>
                <w:rFonts w:ascii="Arial" w:hAnsi="Arial" w:cs="Arial"/>
                <w:webHidden/>
              </w:rPr>
              <w:fldChar w:fldCharType="end"/>
            </w:r>
          </w:hyperlink>
        </w:p>
        <w:p w14:paraId="184DE229" w14:textId="1FD27269"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5" w:history="1">
            <w:r w:rsidRPr="001B3ED4">
              <w:rPr>
                <w:rStyle w:val="Hyperlink"/>
                <w:rFonts w:ascii="Arial" w:hAnsi="Arial" w:cs="Arial"/>
              </w:rPr>
              <w:t>2.13 Gaps, Strengths and Weaknesses in Existing Literature</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22</w:t>
            </w:r>
            <w:r w:rsidRPr="001B3ED4">
              <w:rPr>
                <w:rFonts w:ascii="Arial" w:hAnsi="Arial" w:cs="Arial"/>
                <w:webHidden/>
              </w:rPr>
              <w:fldChar w:fldCharType="end"/>
            </w:r>
          </w:hyperlink>
        </w:p>
        <w:p w14:paraId="7EEA08C5" w14:textId="7ACF142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6" w:history="1">
            <w:r w:rsidRPr="001B3ED4">
              <w:rPr>
                <w:rStyle w:val="Hyperlink"/>
                <w:rFonts w:ascii="Arial" w:hAnsi="Arial" w:cs="Arial"/>
              </w:rPr>
              <w:t>2.14 Chapter Summary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23</w:t>
            </w:r>
            <w:r w:rsidRPr="001B3ED4">
              <w:rPr>
                <w:rFonts w:ascii="Arial" w:hAnsi="Arial" w:cs="Arial"/>
                <w:webHidden/>
              </w:rPr>
              <w:fldChar w:fldCharType="end"/>
            </w:r>
          </w:hyperlink>
        </w:p>
        <w:p w14:paraId="735F7183" w14:textId="15B9AF18"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7" w:history="1">
            <w:r w:rsidRPr="001B3ED4">
              <w:rPr>
                <w:rStyle w:val="Hyperlink"/>
                <w:rFonts w:ascii="Arial" w:hAnsi="Arial" w:cs="Arial"/>
              </w:rPr>
              <w:t>Chapter 3: Methodology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24</w:t>
            </w:r>
            <w:r w:rsidRPr="001B3ED4">
              <w:rPr>
                <w:rFonts w:ascii="Arial" w:hAnsi="Arial" w:cs="Arial"/>
                <w:webHidden/>
              </w:rPr>
              <w:fldChar w:fldCharType="end"/>
            </w:r>
          </w:hyperlink>
        </w:p>
        <w:p w14:paraId="2F92A9D9" w14:textId="3CFD61F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8" w:history="1">
            <w:r w:rsidRPr="001B3ED4">
              <w:rPr>
                <w:rStyle w:val="Hyperlink"/>
                <w:rFonts w:ascii="Arial" w:hAnsi="Arial" w:cs="Arial"/>
              </w:rPr>
              <w:t>3.1 Introduction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24</w:t>
            </w:r>
            <w:r w:rsidRPr="001B3ED4">
              <w:rPr>
                <w:rFonts w:ascii="Arial" w:hAnsi="Arial" w:cs="Arial"/>
                <w:webHidden/>
              </w:rPr>
              <w:fldChar w:fldCharType="end"/>
            </w:r>
          </w:hyperlink>
        </w:p>
        <w:p w14:paraId="288ABC08" w14:textId="7F2EBA82"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79" w:history="1">
            <w:r w:rsidRPr="001B3ED4">
              <w:rPr>
                <w:rStyle w:val="Hyperlink"/>
                <w:rFonts w:ascii="Arial" w:hAnsi="Arial" w:cs="Arial"/>
              </w:rPr>
              <w:t>3.2 Research Philosophy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_Toc218418679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24</w:t>
            </w:r>
            <w:r w:rsidRPr="001B3ED4">
              <w:rPr>
                <w:rFonts w:ascii="Arial" w:hAnsi="Arial" w:cs="Arial"/>
                <w:webHidden/>
              </w:rPr>
              <w:fldChar w:fldCharType="end"/>
            </w:r>
          </w:hyperlink>
        </w:p>
        <w:p w14:paraId="6D5C3C58" w14:textId="6CFCE0B6"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0" w:history="1">
            <w:r w:rsidRPr="001B3ED4">
              <w:rPr>
                <w:rStyle w:val="Hyperlink"/>
                <w:rFonts w:ascii="Arial" w:hAnsi="Arial" w:cs="Arial"/>
              </w:rPr>
              <w:t>3.3 Research Approach</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_Toc218418680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25</w:t>
            </w:r>
            <w:r w:rsidRPr="001B3ED4">
              <w:rPr>
                <w:rFonts w:ascii="Arial" w:hAnsi="Arial" w:cs="Arial"/>
                <w:webHidden/>
              </w:rPr>
              <w:fldChar w:fldCharType="end"/>
            </w:r>
          </w:hyperlink>
        </w:p>
        <w:p w14:paraId="0683FA14" w14:textId="406C187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1" w:history="1">
            <w:r w:rsidRPr="001B3ED4">
              <w:rPr>
                <w:rStyle w:val="Hyperlink"/>
                <w:rFonts w:ascii="Arial" w:hAnsi="Arial" w:cs="Arial"/>
              </w:rPr>
              <w:t>3.4 Study Design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_Toc218418681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25</w:t>
            </w:r>
            <w:r w:rsidRPr="001B3ED4">
              <w:rPr>
                <w:rFonts w:ascii="Arial" w:hAnsi="Arial" w:cs="Arial"/>
                <w:webHidden/>
              </w:rPr>
              <w:fldChar w:fldCharType="end"/>
            </w:r>
          </w:hyperlink>
        </w:p>
        <w:p w14:paraId="101D795B" w14:textId="2BAAEC21"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2" w:history="1">
            <w:r w:rsidRPr="001B3ED4">
              <w:rPr>
                <w:rStyle w:val="Hyperlink"/>
                <w:rFonts w:ascii="Arial" w:hAnsi="Arial" w:cs="Arial"/>
              </w:rPr>
              <w:t>3.5 Database Search Procedure</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_Toc218418682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25</w:t>
            </w:r>
            <w:r w:rsidRPr="001B3ED4">
              <w:rPr>
                <w:rFonts w:ascii="Arial" w:hAnsi="Arial" w:cs="Arial"/>
                <w:webHidden/>
              </w:rPr>
              <w:fldChar w:fldCharType="end"/>
            </w:r>
          </w:hyperlink>
        </w:p>
        <w:p w14:paraId="55C5525A" w14:textId="1117D2DF"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3" w:history="1">
            <w:r w:rsidRPr="001B3ED4">
              <w:rPr>
                <w:rStyle w:val="Hyperlink"/>
                <w:rFonts w:ascii="Arial" w:hAnsi="Arial" w:cs="Arial"/>
              </w:rPr>
              <w:t>3.6 Method of Data Collection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_Toc218418683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26</w:t>
            </w:r>
            <w:r w:rsidRPr="001B3ED4">
              <w:rPr>
                <w:rFonts w:ascii="Arial" w:hAnsi="Arial" w:cs="Arial"/>
                <w:webHidden/>
              </w:rPr>
              <w:fldChar w:fldCharType="end"/>
            </w:r>
          </w:hyperlink>
        </w:p>
        <w:p w14:paraId="0DF52CAD" w14:textId="4BA0F705"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4" w:history="1">
            <w:r w:rsidRPr="001B3ED4">
              <w:rPr>
                <w:rStyle w:val="Hyperlink"/>
                <w:rFonts w:ascii="Arial" w:hAnsi="Arial" w:cs="Arial"/>
              </w:rPr>
              <w:t>3.7 PICOS Framework</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_Toc218418684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26</w:t>
            </w:r>
            <w:r w:rsidRPr="001B3ED4">
              <w:rPr>
                <w:rFonts w:ascii="Arial" w:hAnsi="Arial" w:cs="Arial"/>
                <w:webHidden/>
              </w:rPr>
              <w:fldChar w:fldCharType="end"/>
            </w:r>
          </w:hyperlink>
        </w:p>
        <w:p w14:paraId="11BFA47E" w14:textId="564D7254"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5" w:history="1">
            <w:r w:rsidRPr="001B3ED4">
              <w:rPr>
                <w:rStyle w:val="Hyperlink"/>
                <w:rFonts w:ascii="Arial" w:hAnsi="Arial" w:cs="Arial"/>
              </w:rPr>
              <w:t>3.8 Inclusion and Exclusion Criteria</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27</w:t>
            </w:r>
            <w:r w:rsidRPr="001B3ED4">
              <w:rPr>
                <w:rFonts w:ascii="Arial" w:hAnsi="Arial" w:cs="Arial"/>
                <w:webHidden/>
              </w:rPr>
              <w:fldChar w:fldCharType="end"/>
            </w:r>
          </w:hyperlink>
        </w:p>
        <w:p w14:paraId="00163FBB" w14:textId="3BBA4ABC"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686" w:history="1">
            <w:r w:rsidRPr="001B3ED4">
              <w:rPr>
                <w:rStyle w:val="Hyperlink"/>
                <w:rFonts w:ascii="Arial" w:eastAsiaTheme="majorEastAsia" w:hAnsi="Arial" w:cs="Arial"/>
              </w:rPr>
              <w:t>3.8.1 Inclusion Criteria</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27</w:t>
            </w:r>
            <w:r w:rsidRPr="001B3ED4">
              <w:rPr>
                <w:rFonts w:ascii="Arial" w:hAnsi="Arial" w:cs="Arial"/>
                <w:webHidden/>
              </w:rPr>
              <w:fldChar w:fldCharType="end"/>
            </w:r>
          </w:hyperlink>
        </w:p>
        <w:p w14:paraId="7097A71F" w14:textId="063A6411"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687" w:history="1">
            <w:r w:rsidRPr="001B3ED4">
              <w:rPr>
                <w:rStyle w:val="Hyperlink"/>
                <w:rFonts w:ascii="Arial" w:eastAsiaTheme="majorEastAsia" w:hAnsi="Arial" w:cs="Arial"/>
              </w:rPr>
              <w:t>3.8.2 Exclusion Criteria</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28</w:t>
            </w:r>
            <w:r w:rsidRPr="001B3ED4">
              <w:rPr>
                <w:rFonts w:ascii="Arial" w:hAnsi="Arial" w:cs="Arial"/>
                <w:webHidden/>
              </w:rPr>
              <w:fldChar w:fldCharType="end"/>
            </w:r>
          </w:hyperlink>
        </w:p>
        <w:p w14:paraId="04F34754" w14:textId="06311C51"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8" w:history="1">
            <w:r w:rsidRPr="001B3ED4">
              <w:rPr>
                <w:rStyle w:val="Hyperlink"/>
                <w:rFonts w:ascii="Arial" w:hAnsi="Arial" w:cs="Arial"/>
              </w:rPr>
              <w:t>3.9 Quality Assessment</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28</w:t>
            </w:r>
            <w:r w:rsidRPr="001B3ED4">
              <w:rPr>
                <w:rFonts w:ascii="Arial" w:hAnsi="Arial" w:cs="Arial"/>
                <w:webHidden/>
              </w:rPr>
              <w:fldChar w:fldCharType="end"/>
            </w:r>
          </w:hyperlink>
        </w:p>
        <w:p w14:paraId="04041465" w14:textId="614F5733"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89" w:history="1">
            <w:r w:rsidRPr="001B3ED4">
              <w:rPr>
                <w:rStyle w:val="Hyperlink"/>
                <w:rFonts w:ascii="Arial" w:hAnsi="Arial" w:cs="Arial"/>
              </w:rPr>
              <w:t>3.10 Data Analysis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_Toc218418689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29</w:t>
            </w:r>
            <w:r w:rsidRPr="001B3ED4">
              <w:rPr>
                <w:rFonts w:ascii="Arial" w:hAnsi="Arial" w:cs="Arial"/>
                <w:webHidden/>
              </w:rPr>
              <w:fldChar w:fldCharType="end"/>
            </w:r>
          </w:hyperlink>
        </w:p>
        <w:p w14:paraId="2B8F26FB" w14:textId="3EABF35C"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0" w:history="1">
            <w:r w:rsidRPr="001B3ED4">
              <w:rPr>
                <w:rStyle w:val="Hyperlink"/>
                <w:rFonts w:ascii="Arial" w:hAnsi="Arial" w:cs="Arial"/>
              </w:rPr>
              <w:t>3.11 PRISMA Reporting</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_Toc218418690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29</w:t>
            </w:r>
            <w:r w:rsidRPr="001B3ED4">
              <w:rPr>
                <w:rFonts w:ascii="Arial" w:hAnsi="Arial" w:cs="Arial"/>
                <w:webHidden/>
              </w:rPr>
              <w:fldChar w:fldCharType="end"/>
            </w:r>
          </w:hyperlink>
        </w:p>
        <w:p w14:paraId="2DD73F2E" w14:textId="6C9CFCBB"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1" w:history="1">
            <w:r w:rsidRPr="001B3ED4">
              <w:rPr>
                <w:rStyle w:val="Hyperlink"/>
                <w:rFonts w:ascii="Arial" w:hAnsi="Arial" w:cs="Arial"/>
              </w:rPr>
              <w:t>3.12 Ethical Considerations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_Toc218418691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30</w:t>
            </w:r>
            <w:r w:rsidRPr="001B3ED4">
              <w:rPr>
                <w:rFonts w:ascii="Arial" w:hAnsi="Arial" w:cs="Arial"/>
                <w:webHidden/>
              </w:rPr>
              <w:fldChar w:fldCharType="end"/>
            </w:r>
          </w:hyperlink>
        </w:p>
        <w:p w14:paraId="359F92F1" w14:textId="13B6FBCA"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2" w:history="1">
            <w:r w:rsidRPr="001B3ED4">
              <w:rPr>
                <w:rStyle w:val="Hyperlink"/>
                <w:rFonts w:ascii="Arial" w:hAnsi="Arial" w:cs="Arial"/>
              </w:rPr>
              <w:t>3.13 Chapter Summary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_Toc218418692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30</w:t>
            </w:r>
            <w:r w:rsidRPr="001B3ED4">
              <w:rPr>
                <w:rFonts w:ascii="Arial" w:hAnsi="Arial" w:cs="Arial"/>
                <w:webHidden/>
              </w:rPr>
              <w:fldChar w:fldCharType="end"/>
            </w:r>
          </w:hyperlink>
        </w:p>
        <w:p w14:paraId="45D4E91D" w14:textId="37920612"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3" w:history="1">
            <w:r w:rsidRPr="001B3ED4">
              <w:rPr>
                <w:rStyle w:val="Hyperlink"/>
                <w:rFonts w:ascii="Arial" w:hAnsi="Arial" w:cs="Arial"/>
              </w:rPr>
              <w:t>Chapter 4: Results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_Toc218418693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31</w:t>
            </w:r>
            <w:r w:rsidRPr="001B3ED4">
              <w:rPr>
                <w:rFonts w:ascii="Arial" w:hAnsi="Arial" w:cs="Arial"/>
                <w:webHidden/>
              </w:rPr>
              <w:fldChar w:fldCharType="end"/>
            </w:r>
          </w:hyperlink>
        </w:p>
        <w:p w14:paraId="13FFD4E8" w14:textId="05027EE9"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4" w:history="1">
            <w:r w:rsidRPr="001B3ED4">
              <w:rPr>
                <w:rStyle w:val="Hyperlink"/>
                <w:rFonts w:ascii="Arial" w:hAnsi="Arial" w:cs="Arial"/>
              </w:rPr>
              <w:t>4.1 Introduction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_Toc218418694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31</w:t>
            </w:r>
            <w:r w:rsidRPr="001B3ED4">
              <w:rPr>
                <w:rFonts w:ascii="Arial" w:hAnsi="Arial" w:cs="Arial"/>
                <w:webHidden/>
              </w:rPr>
              <w:fldChar w:fldCharType="end"/>
            </w:r>
          </w:hyperlink>
        </w:p>
        <w:p w14:paraId="589773D0" w14:textId="5E0293E4"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5" w:history="1">
            <w:r w:rsidRPr="001B3ED4">
              <w:rPr>
                <w:rStyle w:val="Hyperlink"/>
                <w:rFonts w:ascii="Arial" w:hAnsi="Arial" w:cs="Arial"/>
              </w:rPr>
              <w:t>4.2 PRISMA Flow Diagram</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31</w:t>
            </w:r>
            <w:r w:rsidRPr="001B3ED4">
              <w:rPr>
                <w:rFonts w:ascii="Arial" w:hAnsi="Arial" w:cs="Arial"/>
                <w:webHidden/>
              </w:rPr>
              <w:fldChar w:fldCharType="end"/>
            </w:r>
          </w:hyperlink>
        </w:p>
        <w:p w14:paraId="4542E0DB" w14:textId="3638AECA"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6" w:history="1">
            <w:r w:rsidRPr="001B3ED4">
              <w:rPr>
                <w:rStyle w:val="Hyperlink"/>
                <w:rFonts w:ascii="Arial" w:hAnsi="Arial" w:cs="Arial"/>
              </w:rPr>
              <w:t>4.3 Characteristics of the Selected Research Articles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33</w:t>
            </w:r>
            <w:r w:rsidRPr="001B3ED4">
              <w:rPr>
                <w:rFonts w:ascii="Arial" w:hAnsi="Arial" w:cs="Arial"/>
                <w:webHidden/>
              </w:rPr>
              <w:fldChar w:fldCharType="end"/>
            </w:r>
          </w:hyperlink>
        </w:p>
        <w:p w14:paraId="31B919C9" w14:textId="1E637E4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697" w:history="1">
            <w:r w:rsidRPr="001B3ED4">
              <w:rPr>
                <w:rStyle w:val="Hyperlink"/>
                <w:rFonts w:ascii="Arial" w:hAnsi="Arial" w:cs="Arial"/>
              </w:rPr>
              <w:t>4.4 Thematic Analysis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38</w:t>
            </w:r>
            <w:r w:rsidRPr="001B3ED4">
              <w:rPr>
                <w:rFonts w:ascii="Arial" w:hAnsi="Arial" w:cs="Arial"/>
                <w:webHidden/>
              </w:rPr>
              <w:fldChar w:fldCharType="end"/>
            </w:r>
          </w:hyperlink>
        </w:p>
        <w:p w14:paraId="251F00E6" w14:textId="55003118"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698" w:history="1">
            <w:r w:rsidRPr="001B3ED4">
              <w:rPr>
                <w:rStyle w:val="Hyperlink"/>
                <w:rFonts w:ascii="Arial" w:hAnsi="Arial" w:cs="Arial"/>
                <w:lang w:eastAsia="en-GB"/>
              </w:rPr>
              <w:t>Theme 1:Low Impact of BCG and TB Vaccination Strategies on TB Incidence and Morbidity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38</w:t>
            </w:r>
            <w:r w:rsidRPr="001B3ED4">
              <w:rPr>
                <w:rFonts w:ascii="Arial" w:hAnsi="Arial" w:cs="Arial"/>
                <w:webHidden/>
              </w:rPr>
              <w:fldChar w:fldCharType="end"/>
            </w:r>
          </w:hyperlink>
        </w:p>
        <w:p w14:paraId="317238F8" w14:textId="6EEFC0D2"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699" w:history="1">
            <w:r w:rsidRPr="001B3ED4">
              <w:rPr>
                <w:rStyle w:val="Hyperlink"/>
                <w:rFonts w:ascii="Arial" w:hAnsi="Arial" w:cs="Arial"/>
                <w:lang w:eastAsia="en-GB"/>
              </w:rPr>
              <w:t>Theme 2: Challenging Coverage and Outreach of Vaccination Campaigns in High-Risk and Vulnerable Populations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_Toc218418699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39</w:t>
            </w:r>
            <w:r w:rsidRPr="001B3ED4">
              <w:rPr>
                <w:rFonts w:ascii="Arial" w:hAnsi="Arial" w:cs="Arial"/>
                <w:webHidden/>
              </w:rPr>
              <w:fldChar w:fldCharType="end"/>
            </w:r>
          </w:hyperlink>
        </w:p>
        <w:p w14:paraId="06004B87" w14:textId="5FADD241"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700" w:history="1">
            <w:r w:rsidRPr="001B3ED4">
              <w:rPr>
                <w:rStyle w:val="Hyperlink"/>
                <w:rFonts w:ascii="Arial" w:hAnsi="Arial" w:cs="Arial"/>
                <w:lang w:eastAsia="en-GB"/>
              </w:rPr>
              <w:t>Theme 3: Barriers to Effective BCG Vaccination Programme Implementation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_Toc218418700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40</w:t>
            </w:r>
            <w:r w:rsidRPr="001B3ED4">
              <w:rPr>
                <w:rFonts w:ascii="Arial" w:hAnsi="Arial" w:cs="Arial"/>
                <w:webHidden/>
              </w:rPr>
              <w:fldChar w:fldCharType="end"/>
            </w:r>
          </w:hyperlink>
        </w:p>
        <w:p w14:paraId="545E2DD1" w14:textId="310B338D"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701" w:history="1">
            <w:r w:rsidRPr="001B3ED4">
              <w:rPr>
                <w:rStyle w:val="Hyperlink"/>
                <w:rFonts w:ascii="Arial" w:hAnsi="Arial" w:cs="Arial"/>
                <w:lang w:eastAsia="en-GB"/>
              </w:rPr>
              <w:t>Theme 4: Various Strategies for Improving BCG Campaign Design, Delivery, and Equity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_Toc218418701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41</w:t>
            </w:r>
            <w:r w:rsidRPr="001B3ED4">
              <w:rPr>
                <w:rFonts w:ascii="Arial" w:hAnsi="Arial" w:cs="Arial"/>
                <w:webHidden/>
              </w:rPr>
              <w:fldChar w:fldCharType="end"/>
            </w:r>
          </w:hyperlink>
        </w:p>
        <w:p w14:paraId="3C109879" w14:textId="3990F264"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2" w:history="1">
            <w:r w:rsidRPr="001B3ED4">
              <w:rPr>
                <w:rStyle w:val="Hyperlink"/>
                <w:rFonts w:ascii="Arial" w:hAnsi="Arial" w:cs="Arial"/>
              </w:rPr>
              <w:t>4.5 Chapter Summary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_Toc218418702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41</w:t>
            </w:r>
            <w:r w:rsidRPr="001B3ED4">
              <w:rPr>
                <w:rFonts w:ascii="Arial" w:hAnsi="Arial" w:cs="Arial"/>
                <w:webHidden/>
              </w:rPr>
              <w:fldChar w:fldCharType="end"/>
            </w:r>
          </w:hyperlink>
        </w:p>
        <w:p w14:paraId="63B622DC" w14:textId="0AE2D954"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3" w:history="1">
            <w:r w:rsidRPr="001B3ED4">
              <w:rPr>
                <w:rStyle w:val="Hyperlink"/>
                <w:rFonts w:ascii="Arial" w:hAnsi="Arial" w:cs="Arial"/>
              </w:rPr>
              <w:t>Chapter 5: Discussion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_Toc218418703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43</w:t>
            </w:r>
            <w:r w:rsidRPr="001B3ED4">
              <w:rPr>
                <w:rFonts w:ascii="Arial" w:hAnsi="Arial" w:cs="Arial"/>
                <w:webHidden/>
              </w:rPr>
              <w:fldChar w:fldCharType="end"/>
            </w:r>
          </w:hyperlink>
        </w:p>
        <w:p w14:paraId="5D644802" w14:textId="7BC31936"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4" w:history="1">
            <w:r w:rsidRPr="001B3ED4">
              <w:rPr>
                <w:rStyle w:val="Hyperlink"/>
                <w:rFonts w:ascii="Arial" w:hAnsi="Arial" w:cs="Arial"/>
              </w:rPr>
              <w:t>5.1 Introduction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_Toc218418704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43</w:t>
            </w:r>
            <w:r w:rsidRPr="001B3ED4">
              <w:rPr>
                <w:rFonts w:ascii="Arial" w:hAnsi="Arial" w:cs="Arial"/>
                <w:webHidden/>
              </w:rPr>
              <w:fldChar w:fldCharType="end"/>
            </w:r>
          </w:hyperlink>
        </w:p>
        <w:p w14:paraId="6B2B58C1" w14:textId="2683A936"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5" w:history="1">
            <w:r w:rsidRPr="001B3ED4">
              <w:rPr>
                <w:rStyle w:val="Hyperlink"/>
                <w:rFonts w:ascii="Arial" w:hAnsi="Arial" w:cs="Arial"/>
              </w:rPr>
              <w:t>5.2 Discussion of themes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43</w:t>
            </w:r>
            <w:r w:rsidRPr="001B3ED4">
              <w:rPr>
                <w:rFonts w:ascii="Arial" w:hAnsi="Arial" w:cs="Arial"/>
                <w:webHidden/>
              </w:rPr>
              <w:fldChar w:fldCharType="end"/>
            </w:r>
          </w:hyperlink>
        </w:p>
        <w:p w14:paraId="78F8D0C2" w14:textId="7206F024"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6" w:history="1">
            <w:r w:rsidRPr="001B3ED4">
              <w:rPr>
                <w:rStyle w:val="Hyperlink"/>
                <w:rFonts w:ascii="Arial" w:hAnsi="Arial" w:cs="Arial"/>
              </w:rPr>
              <w:t>5.3 Chapter Summary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47</w:t>
            </w:r>
            <w:r w:rsidRPr="001B3ED4">
              <w:rPr>
                <w:rFonts w:ascii="Arial" w:hAnsi="Arial" w:cs="Arial"/>
                <w:webHidden/>
              </w:rPr>
              <w:fldChar w:fldCharType="end"/>
            </w:r>
          </w:hyperlink>
        </w:p>
        <w:p w14:paraId="7C6D8B00" w14:textId="6A5920DA"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7" w:history="1">
            <w:r w:rsidRPr="001B3ED4">
              <w:rPr>
                <w:rStyle w:val="Hyperlink"/>
                <w:rFonts w:ascii="Arial" w:hAnsi="Arial" w:cs="Arial"/>
              </w:rPr>
              <w:t>Chapter 6: Conclusion and Recommendations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49</w:t>
            </w:r>
            <w:r w:rsidRPr="001B3ED4">
              <w:rPr>
                <w:rFonts w:ascii="Arial" w:hAnsi="Arial" w:cs="Arial"/>
                <w:webHidden/>
              </w:rPr>
              <w:fldChar w:fldCharType="end"/>
            </w:r>
          </w:hyperlink>
        </w:p>
        <w:p w14:paraId="117A67D4" w14:textId="61738E4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8" w:history="1">
            <w:r w:rsidRPr="001B3ED4">
              <w:rPr>
                <w:rStyle w:val="Hyperlink"/>
                <w:rFonts w:ascii="Arial" w:hAnsi="Arial" w:cs="Arial"/>
              </w:rPr>
              <w:t>6.1 Introduction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49</w:t>
            </w:r>
            <w:r w:rsidRPr="001B3ED4">
              <w:rPr>
                <w:rFonts w:ascii="Arial" w:hAnsi="Arial" w:cs="Arial"/>
                <w:webHidden/>
              </w:rPr>
              <w:fldChar w:fldCharType="end"/>
            </w:r>
          </w:hyperlink>
        </w:p>
        <w:p w14:paraId="1FEDE7FD" w14:textId="260E50A3"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09" w:history="1">
            <w:r w:rsidRPr="001B3ED4">
              <w:rPr>
                <w:rStyle w:val="Hyperlink"/>
                <w:rFonts w:ascii="Arial" w:hAnsi="Arial" w:cs="Arial"/>
              </w:rPr>
              <w:t>6.2 Restatement of the Research Aim and Objectives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_Toc218418709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49</w:t>
            </w:r>
            <w:r w:rsidRPr="001B3ED4">
              <w:rPr>
                <w:rFonts w:ascii="Arial" w:hAnsi="Arial" w:cs="Arial"/>
                <w:webHidden/>
              </w:rPr>
              <w:fldChar w:fldCharType="end"/>
            </w:r>
          </w:hyperlink>
        </w:p>
        <w:p w14:paraId="04E9A2B1" w14:textId="270DB175"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10" w:history="1">
            <w:r w:rsidRPr="001B3ED4">
              <w:rPr>
                <w:rStyle w:val="Hyperlink"/>
                <w:rFonts w:ascii="Arial" w:hAnsi="Arial" w:cs="Arial"/>
              </w:rPr>
              <w:t>6.3 Discussion of Key Findings in Relation to Research Objectives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_Toc218418710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49</w:t>
            </w:r>
            <w:r w:rsidRPr="001B3ED4">
              <w:rPr>
                <w:rFonts w:ascii="Arial" w:hAnsi="Arial" w:cs="Arial"/>
                <w:webHidden/>
              </w:rPr>
              <w:fldChar w:fldCharType="end"/>
            </w:r>
          </w:hyperlink>
        </w:p>
        <w:p w14:paraId="1213023F" w14:textId="7EB554C7"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711" w:history="1">
            <w:r w:rsidRPr="001B3ED4">
              <w:rPr>
                <w:rStyle w:val="Hyperlink"/>
                <w:rFonts w:ascii="Arial" w:hAnsi="Arial" w:cs="Arial"/>
              </w:rPr>
              <w:t>6.3.1 Objective 1: Trends in Tuberculosis Incidence and Morbidity in Relation to BCG Campaigns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_Toc218418711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49</w:t>
            </w:r>
            <w:r w:rsidRPr="001B3ED4">
              <w:rPr>
                <w:rFonts w:ascii="Arial" w:hAnsi="Arial" w:cs="Arial"/>
                <w:webHidden/>
              </w:rPr>
              <w:fldChar w:fldCharType="end"/>
            </w:r>
          </w:hyperlink>
        </w:p>
        <w:p w14:paraId="7E49E939" w14:textId="7EC7D531"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712" w:history="1">
            <w:r w:rsidRPr="001B3ED4">
              <w:rPr>
                <w:rStyle w:val="Hyperlink"/>
                <w:rFonts w:ascii="Arial" w:hAnsi="Arial" w:cs="Arial"/>
              </w:rPr>
              <w:t>6.3.2 Objective 2: Coverage and Outreach of BCG Vaccination Campaigns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_Toc218418712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50</w:t>
            </w:r>
            <w:r w:rsidRPr="001B3ED4">
              <w:rPr>
                <w:rFonts w:ascii="Arial" w:hAnsi="Arial" w:cs="Arial"/>
                <w:webHidden/>
              </w:rPr>
              <w:fldChar w:fldCharType="end"/>
            </w:r>
          </w:hyperlink>
        </w:p>
        <w:p w14:paraId="748534B4" w14:textId="26C214A9"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713" w:history="1">
            <w:r w:rsidRPr="001B3ED4">
              <w:rPr>
                <w:rStyle w:val="Hyperlink"/>
                <w:rFonts w:ascii="Arial" w:hAnsi="Arial" w:cs="Arial"/>
              </w:rPr>
              <w:t>6.3.3 Objective 3: Barriers to Effective BCG Programme Implementation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_Toc218418713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51</w:t>
            </w:r>
            <w:r w:rsidRPr="001B3ED4">
              <w:rPr>
                <w:rFonts w:ascii="Arial" w:hAnsi="Arial" w:cs="Arial"/>
                <w:webHidden/>
              </w:rPr>
              <w:fldChar w:fldCharType="end"/>
            </w:r>
          </w:hyperlink>
        </w:p>
        <w:p w14:paraId="3543C71E" w14:textId="5AC3C77C" w:rsidR="004F2450" w:rsidRPr="001B3ED4" w:rsidRDefault="004F2450" w:rsidP="004F2450">
          <w:pPr>
            <w:pStyle w:val="TOC2"/>
            <w:tabs>
              <w:tab w:val="right" w:leader="dot" w:pos="9016"/>
            </w:tabs>
            <w:spacing w:line="360" w:lineRule="auto"/>
            <w:jc w:val="both"/>
            <w:rPr>
              <w:rFonts w:ascii="Arial" w:eastAsiaTheme="minorEastAsia" w:hAnsi="Arial" w:cs="Arial"/>
              <w:lang w:eastAsia="en-GB"/>
            </w:rPr>
          </w:pPr>
          <w:hyperlink w:anchor="_Toc218418714" w:history="1">
            <w:r w:rsidRPr="001B3ED4">
              <w:rPr>
                <w:rStyle w:val="Hyperlink"/>
                <w:rFonts w:ascii="Arial" w:hAnsi="Arial" w:cs="Arial"/>
              </w:rPr>
              <w:t>6.3.4 Objective 4: Strategies for Improving Design, Delivery, and Equity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_Toc218418714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51</w:t>
            </w:r>
            <w:r w:rsidRPr="001B3ED4">
              <w:rPr>
                <w:rFonts w:ascii="Arial" w:hAnsi="Arial" w:cs="Arial"/>
                <w:webHidden/>
              </w:rPr>
              <w:fldChar w:fldCharType="end"/>
            </w:r>
          </w:hyperlink>
        </w:p>
        <w:p w14:paraId="043A88C4" w14:textId="20761B28"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15" w:history="1">
            <w:r w:rsidRPr="001B3ED4">
              <w:rPr>
                <w:rStyle w:val="Hyperlink"/>
                <w:rFonts w:ascii="Arial" w:hAnsi="Arial" w:cs="Arial"/>
              </w:rPr>
              <w:t>6.4 Limitations of the Study</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_Toc218418715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52</w:t>
            </w:r>
            <w:r w:rsidRPr="001B3ED4">
              <w:rPr>
                <w:rFonts w:ascii="Arial" w:hAnsi="Arial" w:cs="Arial"/>
                <w:webHidden/>
              </w:rPr>
              <w:fldChar w:fldCharType="end"/>
            </w:r>
          </w:hyperlink>
        </w:p>
        <w:p w14:paraId="549D89E3" w14:textId="26CD3750"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16" w:history="1">
            <w:r w:rsidRPr="001B3ED4">
              <w:rPr>
                <w:rStyle w:val="Hyperlink"/>
                <w:rFonts w:ascii="Arial" w:hAnsi="Arial" w:cs="Arial"/>
              </w:rPr>
              <w:t>6.5 Recommendations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_Toc218418716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52</w:t>
            </w:r>
            <w:r w:rsidRPr="001B3ED4">
              <w:rPr>
                <w:rFonts w:ascii="Arial" w:hAnsi="Arial" w:cs="Arial"/>
                <w:webHidden/>
              </w:rPr>
              <w:fldChar w:fldCharType="end"/>
            </w:r>
          </w:hyperlink>
        </w:p>
        <w:p w14:paraId="3ABFBCA1" w14:textId="7B04979E"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17" w:history="1">
            <w:r w:rsidRPr="001B3ED4">
              <w:rPr>
                <w:rStyle w:val="Hyperlink"/>
                <w:rFonts w:ascii="Arial" w:hAnsi="Arial" w:cs="Arial"/>
              </w:rPr>
              <w:t>6.6 Conclusion</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_Toc218418717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53</w:t>
            </w:r>
            <w:r w:rsidRPr="001B3ED4">
              <w:rPr>
                <w:rFonts w:ascii="Arial" w:hAnsi="Arial" w:cs="Arial"/>
                <w:webHidden/>
              </w:rPr>
              <w:fldChar w:fldCharType="end"/>
            </w:r>
          </w:hyperlink>
        </w:p>
        <w:p w14:paraId="68B44D4B" w14:textId="360E5E45" w:rsidR="004F2450" w:rsidRPr="001B3ED4" w:rsidRDefault="004F2450" w:rsidP="004F2450">
          <w:pPr>
            <w:pStyle w:val="TOC1"/>
            <w:tabs>
              <w:tab w:val="right" w:leader="dot" w:pos="9016"/>
            </w:tabs>
            <w:spacing w:line="360" w:lineRule="auto"/>
            <w:jc w:val="both"/>
            <w:rPr>
              <w:rFonts w:ascii="Arial" w:eastAsiaTheme="minorEastAsia" w:hAnsi="Arial" w:cs="Arial"/>
              <w:lang w:eastAsia="en-GB"/>
            </w:rPr>
          </w:pPr>
          <w:hyperlink w:anchor="_Toc218418718" w:history="1">
            <w:r w:rsidRPr="001B3ED4">
              <w:rPr>
                <w:rStyle w:val="Hyperlink"/>
                <w:rFonts w:ascii="Arial" w:hAnsi="Arial" w:cs="Arial"/>
              </w:rPr>
              <w:t>References</w:t>
            </w:r>
            <w:r w:rsidRPr="001B3ED4">
              <w:rPr>
                <w:rFonts w:ascii="Arial" w:hAnsi="Arial" w:cs="Arial"/>
                <w:webHidden/>
              </w:rPr>
              <w:tab/>
            </w:r>
            <w:r w:rsidRPr="001B3ED4">
              <w:rPr>
                <w:rFonts w:ascii="Arial" w:hAnsi="Arial" w:cs="Arial"/>
                <w:webHidden/>
              </w:rPr>
              <w:fldChar w:fldCharType="begin"/>
            </w:r>
            <w:r w:rsidRPr="001B3ED4">
              <w:rPr>
                <w:rFonts w:ascii="Arial" w:hAnsi="Arial" w:cs="Arial"/>
                <w:webHidden/>
              </w:rPr>
              <w:instrText xml:space="preserve"> PAGEREF _Toc218418718 \h </w:instrText>
            </w:r>
            <w:r w:rsidRPr="001B3ED4">
              <w:rPr>
                <w:rFonts w:ascii="Arial" w:hAnsi="Arial" w:cs="Arial"/>
                <w:webHidden/>
              </w:rPr>
            </w:r>
            <w:r w:rsidRPr="001B3ED4">
              <w:rPr>
                <w:rFonts w:ascii="Arial" w:hAnsi="Arial" w:cs="Arial"/>
                <w:webHidden/>
              </w:rPr>
              <w:fldChar w:fldCharType="separate"/>
            </w:r>
            <w:r w:rsidR="00084D07" w:rsidRPr="001B3ED4">
              <w:rPr>
                <w:rFonts w:ascii="Arial" w:hAnsi="Arial" w:cs="Arial"/>
                <w:webHidden/>
              </w:rPr>
              <w:t>55</w:t>
            </w:r>
            <w:r w:rsidRPr="001B3ED4">
              <w:rPr>
                <w:rFonts w:ascii="Arial" w:hAnsi="Arial" w:cs="Arial"/>
                <w:webHidden/>
              </w:rPr>
              <w:fldChar w:fldCharType="end"/>
            </w:r>
          </w:hyperlink>
        </w:p>
        <w:p w14:paraId="692DF4B6" w14:textId="68062A28" w:rsidR="00584C66" w:rsidRPr="001B3ED4" w:rsidRDefault="00584C66" w:rsidP="004F2450">
          <w:pPr>
            <w:spacing w:line="360" w:lineRule="auto"/>
            <w:jc w:val="both"/>
            <w:rPr>
              <w:rFonts w:ascii="Arial" w:hAnsi="Arial" w:cs="Arial"/>
            </w:rPr>
          </w:pPr>
          <w:r w:rsidRPr="001B3ED4">
            <w:rPr>
              <w:rFonts w:ascii="Arial" w:hAnsi="Arial" w:cs="Arial"/>
              <w:b/>
              <w:bCs/>
            </w:rPr>
            <w:fldChar w:fldCharType="end"/>
          </w:r>
        </w:p>
      </w:sdtContent>
    </w:sdt>
    <w:p w14:paraId="3BDE7D99" w14:textId="77777777" w:rsidR="00584C66" w:rsidRPr="001B3ED4" w:rsidRDefault="00584C66" w:rsidP="004F2450">
      <w:pPr>
        <w:spacing w:before="240" w:line="360" w:lineRule="auto"/>
        <w:jc w:val="both"/>
        <w:rPr>
          <w:rFonts w:ascii="Arial" w:hAnsi="Arial" w:cs="Arial"/>
        </w:rPr>
      </w:pPr>
    </w:p>
    <w:p w14:paraId="33371DBE" w14:textId="77777777" w:rsidR="00584C66" w:rsidRPr="001B3ED4" w:rsidRDefault="00584C66" w:rsidP="004F2450">
      <w:pPr>
        <w:spacing w:before="240" w:line="360" w:lineRule="auto"/>
        <w:jc w:val="both"/>
        <w:rPr>
          <w:rFonts w:ascii="Arial" w:hAnsi="Arial" w:cs="Arial"/>
        </w:rPr>
      </w:pPr>
    </w:p>
    <w:p w14:paraId="2111ECBE" w14:textId="77777777" w:rsidR="00584C66" w:rsidRPr="001B3ED4" w:rsidRDefault="00584C66" w:rsidP="002E018A">
      <w:pPr>
        <w:spacing w:before="240" w:line="360" w:lineRule="auto"/>
        <w:jc w:val="both"/>
        <w:rPr>
          <w:rFonts w:ascii="Arial" w:hAnsi="Arial" w:cs="Arial"/>
        </w:rPr>
      </w:pPr>
    </w:p>
    <w:p w14:paraId="58EF274A" w14:textId="77777777" w:rsidR="00584C66" w:rsidRPr="001B3ED4" w:rsidRDefault="00584C66" w:rsidP="002E018A">
      <w:pPr>
        <w:spacing w:before="240" w:line="360" w:lineRule="auto"/>
        <w:jc w:val="both"/>
        <w:rPr>
          <w:rFonts w:ascii="Arial" w:hAnsi="Arial" w:cs="Arial"/>
        </w:rPr>
      </w:pPr>
    </w:p>
    <w:p w14:paraId="3D5CE1F5" w14:textId="77777777" w:rsidR="00584C66" w:rsidRPr="001B3ED4" w:rsidRDefault="00584C66" w:rsidP="002E018A">
      <w:pPr>
        <w:spacing w:before="240" w:line="360" w:lineRule="auto"/>
        <w:jc w:val="both"/>
        <w:rPr>
          <w:rFonts w:ascii="Arial" w:hAnsi="Arial" w:cs="Arial"/>
        </w:rPr>
      </w:pPr>
    </w:p>
    <w:p w14:paraId="4E52D82E" w14:textId="77777777" w:rsidR="004F2450" w:rsidRPr="001B3ED4" w:rsidRDefault="004F2450" w:rsidP="002E018A">
      <w:pPr>
        <w:spacing w:before="240" w:line="360" w:lineRule="auto"/>
        <w:jc w:val="both"/>
        <w:rPr>
          <w:rFonts w:ascii="Arial" w:hAnsi="Arial" w:cs="Arial"/>
        </w:rPr>
      </w:pPr>
    </w:p>
    <w:p w14:paraId="17BD7820" w14:textId="77777777" w:rsidR="002E018A" w:rsidRPr="001B3ED4" w:rsidRDefault="002E018A" w:rsidP="004F2450">
      <w:pPr>
        <w:pStyle w:val="Heading1"/>
      </w:pPr>
      <w:bookmarkStart w:id="0" w:name="_Toc218418654"/>
      <w:r w:rsidRPr="001B3ED4">
        <w:lastRenderedPageBreak/>
        <w:t>Chapter 1: Introduction</w:t>
      </w:r>
      <w:bookmarkEnd w:id="0"/>
    </w:p>
    <w:p w14:paraId="5AB6299B" w14:textId="77777777" w:rsidR="002E018A" w:rsidRPr="001B3ED4" w:rsidRDefault="002E018A" w:rsidP="004F2450">
      <w:pPr>
        <w:pStyle w:val="Heading1"/>
      </w:pPr>
      <w:bookmarkStart w:id="1" w:name="_Toc218418655"/>
      <w:r w:rsidRPr="001B3ED4">
        <w:t>1.1 Establishing the Research Topic</w:t>
      </w:r>
      <w:bookmarkEnd w:id="1"/>
      <w:r w:rsidRPr="001B3ED4">
        <w:t xml:space="preserve"> </w:t>
      </w:r>
    </w:p>
    <w:p w14:paraId="1967122D"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Tuberculosis (TB) continues to be one of the most serious public health challenges globally, with India contributing nearly one-third of the global burden (WHO, 2024). Within India, the National Capital Territory of Delhi has emerged as a significant hotspot due to its dense population of 34.7 million, rapid urbanisation, and large migratory inflow (Ram, 2021). According to the WHO Global Tuberculosis Report (2024), an estimated 10.8 million people fell ill with TB in 2023, which corresponds to about 134 new cases per 100,000 population. According to recent data, Delhi records approximately 747 new TB cases per thousand population annually, with an estimated 61% of its population carrying latent TB infection (Times of India, 2025). The disease burden is unevenly distributed across the city, with high-risk districts such as Northeast Delhi, Shahdara, and Central Delhi showing particularly high incidence rates (Panda, 2023). These areas are characterised by overcrowded settlements, poor sanitation, and limited healthcare access, conditions that facilitate TB transmission and complicate control efforts (Sharma et al., 2022).</w:t>
      </w:r>
    </w:p>
    <w:p w14:paraId="22310D49"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To mitigate the impact of TB, India has long relied on Bacillus Calmette–Guérin (BCG) vaccination as part of its Universal Immunisation Programme (UIP) (Lawrence, 2024). The vaccine, first introduced over a century ago, remains a cornerstone in TB prevention, particularly in reducing the severity of disease among children (</w:t>
      </w:r>
      <w:proofErr w:type="spellStart"/>
      <w:r w:rsidRPr="001B3ED4">
        <w:rPr>
          <w:rFonts w:ascii="Arial" w:eastAsia="Arial" w:hAnsi="Arial" w:cs="Arial"/>
          <w:bCs/>
        </w:rPr>
        <w:t>Setiabudiawan</w:t>
      </w:r>
      <w:proofErr w:type="spellEnd"/>
      <w:r w:rsidRPr="001B3ED4">
        <w:rPr>
          <w:rFonts w:ascii="Arial" w:eastAsia="Arial" w:hAnsi="Arial" w:cs="Arial"/>
          <w:bCs/>
        </w:rPr>
        <w:t xml:space="preserve"> et al., 2022). However, the persistence of high TB rates in certain urban zones raises questions about the actual effectiveness and reach of BCG campaigns. Periodic vaccination drives have been conducted in high-risk areas to boost immunity levels, yet the outcomes remain uncertain. Variability in campaign implementation, healthcare infrastructure, and population engagement often results in uneven coverage (Kusuma et al., 2018). Moreover, urban poor and migrant populations tend to have lower vaccination rates, reflecting inequities in access and information (Kusuma et al., 2018).</w:t>
      </w:r>
    </w:p>
    <w:p w14:paraId="4ED76131"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 xml:space="preserve">This research focuses on evaluating the impact of BCG vaccination campaigns in high-risk districts of Delhi. The study seeks to understand the extent to which these campaigns have influenced trends in TB incidence and morbidity, and to identify systemic barriers to vaccine delivery and acceptance. By analysing campaign </w:t>
      </w:r>
      <w:r w:rsidRPr="001B3ED4">
        <w:rPr>
          <w:rFonts w:ascii="Arial" w:eastAsia="Arial" w:hAnsi="Arial" w:cs="Arial"/>
          <w:bCs/>
        </w:rPr>
        <w:lastRenderedPageBreak/>
        <w:t>coverage, disease patterns, and social determinants of health, the research aims to provide an evidence-based evaluation of the BCG programme’s effectiveness. Ultimately, this study contributes to the broader public health goal of reducing TB transmission in India’s most vulnerable populations through improved immunisation strategies and targeted interventions. This study will focus on high-risk populations primarily within the age group of 15 to 60 years, as this demographic carries the highest burden of TB infection and transmission in urban settings.</w:t>
      </w:r>
    </w:p>
    <w:p w14:paraId="37B86D11" w14:textId="77777777" w:rsidR="002E018A" w:rsidRPr="001B3ED4" w:rsidRDefault="002E018A" w:rsidP="004F2450">
      <w:pPr>
        <w:pStyle w:val="Heading1"/>
      </w:pPr>
      <w:bookmarkStart w:id="2" w:name="_Toc218418656"/>
      <w:r w:rsidRPr="001B3ED4">
        <w:t>1.2 Background and Current Research</w:t>
      </w:r>
      <w:bookmarkEnd w:id="2"/>
      <w:r w:rsidRPr="001B3ED4">
        <w:t xml:space="preserve"> </w:t>
      </w:r>
    </w:p>
    <w:p w14:paraId="393CFDF7"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Globally, TB remains one of the top infectious disease killers, claiming over 1.3 million lives each year (WHO, 2024). In India, despite significant investments in TB control, the disease continues to pose a formidable challenge, especially in metropolitan regions (Padhi et al, 2024). Delhi, as a densely populated urban centre, experiences a disproportionate burden due to migration, socio-economic inequalities, and inadequate housing (Ong et al., 2020). Studies indicate that over 61% of Delhi’s population harbours latent TB infection, with high-risk areas consistently reporting elevated case notifications (Times of India, 2025). The disease burden in these areas underscores systemic issues such as poor healthcare access, stigma, and logistical difficulties in sustaining immunisation drives (Panda, 2023).</w:t>
      </w:r>
    </w:p>
    <w:p w14:paraId="73E7CFEF"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The BCG vaccine, developed in the early 20th century, has been integral to India’s TB control efforts (Ahmed et al., 2021). Administered at birth under the Universal Immunisation Programme, it plays a critical role in preventing severe forms of TB, such as meningitis and miliary TB, in children (</w:t>
      </w:r>
      <w:proofErr w:type="spellStart"/>
      <w:r w:rsidRPr="001B3ED4">
        <w:rPr>
          <w:rFonts w:ascii="Arial" w:eastAsia="Arial" w:hAnsi="Arial" w:cs="Arial"/>
          <w:bCs/>
        </w:rPr>
        <w:t>Setiabudiawan</w:t>
      </w:r>
      <w:proofErr w:type="spellEnd"/>
      <w:r w:rsidRPr="001B3ED4">
        <w:rPr>
          <w:rFonts w:ascii="Arial" w:eastAsia="Arial" w:hAnsi="Arial" w:cs="Arial"/>
          <w:bCs/>
        </w:rPr>
        <w:t xml:space="preserve"> et al., 2022). However, its effectiveness against pulmonary TB in adults varies, and its population-level impact depends heavily on consistent coverage and implementation. Research by Kusuma et al. (2018) revealed that BCG coverage remains inadequate in urban poor settlements, where transient and marginalised populations often lack access to healthcare facilities. Additionally, poor record-keeping and monitoring systems hinder evaluation of vaccination outcomes in urban districts (Ong et al., 2020).</w:t>
      </w:r>
    </w:p>
    <w:p w14:paraId="1F20F08C"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 xml:space="preserve">Recent studies have called for district-specific assessments to understand how BCG campaigns function in diverse urban contexts. Clark et al. (2024) identified that vaccine hesitancy, limited infrastructure, and socio-economic constraints are major factors </w:t>
      </w:r>
      <w:r w:rsidRPr="001B3ED4">
        <w:rPr>
          <w:rFonts w:ascii="Arial" w:eastAsia="Arial" w:hAnsi="Arial" w:cs="Arial"/>
          <w:bCs/>
        </w:rPr>
        <w:lastRenderedPageBreak/>
        <w:t>undermining the success of vaccination campaigns in Indian megacities. Similarly, Sinha et al. (2022) highlighted the absence of localised research assessing campaign effectiveness at the district level, which restricts policymakers’ ability to design tailored interventions. India’s National Strategic Plan to End TB by 2025 emphasises the need for district-level, data-driven strategies (Behera et al., 2020). Therefore, an evidence-based evaluation of BCG vaccination impact in high-burden districts of Delhi is both timely and critical (Summan et al., 2021). This study addresses this research gap by analysing the effectiveness, coverage, and challenges of BCG vaccination campaigns in Delhi’s most TB-affected areas.</w:t>
      </w:r>
    </w:p>
    <w:p w14:paraId="4DB8F3EA" w14:textId="77777777" w:rsidR="002E018A" w:rsidRPr="001B3ED4" w:rsidRDefault="002E018A" w:rsidP="004F2450">
      <w:pPr>
        <w:pStyle w:val="Heading1"/>
      </w:pPr>
      <w:bookmarkStart w:id="3" w:name="_Toc218418657"/>
      <w:r w:rsidRPr="001B3ED4">
        <w:t>1.3 Rationale for the Study</w:t>
      </w:r>
      <w:bookmarkEnd w:id="3"/>
      <w:r w:rsidRPr="001B3ED4">
        <w:t xml:space="preserve"> </w:t>
      </w:r>
    </w:p>
    <w:p w14:paraId="4B7235AB"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Despite long-standing BCG vaccination efforts, TB remains highly prevalent in several districts of Delhi (Sinha et al., 2022). The paradox of sustained high infection rates despite extensive immunisation coverage suggests that current campaigns may not be optimally effective or fail to reach the populations most at risk (Singh et al., 2025). Districts such as Northeast Delhi, Shahdara, and Central Delhi continue to report elevated incidence rates, largely due to overcrowded living conditions, limited healthcare access, and low health literacy (Panda, 2023). These challenges point towards potential implementation gaps, logistical shortcomings, and socio-economic barriers within ongoing vaccination campaigns.</w:t>
      </w:r>
    </w:p>
    <w:p w14:paraId="7781BCE8" w14:textId="77777777" w:rsidR="002E018A" w:rsidRPr="001B3ED4" w:rsidRDefault="002E018A" w:rsidP="002E018A">
      <w:pPr>
        <w:spacing w:before="240" w:line="360" w:lineRule="auto"/>
        <w:jc w:val="both"/>
        <w:rPr>
          <w:rFonts w:ascii="Arial" w:eastAsia="Arial" w:hAnsi="Arial" w:cs="Arial"/>
          <w:bCs/>
        </w:rPr>
      </w:pPr>
      <w:r w:rsidRPr="001B3ED4">
        <w:rPr>
          <w:rFonts w:ascii="Arial" w:eastAsia="Arial" w:hAnsi="Arial" w:cs="Arial"/>
          <w:bCs/>
        </w:rPr>
        <w:t>The rationale for this research stems from the need to generate district-level evidence on BCG campaign performance. Although national data on BCG coverage exist, there is limited empirical understanding of how these campaigns perform in high-risk urban districts (Sinha et al., 2022). Furthermore, the dynamics of migration, informal employment, and social stigma often deter individuals from participating in public health initiatives (Clark, 2023). Identifying these barriers is crucial for designing effective interventions that reach underserved populations. This study supports India’s National Strategic Plan to End TB by 2025 by contributing to localised, evidence-based policymaking (Behera et al., 2020). By focusing specifically on high-risk districts, the research aims to fill critical knowledge gaps, improve vaccination strategies, and promote equitable access to preventive healthcare for Delhi’s vulnerable communities.</w:t>
      </w:r>
    </w:p>
    <w:p w14:paraId="4738FDAD" w14:textId="77777777" w:rsidR="002E018A" w:rsidRPr="001B3ED4" w:rsidRDefault="002E018A" w:rsidP="002E018A">
      <w:pPr>
        <w:spacing w:before="240" w:line="360" w:lineRule="auto"/>
        <w:jc w:val="both"/>
        <w:rPr>
          <w:rFonts w:ascii="Arial" w:eastAsia="Arial" w:hAnsi="Arial" w:cs="Arial"/>
          <w:bCs/>
        </w:rPr>
      </w:pPr>
    </w:p>
    <w:p w14:paraId="7068B72D" w14:textId="77777777" w:rsidR="002E018A" w:rsidRPr="001B3ED4" w:rsidRDefault="002E018A" w:rsidP="004F2450">
      <w:pPr>
        <w:pStyle w:val="Heading1"/>
      </w:pPr>
      <w:bookmarkStart w:id="4" w:name="_Toc218418658"/>
      <w:r w:rsidRPr="001B3ED4">
        <w:lastRenderedPageBreak/>
        <w:t>1.4 Research Question, Aim and Objectives</w:t>
      </w:r>
      <w:bookmarkEnd w:id="4"/>
    </w:p>
    <w:p w14:paraId="7C4837AC" w14:textId="77777777" w:rsidR="002E018A" w:rsidRPr="001B3ED4" w:rsidRDefault="002E018A" w:rsidP="002E018A">
      <w:pPr>
        <w:rPr>
          <w:rFonts w:ascii="Arial" w:hAnsi="Arial" w:cs="Arial"/>
          <w:lang w:eastAsia="en-GB"/>
        </w:rPr>
      </w:pPr>
    </w:p>
    <w:p w14:paraId="798CCB46" w14:textId="77777777" w:rsidR="002E018A" w:rsidRPr="001B3ED4" w:rsidRDefault="002E018A" w:rsidP="002E018A">
      <w:pPr>
        <w:rPr>
          <w:rFonts w:ascii="Arial" w:hAnsi="Arial" w:cs="Arial"/>
          <w:lang w:eastAsia="en-GB"/>
        </w:rPr>
      </w:pPr>
      <w:r w:rsidRPr="001B3ED4">
        <w:rPr>
          <w:rFonts w:ascii="Arial" w:hAnsi="Arial" w:cs="Arial"/>
          <w:lang w:eastAsia="en-GB"/>
        </w:rPr>
        <w:t>This research aims to answer the following research question and outlines its aim and objectives further below.</w:t>
      </w:r>
    </w:p>
    <w:p w14:paraId="295F3E22" w14:textId="77777777" w:rsidR="002E018A" w:rsidRPr="001B3ED4" w:rsidRDefault="002E018A" w:rsidP="002E018A">
      <w:pPr>
        <w:spacing w:before="240" w:line="360" w:lineRule="auto"/>
        <w:jc w:val="both"/>
        <w:rPr>
          <w:rFonts w:ascii="Arial" w:eastAsia="Arial" w:hAnsi="Arial" w:cs="Arial"/>
          <w:b/>
        </w:rPr>
      </w:pPr>
      <w:r w:rsidRPr="001B3ED4">
        <w:rPr>
          <w:rFonts w:ascii="Arial" w:eastAsia="Arial" w:hAnsi="Arial" w:cs="Arial"/>
          <w:b/>
        </w:rPr>
        <w:t>Research Question</w:t>
      </w:r>
    </w:p>
    <w:p w14:paraId="45DF6203" w14:textId="77777777" w:rsidR="002E018A" w:rsidRPr="001B3ED4" w:rsidRDefault="002E018A" w:rsidP="002E018A">
      <w:pPr>
        <w:spacing w:before="240" w:line="360" w:lineRule="auto"/>
        <w:jc w:val="both"/>
        <w:rPr>
          <w:rFonts w:ascii="Arial" w:hAnsi="Arial" w:cs="Arial"/>
        </w:rPr>
      </w:pPr>
      <w:r w:rsidRPr="001B3ED4">
        <w:rPr>
          <w:rFonts w:ascii="Arial" w:hAnsi="Arial" w:cs="Arial"/>
        </w:rPr>
        <w:t>What is the impact of BCG vaccination campaigns in high-risk districts of Delhi (India) and their populations aged 15 to 60 years?</w:t>
      </w:r>
    </w:p>
    <w:p w14:paraId="25BFE7C1" w14:textId="77777777" w:rsidR="002E018A" w:rsidRPr="001B3ED4" w:rsidRDefault="002E018A" w:rsidP="002E018A">
      <w:pPr>
        <w:spacing w:before="240" w:line="360" w:lineRule="auto"/>
        <w:jc w:val="both"/>
        <w:rPr>
          <w:rFonts w:ascii="Arial" w:eastAsia="Arial" w:hAnsi="Arial" w:cs="Arial"/>
          <w:b/>
        </w:rPr>
      </w:pPr>
      <w:r w:rsidRPr="001B3ED4">
        <w:rPr>
          <w:rFonts w:ascii="Arial" w:eastAsia="Arial" w:hAnsi="Arial" w:cs="Arial"/>
          <w:b/>
        </w:rPr>
        <w:t>Aim of Research</w:t>
      </w:r>
    </w:p>
    <w:p w14:paraId="4E2AA8B6" w14:textId="77777777" w:rsidR="002E018A" w:rsidRPr="001B3ED4" w:rsidRDefault="002E018A" w:rsidP="002E018A">
      <w:pPr>
        <w:spacing w:before="240" w:line="360" w:lineRule="auto"/>
        <w:jc w:val="both"/>
        <w:rPr>
          <w:rFonts w:ascii="Arial" w:hAnsi="Arial" w:cs="Arial"/>
        </w:rPr>
      </w:pPr>
      <w:r w:rsidRPr="001B3ED4">
        <w:rPr>
          <w:rFonts w:ascii="Arial" w:hAnsi="Arial" w:cs="Arial"/>
        </w:rPr>
        <w:t>To evaluate the impact of the BCG vaccination campaigns in controlling tuberculosis among high-risk populations aged 15 to 60 years in Delhi and to identify the best strategies.</w:t>
      </w:r>
    </w:p>
    <w:p w14:paraId="5597208A" w14:textId="77777777" w:rsidR="002E018A" w:rsidRPr="001B3ED4" w:rsidRDefault="002E018A" w:rsidP="002E018A">
      <w:pPr>
        <w:spacing w:before="240" w:line="360" w:lineRule="auto"/>
        <w:jc w:val="both"/>
        <w:rPr>
          <w:rFonts w:ascii="Arial" w:eastAsia="Arial" w:hAnsi="Arial" w:cs="Arial"/>
          <w:b/>
        </w:rPr>
      </w:pPr>
      <w:r w:rsidRPr="001B3ED4">
        <w:rPr>
          <w:rFonts w:ascii="Arial" w:eastAsia="Arial" w:hAnsi="Arial" w:cs="Arial"/>
          <w:b/>
        </w:rPr>
        <w:t xml:space="preserve">Objectives of Research </w:t>
      </w:r>
    </w:p>
    <w:p w14:paraId="21C8207B" w14:textId="77777777" w:rsidR="002E018A" w:rsidRPr="001B3ED4" w:rsidRDefault="002E018A" w:rsidP="002E018A">
      <w:pPr>
        <w:numPr>
          <w:ilvl w:val="0"/>
          <w:numId w:val="1"/>
        </w:numPr>
        <w:tabs>
          <w:tab w:val="num" w:pos="720"/>
        </w:tabs>
        <w:spacing w:before="240" w:line="360" w:lineRule="auto"/>
        <w:jc w:val="both"/>
        <w:rPr>
          <w:rFonts w:ascii="Arial" w:hAnsi="Arial" w:cs="Arial"/>
        </w:rPr>
      </w:pPr>
      <w:r w:rsidRPr="001B3ED4">
        <w:rPr>
          <w:rFonts w:ascii="Arial" w:hAnsi="Arial" w:cs="Arial"/>
        </w:rPr>
        <w:t>To analyse trends in tuberculosis incidence and morbidity in connection with BCG campaign implementation in high-risk districts of Delhi.</w:t>
      </w:r>
    </w:p>
    <w:p w14:paraId="1592DA10" w14:textId="77777777" w:rsidR="002E018A" w:rsidRPr="001B3ED4" w:rsidRDefault="002E018A" w:rsidP="002E018A">
      <w:pPr>
        <w:numPr>
          <w:ilvl w:val="0"/>
          <w:numId w:val="1"/>
        </w:numPr>
        <w:tabs>
          <w:tab w:val="num" w:pos="720"/>
        </w:tabs>
        <w:spacing w:before="240" w:line="360" w:lineRule="auto"/>
        <w:jc w:val="both"/>
        <w:rPr>
          <w:rFonts w:ascii="Arial" w:hAnsi="Arial" w:cs="Arial"/>
        </w:rPr>
      </w:pPr>
      <w:r w:rsidRPr="001B3ED4">
        <w:rPr>
          <w:rFonts w:ascii="Arial" w:hAnsi="Arial" w:cs="Arial"/>
        </w:rPr>
        <w:t>To assess the coverage and outreach of BCG vaccination campaigns among high-risk demographic groups aged 15 to 60 years in Delhi.</w:t>
      </w:r>
    </w:p>
    <w:p w14:paraId="3DC46750" w14:textId="77777777" w:rsidR="002E018A" w:rsidRPr="001B3ED4" w:rsidRDefault="002E018A" w:rsidP="002E018A">
      <w:pPr>
        <w:numPr>
          <w:ilvl w:val="0"/>
          <w:numId w:val="1"/>
        </w:numPr>
        <w:tabs>
          <w:tab w:val="num" w:pos="720"/>
        </w:tabs>
        <w:spacing w:before="240" w:line="360" w:lineRule="auto"/>
        <w:jc w:val="both"/>
        <w:rPr>
          <w:rFonts w:ascii="Arial" w:hAnsi="Arial" w:cs="Arial"/>
        </w:rPr>
      </w:pPr>
      <w:r w:rsidRPr="001B3ED4">
        <w:rPr>
          <w:rFonts w:ascii="Arial" w:hAnsi="Arial" w:cs="Arial"/>
        </w:rPr>
        <w:t>To identify key barriers to effective BCG vaccination programme implementation in these districts.</w:t>
      </w:r>
    </w:p>
    <w:p w14:paraId="32BC3730" w14:textId="77777777" w:rsidR="002E018A" w:rsidRPr="001B3ED4" w:rsidRDefault="002E018A" w:rsidP="002E018A">
      <w:pPr>
        <w:numPr>
          <w:ilvl w:val="0"/>
          <w:numId w:val="1"/>
        </w:numPr>
        <w:tabs>
          <w:tab w:val="num" w:pos="720"/>
        </w:tabs>
        <w:spacing w:before="240" w:line="360" w:lineRule="auto"/>
        <w:jc w:val="both"/>
        <w:rPr>
          <w:rFonts w:ascii="Arial" w:hAnsi="Arial" w:cs="Arial"/>
        </w:rPr>
      </w:pPr>
      <w:r w:rsidRPr="001B3ED4">
        <w:rPr>
          <w:rFonts w:ascii="Arial" w:hAnsi="Arial" w:cs="Arial"/>
        </w:rPr>
        <w:t>To provide evidence-based recommendations for enhancing the design, delivery, and equity of future BCG vaccination campaigns in high-risk urban populations.</w:t>
      </w:r>
    </w:p>
    <w:p w14:paraId="799DFF15" w14:textId="77777777" w:rsidR="002E018A" w:rsidRPr="001B3ED4" w:rsidRDefault="002E018A" w:rsidP="004F2450">
      <w:pPr>
        <w:pStyle w:val="Heading1"/>
      </w:pPr>
      <w:bookmarkStart w:id="5" w:name="_Toc218418659"/>
      <w:r w:rsidRPr="001B3ED4">
        <w:t>1.5 Overview of the Dissertation Structure</w:t>
      </w:r>
      <w:bookmarkEnd w:id="5"/>
      <w:r w:rsidRPr="001B3ED4">
        <w:t xml:space="preserve"> </w:t>
      </w:r>
    </w:p>
    <w:p w14:paraId="3D4FAFE1" w14:textId="77777777" w:rsidR="002E018A" w:rsidRPr="001B3ED4" w:rsidRDefault="002E018A" w:rsidP="002E018A">
      <w:pPr>
        <w:spacing w:before="240" w:line="360" w:lineRule="auto"/>
        <w:jc w:val="both"/>
        <w:rPr>
          <w:rFonts w:ascii="Arial" w:eastAsia="Arial" w:hAnsi="Arial" w:cs="Arial"/>
        </w:rPr>
      </w:pPr>
      <w:r w:rsidRPr="001B3ED4">
        <w:rPr>
          <w:rFonts w:ascii="Arial" w:eastAsia="Arial" w:hAnsi="Arial" w:cs="Arial"/>
        </w:rPr>
        <w:t xml:space="preserve">This dissertation is structured into six interrelated chapters, each outlining the planned components of the research. Chapter One introduces the study by presenting the background, research problem, aim, objectives, and rationale, as well as the broader context of tuberculosis control and BCG vaccination efforts in high-risk districts of Delhi. Chapter Two will offer a critical review of existing literature, drawing on global and national perspectives on BCG vaccination, TB epidemiology, and factors influencing vaccination uptake. This chapter will also highlight the conceptual and </w:t>
      </w:r>
      <w:r w:rsidRPr="001B3ED4">
        <w:rPr>
          <w:rFonts w:ascii="Arial" w:eastAsia="Arial" w:hAnsi="Arial" w:cs="Arial"/>
        </w:rPr>
        <w:lastRenderedPageBreak/>
        <w:t>empirical gaps that the study aims to address. Chapter Three will outline the methodological approach adopted for this systematic review, including the research design, search strategy, inclusion and exclusion criteria, and planned methods for data extraction and analysis. Chapter Four will present the findings generated from the review process, based on the studies included. Chapter Five will provide a discussion of these findings, interpreting them in relation to existing evidence, theoretical frameworks, and policy contexts. Finally, Chapter Six will summarise the key insights, acknowledge the study’s limitations, and propose recommendations for public health practice, policy development, and future research on TB prevention and BCG vaccination strategies in urban high-risk settings.</w:t>
      </w:r>
    </w:p>
    <w:p w14:paraId="351B3044" w14:textId="77777777" w:rsidR="002E018A" w:rsidRPr="001B3ED4" w:rsidRDefault="002E018A" w:rsidP="004F2450">
      <w:pPr>
        <w:pStyle w:val="Heading1"/>
      </w:pPr>
      <w:bookmarkStart w:id="6" w:name="_Toc218418660"/>
      <w:r w:rsidRPr="001B3ED4">
        <w:t>1.6 Chapter Summary</w:t>
      </w:r>
      <w:bookmarkEnd w:id="6"/>
      <w:r w:rsidRPr="001B3ED4">
        <w:t xml:space="preserve"> </w:t>
      </w:r>
    </w:p>
    <w:p w14:paraId="6F177F43" w14:textId="77777777" w:rsidR="002E018A" w:rsidRPr="001B3ED4" w:rsidRDefault="002E018A" w:rsidP="002E018A">
      <w:pPr>
        <w:spacing w:before="240" w:line="360" w:lineRule="auto"/>
        <w:jc w:val="both"/>
        <w:rPr>
          <w:rFonts w:ascii="Arial" w:eastAsia="Arial" w:hAnsi="Arial" w:cs="Arial"/>
        </w:rPr>
      </w:pPr>
      <w:r w:rsidRPr="001B3ED4">
        <w:rPr>
          <w:rFonts w:ascii="Arial" w:eastAsia="Arial" w:hAnsi="Arial" w:cs="Arial"/>
        </w:rPr>
        <w:t>This chapter has laid the groundwork for the dissertation by introducing the research topic, emphasising the public health significance of tuberculosis control in Delhi’s high-risk districts, and explaining the critical role of BCG vaccination campaigns. It outlined the research problem, aims, and objectives while situating the study within the broader context of India’s ongoing TB control initiatives. The chapter also identified existing knowledge gaps that necessitate a focused evaluation of the BCG campaign's effectiveness among vulnerable urban populations. Establishing the rationale and direction of the research provides a strong conceptual foundation. The next chapter expands upon this by presenting a comprehensive literature review on TB epidemiology, vaccination programmes, and public health strategies in India.</w:t>
      </w:r>
    </w:p>
    <w:p w14:paraId="737A1005" w14:textId="77777777" w:rsidR="002E018A" w:rsidRPr="001B3ED4" w:rsidRDefault="002E018A" w:rsidP="002E018A">
      <w:pPr>
        <w:spacing w:before="240" w:line="360" w:lineRule="auto"/>
        <w:jc w:val="both"/>
        <w:rPr>
          <w:rFonts w:ascii="Arial" w:eastAsia="Arial" w:hAnsi="Arial" w:cs="Arial"/>
        </w:rPr>
      </w:pPr>
    </w:p>
    <w:p w14:paraId="2CC57233" w14:textId="77777777" w:rsidR="002E018A" w:rsidRPr="001B3ED4" w:rsidRDefault="002E018A" w:rsidP="002E018A">
      <w:pPr>
        <w:spacing w:before="240" w:line="360" w:lineRule="auto"/>
        <w:jc w:val="both"/>
        <w:rPr>
          <w:rFonts w:ascii="Arial" w:eastAsia="Arial" w:hAnsi="Arial" w:cs="Arial"/>
        </w:rPr>
      </w:pPr>
    </w:p>
    <w:p w14:paraId="2DBAD509" w14:textId="77777777" w:rsidR="002E018A" w:rsidRPr="001B3ED4" w:rsidRDefault="002E018A" w:rsidP="002E018A">
      <w:pPr>
        <w:spacing w:before="240" w:line="360" w:lineRule="auto"/>
        <w:jc w:val="both"/>
        <w:rPr>
          <w:rFonts w:ascii="Arial" w:eastAsia="Arial" w:hAnsi="Arial" w:cs="Arial"/>
        </w:rPr>
      </w:pPr>
    </w:p>
    <w:p w14:paraId="738B912F" w14:textId="77777777" w:rsidR="002E018A" w:rsidRPr="001B3ED4" w:rsidRDefault="002E018A" w:rsidP="002E018A">
      <w:pPr>
        <w:spacing w:before="240" w:line="360" w:lineRule="auto"/>
        <w:jc w:val="both"/>
        <w:rPr>
          <w:rFonts w:ascii="Arial" w:eastAsia="Arial" w:hAnsi="Arial" w:cs="Arial"/>
        </w:rPr>
      </w:pPr>
    </w:p>
    <w:p w14:paraId="4C4DACE3" w14:textId="77777777" w:rsidR="002E018A" w:rsidRPr="001B3ED4" w:rsidRDefault="002E018A" w:rsidP="002E018A">
      <w:pPr>
        <w:spacing w:before="240" w:line="360" w:lineRule="auto"/>
        <w:jc w:val="both"/>
        <w:rPr>
          <w:rFonts w:ascii="Arial" w:eastAsia="Arial" w:hAnsi="Arial" w:cs="Arial"/>
        </w:rPr>
      </w:pPr>
    </w:p>
    <w:p w14:paraId="5AEE6132" w14:textId="77777777" w:rsidR="002E018A" w:rsidRPr="001B3ED4" w:rsidRDefault="002E018A" w:rsidP="002E018A">
      <w:pPr>
        <w:spacing w:before="240" w:line="360" w:lineRule="auto"/>
        <w:jc w:val="both"/>
        <w:rPr>
          <w:rFonts w:ascii="Arial" w:eastAsia="Arial" w:hAnsi="Arial" w:cs="Arial"/>
        </w:rPr>
      </w:pPr>
    </w:p>
    <w:p w14:paraId="35B20ADB" w14:textId="77777777" w:rsidR="002E018A" w:rsidRPr="001B3ED4" w:rsidRDefault="002E018A" w:rsidP="002E018A">
      <w:pPr>
        <w:rPr>
          <w:lang w:eastAsia="en-GB"/>
        </w:rPr>
      </w:pPr>
    </w:p>
    <w:p w14:paraId="23BB0305" w14:textId="567BB45F" w:rsidR="00403C9B" w:rsidRPr="001B3ED4" w:rsidRDefault="00403C9B" w:rsidP="004F2450">
      <w:pPr>
        <w:pStyle w:val="Heading1"/>
      </w:pPr>
      <w:bookmarkStart w:id="7" w:name="_Toc218418661"/>
      <w:r w:rsidRPr="001B3ED4">
        <w:lastRenderedPageBreak/>
        <w:t>Chapter 2: Literature Review</w:t>
      </w:r>
      <w:bookmarkEnd w:id="7"/>
    </w:p>
    <w:p w14:paraId="586F9382" w14:textId="7FF28110" w:rsidR="00403C9B" w:rsidRPr="001B3ED4" w:rsidRDefault="00403C9B" w:rsidP="004F2450">
      <w:pPr>
        <w:pStyle w:val="Heading1"/>
      </w:pPr>
      <w:bookmarkStart w:id="8" w:name="_Toc218418662"/>
      <w:r w:rsidRPr="001B3ED4">
        <w:t>2.1 Introduction</w:t>
      </w:r>
      <w:bookmarkEnd w:id="8"/>
      <w:r w:rsidRPr="001B3ED4">
        <w:t xml:space="preserve"> </w:t>
      </w:r>
    </w:p>
    <w:p w14:paraId="3F4B6150" w14:textId="2BE9D4FD" w:rsidR="00403C9B" w:rsidRPr="001B3ED4" w:rsidRDefault="00403C9B" w:rsidP="0046084C">
      <w:pPr>
        <w:spacing w:before="240" w:line="360" w:lineRule="auto"/>
        <w:jc w:val="both"/>
        <w:rPr>
          <w:rFonts w:ascii="Arial" w:hAnsi="Arial" w:cs="Arial"/>
        </w:rPr>
      </w:pPr>
      <w:r w:rsidRPr="001B3ED4">
        <w:rPr>
          <w:rFonts w:ascii="Arial" w:hAnsi="Arial" w:cs="Arial"/>
        </w:rPr>
        <w:t>This chapter provides a comprehensive review of the literature relevant to tuberculosis and the role of BCG vaccination, with a particular focus on high-risk districts of Delhi. It discusses key concepts, definitions, epidemiological patterns, and determinants that shape TB transmission and control. The chapter outlines global and national TB trends, followed by an examination of BCG vaccination policies and their effectiveness. Attention is also given to socio-economic and environmental influences that contribute to inequities in vaccination uptake. Furthermore, the chapter identifies existing research gaps, examines relevant theoretical models, and establishes the foundation for the systematic review undertaken in this dissertation.</w:t>
      </w:r>
    </w:p>
    <w:p w14:paraId="49E11001" w14:textId="7D3EEC68" w:rsidR="00403C9B" w:rsidRPr="001B3ED4" w:rsidRDefault="00403C9B" w:rsidP="004F2450">
      <w:pPr>
        <w:pStyle w:val="Heading1"/>
      </w:pPr>
      <w:bookmarkStart w:id="9" w:name="_Toc218418663"/>
      <w:r w:rsidRPr="001B3ED4">
        <w:t>2.2 Tuberculosis (TB)</w:t>
      </w:r>
      <w:bookmarkEnd w:id="9"/>
      <w:r w:rsidRPr="001B3ED4">
        <w:t xml:space="preserve"> </w:t>
      </w:r>
    </w:p>
    <w:p w14:paraId="5A2FDD50" w14:textId="26A4D9A8" w:rsidR="00403C9B" w:rsidRPr="001B3ED4" w:rsidRDefault="00403C9B" w:rsidP="0046084C">
      <w:pPr>
        <w:spacing w:before="240" w:line="360" w:lineRule="auto"/>
        <w:jc w:val="both"/>
        <w:rPr>
          <w:rFonts w:ascii="Arial" w:hAnsi="Arial" w:cs="Arial"/>
        </w:rPr>
      </w:pPr>
      <w:r w:rsidRPr="001B3ED4">
        <w:rPr>
          <w:rFonts w:ascii="Arial" w:hAnsi="Arial" w:cs="Arial"/>
        </w:rPr>
        <w:t>Tuberculosis (TB) is commonly defined as a contagious airborne infectious disease caused by the bacterium Mycobacterium tuberculosis, which primarily affects the lungs but can also involve other organs</w:t>
      </w:r>
      <w:r w:rsidR="001978D7" w:rsidRPr="001B3ED4">
        <w:rPr>
          <w:rFonts w:ascii="Arial" w:hAnsi="Arial" w:cs="Arial"/>
        </w:rPr>
        <w:t xml:space="preserve"> (Yadav and Prakash, 2017)</w:t>
      </w:r>
      <w:r w:rsidRPr="001B3ED4">
        <w:rPr>
          <w:rFonts w:ascii="Arial" w:hAnsi="Arial" w:cs="Arial"/>
        </w:rPr>
        <w:t>. It is characterised by the formation of granulomas resulting from the body’s immune response to the pathogen</w:t>
      </w:r>
      <w:r w:rsidR="008D7C98" w:rsidRPr="001B3ED4">
        <w:rPr>
          <w:rFonts w:ascii="Arial" w:hAnsi="Arial" w:cs="Arial"/>
        </w:rPr>
        <w:t xml:space="preserve"> (Yadav and Prakash, 2017)</w:t>
      </w:r>
      <w:r w:rsidRPr="001B3ED4">
        <w:rPr>
          <w:rFonts w:ascii="Arial" w:hAnsi="Arial" w:cs="Arial"/>
        </w:rPr>
        <w:t>. Another definition presents TB as a chronic respiratory disease transmitted through droplets expelled when infected individuals cough, sneeze, or speak. If untreated, the disease can progress slowly, causing extensive tissue damage and systemic illness</w:t>
      </w:r>
      <w:r w:rsidR="008D7C98" w:rsidRPr="001B3ED4">
        <w:rPr>
          <w:rFonts w:ascii="Arial" w:hAnsi="Arial" w:cs="Arial"/>
        </w:rPr>
        <w:t xml:space="preserve"> (</w:t>
      </w:r>
      <w:proofErr w:type="spellStart"/>
      <w:r w:rsidR="008D7C98" w:rsidRPr="001B3ED4">
        <w:rPr>
          <w:rFonts w:ascii="Arial" w:hAnsi="Arial" w:cs="Arial"/>
        </w:rPr>
        <w:t>Swalehe</w:t>
      </w:r>
      <w:proofErr w:type="spellEnd"/>
      <w:r w:rsidR="006812D3" w:rsidRPr="001B3ED4">
        <w:rPr>
          <w:rFonts w:ascii="Arial" w:hAnsi="Arial" w:cs="Arial"/>
        </w:rPr>
        <w:t xml:space="preserve"> </w:t>
      </w:r>
      <w:r w:rsidR="008D7C98" w:rsidRPr="001B3ED4">
        <w:rPr>
          <w:rFonts w:ascii="Arial" w:hAnsi="Arial" w:cs="Arial"/>
        </w:rPr>
        <w:t xml:space="preserve">and </w:t>
      </w:r>
      <w:proofErr w:type="spellStart"/>
      <w:r w:rsidR="008D7C98" w:rsidRPr="001B3ED4">
        <w:rPr>
          <w:rFonts w:ascii="Arial" w:hAnsi="Arial" w:cs="Arial"/>
        </w:rPr>
        <w:t>Obeagu</w:t>
      </w:r>
      <w:proofErr w:type="spellEnd"/>
      <w:r w:rsidR="006812D3" w:rsidRPr="001B3ED4">
        <w:rPr>
          <w:rFonts w:ascii="Arial" w:hAnsi="Arial" w:cs="Arial"/>
        </w:rPr>
        <w:t xml:space="preserve">, </w:t>
      </w:r>
      <w:r w:rsidR="008D7C98" w:rsidRPr="001B3ED4">
        <w:rPr>
          <w:rFonts w:ascii="Arial" w:hAnsi="Arial" w:cs="Arial"/>
        </w:rPr>
        <w:t>2024)</w:t>
      </w:r>
      <w:r w:rsidRPr="001B3ED4">
        <w:rPr>
          <w:rFonts w:ascii="Arial" w:hAnsi="Arial" w:cs="Arial"/>
        </w:rPr>
        <w:t>.</w:t>
      </w:r>
    </w:p>
    <w:p w14:paraId="794A35ED" w14:textId="060E1EFC" w:rsidR="00403C9B" w:rsidRPr="001B3ED4" w:rsidRDefault="00403C9B" w:rsidP="0046084C">
      <w:pPr>
        <w:spacing w:before="240" w:line="360" w:lineRule="auto"/>
        <w:jc w:val="both"/>
        <w:rPr>
          <w:rFonts w:ascii="Arial" w:hAnsi="Arial" w:cs="Arial"/>
        </w:rPr>
      </w:pPr>
      <w:r w:rsidRPr="001B3ED4">
        <w:rPr>
          <w:rFonts w:ascii="Arial" w:hAnsi="Arial" w:cs="Arial"/>
        </w:rPr>
        <w:t xml:space="preserve">TB </w:t>
      </w:r>
      <w:r w:rsidR="001978D7" w:rsidRPr="001B3ED4">
        <w:rPr>
          <w:rFonts w:ascii="Arial" w:hAnsi="Arial" w:cs="Arial"/>
        </w:rPr>
        <w:t>is</w:t>
      </w:r>
      <w:r w:rsidRPr="001B3ED4">
        <w:rPr>
          <w:rFonts w:ascii="Arial" w:hAnsi="Arial" w:cs="Arial"/>
        </w:rPr>
        <w:t xml:space="preserve"> one of the world’s most persistent public health challenges due to its potential for latent infection. Individuals with latent TB harbour the bacteria without showing symptoms but remain at risk of developing active disease, especially when immunity weakens</w:t>
      </w:r>
      <w:r w:rsidR="003E6686" w:rsidRPr="001B3ED4">
        <w:rPr>
          <w:rFonts w:ascii="Arial" w:hAnsi="Arial" w:cs="Arial"/>
        </w:rPr>
        <w:t xml:space="preserve"> (Chee et al, 2018)</w:t>
      </w:r>
      <w:r w:rsidRPr="001B3ED4">
        <w:rPr>
          <w:rFonts w:ascii="Arial" w:hAnsi="Arial" w:cs="Arial"/>
        </w:rPr>
        <w:t>. This silent reservoir contributes significantly to ongoing transmission. These varying definitions highlight TB’s complex nature, demonstrating why comprehensive public health strategies are required to control both active and latent infections</w:t>
      </w:r>
      <w:r w:rsidR="005D7B99" w:rsidRPr="001B3ED4">
        <w:rPr>
          <w:rFonts w:ascii="Arial" w:hAnsi="Arial" w:cs="Arial"/>
        </w:rPr>
        <w:t xml:space="preserve"> (Chee et al, 2018)</w:t>
      </w:r>
      <w:r w:rsidRPr="001B3ED4">
        <w:rPr>
          <w:rFonts w:ascii="Arial" w:hAnsi="Arial" w:cs="Arial"/>
        </w:rPr>
        <w:t>.</w:t>
      </w:r>
    </w:p>
    <w:p w14:paraId="3FCBC01A" w14:textId="16C75B56" w:rsidR="00403C9B" w:rsidRPr="001B3ED4" w:rsidRDefault="00403C9B" w:rsidP="004F2450">
      <w:pPr>
        <w:pStyle w:val="Heading1"/>
      </w:pPr>
      <w:bookmarkStart w:id="10" w:name="_Toc218418664"/>
      <w:r w:rsidRPr="001B3ED4">
        <w:t>2.3 Causes of Tuberculosis</w:t>
      </w:r>
      <w:bookmarkEnd w:id="10"/>
      <w:r w:rsidRPr="001B3ED4">
        <w:t xml:space="preserve"> </w:t>
      </w:r>
    </w:p>
    <w:p w14:paraId="4497EC20" w14:textId="397C04FB" w:rsidR="00833B86" w:rsidRPr="001B3ED4" w:rsidRDefault="00833B86" w:rsidP="00833B86">
      <w:pPr>
        <w:spacing w:before="240" w:line="360" w:lineRule="auto"/>
        <w:jc w:val="both"/>
        <w:rPr>
          <w:rFonts w:ascii="Arial" w:hAnsi="Arial" w:cs="Arial"/>
        </w:rPr>
      </w:pPr>
      <w:r w:rsidRPr="001B3ED4">
        <w:rPr>
          <w:rFonts w:ascii="Arial" w:hAnsi="Arial" w:cs="Arial"/>
        </w:rPr>
        <w:t xml:space="preserve">Tuberculosis (TB) arises from a complex interaction of biological, socio-economic, and environmental determinants. The disease is primarily caused by </w:t>
      </w:r>
      <w:r w:rsidRPr="001B3ED4">
        <w:rPr>
          <w:rFonts w:ascii="Arial" w:hAnsi="Arial" w:cs="Arial"/>
          <w:i/>
          <w:iCs/>
        </w:rPr>
        <w:t xml:space="preserve">Mycobacterium </w:t>
      </w:r>
      <w:r w:rsidRPr="001B3ED4">
        <w:rPr>
          <w:rFonts w:ascii="Arial" w:hAnsi="Arial" w:cs="Arial"/>
          <w:i/>
          <w:iCs/>
        </w:rPr>
        <w:lastRenderedPageBreak/>
        <w:t>tuberculosis</w:t>
      </w:r>
      <w:r w:rsidRPr="001B3ED4">
        <w:rPr>
          <w:rFonts w:ascii="Arial" w:hAnsi="Arial" w:cs="Arial"/>
        </w:rPr>
        <w:t>, transmitted through airborne droplets when an infected individual coughs, speaks or sneezes (Nordholm et al., 2023). While many exposed individuals develop latent infection, progression to active TB is strongly influenced by immune system strength, with higher susceptibility observed among people living with HIV, diabetes, chronic illness, and malnutrition (Shimeles et al., 2019; Bhargava et al., 2021). Biological vulnerabilities, including genetic predisposition, further weaken the body’s ability to suppress infection (Shimeles et al., 2019). Poverty, unstable income, and food insecurity heighten vulnerability by increasing malnutrition and delaying access to healthcare (</w:t>
      </w:r>
      <w:proofErr w:type="spellStart"/>
      <w:r w:rsidRPr="001B3ED4">
        <w:rPr>
          <w:rFonts w:ascii="Arial" w:hAnsi="Arial" w:cs="Arial"/>
        </w:rPr>
        <w:t>Modrá</w:t>
      </w:r>
      <w:proofErr w:type="spellEnd"/>
      <w:r w:rsidRPr="001B3ED4">
        <w:rPr>
          <w:rFonts w:ascii="Arial" w:hAnsi="Arial" w:cs="Arial"/>
        </w:rPr>
        <w:t xml:space="preserve"> et al., 2019; Rao et al., 2018). Migrant workers and informal labourers face additional risks due to </w:t>
      </w:r>
      <w:r w:rsidR="00F67463" w:rsidRPr="001B3ED4">
        <w:rPr>
          <w:rFonts w:ascii="Arial" w:hAnsi="Arial" w:cs="Arial"/>
        </w:rPr>
        <w:t xml:space="preserve">a </w:t>
      </w:r>
      <w:r w:rsidRPr="001B3ED4">
        <w:rPr>
          <w:rFonts w:ascii="Arial" w:hAnsi="Arial" w:cs="Arial"/>
        </w:rPr>
        <w:t>lack of health insurance and limited access to medical services (</w:t>
      </w:r>
      <w:proofErr w:type="spellStart"/>
      <w:r w:rsidRPr="001B3ED4">
        <w:rPr>
          <w:rFonts w:ascii="Arial" w:hAnsi="Arial" w:cs="Arial"/>
        </w:rPr>
        <w:t>Pedrazzoli</w:t>
      </w:r>
      <w:proofErr w:type="spellEnd"/>
      <w:r w:rsidRPr="001B3ED4">
        <w:rPr>
          <w:rFonts w:ascii="Arial" w:hAnsi="Arial" w:cs="Arial"/>
        </w:rPr>
        <w:t xml:space="preserve"> et al., 2017).</w:t>
      </w:r>
    </w:p>
    <w:p w14:paraId="134A624B" w14:textId="65991872" w:rsidR="00833B86" w:rsidRPr="001B3ED4" w:rsidRDefault="00833B86" w:rsidP="00833B86">
      <w:pPr>
        <w:spacing w:before="240" w:line="360" w:lineRule="auto"/>
        <w:jc w:val="both"/>
        <w:rPr>
          <w:rFonts w:ascii="Arial" w:hAnsi="Arial" w:cs="Arial"/>
        </w:rPr>
      </w:pPr>
      <w:r w:rsidRPr="001B3ED4">
        <w:rPr>
          <w:rFonts w:ascii="Arial" w:hAnsi="Arial" w:cs="Arial"/>
        </w:rPr>
        <w:t>Environmental and social factors further contribute to TB transmission and disease severity. Overcrowded settings with inadequate ventilation</w:t>
      </w:r>
      <w:r w:rsidR="00F67463" w:rsidRPr="001B3ED4">
        <w:rPr>
          <w:rFonts w:ascii="Arial" w:hAnsi="Arial" w:cs="Arial"/>
        </w:rPr>
        <w:t xml:space="preserve">, </w:t>
      </w:r>
      <w:r w:rsidRPr="001B3ED4">
        <w:rPr>
          <w:rFonts w:ascii="Arial" w:hAnsi="Arial" w:cs="Arial"/>
        </w:rPr>
        <w:t>common in densely populated informal settlements such as those in Delhi</w:t>
      </w:r>
      <w:r w:rsidR="00F67463" w:rsidRPr="001B3ED4">
        <w:rPr>
          <w:rFonts w:ascii="Arial" w:hAnsi="Arial" w:cs="Arial"/>
        </w:rPr>
        <w:t xml:space="preserve">, </w:t>
      </w:r>
      <w:r w:rsidRPr="001B3ED4">
        <w:rPr>
          <w:rFonts w:ascii="Arial" w:hAnsi="Arial" w:cs="Arial"/>
        </w:rPr>
        <w:t xml:space="preserve">facilitate the circulation of infectious droplets (Bhargava et al., 2021; Silva et al., 2018). Indoor pollution from biomass fuels, tobacco smoke, and urban air pollution weakens respiratory health and increases vulnerability (Shimeles et al., 2019). Social determinants, including low health literacy, stigma, cultural beliefs, and gender inequality, also delay diagnosis and hinder treatment adherence (Singh et al., 2018; </w:t>
      </w:r>
      <w:proofErr w:type="spellStart"/>
      <w:r w:rsidRPr="001B3ED4">
        <w:rPr>
          <w:rFonts w:ascii="Arial" w:hAnsi="Arial" w:cs="Arial"/>
        </w:rPr>
        <w:t>Modrá</w:t>
      </w:r>
      <w:proofErr w:type="spellEnd"/>
      <w:r w:rsidRPr="001B3ED4">
        <w:rPr>
          <w:rFonts w:ascii="Arial" w:hAnsi="Arial" w:cs="Arial"/>
        </w:rPr>
        <w:t xml:space="preserve"> et al., 2019). Addressing TB</w:t>
      </w:r>
      <w:r w:rsidR="00F67463" w:rsidRPr="001B3ED4">
        <w:rPr>
          <w:rFonts w:ascii="Arial" w:hAnsi="Arial" w:cs="Arial"/>
        </w:rPr>
        <w:t>,</w:t>
      </w:r>
      <w:r w:rsidRPr="001B3ED4">
        <w:rPr>
          <w:rFonts w:ascii="Arial" w:hAnsi="Arial" w:cs="Arial"/>
        </w:rPr>
        <w:t xml:space="preserve"> therefore requires integrated approaches that strengthen healthcare systems while also improving living conditions, reducing inequality, and empowering communities through education and social support (</w:t>
      </w:r>
      <w:proofErr w:type="spellStart"/>
      <w:r w:rsidRPr="001B3ED4">
        <w:rPr>
          <w:rFonts w:ascii="Arial" w:hAnsi="Arial" w:cs="Arial"/>
        </w:rPr>
        <w:t>Pedrazzoli</w:t>
      </w:r>
      <w:proofErr w:type="spellEnd"/>
      <w:r w:rsidRPr="001B3ED4">
        <w:rPr>
          <w:rFonts w:ascii="Arial" w:hAnsi="Arial" w:cs="Arial"/>
        </w:rPr>
        <w:t xml:space="preserve"> et al., 2017; Rao et al., 2018).</w:t>
      </w:r>
    </w:p>
    <w:p w14:paraId="27A9827B" w14:textId="77777777" w:rsidR="00833B86" w:rsidRPr="001B3ED4" w:rsidRDefault="00833B86" w:rsidP="00833B86">
      <w:pPr>
        <w:spacing w:before="240" w:line="360" w:lineRule="auto"/>
        <w:jc w:val="both"/>
        <w:rPr>
          <w:rFonts w:ascii="Arial" w:hAnsi="Arial" w:cs="Arial"/>
          <w:vanish/>
        </w:rPr>
      </w:pPr>
      <w:r w:rsidRPr="001B3ED4">
        <w:rPr>
          <w:rFonts w:ascii="Arial" w:hAnsi="Arial" w:cs="Arial"/>
          <w:vanish/>
        </w:rPr>
        <w:t>Top of Form</w:t>
      </w:r>
    </w:p>
    <w:p w14:paraId="2CFF7B1B" w14:textId="77777777" w:rsidR="00833B86" w:rsidRPr="001B3ED4" w:rsidRDefault="00833B86" w:rsidP="00833B86">
      <w:pPr>
        <w:spacing w:before="240" w:line="360" w:lineRule="auto"/>
        <w:jc w:val="both"/>
        <w:rPr>
          <w:rFonts w:ascii="Arial" w:hAnsi="Arial" w:cs="Arial"/>
          <w:vanish/>
        </w:rPr>
      </w:pPr>
      <w:r w:rsidRPr="001B3ED4">
        <w:rPr>
          <w:rFonts w:ascii="Arial" w:hAnsi="Arial" w:cs="Arial"/>
          <w:vanish/>
        </w:rPr>
        <w:t>Bottom of Form</w:t>
      </w:r>
    </w:p>
    <w:p w14:paraId="3ED38337" w14:textId="741B62C7" w:rsidR="00403C9B" w:rsidRPr="001B3ED4" w:rsidRDefault="00403C9B" w:rsidP="004F2450">
      <w:pPr>
        <w:pStyle w:val="Heading1"/>
      </w:pPr>
      <w:bookmarkStart w:id="11" w:name="_Toc218418665"/>
      <w:r w:rsidRPr="001B3ED4">
        <w:t>2.4 Symptoms of Tuberculosis</w:t>
      </w:r>
      <w:bookmarkEnd w:id="11"/>
      <w:r w:rsidRPr="001B3ED4">
        <w:t xml:space="preserve"> </w:t>
      </w:r>
    </w:p>
    <w:p w14:paraId="1DCF6C45" w14:textId="75ACC0B4" w:rsidR="00DA26EF" w:rsidRPr="001B3ED4" w:rsidRDefault="00DA26EF" w:rsidP="00DA26EF">
      <w:pPr>
        <w:spacing w:before="240" w:line="360" w:lineRule="auto"/>
        <w:jc w:val="both"/>
        <w:rPr>
          <w:rFonts w:ascii="Arial" w:hAnsi="Arial" w:cs="Arial"/>
        </w:rPr>
      </w:pPr>
      <w:r w:rsidRPr="001B3ED4">
        <w:rPr>
          <w:rFonts w:ascii="Arial" w:hAnsi="Arial" w:cs="Arial"/>
        </w:rPr>
        <w:t xml:space="preserve">Tuberculosis symptoms vary depending on whether the disease is latent or active. Latent TB remains asymptomatic because the immune system </w:t>
      </w:r>
      <w:r w:rsidR="008E5228" w:rsidRPr="001B3ED4">
        <w:rPr>
          <w:rFonts w:ascii="Arial" w:hAnsi="Arial" w:cs="Arial"/>
        </w:rPr>
        <w:t>can</w:t>
      </w:r>
      <w:r w:rsidRPr="001B3ED4">
        <w:rPr>
          <w:rFonts w:ascii="Arial" w:hAnsi="Arial" w:cs="Arial"/>
        </w:rPr>
        <w:t xml:space="preserve"> contain the bacteria, meaning individuals do not feel sick and cannot transmit infection, though they remain at risk if immunity weakens (Pai et al., 2016). In contrast, active pulmonary TB presents clear clinical signs and is the most contagious form (Sharma et al., 2021). A persistent cough lasting more than two weeks is often the earliest symptom and may progress to a productive cough with mucus or blood-stained sputum (Verma et al., 2024). Systemic symptoms</w:t>
      </w:r>
      <w:r w:rsidR="00AE442C" w:rsidRPr="001B3ED4">
        <w:rPr>
          <w:rFonts w:ascii="Arial" w:hAnsi="Arial" w:cs="Arial"/>
        </w:rPr>
        <w:t>,</w:t>
      </w:r>
      <w:r w:rsidRPr="001B3ED4">
        <w:rPr>
          <w:rFonts w:ascii="Arial" w:hAnsi="Arial" w:cs="Arial"/>
        </w:rPr>
        <w:t xml:space="preserve"> including fever, night sweats, unexplained weight loss, </w:t>
      </w:r>
      <w:r w:rsidRPr="001B3ED4">
        <w:rPr>
          <w:rFonts w:ascii="Arial" w:hAnsi="Arial" w:cs="Arial"/>
        </w:rPr>
        <w:lastRenderedPageBreak/>
        <w:t>fatigue, and appetite loss</w:t>
      </w:r>
      <w:r w:rsidR="00AE442C" w:rsidRPr="001B3ED4">
        <w:rPr>
          <w:rFonts w:ascii="Arial" w:hAnsi="Arial" w:cs="Arial"/>
        </w:rPr>
        <w:t>,</w:t>
      </w:r>
      <w:r w:rsidRPr="001B3ED4">
        <w:rPr>
          <w:rFonts w:ascii="Arial" w:hAnsi="Arial" w:cs="Arial"/>
        </w:rPr>
        <w:t xml:space="preserve"> reflect ongoing infection and inflammatory response (Pai et al., 2016).</w:t>
      </w:r>
    </w:p>
    <w:p w14:paraId="53DAE43D" w14:textId="13C3C976" w:rsidR="00403C9B" w:rsidRPr="001B3ED4" w:rsidRDefault="00DA26EF" w:rsidP="0046084C">
      <w:pPr>
        <w:spacing w:before="240" w:line="360" w:lineRule="auto"/>
        <w:jc w:val="both"/>
        <w:rPr>
          <w:rFonts w:ascii="Arial" w:hAnsi="Arial" w:cs="Arial"/>
        </w:rPr>
      </w:pPr>
      <w:r w:rsidRPr="001B3ED4">
        <w:rPr>
          <w:rFonts w:ascii="Arial" w:hAnsi="Arial" w:cs="Arial"/>
        </w:rPr>
        <w:t>Extrapulmonary TB develops when the bacteria spread beyond the lungs to organs such as lymph nodes, bones, kidneys, or the central nervous system (Sharma et al., 2021). Symptoms differ by affected site, with lymph node TB causing swelling, skeletal TB linked to chronic joint pain, renal TB associated with abdominal pain or blood in urine, and TB meningitis presenting with headaches or confusion (Verma et al., 2024). Symptom presentation may be subtle among children, older adults, and immunocompromised individuals, complicating diagnosis and increasing the risk of delayed treatment and community transmission (Sharma et al., 2021).</w:t>
      </w:r>
    </w:p>
    <w:p w14:paraId="0F72DD64" w14:textId="29EE3BBA" w:rsidR="00403C9B" w:rsidRPr="001B3ED4" w:rsidRDefault="00403C9B" w:rsidP="004F2450">
      <w:pPr>
        <w:pStyle w:val="Heading1"/>
      </w:pPr>
      <w:bookmarkStart w:id="12" w:name="_Toc218418666"/>
      <w:r w:rsidRPr="001B3ED4">
        <w:t>2.5 Global Burden of Tuberculosis</w:t>
      </w:r>
      <w:bookmarkEnd w:id="12"/>
      <w:r w:rsidRPr="001B3ED4">
        <w:t xml:space="preserve"> </w:t>
      </w:r>
    </w:p>
    <w:p w14:paraId="44A40804" w14:textId="79F8059F" w:rsidR="00403C9B" w:rsidRPr="001B3ED4" w:rsidRDefault="00403C9B" w:rsidP="0046084C">
      <w:pPr>
        <w:spacing w:before="240" w:line="360" w:lineRule="auto"/>
        <w:jc w:val="both"/>
        <w:rPr>
          <w:rFonts w:ascii="Arial" w:hAnsi="Arial" w:cs="Arial"/>
        </w:rPr>
      </w:pPr>
      <w:r w:rsidRPr="001B3ED4">
        <w:rPr>
          <w:rFonts w:ascii="Arial" w:hAnsi="Arial" w:cs="Arial"/>
        </w:rPr>
        <w:t>Tuberculosis remains one of the leading infectious causes of death globally</w:t>
      </w:r>
      <w:r w:rsidR="000B613A" w:rsidRPr="001B3ED4">
        <w:rPr>
          <w:rFonts w:ascii="Arial" w:hAnsi="Arial" w:cs="Arial"/>
        </w:rPr>
        <w:t xml:space="preserve"> (</w:t>
      </w:r>
      <w:proofErr w:type="spellStart"/>
      <w:r w:rsidR="000B613A" w:rsidRPr="001B3ED4">
        <w:rPr>
          <w:rFonts w:ascii="Arial" w:hAnsi="Arial" w:cs="Arial"/>
        </w:rPr>
        <w:t>Glaziou</w:t>
      </w:r>
      <w:proofErr w:type="spellEnd"/>
      <w:r w:rsidR="000B613A" w:rsidRPr="001B3ED4">
        <w:rPr>
          <w:rFonts w:ascii="Arial" w:hAnsi="Arial" w:cs="Arial"/>
        </w:rPr>
        <w:t xml:space="preserve"> et al, 2018)</w:t>
      </w:r>
      <w:r w:rsidRPr="001B3ED4">
        <w:rPr>
          <w:rFonts w:ascii="Arial" w:hAnsi="Arial" w:cs="Arial"/>
        </w:rPr>
        <w:t xml:space="preserve">. Despite significant advances in diagnostics and treatment, millions of new cases continue to emerge annually. The World Health </w:t>
      </w:r>
      <w:r w:rsidR="0046084C" w:rsidRPr="001B3ED4">
        <w:rPr>
          <w:rFonts w:ascii="Arial" w:hAnsi="Arial" w:cs="Arial"/>
        </w:rPr>
        <w:t>Organisation</w:t>
      </w:r>
      <w:r w:rsidRPr="001B3ED4">
        <w:rPr>
          <w:rFonts w:ascii="Arial" w:hAnsi="Arial" w:cs="Arial"/>
        </w:rPr>
        <w:t xml:space="preserve"> estimates that over ten million people develop TB each year, with substantial proportions residing in low- and middle-income countries</w:t>
      </w:r>
      <w:r w:rsidR="007147E2" w:rsidRPr="001B3ED4">
        <w:rPr>
          <w:rFonts w:ascii="Arial" w:hAnsi="Arial" w:cs="Arial"/>
        </w:rPr>
        <w:t xml:space="preserve"> (Daley, 2019)</w:t>
      </w:r>
      <w:r w:rsidRPr="001B3ED4">
        <w:rPr>
          <w:rFonts w:ascii="Arial" w:hAnsi="Arial" w:cs="Arial"/>
        </w:rPr>
        <w:t>. Regions such as South-East Asia and sub-Saharan Africa carry the largest disease burden due to high population densities, weak health systems, and persistent socio-economic inequalities</w:t>
      </w:r>
      <w:r w:rsidR="004A1B7F" w:rsidRPr="001B3ED4">
        <w:rPr>
          <w:rFonts w:ascii="Arial" w:hAnsi="Arial" w:cs="Arial"/>
        </w:rPr>
        <w:t xml:space="preserve"> (</w:t>
      </w:r>
      <w:proofErr w:type="spellStart"/>
      <w:r w:rsidR="004A1B7F" w:rsidRPr="001B3ED4">
        <w:rPr>
          <w:rFonts w:ascii="Arial" w:hAnsi="Arial" w:cs="Arial"/>
        </w:rPr>
        <w:t>Chakaya</w:t>
      </w:r>
      <w:proofErr w:type="spellEnd"/>
      <w:r w:rsidR="004A1B7F" w:rsidRPr="001B3ED4">
        <w:rPr>
          <w:rFonts w:ascii="Arial" w:hAnsi="Arial" w:cs="Arial"/>
        </w:rPr>
        <w:t xml:space="preserve"> et al, 2021)</w:t>
      </w:r>
      <w:r w:rsidRPr="001B3ED4">
        <w:rPr>
          <w:rFonts w:ascii="Arial" w:hAnsi="Arial" w:cs="Arial"/>
        </w:rPr>
        <w:t>. Drug-resistant TB further complicates global control efforts, demanding costly and prolonged treatment</w:t>
      </w:r>
      <w:r w:rsidR="00AE32D6" w:rsidRPr="001B3ED4">
        <w:rPr>
          <w:rFonts w:ascii="Arial" w:hAnsi="Arial" w:cs="Arial"/>
        </w:rPr>
        <w:t xml:space="preserve"> (</w:t>
      </w:r>
      <w:proofErr w:type="spellStart"/>
      <w:r w:rsidR="00AE32D6" w:rsidRPr="001B3ED4">
        <w:rPr>
          <w:rFonts w:ascii="Arial" w:hAnsi="Arial" w:cs="Arial"/>
        </w:rPr>
        <w:t>Chakaya</w:t>
      </w:r>
      <w:proofErr w:type="spellEnd"/>
      <w:r w:rsidR="00AE32D6" w:rsidRPr="001B3ED4">
        <w:rPr>
          <w:rFonts w:ascii="Arial" w:hAnsi="Arial" w:cs="Arial"/>
        </w:rPr>
        <w:t xml:space="preserve"> et al, 2021)</w:t>
      </w:r>
      <w:r w:rsidRPr="001B3ED4">
        <w:rPr>
          <w:rFonts w:ascii="Arial" w:hAnsi="Arial" w:cs="Arial"/>
        </w:rPr>
        <w:t>.</w:t>
      </w:r>
    </w:p>
    <w:p w14:paraId="62CAF46B" w14:textId="7DF0C621" w:rsidR="00403C9B" w:rsidRPr="001B3ED4" w:rsidRDefault="00403C9B" w:rsidP="0046084C">
      <w:pPr>
        <w:spacing w:before="240" w:line="360" w:lineRule="auto"/>
        <w:jc w:val="both"/>
        <w:rPr>
          <w:rFonts w:ascii="Arial" w:hAnsi="Arial" w:cs="Arial"/>
        </w:rPr>
      </w:pPr>
      <w:r w:rsidRPr="001B3ED4">
        <w:rPr>
          <w:rFonts w:ascii="Arial" w:hAnsi="Arial" w:cs="Arial"/>
        </w:rPr>
        <w:t>In response, the global community has implemented several large-scale strategies, including the WHO End TB Strategy, which aims to reduce TB mortality and incidence through improved prevention, early diagnosis, and patient-centred care</w:t>
      </w:r>
      <w:r w:rsidR="00AE32D6" w:rsidRPr="001B3ED4">
        <w:rPr>
          <w:rFonts w:ascii="Arial" w:hAnsi="Arial" w:cs="Arial"/>
        </w:rPr>
        <w:t xml:space="preserve"> (</w:t>
      </w:r>
      <w:proofErr w:type="spellStart"/>
      <w:r w:rsidR="00AE32D6" w:rsidRPr="001B3ED4">
        <w:rPr>
          <w:rFonts w:ascii="Arial" w:hAnsi="Arial" w:cs="Arial"/>
        </w:rPr>
        <w:t>Glaziou</w:t>
      </w:r>
      <w:proofErr w:type="spellEnd"/>
      <w:r w:rsidR="00AE32D6" w:rsidRPr="001B3ED4">
        <w:rPr>
          <w:rFonts w:ascii="Arial" w:hAnsi="Arial" w:cs="Arial"/>
        </w:rPr>
        <w:t xml:space="preserve"> et al, 2018).</w:t>
      </w:r>
      <w:r w:rsidRPr="001B3ED4">
        <w:rPr>
          <w:rFonts w:ascii="Arial" w:hAnsi="Arial" w:cs="Arial"/>
        </w:rPr>
        <w:t xml:space="preserve"> Universal access to drug susceptibility testing, active case-finding, and expanded latent TB screening programmes are central components</w:t>
      </w:r>
      <w:r w:rsidR="00AE32D6" w:rsidRPr="001B3ED4">
        <w:rPr>
          <w:rFonts w:ascii="Arial" w:hAnsi="Arial" w:cs="Arial"/>
        </w:rPr>
        <w:t xml:space="preserve"> (</w:t>
      </w:r>
      <w:proofErr w:type="spellStart"/>
      <w:r w:rsidR="00AE32D6" w:rsidRPr="001B3ED4">
        <w:rPr>
          <w:rFonts w:ascii="Arial" w:hAnsi="Arial" w:cs="Arial"/>
        </w:rPr>
        <w:t>Glaziou</w:t>
      </w:r>
      <w:proofErr w:type="spellEnd"/>
      <w:r w:rsidR="00AE32D6" w:rsidRPr="001B3ED4">
        <w:rPr>
          <w:rFonts w:ascii="Arial" w:hAnsi="Arial" w:cs="Arial"/>
        </w:rPr>
        <w:t xml:space="preserve"> et al, 2018)</w:t>
      </w:r>
      <w:r w:rsidRPr="001B3ED4">
        <w:rPr>
          <w:rFonts w:ascii="Arial" w:hAnsi="Arial" w:cs="Arial"/>
        </w:rPr>
        <w:t>. International partnerships and funding initiatives continue to support resource-limited countries</w:t>
      </w:r>
      <w:r w:rsidR="00AE32D6" w:rsidRPr="001B3ED4">
        <w:rPr>
          <w:rFonts w:ascii="Arial" w:hAnsi="Arial" w:cs="Arial"/>
        </w:rPr>
        <w:t xml:space="preserve"> (Daley, 2019)</w:t>
      </w:r>
      <w:r w:rsidRPr="001B3ED4">
        <w:rPr>
          <w:rFonts w:ascii="Arial" w:hAnsi="Arial" w:cs="Arial"/>
        </w:rPr>
        <w:t>. However, gaps remain in achieving equitable access to prevention tools such as the BCG vaccine, leaving vulnerable populations at continued risk</w:t>
      </w:r>
      <w:r w:rsidR="00AE32D6" w:rsidRPr="001B3ED4">
        <w:rPr>
          <w:rFonts w:ascii="Arial" w:hAnsi="Arial" w:cs="Arial"/>
        </w:rPr>
        <w:t xml:space="preserve"> (</w:t>
      </w:r>
      <w:proofErr w:type="spellStart"/>
      <w:r w:rsidR="00AE32D6" w:rsidRPr="001B3ED4">
        <w:rPr>
          <w:rFonts w:ascii="Arial" w:hAnsi="Arial" w:cs="Arial"/>
        </w:rPr>
        <w:t>Chakaya</w:t>
      </w:r>
      <w:proofErr w:type="spellEnd"/>
      <w:r w:rsidR="00AE32D6" w:rsidRPr="001B3ED4">
        <w:rPr>
          <w:rFonts w:ascii="Arial" w:hAnsi="Arial" w:cs="Arial"/>
        </w:rPr>
        <w:t xml:space="preserve"> et al, 2021)</w:t>
      </w:r>
      <w:r w:rsidRPr="001B3ED4">
        <w:rPr>
          <w:rFonts w:ascii="Arial" w:hAnsi="Arial" w:cs="Arial"/>
        </w:rPr>
        <w:t>.</w:t>
      </w:r>
    </w:p>
    <w:p w14:paraId="1F0FA0CA" w14:textId="05C2EAC8" w:rsidR="00403C9B" w:rsidRPr="001B3ED4" w:rsidRDefault="00403C9B" w:rsidP="004F2450">
      <w:pPr>
        <w:pStyle w:val="Heading1"/>
      </w:pPr>
      <w:bookmarkStart w:id="13" w:name="_Toc218418667"/>
      <w:r w:rsidRPr="001B3ED4">
        <w:lastRenderedPageBreak/>
        <w:t>2.</w:t>
      </w:r>
      <w:r w:rsidR="00E977C4" w:rsidRPr="001B3ED4">
        <w:t>6</w:t>
      </w:r>
      <w:r w:rsidRPr="001B3ED4">
        <w:t xml:space="preserve"> Tuberculosis in India</w:t>
      </w:r>
      <w:bookmarkEnd w:id="13"/>
      <w:r w:rsidRPr="001B3ED4">
        <w:t xml:space="preserve"> </w:t>
      </w:r>
    </w:p>
    <w:p w14:paraId="359818C9" w14:textId="0AB62163" w:rsidR="00403C9B" w:rsidRPr="001B3ED4" w:rsidRDefault="002F2E0D" w:rsidP="0046084C">
      <w:pPr>
        <w:spacing w:before="240" w:line="360" w:lineRule="auto"/>
        <w:jc w:val="both"/>
        <w:rPr>
          <w:rFonts w:ascii="Arial" w:hAnsi="Arial" w:cs="Arial"/>
        </w:rPr>
      </w:pPr>
      <w:r w:rsidRPr="001B3ED4">
        <w:rPr>
          <w:rFonts w:ascii="Arial" w:hAnsi="Arial" w:cs="Arial"/>
        </w:rPr>
        <w:t>India accounts for the highest number of TB cases globally in 2022 alone, around 2.8 million (28 lakh) new infections were recorded, representing approximately 2</w:t>
      </w:r>
      <w:r w:rsidR="00983D64" w:rsidRPr="001B3ED4">
        <w:rPr>
          <w:rFonts w:ascii="Arial" w:hAnsi="Arial" w:cs="Arial"/>
        </w:rPr>
        <w:t>6</w:t>
      </w:r>
      <w:r w:rsidRPr="001B3ED4">
        <w:rPr>
          <w:rFonts w:ascii="Arial" w:hAnsi="Arial" w:cs="Arial"/>
        </w:rPr>
        <w:t xml:space="preserve"> % of the global TB burden</w:t>
      </w:r>
      <w:r w:rsidR="00AC2EEA" w:rsidRPr="001B3ED4">
        <w:rPr>
          <w:rFonts w:ascii="Arial" w:hAnsi="Arial" w:cs="Arial"/>
        </w:rPr>
        <w:t xml:space="preserve"> (Srinivasan et al, 2018</w:t>
      </w:r>
      <w:r w:rsidR="00310980" w:rsidRPr="001B3ED4">
        <w:rPr>
          <w:rFonts w:ascii="Arial" w:hAnsi="Arial" w:cs="Arial"/>
        </w:rPr>
        <w:t>; WHO, 2023</w:t>
      </w:r>
      <w:r w:rsidR="00AC2EEA" w:rsidRPr="001B3ED4">
        <w:rPr>
          <w:rFonts w:ascii="Arial" w:hAnsi="Arial" w:cs="Arial"/>
        </w:rPr>
        <w:t>)</w:t>
      </w:r>
      <w:r w:rsidR="00403C9B" w:rsidRPr="001B3ED4">
        <w:rPr>
          <w:rFonts w:ascii="Arial" w:hAnsi="Arial" w:cs="Arial"/>
        </w:rPr>
        <w:t>. Overcrowding in urban settlements, widespread poverty, and limited access to timely healthcare contribute to sustained transmission</w:t>
      </w:r>
      <w:r w:rsidR="00890189" w:rsidRPr="001B3ED4">
        <w:rPr>
          <w:rFonts w:ascii="Arial" w:hAnsi="Arial" w:cs="Arial"/>
        </w:rPr>
        <w:t xml:space="preserve"> (Khanna et al, 2023)</w:t>
      </w:r>
      <w:r w:rsidR="00403C9B" w:rsidRPr="001B3ED4">
        <w:rPr>
          <w:rFonts w:ascii="Arial" w:hAnsi="Arial" w:cs="Arial"/>
        </w:rPr>
        <w:t>. Despite advances in the National TB Elimination Programme, early detection remains inconsistent, particularly among marginalised groups, leading to delayed treatment and continued spread of the infection</w:t>
      </w:r>
      <w:r w:rsidR="00DA133C" w:rsidRPr="001B3ED4">
        <w:rPr>
          <w:rFonts w:ascii="Arial" w:hAnsi="Arial" w:cs="Arial"/>
        </w:rPr>
        <w:t xml:space="preserve"> (Khanna et al, 2023)</w:t>
      </w:r>
      <w:r w:rsidR="00403C9B" w:rsidRPr="001B3ED4">
        <w:rPr>
          <w:rFonts w:ascii="Arial" w:hAnsi="Arial" w:cs="Arial"/>
        </w:rPr>
        <w:t>.</w:t>
      </w:r>
    </w:p>
    <w:p w14:paraId="1E7813B8" w14:textId="15AD3CF2" w:rsidR="00403C9B" w:rsidRPr="001B3ED4" w:rsidRDefault="00403C9B" w:rsidP="0046084C">
      <w:pPr>
        <w:spacing w:before="240" w:line="360" w:lineRule="auto"/>
        <w:jc w:val="both"/>
        <w:rPr>
          <w:rFonts w:ascii="Arial" w:hAnsi="Arial" w:cs="Arial"/>
        </w:rPr>
      </w:pPr>
      <w:r w:rsidRPr="001B3ED4">
        <w:rPr>
          <w:rFonts w:ascii="Arial" w:hAnsi="Arial" w:cs="Arial"/>
        </w:rPr>
        <w:t>Delhi, as the national capital, presents a distinctive epidemiological profile due to its dense population and continuous inflow of migrants. High-risk districts such as Northeast Delhi, Shahdara, and Central Delhi record significantly higher TB incidence compared to other parts of the city</w:t>
      </w:r>
      <w:r w:rsidR="00196C3A" w:rsidRPr="001B3ED4">
        <w:rPr>
          <w:rFonts w:ascii="Arial" w:hAnsi="Arial" w:cs="Arial"/>
        </w:rPr>
        <w:t xml:space="preserve"> (Srinivasan et al, 2018)</w:t>
      </w:r>
      <w:r w:rsidRPr="001B3ED4">
        <w:rPr>
          <w:rFonts w:ascii="Arial" w:hAnsi="Arial" w:cs="Arial"/>
        </w:rPr>
        <w:t>. These regions are characterised by congested housing, poor sanitation, and constrained access to public health services</w:t>
      </w:r>
      <w:r w:rsidR="0082584A" w:rsidRPr="001B3ED4">
        <w:rPr>
          <w:rFonts w:ascii="Arial" w:hAnsi="Arial" w:cs="Arial"/>
        </w:rPr>
        <w:t xml:space="preserve"> (Khanna et al, 2023)</w:t>
      </w:r>
      <w:r w:rsidRPr="001B3ED4">
        <w:rPr>
          <w:rFonts w:ascii="Arial" w:hAnsi="Arial" w:cs="Arial"/>
        </w:rPr>
        <w:t>. The large proportion of individuals with latent TB further exacerbates the challenge, increasing the risk of reactivation and future transmission. Addressing TB in India</w:t>
      </w:r>
      <w:r w:rsidR="0046084C" w:rsidRPr="001B3ED4">
        <w:rPr>
          <w:rFonts w:ascii="Arial" w:hAnsi="Arial" w:cs="Arial"/>
        </w:rPr>
        <w:t>,</w:t>
      </w:r>
      <w:r w:rsidRPr="001B3ED4">
        <w:rPr>
          <w:rFonts w:ascii="Arial" w:hAnsi="Arial" w:cs="Arial"/>
        </w:rPr>
        <w:t xml:space="preserve"> therefore</w:t>
      </w:r>
      <w:r w:rsidR="0046084C" w:rsidRPr="001B3ED4">
        <w:rPr>
          <w:rFonts w:ascii="Arial" w:hAnsi="Arial" w:cs="Arial"/>
        </w:rPr>
        <w:t>,</w:t>
      </w:r>
      <w:r w:rsidRPr="001B3ED4">
        <w:rPr>
          <w:rFonts w:ascii="Arial" w:hAnsi="Arial" w:cs="Arial"/>
        </w:rPr>
        <w:t xml:space="preserve"> requires targeted public health interventions that combine improved clinical services with social support mechanisms</w:t>
      </w:r>
      <w:r w:rsidR="0082584A" w:rsidRPr="001B3ED4">
        <w:rPr>
          <w:rFonts w:ascii="Arial" w:hAnsi="Arial" w:cs="Arial"/>
        </w:rPr>
        <w:t xml:space="preserve"> (Srinivasan et al, 2018)</w:t>
      </w:r>
      <w:r w:rsidRPr="001B3ED4">
        <w:rPr>
          <w:rFonts w:ascii="Arial" w:hAnsi="Arial" w:cs="Arial"/>
        </w:rPr>
        <w:t>.</w:t>
      </w:r>
    </w:p>
    <w:p w14:paraId="7F9947B1" w14:textId="4FDB2886" w:rsidR="00403C9B" w:rsidRPr="001B3ED4" w:rsidRDefault="00403C9B" w:rsidP="004F2450">
      <w:pPr>
        <w:pStyle w:val="Heading1"/>
      </w:pPr>
      <w:bookmarkStart w:id="14" w:name="_Toc218418668"/>
      <w:r w:rsidRPr="001B3ED4">
        <w:t>2.7 BCG Vaccination: Global and National Perspectives</w:t>
      </w:r>
      <w:bookmarkEnd w:id="14"/>
      <w:r w:rsidRPr="001B3ED4">
        <w:t xml:space="preserve"> </w:t>
      </w:r>
    </w:p>
    <w:p w14:paraId="366046F0" w14:textId="1B72344C" w:rsidR="00403C9B" w:rsidRPr="001B3ED4" w:rsidRDefault="00403C9B" w:rsidP="0046084C">
      <w:pPr>
        <w:spacing w:before="240" w:line="360" w:lineRule="auto"/>
        <w:jc w:val="both"/>
        <w:rPr>
          <w:rFonts w:ascii="Arial" w:hAnsi="Arial" w:cs="Arial"/>
        </w:rPr>
      </w:pPr>
      <w:r w:rsidRPr="001B3ED4">
        <w:rPr>
          <w:rFonts w:ascii="Arial" w:hAnsi="Arial" w:cs="Arial"/>
        </w:rPr>
        <w:t>The Bacillus Calmette–Guérin (BCG) vaccine is the only currently available vaccine against tuberculosis</w:t>
      </w:r>
      <w:r w:rsidR="00D93E9D" w:rsidRPr="001B3ED4">
        <w:rPr>
          <w:rFonts w:ascii="Arial" w:hAnsi="Arial" w:cs="Arial"/>
        </w:rPr>
        <w:t xml:space="preserve"> (</w:t>
      </w:r>
      <w:proofErr w:type="spellStart"/>
      <w:r w:rsidR="00D93E9D" w:rsidRPr="001B3ED4">
        <w:rPr>
          <w:rFonts w:ascii="Arial" w:hAnsi="Arial" w:cs="Arial"/>
        </w:rPr>
        <w:t>Cernuschi</w:t>
      </w:r>
      <w:proofErr w:type="spellEnd"/>
      <w:r w:rsidR="00D93E9D" w:rsidRPr="001B3ED4">
        <w:rPr>
          <w:rFonts w:ascii="Arial" w:hAnsi="Arial" w:cs="Arial"/>
        </w:rPr>
        <w:t xml:space="preserve"> et al, 2018)</w:t>
      </w:r>
      <w:r w:rsidRPr="001B3ED4">
        <w:rPr>
          <w:rFonts w:ascii="Arial" w:hAnsi="Arial" w:cs="Arial"/>
        </w:rPr>
        <w:t>. Globally, it has been widely administered for nearly a century and remains a central component of childhood immunisation programmes in many countries</w:t>
      </w:r>
      <w:r w:rsidR="00361DEC" w:rsidRPr="001B3ED4">
        <w:rPr>
          <w:rFonts w:ascii="Arial" w:hAnsi="Arial" w:cs="Arial"/>
        </w:rPr>
        <w:t xml:space="preserve"> (Li et al, 2022)</w:t>
      </w:r>
      <w:r w:rsidRPr="001B3ED4">
        <w:rPr>
          <w:rFonts w:ascii="Arial" w:hAnsi="Arial" w:cs="Arial"/>
        </w:rPr>
        <w:t xml:space="preserve">. Its primary role is the prevention of severe forms of TB in children, such as TB meningitis and miliary TB. Despite variations in its effectiveness against pulmonary TB in adults, the vaccine continues to play </w:t>
      </w:r>
      <w:r w:rsidR="00D93E9D" w:rsidRPr="001B3ED4">
        <w:rPr>
          <w:rFonts w:ascii="Arial" w:hAnsi="Arial" w:cs="Arial"/>
        </w:rPr>
        <w:t>a crucial preventive role in high-burden regions due to its safety, low cost, and established delivery systems (</w:t>
      </w:r>
      <w:proofErr w:type="spellStart"/>
      <w:r w:rsidR="00D93E9D" w:rsidRPr="001B3ED4">
        <w:rPr>
          <w:rFonts w:ascii="Arial" w:hAnsi="Arial" w:cs="Arial"/>
        </w:rPr>
        <w:t>Starshinova</w:t>
      </w:r>
      <w:proofErr w:type="spellEnd"/>
      <w:r w:rsidR="00D93E9D" w:rsidRPr="001B3ED4">
        <w:rPr>
          <w:rFonts w:ascii="Arial" w:hAnsi="Arial" w:cs="Arial"/>
        </w:rPr>
        <w:t xml:space="preserve"> et al.</w:t>
      </w:r>
      <w:r w:rsidR="00335536" w:rsidRPr="001B3ED4">
        <w:rPr>
          <w:rFonts w:ascii="Arial" w:hAnsi="Arial" w:cs="Arial"/>
        </w:rPr>
        <w:t>, 2025)</w:t>
      </w:r>
      <w:r w:rsidRPr="001B3ED4">
        <w:rPr>
          <w:rFonts w:ascii="Arial" w:hAnsi="Arial" w:cs="Arial"/>
        </w:rPr>
        <w:t>.</w:t>
      </w:r>
    </w:p>
    <w:p w14:paraId="268E45EC" w14:textId="5CAA7614" w:rsidR="00403C9B" w:rsidRPr="001B3ED4" w:rsidRDefault="00403C9B" w:rsidP="0046084C">
      <w:pPr>
        <w:spacing w:before="240" w:line="360" w:lineRule="auto"/>
        <w:jc w:val="both"/>
        <w:rPr>
          <w:rFonts w:ascii="Arial" w:hAnsi="Arial" w:cs="Arial"/>
        </w:rPr>
      </w:pPr>
      <w:r w:rsidRPr="001B3ED4">
        <w:rPr>
          <w:rFonts w:ascii="Arial" w:hAnsi="Arial" w:cs="Arial"/>
        </w:rPr>
        <w:t>Internationally, BCG coverage varies significantly. High-income countries with low TB incidence often do not adopt universal vaccination, instead targeting high-risk groups</w:t>
      </w:r>
      <w:r w:rsidR="00C75AEF" w:rsidRPr="001B3ED4">
        <w:rPr>
          <w:rFonts w:ascii="Arial" w:hAnsi="Arial" w:cs="Arial"/>
        </w:rPr>
        <w:t xml:space="preserve"> (Lancione et al, 2022)</w:t>
      </w:r>
      <w:r w:rsidRPr="001B3ED4">
        <w:rPr>
          <w:rFonts w:ascii="Arial" w:hAnsi="Arial" w:cs="Arial"/>
        </w:rPr>
        <w:t xml:space="preserve">. Conversely, countries in South-East Asia and Africa maintain </w:t>
      </w:r>
      <w:r w:rsidRPr="001B3ED4">
        <w:rPr>
          <w:rFonts w:ascii="Arial" w:hAnsi="Arial" w:cs="Arial"/>
        </w:rPr>
        <w:lastRenderedPageBreak/>
        <w:t>routine neonatal vaccination due to sustained transmission levels</w:t>
      </w:r>
      <w:r w:rsidR="00254A7E" w:rsidRPr="001B3ED4">
        <w:rPr>
          <w:rFonts w:ascii="Arial" w:hAnsi="Arial" w:cs="Arial"/>
        </w:rPr>
        <w:t xml:space="preserve"> (</w:t>
      </w:r>
      <w:proofErr w:type="spellStart"/>
      <w:r w:rsidR="00254A7E" w:rsidRPr="001B3ED4">
        <w:rPr>
          <w:rFonts w:ascii="Arial" w:hAnsi="Arial" w:cs="Arial"/>
        </w:rPr>
        <w:t>Cernuschi</w:t>
      </w:r>
      <w:proofErr w:type="spellEnd"/>
      <w:r w:rsidR="00254A7E" w:rsidRPr="001B3ED4">
        <w:rPr>
          <w:rFonts w:ascii="Arial" w:hAnsi="Arial" w:cs="Arial"/>
        </w:rPr>
        <w:t xml:space="preserve"> et al, 2018)</w:t>
      </w:r>
      <w:r w:rsidRPr="001B3ED4">
        <w:rPr>
          <w:rFonts w:ascii="Arial" w:hAnsi="Arial" w:cs="Arial"/>
        </w:rPr>
        <w:t>. Differences in vaccine strain, environmental exposure to non-tuberculous mycobacteria, and population genetics have been proposed as reasons for variability in vaccine efficacy across regions. Global efforts continue to refine vaccination strategies, while research into new TB vaccines remains ongoing</w:t>
      </w:r>
      <w:r w:rsidR="00753BDC" w:rsidRPr="001B3ED4">
        <w:rPr>
          <w:rFonts w:ascii="Arial" w:hAnsi="Arial" w:cs="Arial"/>
        </w:rPr>
        <w:t xml:space="preserve"> (Li et al, 2022)</w:t>
      </w:r>
      <w:r w:rsidRPr="001B3ED4">
        <w:rPr>
          <w:rFonts w:ascii="Arial" w:hAnsi="Arial" w:cs="Arial"/>
        </w:rPr>
        <w:t>.</w:t>
      </w:r>
    </w:p>
    <w:p w14:paraId="6A93424F" w14:textId="36EED246" w:rsidR="00403C9B" w:rsidRPr="001B3ED4" w:rsidRDefault="00403C9B" w:rsidP="0046084C">
      <w:pPr>
        <w:spacing w:before="240" w:line="360" w:lineRule="auto"/>
        <w:jc w:val="both"/>
        <w:rPr>
          <w:rFonts w:ascii="Arial" w:hAnsi="Arial" w:cs="Arial"/>
        </w:rPr>
      </w:pPr>
      <w:r w:rsidRPr="001B3ED4">
        <w:rPr>
          <w:rFonts w:ascii="Arial" w:hAnsi="Arial" w:cs="Arial"/>
        </w:rPr>
        <w:t>In India, BCG vaccination forms part of the Universal Immunisation Programme, delivered shortly after birth</w:t>
      </w:r>
      <w:r w:rsidR="00753BDC" w:rsidRPr="001B3ED4">
        <w:rPr>
          <w:rFonts w:ascii="Arial" w:hAnsi="Arial" w:cs="Arial"/>
        </w:rPr>
        <w:t xml:space="preserve"> (Li et al, 2022)</w:t>
      </w:r>
      <w:r w:rsidRPr="001B3ED4">
        <w:rPr>
          <w:rFonts w:ascii="Arial" w:hAnsi="Arial" w:cs="Arial"/>
        </w:rPr>
        <w:t>. Despite high national coverage, disparities persist at the regional and community levels</w:t>
      </w:r>
      <w:r w:rsidR="00753BDC" w:rsidRPr="001B3ED4">
        <w:rPr>
          <w:rFonts w:ascii="Arial" w:hAnsi="Arial" w:cs="Arial"/>
        </w:rPr>
        <w:t xml:space="preserve"> (</w:t>
      </w:r>
      <w:proofErr w:type="spellStart"/>
      <w:r w:rsidR="00753BDC" w:rsidRPr="001B3ED4">
        <w:rPr>
          <w:rFonts w:ascii="Arial" w:hAnsi="Arial" w:cs="Arial"/>
        </w:rPr>
        <w:t>Starshinova</w:t>
      </w:r>
      <w:proofErr w:type="spellEnd"/>
      <w:r w:rsidR="00753BDC" w:rsidRPr="001B3ED4">
        <w:rPr>
          <w:rFonts w:ascii="Arial" w:hAnsi="Arial" w:cs="Arial"/>
        </w:rPr>
        <w:t xml:space="preserve"> et al, 2025)</w:t>
      </w:r>
      <w:r w:rsidRPr="001B3ED4">
        <w:rPr>
          <w:rFonts w:ascii="Arial" w:hAnsi="Arial" w:cs="Arial"/>
        </w:rPr>
        <w:t xml:space="preserve">. Urban slums, migrant populations, and socially disadvantaged groups often experience lower vaccination rates due to barriers such as limited healthcare access and </w:t>
      </w:r>
      <w:r w:rsidR="0046084C" w:rsidRPr="001B3ED4">
        <w:rPr>
          <w:rFonts w:ascii="Arial" w:hAnsi="Arial" w:cs="Arial"/>
        </w:rPr>
        <w:t xml:space="preserve">a </w:t>
      </w:r>
      <w:r w:rsidRPr="001B3ED4">
        <w:rPr>
          <w:rFonts w:ascii="Arial" w:hAnsi="Arial" w:cs="Arial"/>
        </w:rPr>
        <w:t>lack of awareness. These inequities highlight the need to strengthen outreach strategies to ensure more consistent and equitable vaccine uptake</w:t>
      </w:r>
      <w:r w:rsidR="00753BDC" w:rsidRPr="001B3ED4">
        <w:rPr>
          <w:rFonts w:ascii="Arial" w:hAnsi="Arial" w:cs="Arial"/>
        </w:rPr>
        <w:t xml:space="preserve"> (</w:t>
      </w:r>
      <w:proofErr w:type="spellStart"/>
      <w:r w:rsidR="00753BDC" w:rsidRPr="001B3ED4">
        <w:rPr>
          <w:rFonts w:ascii="Arial" w:hAnsi="Arial" w:cs="Arial"/>
        </w:rPr>
        <w:t>Cernuschi</w:t>
      </w:r>
      <w:proofErr w:type="spellEnd"/>
      <w:r w:rsidR="00753BDC" w:rsidRPr="001B3ED4">
        <w:rPr>
          <w:rFonts w:ascii="Arial" w:hAnsi="Arial" w:cs="Arial"/>
        </w:rPr>
        <w:t xml:space="preserve"> et al, 2018)</w:t>
      </w:r>
      <w:r w:rsidRPr="001B3ED4">
        <w:rPr>
          <w:rFonts w:ascii="Arial" w:hAnsi="Arial" w:cs="Arial"/>
        </w:rPr>
        <w:t>.</w:t>
      </w:r>
    </w:p>
    <w:p w14:paraId="2E63C165" w14:textId="387EA0F4" w:rsidR="00403C9B" w:rsidRPr="001B3ED4" w:rsidRDefault="00403C9B" w:rsidP="004F2450">
      <w:pPr>
        <w:pStyle w:val="Heading1"/>
      </w:pPr>
      <w:bookmarkStart w:id="15" w:name="_Toc218418669"/>
      <w:r w:rsidRPr="001B3ED4">
        <w:t>2.8 Effectiveness of BCG Vaccination</w:t>
      </w:r>
      <w:bookmarkEnd w:id="15"/>
      <w:r w:rsidRPr="001B3ED4">
        <w:t xml:space="preserve"> </w:t>
      </w:r>
    </w:p>
    <w:p w14:paraId="43FEFA5C" w14:textId="69F5A34B" w:rsidR="00403C9B" w:rsidRPr="001B3ED4" w:rsidRDefault="00403C9B" w:rsidP="0046084C">
      <w:pPr>
        <w:spacing w:before="240" w:line="360" w:lineRule="auto"/>
        <w:jc w:val="both"/>
        <w:rPr>
          <w:rFonts w:ascii="Arial" w:hAnsi="Arial" w:cs="Arial"/>
        </w:rPr>
      </w:pPr>
      <w:r w:rsidRPr="001B3ED4">
        <w:rPr>
          <w:rFonts w:ascii="Arial" w:hAnsi="Arial" w:cs="Arial"/>
        </w:rPr>
        <w:t>Studies consistently show that the BCG vaccine is highly effective in preventing severe paediatric forms of tuberculosis. It offers significant protection against TB meningitis and disseminated TB in young children, reducing the risk of life-threatening complications</w:t>
      </w:r>
      <w:r w:rsidR="001C44DE" w:rsidRPr="001B3ED4">
        <w:rPr>
          <w:rFonts w:ascii="Arial" w:hAnsi="Arial" w:cs="Arial"/>
        </w:rPr>
        <w:t xml:space="preserve"> (</w:t>
      </w:r>
      <w:proofErr w:type="spellStart"/>
      <w:r w:rsidR="001C44DE" w:rsidRPr="001B3ED4">
        <w:rPr>
          <w:rFonts w:ascii="Arial" w:hAnsi="Arial" w:cs="Arial"/>
        </w:rPr>
        <w:t>Katelaris</w:t>
      </w:r>
      <w:proofErr w:type="spellEnd"/>
      <w:r w:rsidR="001C44DE" w:rsidRPr="001B3ED4">
        <w:rPr>
          <w:rFonts w:ascii="Arial" w:hAnsi="Arial" w:cs="Arial"/>
        </w:rPr>
        <w:t xml:space="preserve"> et al, 2020)</w:t>
      </w:r>
      <w:r w:rsidRPr="001B3ED4">
        <w:rPr>
          <w:rFonts w:ascii="Arial" w:hAnsi="Arial" w:cs="Arial"/>
        </w:rPr>
        <w:t>. Evidence suggests that the protection begins early in life and can persist for several years. However, the degree of protection provided against pulmonary TB in adults varies considerably across populations, with estimates ranging widely</w:t>
      </w:r>
      <w:r w:rsidR="009C3E8B" w:rsidRPr="001B3ED4">
        <w:rPr>
          <w:rFonts w:ascii="Arial" w:hAnsi="Arial" w:cs="Arial"/>
        </w:rPr>
        <w:t xml:space="preserve"> (Clark et al, 2023)</w:t>
      </w:r>
      <w:r w:rsidRPr="001B3ED4">
        <w:rPr>
          <w:rFonts w:ascii="Arial" w:hAnsi="Arial" w:cs="Arial"/>
        </w:rPr>
        <w:t>. This variability has influenced ongoing discussions regarding the need for booster doses or alternative vaccination strategies</w:t>
      </w:r>
      <w:r w:rsidR="00495ECE" w:rsidRPr="001B3ED4">
        <w:rPr>
          <w:rFonts w:ascii="Arial" w:hAnsi="Arial" w:cs="Arial"/>
        </w:rPr>
        <w:t xml:space="preserve"> (Clark et al, 2023)</w:t>
      </w:r>
      <w:r w:rsidRPr="001B3ED4">
        <w:rPr>
          <w:rFonts w:ascii="Arial" w:hAnsi="Arial" w:cs="Arial"/>
        </w:rPr>
        <w:t>.</w:t>
      </w:r>
    </w:p>
    <w:p w14:paraId="27D77DE1" w14:textId="0CA36E31" w:rsidR="00403C9B" w:rsidRPr="001B3ED4" w:rsidRDefault="00403C9B" w:rsidP="0046084C">
      <w:pPr>
        <w:spacing w:before="240" w:line="360" w:lineRule="auto"/>
        <w:jc w:val="both"/>
        <w:rPr>
          <w:rFonts w:ascii="Arial" w:hAnsi="Arial" w:cs="Arial"/>
        </w:rPr>
      </w:pPr>
      <w:r w:rsidRPr="001B3ED4">
        <w:rPr>
          <w:rFonts w:ascii="Arial" w:hAnsi="Arial" w:cs="Arial"/>
        </w:rPr>
        <w:t>Factors affecting vaccine effectiveness include genetic differences in populations, exposure to environmental mycobacteria, and differences in vaccine strain. Additionally, disparities in vaccination timing and coverage further influence outcomes</w:t>
      </w:r>
      <w:r w:rsidR="004474B4" w:rsidRPr="001B3ED4">
        <w:rPr>
          <w:rFonts w:ascii="Arial" w:hAnsi="Arial" w:cs="Arial"/>
        </w:rPr>
        <w:t xml:space="preserve"> (Fatima et al, 2020)</w:t>
      </w:r>
      <w:r w:rsidRPr="001B3ED4">
        <w:rPr>
          <w:rFonts w:ascii="Arial" w:hAnsi="Arial" w:cs="Arial"/>
        </w:rPr>
        <w:t>. Individuals who miss vaccination in infancy may have reduced immunity later in life, particularly those living in high-burden urban areas</w:t>
      </w:r>
      <w:r w:rsidR="00FD417E" w:rsidRPr="001B3ED4">
        <w:rPr>
          <w:rFonts w:ascii="Arial" w:hAnsi="Arial" w:cs="Arial"/>
        </w:rPr>
        <w:t xml:space="preserve"> (</w:t>
      </w:r>
      <w:proofErr w:type="spellStart"/>
      <w:r w:rsidR="00FD417E" w:rsidRPr="001B3ED4">
        <w:rPr>
          <w:rFonts w:ascii="Arial" w:hAnsi="Arial" w:cs="Arial"/>
        </w:rPr>
        <w:t>Adhisivam</w:t>
      </w:r>
      <w:proofErr w:type="spellEnd"/>
      <w:r w:rsidR="00FD417E" w:rsidRPr="001B3ED4">
        <w:rPr>
          <w:rFonts w:ascii="Arial" w:hAnsi="Arial" w:cs="Arial"/>
        </w:rPr>
        <w:t xml:space="preserve"> et al, 2025)</w:t>
      </w:r>
      <w:r w:rsidRPr="001B3ED4">
        <w:rPr>
          <w:rFonts w:ascii="Arial" w:hAnsi="Arial" w:cs="Arial"/>
        </w:rPr>
        <w:t>. Moreover, the duration of protection may diminish over time, especially among adults aged 15 to 60 years, prompting discussions about targeted revaccination in high-risk settings</w:t>
      </w:r>
      <w:r w:rsidR="001E0D7E" w:rsidRPr="001B3ED4">
        <w:rPr>
          <w:rFonts w:ascii="Arial" w:hAnsi="Arial" w:cs="Arial"/>
        </w:rPr>
        <w:t xml:space="preserve"> (Kumar, 2021)</w:t>
      </w:r>
      <w:r w:rsidRPr="001B3ED4">
        <w:rPr>
          <w:rFonts w:ascii="Arial" w:hAnsi="Arial" w:cs="Arial"/>
        </w:rPr>
        <w:t>.</w:t>
      </w:r>
    </w:p>
    <w:p w14:paraId="0530A6E9" w14:textId="02FD1405" w:rsidR="00403C9B" w:rsidRPr="001B3ED4" w:rsidRDefault="00403C9B" w:rsidP="0046084C">
      <w:pPr>
        <w:spacing w:before="240" w:line="360" w:lineRule="auto"/>
        <w:jc w:val="both"/>
        <w:rPr>
          <w:rFonts w:ascii="Arial" w:hAnsi="Arial" w:cs="Arial"/>
        </w:rPr>
      </w:pPr>
      <w:r w:rsidRPr="001B3ED4">
        <w:rPr>
          <w:rFonts w:ascii="Arial" w:hAnsi="Arial" w:cs="Arial"/>
        </w:rPr>
        <w:lastRenderedPageBreak/>
        <w:t>Despite these limitations, BCG remains an essential component of TB control programmes. In high-burden countries such as India, the vaccine’s population-level impact is substantial, particularly in reducing childhood morbidity</w:t>
      </w:r>
      <w:r w:rsidR="00495ECE" w:rsidRPr="001B3ED4">
        <w:rPr>
          <w:rFonts w:ascii="Arial" w:hAnsi="Arial" w:cs="Arial"/>
        </w:rPr>
        <w:t xml:space="preserve"> (</w:t>
      </w:r>
      <w:proofErr w:type="spellStart"/>
      <w:r w:rsidR="00495ECE" w:rsidRPr="001B3ED4">
        <w:rPr>
          <w:rFonts w:ascii="Arial" w:hAnsi="Arial" w:cs="Arial"/>
        </w:rPr>
        <w:t>Katelaris</w:t>
      </w:r>
      <w:proofErr w:type="spellEnd"/>
      <w:r w:rsidR="00495ECE" w:rsidRPr="001B3ED4">
        <w:rPr>
          <w:rFonts w:ascii="Arial" w:hAnsi="Arial" w:cs="Arial"/>
        </w:rPr>
        <w:t xml:space="preserve"> et al, 2020)</w:t>
      </w:r>
      <w:r w:rsidRPr="001B3ED4">
        <w:rPr>
          <w:rFonts w:ascii="Arial" w:hAnsi="Arial" w:cs="Arial"/>
        </w:rPr>
        <w:t>. Research continues to explore supplementary strategies, including new vaccines in development and integrated public health approaches, to enhance protection for adults</w:t>
      </w:r>
      <w:r w:rsidR="00495ECE" w:rsidRPr="001B3ED4">
        <w:rPr>
          <w:rFonts w:ascii="Arial" w:hAnsi="Arial" w:cs="Arial"/>
        </w:rPr>
        <w:t xml:space="preserve"> (Clark et al, 2023)</w:t>
      </w:r>
      <w:r w:rsidRPr="001B3ED4">
        <w:rPr>
          <w:rFonts w:ascii="Arial" w:hAnsi="Arial" w:cs="Arial"/>
        </w:rPr>
        <w:t>. Overall, the evidence suggests that BCG contributes to reducing TB severity, though its effectiveness in preventing transmission requires additional support through early detection, improved treatment, and socio-economic interventions</w:t>
      </w:r>
      <w:r w:rsidR="00495ECE" w:rsidRPr="001B3ED4">
        <w:rPr>
          <w:rFonts w:ascii="Arial" w:hAnsi="Arial" w:cs="Arial"/>
        </w:rPr>
        <w:t xml:space="preserve"> (Fatima et al, 2020; Kumar, 2021)</w:t>
      </w:r>
      <w:r w:rsidRPr="001B3ED4">
        <w:rPr>
          <w:rFonts w:ascii="Arial" w:hAnsi="Arial" w:cs="Arial"/>
        </w:rPr>
        <w:t>.</w:t>
      </w:r>
    </w:p>
    <w:p w14:paraId="367FE53A" w14:textId="464D627F" w:rsidR="00403C9B" w:rsidRPr="001B3ED4" w:rsidRDefault="00403C9B" w:rsidP="004F2450">
      <w:pPr>
        <w:pStyle w:val="Heading1"/>
      </w:pPr>
      <w:bookmarkStart w:id="16" w:name="_Toc218418670"/>
      <w:r w:rsidRPr="001B3ED4">
        <w:t>2.9 BCG Vaccination Campaigns in Delhi</w:t>
      </w:r>
      <w:bookmarkEnd w:id="16"/>
      <w:r w:rsidRPr="001B3ED4">
        <w:t xml:space="preserve"> </w:t>
      </w:r>
    </w:p>
    <w:p w14:paraId="78B04FF3" w14:textId="19F04268" w:rsidR="00403C9B" w:rsidRPr="001B3ED4" w:rsidRDefault="00403C9B" w:rsidP="0046084C">
      <w:pPr>
        <w:spacing w:before="240" w:line="360" w:lineRule="auto"/>
        <w:jc w:val="both"/>
        <w:rPr>
          <w:rFonts w:ascii="Arial" w:hAnsi="Arial" w:cs="Arial"/>
        </w:rPr>
      </w:pPr>
      <w:r w:rsidRPr="001B3ED4">
        <w:rPr>
          <w:rFonts w:ascii="Arial" w:hAnsi="Arial" w:cs="Arial"/>
        </w:rPr>
        <w:t>Delhi has implemented periodic BCG vaccination campaigns to address uneven immunisation coverage and the rising burden of tuberculosis in its high-risk districts. These campaigns are specifically designed to target populations who often encounter substantial barriers to routine healthcare access</w:t>
      </w:r>
      <w:r w:rsidR="003C4B90" w:rsidRPr="001B3ED4">
        <w:rPr>
          <w:rFonts w:ascii="Arial" w:hAnsi="Arial" w:cs="Arial"/>
        </w:rPr>
        <w:t xml:space="preserve"> (</w:t>
      </w:r>
      <w:proofErr w:type="spellStart"/>
      <w:r w:rsidR="003C4B90" w:rsidRPr="001B3ED4">
        <w:rPr>
          <w:rFonts w:ascii="Arial" w:hAnsi="Arial" w:cs="Arial"/>
        </w:rPr>
        <w:t>Devasenapathy</w:t>
      </w:r>
      <w:proofErr w:type="spellEnd"/>
      <w:r w:rsidR="003C4B90" w:rsidRPr="001B3ED4">
        <w:rPr>
          <w:rFonts w:ascii="Arial" w:hAnsi="Arial" w:cs="Arial"/>
        </w:rPr>
        <w:t xml:space="preserve"> et al, 2016)</w:t>
      </w:r>
      <w:r w:rsidRPr="001B3ED4">
        <w:rPr>
          <w:rFonts w:ascii="Arial" w:hAnsi="Arial" w:cs="Arial"/>
        </w:rPr>
        <w:t>. Strategies commonly used include mobile health units deployed in densely populated neighbourhoods, community-based outreach programmes, and door-to-door vaccination efforts focused on informal settlements</w:t>
      </w:r>
      <w:r w:rsidR="00313518" w:rsidRPr="001B3ED4">
        <w:rPr>
          <w:rFonts w:ascii="Arial" w:hAnsi="Arial" w:cs="Arial"/>
        </w:rPr>
        <w:t xml:space="preserve"> (Clarke-</w:t>
      </w:r>
      <w:proofErr w:type="spellStart"/>
      <w:r w:rsidR="00313518" w:rsidRPr="001B3ED4">
        <w:rPr>
          <w:rFonts w:ascii="Arial" w:hAnsi="Arial" w:cs="Arial"/>
        </w:rPr>
        <w:t>Deelder</w:t>
      </w:r>
      <w:proofErr w:type="spellEnd"/>
      <w:r w:rsidR="00313518" w:rsidRPr="001B3ED4">
        <w:rPr>
          <w:rFonts w:ascii="Arial" w:hAnsi="Arial" w:cs="Arial"/>
        </w:rPr>
        <w:t xml:space="preserve"> et al, 2021)</w:t>
      </w:r>
      <w:r w:rsidRPr="001B3ED4">
        <w:rPr>
          <w:rFonts w:ascii="Arial" w:hAnsi="Arial" w:cs="Arial"/>
        </w:rPr>
        <w:t>. Campaigns also involve collaboration with local health workers, non-governmental organisations, and community leaders to increase awareness and encourage participation</w:t>
      </w:r>
      <w:r w:rsidR="00B26D9B" w:rsidRPr="001B3ED4">
        <w:rPr>
          <w:rFonts w:ascii="Arial" w:hAnsi="Arial" w:cs="Arial"/>
        </w:rPr>
        <w:t xml:space="preserve"> (</w:t>
      </w:r>
      <w:proofErr w:type="spellStart"/>
      <w:r w:rsidR="00B26D9B" w:rsidRPr="001B3ED4">
        <w:rPr>
          <w:rFonts w:ascii="Arial" w:hAnsi="Arial" w:cs="Arial"/>
        </w:rPr>
        <w:t>Devasenapathy</w:t>
      </w:r>
      <w:proofErr w:type="spellEnd"/>
      <w:r w:rsidR="00B26D9B" w:rsidRPr="001B3ED4">
        <w:rPr>
          <w:rFonts w:ascii="Arial" w:hAnsi="Arial" w:cs="Arial"/>
        </w:rPr>
        <w:t xml:space="preserve"> et al, 2016)</w:t>
      </w:r>
      <w:r w:rsidRPr="001B3ED4">
        <w:rPr>
          <w:rFonts w:ascii="Arial" w:hAnsi="Arial" w:cs="Arial"/>
        </w:rPr>
        <w:t>. Despite these focused initiatives, significant disparities in vaccination uptake persist across demographic and socio-economic groups, highlighting the complexity of delivering preventive health services in large urban environments</w:t>
      </w:r>
      <w:r w:rsidR="00FE27FF" w:rsidRPr="001B3ED4">
        <w:rPr>
          <w:rFonts w:ascii="Arial" w:hAnsi="Arial" w:cs="Arial"/>
        </w:rPr>
        <w:t xml:space="preserve"> (Dudeja et al, 2024)</w:t>
      </w:r>
      <w:r w:rsidRPr="001B3ED4">
        <w:rPr>
          <w:rFonts w:ascii="Arial" w:hAnsi="Arial" w:cs="Arial"/>
        </w:rPr>
        <w:t>.</w:t>
      </w:r>
    </w:p>
    <w:p w14:paraId="39453D8D" w14:textId="4E7DED90" w:rsidR="00403C9B" w:rsidRPr="001B3ED4" w:rsidRDefault="00403C9B" w:rsidP="0046084C">
      <w:pPr>
        <w:spacing w:before="240" w:line="360" w:lineRule="auto"/>
        <w:jc w:val="both"/>
        <w:rPr>
          <w:rFonts w:ascii="Arial" w:hAnsi="Arial" w:cs="Arial"/>
        </w:rPr>
      </w:pPr>
      <w:r w:rsidRPr="001B3ED4">
        <w:rPr>
          <w:rFonts w:ascii="Arial" w:hAnsi="Arial" w:cs="Arial"/>
        </w:rPr>
        <w:t>Although periodic drives have resulted in modest improvements in some localities, maintaining sustained coverage remains difficult due to fluctuating population densities, rapid urbanisation, and resource constraints</w:t>
      </w:r>
      <w:r w:rsidR="00B26D9B" w:rsidRPr="001B3ED4">
        <w:rPr>
          <w:rFonts w:ascii="Arial" w:hAnsi="Arial" w:cs="Arial"/>
        </w:rPr>
        <w:t xml:space="preserve"> (Dudeja et al, 2024)</w:t>
      </w:r>
      <w:r w:rsidRPr="001B3ED4">
        <w:rPr>
          <w:rFonts w:ascii="Arial" w:hAnsi="Arial" w:cs="Arial"/>
        </w:rPr>
        <w:t>. Understanding the effectiveness, reach, and limitations of these campaigns is crucial for informing future strategies. This evaluation can help identify gaps in service delivery, strengthen targeted interventions, and enhance the overall impact of BCG vaccination efforts in Delhi’s most vulnerable urban populations</w:t>
      </w:r>
      <w:r w:rsidR="00B26D9B" w:rsidRPr="001B3ED4">
        <w:rPr>
          <w:rFonts w:ascii="Arial" w:hAnsi="Arial" w:cs="Arial"/>
        </w:rPr>
        <w:t xml:space="preserve"> (Clark et al, 2023).</w:t>
      </w:r>
    </w:p>
    <w:p w14:paraId="7F5E8C12" w14:textId="663FCA03" w:rsidR="00403C9B" w:rsidRPr="001B3ED4" w:rsidRDefault="00403C9B" w:rsidP="004F2450">
      <w:pPr>
        <w:pStyle w:val="Heading1"/>
      </w:pPr>
      <w:bookmarkStart w:id="17" w:name="_Toc218418671"/>
      <w:r w:rsidRPr="001B3ED4">
        <w:lastRenderedPageBreak/>
        <w:t>2.1</w:t>
      </w:r>
      <w:r w:rsidR="00F67463" w:rsidRPr="001B3ED4">
        <w:t>0</w:t>
      </w:r>
      <w:r w:rsidRPr="001B3ED4">
        <w:t xml:space="preserve"> Barriers to BCG Vaccination Uptake</w:t>
      </w:r>
      <w:bookmarkEnd w:id="17"/>
      <w:r w:rsidRPr="001B3ED4">
        <w:t xml:space="preserve"> </w:t>
      </w:r>
    </w:p>
    <w:p w14:paraId="0895B8C5" w14:textId="008D5F7B" w:rsidR="00403C9B" w:rsidRPr="001B3ED4" w:rsidRDefault="00403C9B" w:rsidP="0046084C">
      <w:pPr>
        <w:spacing w:before="240" w:line="360" w:lineRule="auto"/>
        <w:jc w:val="both"/>
        <w:rPr>
          <w:rFonts w:ascii="Arial" w:hAnsi="Arial" w:cs="Arial"/>
        </w:rPr>
      </w:pPr>
      <w:r w:rsidRPr="001B3ED4">
        <w:rPr>
          <w:rFonts w:ascii="Arial" w:hAnsi="Arial" w:cs="Arial"/>
        </w:rPr>
        <w:t>Multiple barriers limit the uptake of BCG vaccination in high-risk urban settings, particularly in densely populated districts of Delhi. Structural and system-level challenges remain among the most significant obstacles</w:t>
      </w:r>
      <w:r w:rsidR="00DA41EB" w:rsidRPr="001B3ED4">
        <w:rPr>
          <w:rFonts w:ascii="Arial" w:hAnsi="Arial" w:cs="Arial"/>
        </w:rPr>
        <w:t xml:space="preserve"> (Singh et al, 2019)</w:t>
      </w:r>
      <w:r w:rsidRPr="001B3ED4">
        <w:rPr>
          <w:rFonts w:ascii="Arial" w:hAnsi="Arial" w:cs="Arial"/>
        </w:rPr>
        <w:t>. Inadequate health infrastructure, overcrowded public health facilities, and irregular vaccine supply chains disrupt continuity in vaccination services. These gaps contribute to inconsistent delivery, resulting in missed or delayed vaccinations</w:t>
      </w:r>
      <w:r w:rsidR="00253AFE" w:rsidRPr="001B3ED4">
        <w:rPr>
          <w:rFonts w:ascii="Arial" w:hAnsi="Arial" w:cs="Arial"/>
        </w:rPr>
        <w:t xml:space="preserve"> (Francis et al, 2021)</w:t>
      </w:r>
      <w:r w:rsidRPr="001B3ED4">
        <w:rPr>
          <w:rFonts w:ascii="Arial" w:hAnsi="Arial" w:cs="Arial"/>
        </w:rPr>
        <w:t>. Limited numbers of trained healthcare staff and the absence of robust tracking systems further impede effective implementation</w:t>
      </w:r>
      <w:r w:rsidR="007A74B9" w:rsidRPr="001B3ED4">
        <w:rPr>
          <w:rFonts w:ascii="Arial" w:hAnsi="Arial" w:cs="Arial"/>
        </w:rPr>
        <w:t xml:space="preserve"> (Prakash et al, 2025)</w:t>
      </w:r>
      <w:r w:rsidRPr="001B3ED4">
        <w:rPr>
          <w:rFonts w:ascii="Arial" w:hAnsi="Arial" w:cs="Arial"/>
        </w:rPr>
        <w:t xml:space="preserve">. Additionally, migrants and informal workers often face challenges related to documentation requirements, residence verification, or </w:t>
      </w:r>
      <w:r w:rsidR="0046084C" w:rsidRPr="001B3ED4">
        <w:rPr>
          <w:rFonts w:ascii="Arial" w:hAnsi="Arial" w:cs="Arial"/>
        </w:rPr>
        <w:t xml:space="preserve">a </w:t>
      </w:r>
      <w:r w:rsidRPr="001B3ED4">
        <w:rPr>
          <w:rFonts w:ascii="Arial" w:hAnsi="Arial" w:cs="Arial"/>
        </w:rPr>
        <w:t>lack of awareness about vaccination schedules, making it difficult for them to access routine immunisation centres</w:t>
      </w:r>
      <w:r w:rsidR="00E16670" w:rsidRPr="001B3ED4">
        <w:rPr>
          <w:rFonts w:ascii="Arial" w:hAnsi="Arial" w:cs="Arial"/>
        </w:rPr>
        <w:t xml:space="preserve"> (Singh et al, 2019)</w:t>
      </w:r>
      <w:r w:rsidRPr="001B3ED4">
        <w:rPr>
          <w:rFonts w:ascii="Arial" w:hAnsi="Arial" w:cs="Arial"/>
        </w:rPr>
        <w:t>.</w:t>
      </w:r>
    </w:p>
    <w:p w14:paraId="72DE0E0B" w14:textId="5C9DCE04" w:rsidR="00403C9B" w:rsidRPr="001B3ED4" w:rsidRDefault="00403C9B" w:rsidP="0046084C">
      <w:pPr>
        <w:spacing w:before="240" w:line="360" w:lineRule="auto"/>
        <w:jc w:val="both"/>
        <w:rPr>
          <w:rFonts w:ascii="Arial" w:hAnsi="Arial" w:cs="Arial"/>
        </w:rPr>
      </w:pPr>
      <w:r w:rsidRPr="001B3ED4">
        <w:rPr>
          <w:rFonts w:ascii="Arial" w:hAnsi="Arial" w:cs="Arial"/>
        </w:rPr>
        <w:t>Community-level factors also play a central role in shaping vaccination uptake. In many urban poor communities, awareness of the benefits of BCG vaccination remains low, and misconceptions surrounding vaccines persist</w:t>
      </w:r>
      <w:r w:rsidR="00717B0F" w:rsidRPr="001B3ED4">
        <w:rPr>
          <w:rFonts w:ascii="Arial" w:hAnsi="Arial" w:cs="Arial"/>
        </w:rPr>
        <w:t xml:space="preserve"> (Dutta et al, 2021)</w:t>
      </w:r>
      <w:r w:rsidRPr="001B3ED4">
        <w:rPr>
          <w:rFonts w:ascii="Arial" w:hAnsi="Arial" w:cs="Arial"/>
        </w:rPr>
        <w:t>. Cultural beliefs, fear of side effects, and misinformation reduce community trust and increase vaccine hesitancy</w:t>
      </w:r>
      <w:r w:rsidR="00E16670" w:rsidRPr="001B3ED4">
        <w:rPr>
          <w:rFonts w:ascii="Arial" w:hAnsi="Arial" w:cs="Arial"/>
        </w:rPr>
        <w:t xml:space="preserve"> (Dutta et al, 2021)</w:t>
      </w:r>
      <w:r w:rsidRPr="001B3ED4">
        <w:rPr>
          <w:rFonts w:ascii="Arial" w:hAnsi="Arial" w:cs="Arial"/>
        </w:rPr>
        <w:t>. In areas where education levels are low, many individuals do not recognise the importance of early-life immunisation or the role of the BCG vaccine in preventing severe forms of TB</w:t>
      </w:r>
      <w:r w:rsidR="00E16670" w:rsidRPr="001B3ED4">
        <w:rPr>
          <w:rFonts w:ascii="Arial" w:hAnsi="Arial" w:cs="Arial"/>
        </w:rPr>
        <w:t xml:space="preserve"> (Francis et al, 2021)</w:t>
      </w:r>
      <w:r w:rsidRPr="001B3ED4">
        <w:rPr>
          <w:rFonts w:ascii="Arial" w:hAnsi="Arial" w:cs="Arial"/>
        </w:rPr>
        <w:t>. High mobility among migrant workers disrupts continuity of care, as families frequently relocate and miss scheduled vaccination opportunities. These dynamics contribute to uneven coverage across districts and weaken the overall impact of vaccination campaigns</w:t>
      </w:r>
      <w:r w:rsidR="00E16670" w:rsidRPr="001B3ED4">
        <w:rPr>
          <w:rFonts w:ascii="Arial" w:hAnsi="Arial" w:cs="Arial"/>
        </w:rPr>
        <w:t xml:space="preserve"> (Singh et al, 2019)</w:t>
      </w:r>
      <w:r w:rsidRPr="001B3ED4">
        <w:rPr>
          <w:rFonts w:ascii="Arial" w:hAnsi="Arial" w:cs="Arial"/>
        </w:rPr>
        <w:t>.</w:t>
      </w:r>
    </w:p>
    <w:p w14:paraId="3762CD65" w14:textId="594E90D0" w:rsidR="00403C9B" w:rsidRPr="001B3ED4" w:rsidRDefault="00403C9B" w:rsidP="0046084C">
      <w:pPr>
        <w:spacing w:before="240" w:line="360" w:lineRule="auto"/>
        <w:jc w:val="both"/>
        <w:rPr>
          <w:rFonts w:ascii="Arial" w:hAnsi="Arial" w:cs="Arial"/>
        </w:rPr>
      </w:pPr>
      <w:r w:rsidRPr="001B3ED4">
        <w:rPr>
          <w:rFonts w:ascii="Arial" w:hAnsi="Arial" w:cs="Arial"/>
        </w:rPr>
        <w:t>Behavioural and socio-economic determinants present additional barriers to uptake. Families facing economic hardship often prioritise daily survival and income-generating activities over preventive healthcare visits</w:t>
      </w:r>
      <w:r w:rsidR="00E16670" w:rsidRPr="001B3ED4">
        <w:rPr>
          <w:rFonts w:ascii="Arial" w:hAnsi="Arial" w:cs="Arial"/>
        </w:rPr>
        <w:t xml:space="preserve"> (Francis et al, 2021)</w:t>
      </w:r>
      <w:r w:rsidRPr="001B3ED4">
        <w:rPr>
          <w:rFonts w:ascii="Arial" w:hAnsi="Arial" w:cs="Arial"/>
        </w:rPr>
        <w:t>. Women in marginalised communities may experience restricted mobility or require permission to access health services, resulting in delayed or missed childhood vaccinations</w:t>
      </w:r>
      <w:r w:rsidR="00E16670" w:rsidRPr="001B3ED4">
        <w:rPr>
          <w:rFonts w:ascii="Arial" w:hAnsi="Arial" w:cs="Arial"/>
        </w:rPr>
        <w:t xml:space="preserve"> (Singh et al, 2019)</w:t>
      </w:r>
      <w:r w:rsidRPr="001B3ED4">
        <w:rPr>
          <w:rFonts w:ascii="Arial" w:hAnsi="Arial" w:cs="Arial"/>
        </w:rPr>
        <w:t>. Language barriers, distrust of government programmes, and negative past experiences with health services further reduce engagement</w:t>
      </w:r>
      <w:r w:rsidR="00E16670" w:rsidRPr="001B3ED4">
        <w:rPr>
          <w:rFonts w:ascii="Arial" w:hAnsi="Arial" w:cs="Arial"/>
        </w:rPr>
        <w:t xml:space="preserve"> (Francis et al, 2021)</w:t>
      </w:r>
      <w:r w:rsidRPr="001B3ED4">
        <w:rPr>
          <w:rFonts w:ascii="Arial" w:hAnsi="Arial" w:cs="Arial"/>
        </w:rPr>
        <w:t xml:space="preserve">. Addressing these challenges requires a combination of strategies, including </w:t>
      </w:r>
      <w:r w:rsidRPr="001B3ED4">
        <w:rPr>
          <w:rFonts w:ascii="Arial" w:hAnsi="Arial" w:cs="Arial"/>
        </w:rPr>
        <w:lastRenderedPageBreak/>
        <w:t>community-based communication, culturally sensitive health promotion, expanded outreach services, and improved health system responsiveness</w:t>
      </w:r>
      <w:r w:rsidR="00E16670" w:rsidRPr="001B3ED4">
        <w:rPr>
          <w:rFonts w:ascii="Arial" w:hAnsi="Arial" w:cs="Arial"/>
        </w:rPr>
        <w:t xml:space="preserve"> (Dutta et al, 2021)</w:t>
      </w:r>
      <w:r w:rsidRPr="001B3ED4">
        <w:rPr>
          <w:rFonts w:ascii="Arial" w:hAnsi="Arial" w:cs="Arial"/>
        </w:rPr>
        <w:t>. Strengthening these areas is essential to achieving equitable and sustained BCG vaccination coverage in high-risk districts</w:t>
      </w:r>
      <w:r w:rsidR="00E16670" w:rsidRPr="001B3ED4">
        <w:rPr>
          <w:rFonts w:ascii="Arial" w:hAnsi="Arial" w:cs="Arial"/>
        </w:rPr>
        <w:t xml:space="preserve"> (Prakash et al, 2025)</w:t>
      </w:r>
      <w:r w:rsidRPr="001B3ED4">
        <w:rPr>
          <w:rFonts w:ascii="Arial" w:hAnsi="Arial" w:cs="Arial"/>
        </w:rPr>
        <w:t>.</w:t>
      </w:r>
    </w:p>
    <w:p w14:paraId="646E7DD8" w14:textId="16F646E0" w:rsidR="00403C9B" w:rsidRPr="001B3ED4" w:rsidRDefault="00403C9B" w:rsidP="004F2450">
      <w:pPr>
        <w:pStyle w:val="Heading1"/>
      </w:pPr>
      <w:bookmarkStart w:id="18" w:name="_Toc218418672"/>
      <w:r w:rsidRPr="001B3ED4">
        <w:t>2.1</w:t>
      </w:r>
      <w:r w:rsidR="00EF4080" w:rsidRPr="001B3ED4">
        <w:t>1</w:t>
      </w:r>
      <w:r w:rsidRPr="001B3ED4">
        <w:t xml:space="preserve"> Early Detection, Screening, and TB Control Measures</w:t>
      </w:r>
      <w:bookmarkEnd w:id="18"/>
      <w:r w:rsidRPr="001B3ED4">
        <w:t xml:space="preserve"> </w:t>
      </w:r>
    </w:p>
    <w:p w14:paraId="4D7AF099" w14:textId="3A223549" w:rsidR="00403C9B" w:rsidRPr="001B3ED4" w:rsidRDefault="00403C9B" w:rsidP="0046084C">
      <w:pPr>
        <w:spacing w:before="240" w:line="360" w:lineRule="auto"/>
        <w:jc w:val="both"/>
        <w:rPr>
          <w:rFonts w:ascii="Arial" w:hAnsi="Arial" w:cs="Arial"/>
        </w:rPr>
      </w:pPr>
      <w:r w:rsidRPr="001B3ED4">
        <w:rPr>
          <w:rFonts w:ascii="Arial" w:hAnsi="Arial" w:cs="Arial"/>
        </w:rPr>
        <w:t xml:space="preserve">Early detection is a critical component of tuberculosis control, enabling </w:t>
      </w:r>
      <w:r w:rsidR="00E977C4" w:rsidRPr="001B3ED4">
        <w:rPr>
          <w:rFonts w:ascii="Arial" w:hAnsi="Arial" w:cs="Arial"/>
        </w:rPr>
        <w:t xml:space="preserve">the </w:t>
      </w:r>
      <w:r w:rsidRPr="001B3ED4">
        <w:rPr>
          <w:rFonts w:ascii="Arial" w:hAnsi="Arial" w:cs="Arial"/>
        </w:rPr>
        <w:t>timely initiation of treatment and reducing the risk of transmission within communities</w:t>
      </w:r>
      <w:r w:rsidR="00797A13" w:rsidRPr="001B3ED4">
        <w:rPr>
          <w:rFonts w:ascii="Arial" w:hAnsi="Arial" w:cs="Arial"/>
        </w:rPr>
        <w:t xml:space="preserve"> (</w:t>
      </w:r>
      <w:proofErr w:type="spellStart"/>
      <w:r w:rsidR="00797A13" w:rsidRPr="001B3ED4">
        <w:rPr>
          <w:rFonts w:ascii="Arial" w:hAnsi="Arial" w:cs="Arial"/>
        </w:rPr>
        <w:t>Shewade</w:t>
      </w:r>
      <w:proofErr w:type="spellEnd"/>
      <w:r w:rsidR="00797A13" w:rsidRPr="001B3ED4">
        <w:rPr>
          <w:rFonts w:ascii="Arial" w:hAnsi="Arial" w:cs="Arial"/>
        </w:rPr>
        <w:t xml:space="preserve"> et al, 2022)</w:t>
      </w:r>
      <w:r w:rsidRPr="001B3ED4">
        <w:rPr>
          <w:rFonts w:ascii="Arial" w:hAnsi="Arial" w:cs="Arial"/>
        </w:rPr>
        <w:t>. Screening approaches vary widely, from basic symptom-based checklists to advanced diagnostic technologies that identify TB at earlier stages. In high-density urban settings, active case-finding initiatives</w:t>
      </w:r>
      <w:r w:rsidR="0046084C" w:rsidRPr="001B3ED4">
        <w:rPr>
          <w:rFonts w:ascii="Arial" w:hAnsi="Arial" w:cs="Arial"/>
        </w:rPr>
        <w:t xml:space="preserve">, </w:t>
      </w:r>
      <w:r w:rsidRPr="001B3ED4">
        <w:rPr>
          <w:rFonts w:ascii="Arial" w:hAnsi="Arial" w:cs="Arial"/>
        </w:rPr>
        <w:t>such as door-to-door screening, mobile diagnostic units, and targeted assessments in high-risk groups</w:t>
      </w:r>
      <w:r w:rsidR="00E977C4" w:rsidRPr="001B3ED4">
        <w:rPr>
          <w:rFonts w:ascii="Arial" w:hAnsi="Arial" w:cs="Arial"/>
        </w:rPr>
        <w:t>,</w:t>
      </w:r>
      <w:r w:rsidR="0046084C" w:rsidRPr="001B3ED4">
        <w:rPr>
          <w:rFonts w:ascii="Arial" w:hAnsi="Arial" w:cs="Arial"/>
        </w:rPr>
        <w:t xml:space="preserve"> </w:t>
      </w:r>
      <w:r w:rsidRPr="001B3ED4">
        <w:rPr>
          <w:rFonts w:ascii="Arial" w:hAnsi="Arial" w:cs="Arial"/>
        </w:rPr>
        <w:t>help identify individuals who might otherwise remain undiagnosed</w:t>
      </w:r>
      <w:r w:rsidR="00280F11" w:rsidRPr="001B3ED4">
        <w:rPr>
          <w:rFonts w:ascii="Arial" w:hAnsi="Arial" w:cs="Arial"/>
        </w:rPr>
        <w:t xml:space="preserve"> (Shah et al, 2025)</w:t>
      </w:r>
      <w:r w:rsidRPr="001B3ED4">
        <w:rPr>
          <w:rFonts w:ascii="Arial" w:hAnsi="Arial" w:cs="Arial"/>
        </w:rPr>
        <w:t>. These strategies are particularly important for populations such as migrants, slum dwellers, and individuals with weakened immune systems, who often have limited access to routine healthcare services</w:t>
      </w:r>
      <w:r w:rsidR="00D55F49" w:rsidRPr="001B3ED4">
        <w:rPr>
          <w:rFonts w:ascii="Arial" w:hAnsi="Arial" w:cs="Arial"/>
        </w:rPr>
        <w:t xml:space="preserve"> (Moonan et al, 2018)</w:t>
      </w:r>
      <w:r w:rsidRPr="001B3ED4">
        <w:rPr>
          <w:rFonts w:ascii="Arial" w:hAnsi="Arial" w:cs="Arial"/>
        </w:rPr>
        <w:t>. Early detection not only improves individual health outcomes but also plays a key role in interrupting transmission cycles in high-burden environments</w:t>
      </w:r>
      <w:r w:rsidR="002366B0" w:rsidRPr="001B3ED4">
        <w:rPr>
          <w:rFonts w:ascii="Arial" w:hAnsi="Arial" w:cs="Arial"/>
        </w:rPr>
        <w:t xml:space="preserve"> (Shah et al, 2025)</w:t>
      </w:r>
      <w:r w:rsidRPr="001B3ED4">
        <w:rPr>
          <w:rFonts w:ascii="Arial" w:hAnsi="Arial" w:cs="Arial"/>
        </w:rPr>
        <w:t>.</w:t>
      </w:r>
    </w:p>
    <w:p w14:paraId="006D007E" w14:textId="5EC855E2" w:rsidR="00403C9B" w:rsidRPr="001B3ED4" w:rsidRDefault="00403C9B" w:rsidP="0046084C">
      <w:pPr>
        <w:spacing w:before="240" w:line="360" w:lineRule="auto"/>
        <w:jc w:val="both"/>
        <w:rPr>
          <w:rFonts w:ascii="Arial" w:hAnsi="Arial" w:cs="Arial"/>
        </w:rPr>
      </w:pPr>
      <w:r w:rsidRPr="001B3ED4">
        <w:rPr>
          <w:rFonts w:ascii="Arial" w:hAnsi="Arial" w:cs="Arial"/>
        </w:rPr>
        <w:t>Surveillance systems underpin effective early detection by tracking disease trends, identifying emerging hotspots, and monitoring drug-resistant TB patterns</w:t>
      </w:r>
      <w:r w:rsidR="002366B0" w:rsidRPr="001B3ED4">
        <w:rPr>
          <w:rFonts w:ascii="Arial" w:hAnsi="Arial" w:cs="Arial"/>
        </w:rPr>
        <w:t xml:space="preserve"> (Shah et al, 2025)</w:t>
      </w:r>
      <w:r w:rsidRPr="001B3ED4">
        <w:rPr>
          <w:rFonts w:ascii="Arial" w:hAnsi="Arial" w:cs="Arial"/>
        </w:rPr>
        <w:t>. Modern diagnostic technologies, including GeneXpert MTB/RIF and other rapid molecular tests, have significantly enhanced the speed and accuracy of TB diagnosis</w:t>
      </w:r>
      <w:r w:rsidR="007A0E41" w:rsidRPr="001B3ED4">
        <w:rPr>
          <w:rFonts w:ascii="Arial" w:hAnsi="Arial" w:cs="Arial"/>
        </w:rPr>
        <w:t xml:space="preserve"> (Mandal et al, 2025)</w:t>
      </w:r>
      <w:r w:rsidRPr="001B3ED4">
        <w:rPr>
          <w:rFonts w:ascii="Arial" w:hAnsi="Arial" w:cs="Arial"/>
        </w:rPr>
        <w:t>. These tools allow for early detection of both TB infection and drug resistance, enabling timely initiation of appropriate treatment regimens</w:t>
      </w:r>
      <w:r w:rsidR="002366B0" w:rsidRPr="001B3ED4">
        <w:rPr>
          <w:rFonts w:ascii="Arial" w:hAnsi="Arial" w:cs="Arial"/>
        </w:rPr>
        <w:t xml:space="preserve"> (</w:t>
      </w:r>
      <w:proofErr w:type="spellStart"/>
      <w:r w:rsidR="002366B0" w:rsidRPr="001B3ED4">
        <w:rPr>
          <w:rFonts w:ascii="Arial" w:hAnsi="Arial" w:cs="Arial"/>
        </w:rPr>
        <w:t>Shewade</w:t>
      </w:r>
      <w:proofErr w:type="spellEnd"/>
      <w:r w:rsidR="002366B0" w:rsidRPr="001B3ED4">
        <w:rPr>
          <w:rFonts w:ascii="Arial" w:hAnsi="Arial" w:cs="Arial"/>
        </w:rPr>
        <w:t xml:space="preserve"> et al, 2022)</w:t>
      </w:r>
      <w:r w:rsidRPr="001B3ED4">
        <w:rPr>
          <w:rFonts w:ascii="Arial" w:hAnsi="Arial" w:cs="Arial"/>
        </w:rPr>
        <w:t xml:space="preserve">. However, disparities in access to diagnostic facilities persist across socio-economic groups, particularly in low-income urban settlements where health infrastructure is limited. Strengthening laboratory capacity, expanding diagnostic outreach, and ensuring </w:t>
      </w:r>
      <w:r w:rsidR="0046084C" w:rsidRPr="001B3ED4">
        <w:rPr>
          <w:rFonts w:ascii="Arial" w:hAnsi="Arial" w:cs="Arial"/>
        </w:rPr>
        <w:t xml:space="preserve">the </w:t>
      </w:r>
      <w:r w:rsidRPr="001B3ED4">
        <w:rPr>
          <w:rFonts w:ascii="Arial" w:hAnsi="Arial" w:cs="Arial"/>
        </w:rPr>
        <w:t>availability of rapid testing are essential to improving surveillance and diagnostic coverage</w:t>
      </w:r>
      <w:r w:rsidR="002366B0" w:rsidRPr="001B3ED4">
        <w:rPr>
          <w:rFonts w:ascii="Arial" w:hAnsi="Arial" w:cs="Arial"/>
        </w:rPr>
        <w:t xml:space="preserve"> (Shah et al, 2025)</w:t>
      </w:r>
      <w:r w:rsidRPr="001B3ED4">
        <w:rPr>
          <w:rFonts w:ascii="Arial" w:hAnsi="Arial" w:cs="Arial"/>
        </w:rPr>
        <w:t>.</w:t>
      </w:r>
    </w:p>
    <w:p w14:paraId="24895CB1" w14:textId="61D2545A" w:rsidR="00403C9B" w:rsidRPr="001B3ED4" w:rsidRDefault="00403C9B" w:rsidP="0046084C">
      <w:pPr>
        <w:spacing w:before="240" w:line="360" w:lineRule="auto"/>
        <w:jc w:val="both"/>
        <w:rPr>
          <w:rFonts w:ascii="Arial" w:hAnsi="Arial" w:cs="Arial"/>
        </w:rPr>
      </w:pPr>
      <w:r w:rsidRPr="001B3ED4">
        <w:rPr>
          <w:rFonts w:ascii="Arial" w:hAnsi="Arial" w:cs="Arial"/>
        </w:rPr>
        <w:t xml:space="preserve">TB control measures extend beyond clinical detection and treatment to include comprehensive public health strategies. These measures encompass contact tracing, community education campaigns, and improved infection control practices within </w:t>
      </w:r>
      <w:r w:rsidRPr="001B3ED4">
        <w:rPr>
          <w:rFonts w:ascii="Arial" w:hAnsi="Arial" w:cs="Arial"/>
        </w:rPr>
        <w:lastRenderedPageBreak/>
        <w:t>households and healthcare settings</w:t>
      </w:r>
      <w:r w:rsidR="002366B0" w:rsidRPr="001B3ED4">
        <w:rPr>
          <w:rFonts w:ascii="Arial" w:hAnsi="Arial" w:cs="Arial"/>
        </w:rPr>
        <w:t xml:space="preserve"> (Moonan et al, 2018)</w:t>
      </w:r>
      <w:r w:rsidRPr="001B3ED4">
        <w:rPr>
          <w:rFonts w:ascii="Arial" w:hAnsi="Arial" w:cs="Arial"/>
        </w:rPr>
        <w:t>. Preventive approaches, such as BCG vaccination, serve as an important component of long-term TB control, but vaccination alone is insufficient without robust health systems and sustained community engagement</w:t>
      </w:r>
      <w:r w:rsidR="002366B0" w:rsidRPr="001B3ED4">
        <w:rPr>
          <w:rFonts w:ascii="Arial" w:hAnsi="Arial" w:cs="Arial"/>
        </w:rPr>
        <w:t xml:space="preserve"> (</w:t>
      </w:r>
      <w:proofErr w:type="spellStart"/>
      <w:r w:rsidR="002366B0" w:rsidRPr="001B3ED4">
        <w:rPr>
          <w:rFonts w:ascii="Arial" w:hAnsi="Arial" w:cs="Arial"/>
        </w:rPr>
        <w:t>Shewade</w:t>
      </w:r>
      <w:proofErr w:type="spellEnd"/>
      <w:r w:rsidR="002366B0" w:rsidRPr="001B3ED4">
        <w:rPr>
          <w:rFonts w:ascii="Arial" w:hAnsi="Arial" w:cs="Arial"/>
        </w:rPr>
        <w:t xml:space="preserve"> et al, 2022)</w:t>
      </w:r>
      <w:r w:rsidRPr="001B3ED4">
        <w:rPr>
          <w:rFonts w:ascii="Arial" w:hAnsi="Arial" w:cs="Arial"/>
        </w:rPr>
        <w:t>. Effective control also requires addressing socio-economic determinants such as poverty, overcrowding, and malnutrition, which increase vulnerability to infection</w:t>
      </w:r>
      <w:r w:rsidR="002366B0" w:rsidRPr="001B3ED4">
        <w:rPr>
          <w:rFonts w:ascii="Arial" w:hAnsi="Arial" w:cs="Arial"/>
        </w:rPr>
        <w:t xml:space="preserve"> (Moonan et al, 2018)</w:t>
      </w:r>
      <w:r w:rsidRPr="001B3ED4">
        <w:rPr>
          <w:rFonts w:ascii="Arial" w:hAnsi="Arial" w:cs="Arial"/>
        </w:rPr>
        <w:t>. Collaborative efforts between healthcare providers, community organisations, and government agencies are therefore essential to achieve sustained reductions in TB incidence and to ensure that prevention and care reach the most vulnerable populations</w:t>
      </w:r>
      <w:r w:rsidR="002366B0" w:rsidRPr="001B3ED4">
        <w:rPr>
          <w:rFonts w:ascii="Arial" w:hAnsi="Arial" w:cs="Arial"/>
        </w:rPr>
        <w:t xml:space="preserve"> (Mandal et al, 2025)</w:t>
      </w:r>
      <w:r w:rsidRPr="001B3ED4">
        <w:rPr>
          <w:rFonts w:ascii="Arial" w:hAnsi="Arial" w:cs="Arial"/>
        </w:rPr>
        <w:t>.</w:t>
      </w:r>
    </w:p>
    <w:p w14:paraId="44B5A687" w14:textId="6F01E5A1" w:rsidR="00403C9B" w:rsidRPr="001B3ED4" w:rsidRDefault="00403C9B" w:rsidP="004F2450">
      <w:pPr>
        <w:pStyle w:val="Heading1"/>
      </w:pPr>
      <w:bookmarkStart w:id="19" w:name="_Toc218418673"/>
      <w:r w:rsidRPr="001B3ED4">
        <w:t>2.1</w:t>
      </w:r>
      <w:r w:rsidR="00EF4080" w:rsidRPr="001B3ED4">
        <w:t>2</w:t>
      </w:r>
      <w:r w:rsidRPr="001B3ED4">
        <w:t xml:space="preserve"> Theoretical Framework</w:t>
      </w:r>
      <w:bookmarkEnd w:id="19"/>
      <w:r w:rsidRPr="001B3ED4">
        <w:t xml:space="preserve"> </w:t>
      </w:r>
    </w:p>
    <w:p w14:paraId="4510C407" w14:textId="55C4167C" w:rsidR="00403C9B" w:rsidRPr="001B3ED4" w:rsidRDefault="00403C9B" w:rsidP="0046084C">
      <w:pPr>
        <w:spacing w:before="240" w:line="360" w:lineRule="auto"/>
        <w:jc w:val="both"/>
        <w:rPr>
          <w:rFonts w:ascii="Arial" w:hAnsi="Arial" w:cs="Arial"/>
        </w:rPr>
      </w:pPr>
      <w:r w:rsidRPr="001B3ED4">
        <w:rPr>
          <w:rFonts w:ascii="Arial" w:hAnsi="Arial" w:cs="Arial"/>
        </w:rPr>
        <w:t>The theoretical framework guiding this study draws on behavioural and public health models that explain how individuals and communities respond to vaccination and disease prevention initiatives. These models help interpret how beliefs, motivations, and external barriers influence uptake of BCG vaccination in high-risk populations. By applying established theories, the study contextualises patterns in vaccination behaviour and identifies factors that shape health-seeking practices. This framework also supports the development of informed recommendations aimed at improving public acceptance and accessibility of BCG vaccination campaigns in Delhi’s high-risk districts.</w:t>
      </w:r>
    </w:p>
    <w:p w14:paraId="2F3D1284" w14:textId="4EE9B379" w:rsidR="00403C9B" w:rsidRPr="001B3ED4" w:rsidRDefault="00403C9B" w:rsidP="00E977C4">
      <w:pPr>
        <w:pStyle w:val="Heading2"/>
      </w:pPr>
      <w:bookmarkStart w:id="20" w:name="_Toc218418674"/>
      <w:r w:rsidRPr="001B3ED4">
        <w:rPr>
          <w:rFonts w:eastAsiaTheme="majorEastAsia"/>
        </w:rPr>
        <w:t>2.1</w:t>
      </w:r>
      <w:r w:rsidR="009C590D" w:rsidRPr="001B3ED4">
        <w:rPr>
          <w:rFonts w:eastAsiaTheme="majorEastAsia"/>
        </w:rPr>
        <w:t>2</w:t>
      </w:r>
      <w:r w:rsidRPr="001B3ED4">
        <w:rPr>
          <w:rFonts w:eastAsiaTheme="majorEastAsia"/>
        </w:rPr>
        <w:t>.1 Health Belief Model (HBM)</w:t>
      </w:r>
      <w:bookmarkEnd w:id="20"/>
    </w:p>
    <w:p w14:paraId="28027E36" w14:textId="0E2169E7" w:rsidR="00403C9B" w:rsidRPr="001B3ED4" w:rsidRDefault="00403C9B" w:rsidP="0046084C">
      <w:pPr>
        <w:spacing w:before="240" w:line="360" w:lineRule="auto"/>
        <w:jc w:val="both"/>
        <w:rPr>
          <w:rFonts w:ascii="Arial" w:hAnsi="Arial" w:cs="Arial"/>
        </w:rPr>
      </w:pPr>
      <w:r w:rsidRPr="001B3ED4">
        <w:rPr>
          <w:rFonts w:ascii="Arial" w:hAnsi="Arial" w:cs="Arial"/>
        </w:rPr>
        <w:t>The Health Belief Model (HBM) provides a valuable framework for understanding how individual perceptions shape engagement in health-promoting behaviours such as BCG vaccination</w:t>
      </w:r>
      <w:r w:rsidR="00206CF7" w:rsidRPr="001B3ED4">
        <w:rPr>
          <w:rFonts w:ascii="Arial" w:hAnsi="Arial" w:cs="Arial"/>
        </w:rPr>
        <w:t xml:space="preserve"> (</w:t>
      </w:r>
      <w:proofErr w:type="spellStart"/>
      <w:r w:rsidR="00206CF7" w:rsidRPr="001B3ED4">
        <w:rPr>
          <w:rFonts w:ascii="Arial" w:hAnsi="Arial" w:cs="Arial"/>
        </w:rPr>
        <w:t>Sazali</w:t>
      </w:r>
      <w:proofErr w:type="spellEnd"/>
      <w:r w:rsidR="00206CF7" w:rsidRPr="001B3ED4">
        <w:rPr>
          <w:rFonts w:ascii="Arial" w:hAnsi="Arial" w:cs="Arial"/>
        </w:rPr>
        <w:t xml:space="preserve"> et al, 2022)</w:t>
      </w:r>
      <w:r w:rsidRPr="001B3ED4">
        <w:rPr>
          <w:rFonts w:ascii="Arial" w:hAnsi="Arial" w:cs="Arial"/>
        </w:rPr>
        <w:t>. The model’s core components</w:t>
      </w:r>
      <w:r w:rsidR="0046084C" w:rsidRPr="001B3ED4">
        <w:rPr>
          <w:rFonts w:ascii="Arial" w:hAnsi="Arial" w:cs="Arial"/>
        </w:rPr>
        <w:t xml:space="preserve">, </w:t>
      </w:r>
      <w:r w:rsidRPr="001B3ED4">
        <w:rPr>
          <w:rFonts w:ascii="Arial" w:hAnsi="Arial" w:cs="Arial"/>
        </w:rPr>
        <w:t>perceived susceptibility, perceived severity, perceived benefits, and perceived barriers</w:t>
      </w:r>
      <w:r w:rsidR="0046084C" w:rsidRPr="001B3ED4">
        <w:rPr>
          <w:rFonts w:ascii="Arial" w:hAnsi="Arial" w:cs="Arial"/>
        </w:rPr>
        <w:t xml:space="preserve">, </w:t>
      </w:r>
      <w:r w:rsidRPr="001B3ED4">
        <w:rPr>
          <w:rFonts w:ascii="Arial" w:hAnsi="Arial" w:cs="Arial"/>
        </w:rPr>
        <w:t>explain why individuals may or may not choose to participate in preventive interventions</w:t>
      </w:r>
      <w:r w:rsidR="006A370E" w:rsidRPr="001B3ED4">
        <w:rPr>
          <w:rFonts w:ascii="Arial" w:hAnsi="Arial" w:cs="Arial"/>
        </w:rPr>
        <w:t xml:space="preserve"> (Zein et al, 2017)</w:t>
      </w:r>
      <w:r w:rsidRPr="001B3ED4">
        <w:rPr>
          <w:rFonts w:ascii="Arial" w:hAnsi="Arial" w:cs="Arial"/>
        </w:rPr>
        <w:t>. In the context of tuberculosis, those who consider themselves highly susceptible to infection, especially in densely populated and high-risk districts of Delhi, are more likely to perceive vaccination as necessary. Recognition of the severity of TB, including its chronic nature and potential complications, further reinforces motivation to seek vaccination</w:t>
      </w:r>
      <w:r w:rsidR="00C43955" w:rsidRPr="001B3ED4">
        <w:rPr>
          <w:rFonts w:ascii="Arial" w:hAnsi="Arial" w:cs="Arial"/>
        </w:rPr>
        <w:t xml:space="preserve"> (</w:t>
      </w:r>
      <w:proofErr w:type="spellStart"/>
      <w:r w:rsidR="00C43955" w:rsidRPr="001B3ED4">
        <w:rPr>
          <w:rFonts w:ascii="Arial" w:hAnsi="Arial" w:cs="Arial"/>
        </w:rPr>
        <w:t>Ngandjon</w:t>
      </w:r>
      <w:proofErr w:type="spellEnd"/>
      <w:r w:rsidR="00C43955" w:rsidRPr="001B3ED4">
        <w:rPr>
          <w:rFonts w:ascii="Arial" w:hAnsi="Arial" w:cs="Arial"/>
        </w:rPr>
        <w:t xml:space="preserve"> et al, 2020)</w:t>
      </w:r>
      <w:r w:rsidRPr="001B3ED4">
        <w:rPr>
          <w:rFonts w:ascii="Arial" w:hAnsi="Arial" w:cs="Arial"/>
        </w:rPr>
        <w:t xml:space="preserve">. Perceived benefits, such as protection against severe forms of TB in adulthood, contribute to positive health </w:t>
      </w:r>
      <w:r w:rsidRPr="001B3ED4">
        <w:rPr>
          <w:rFonts w:ascii="Arial" w:hAnsi="Arial" w:cs="Arial"/>
        </w:rPr>
        <w:lastRenderedPageBreak/>
        <w:t>decision-making. Conversely, perceived barriers</w:t>
      </w:r>
      <w:r w:rsidR="00EF60E3" w:rsidRPr="001B3ED4">
        <w:rPr>
          <w:rFonts w:ascii="Arial" w:hAnsi="Arial" w:cs="Arial"/>
        </w:rPr>
        <w:t xml:space="preserve">, </w:t>
      </w:r>
      <w:r w:rsidRPr="001B3ED4">
        <w:rPr>
          <w:rFonts w:ascii="Arial" w:hAnsi="Arial" w:cs="Arial"/>
        </w:rPr>
        <w:t>ranging from concerns about side effects and distrust of public health initiatives to logistical constraints such as long waiting times or lack of documentation</w:t>
      </w:r>
      <w:r w:rsidR="00EF60E3" w:rsidRPr="001B3ED4">
        <w:rPr>
          <w:rFonts w:ascii="Arial" w:hAnsi="Arial" w:cs="Arial"/>
        </w:rPr>
        <w:t xml:space="preserve">, </w:t>
      </w:r>
      <w:r w:rsidRPr="001B3ED4">
        <w:rPr>
          <w:rFonts w:ascii="Arial" w:hAnsi="Arial" w:cs="Arial"/>
        </w:rPr>
        <w:t>can significantly impede vaccine uptake</w:t>
      </w:r>
      <w:r w:rsidR="00EF60E3" w:rsidRPr="001B3ED4">
        <w:rPr>
          <w:rFonts w:ascii="Arial" w:hAnsi="Arial" w:cs="Arial"/>
        </w:rPr>
        <w:t xml:space="preserve"> (Zein et al, 2017)</w:t>
      </w:r>
      <w:r w:rsidRPr="001B3ED4">
        <w:rPr>
          <w:rFonts w:ascii="Arial" w:hAnsi="Arial" w:cs="Arial"/>
        </w:rPr>
        <w:t>. These barriers are particularly salient in urban poor and migratory communities, where misinformation and competing daily priorities often influence health behaviour</w:t>
      </w:r>
      <w:r w:rsidR="00EF60E3" w:rsidRPr="001B3ED4">
        <w:rPr>
          <w:rFonts w:ascii="Arial" w:hAnsi="Arial" w:cs="Arial"/>
        </w:rPr>
        <w:t xml:space="preserve"> (</w:t>
      </w:r>
      <w:proofErr w:type="spellStart"/>
      <w:r w:rsidR="00EF60E3" w:rsidRPr="001B3ED4">
        <w:rPr>
          <w:rFonts w:ascii="Arial" w:hAnsi="Arial" w:cs="Arial"/>
        </w:rPr>
        <w:t>Sazali</w:t>
      </w:r>
      <w:proofErr w:type="spellEnd"/>
      <w:r w:rsidR="00EF60E3" w:rsidRPr="001B3ED4">
        <w:rPr>
          <w:rFonts w:ascii="Arial" w:hAnsi="Arial" w:cs="Arial"/>
        </w:rPr>
        <w:t xml:space="preserve"> et al, 2022)</w:t>
      </w:r>
      <w:r w:rsidRPr="001B3ED4">
        <w:rPr>
          <w:rFonts w:ascii="Arial" w:hAnsi="Arial" w:cs="Arial"/>
        </w:rPr>
        <w:t>.</w:t>
      </w:r>
    </w:p>
    <w:p w14:paraId="1824968C" w14:textId="2135B751" w:rsidR="00490080" w:rsidRPr="001B3ED4" w:rsidRDefault="00490080" w:rsidP="0046084C">
      <w:pPr>
        <w:spacing w:before="240" w:line="360" w:lineRule="auto"/>
        <w:jc w:val="both"/>
        <w:rPr>
          <w:rFonts w:ascii="Arial" w:hAnsi="Arial" w:cs="Arial"/>
        </w:rPr>
      </w:pPr>
      <w:r w:rsidRPr="001B3ED4">
        <w:rPr>
          <w:noProof/>
        </w:rPr>
        <w:drawing>
          <wp:inline distT="0" distB="0" distL="0" distR="0" wp14:anchorId="3D136AB8" wp14:editId="219169FE">
            <wp:extent cx="5731510" cy="3206115"/>
            <wp:effectExtent l="0" t="0" r="2540" b="0"/>
            <wp:docPr id="841098320" name="Picture 18"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p>
    <w:p w14:paraId="11E9832D" w14:textId="4A9091F6" w:rsidR="00490080" w:rsidRPr="001B3ED4" w:rsidRDefault="00490080" w:rsidP="00A20467">
      <w:pPr>
        <w:spacing w:before="240" w:line="360" w:lineRule="auto"/>
        <w:jc w:val="center"/>
        <w:rPr>
          <w:rFonts w:ascii="Arial" w:hAnsi="Arial" w:cs="Arial"/>
        </w:rPr>
      </w:pPr>
      <w:r w:rsidRPr="001B3ED4">
        <w:rPr>
          <w:rFonts w:ascii="Arial" w:hAnsi="Arial" w:cs="Arial"/>
        </w:rPr>
        <w:t>(Nelson et al, 2021)</w:t>
      </w:r>
    </w:p>
    <w:p w14:paraId="7B746A38" w14:textId="1AD41CD5" w:rsidR="00403C9B" w:rsidRPr="001B3ED4" w:rsidRDefault="00403C9B" w:rsidP="0046084C">
      <w:pPr>
        <w:spacing w:before="240" w:line="360" w:lineRule="auto"/>
        <w:jc w:val="both"/>
        <w:rPr>
          <w:rFonts w:ascii="Arial" w:hAnsi="Arial" w:cs="Arial"/>
        </w:rPr>
      </w:pPr>
      <w:r w:rsidRPr="001B3ED4">
        <w:rPr>
          <w:rFonts w:ascii="Arial" w:hAnsi="Arial" w:cs="Arial"/>
        </w:rPr>
        <w:t>Additional constructs of the HBM, including cues to action and self-efficacy, further shape vaccination decisions. Cues to action may include health promotion campaigns, community-based awareness drives, reminders from healthcare workers, or witnessing TB cases within one’s social network</w:t>
      </w:r>
      <w:r w:rsidR="00EF60E3" w:rsidRPr="001B3ED4">
        <w:rPr>
          <w:rFonts w:ascii="Arial" w:hAnsi="Arial" w:cs="Arial"/>
        </w:rPr>
        <w:t xml:space="preserve"> (</w:t>
      </w:r>
      <w:proofErr w:type="spellStart"/>
      <w:r w:rsidR="00EF60E3" w:rsidRPr="001B3ED4">
        <w:rPr>
          <w:rFonts w:ascii="Arial" w:hAnsi="Arial" w:cs="Arial"/>
        </w:rPr>
        <w:t>Sazali</w:t>
      </w:r>
      <w:proofErr w:type="spellEnd"/>
      <w:r w:rsidR="00EF60E3" w:rsidRPr="001B3ED4">
        <w:rPr>
          <w:rFonts w:ascii="Arial" w:hAnsi="Arial" w:cs="Arial"/>
        </w:rPr>
        <w:t xml:space="preserve"> et al, 2022)</w:t>
      </w:r>
      <w:r w:rsidRPr="001B3ED4">
        <w:rPr>
          <w:rFonts w:ascii="Arial" w:hAnsi="Arial" w:cs="Arial"/>
        </w:rPr>
        <w:t>. Such triggers are crucial for motivating individuals who may otherwise remain passive or unaware of vaccination opportunities</w:t>
      </w:r>
      <w:r w:rsidR="00EF60E3" w:rsidRPr="001B3ED4">
        <w:rPr>
          <w:rFonts w:ascii="Arial" w:hAnsi="Arial" w:cs="Arial"/>
        </w:rPr>
        <w:t xml:space="preserve"> (Zein et al, 2017)</w:t>
      </w:r>
      <w:r w:rsidRPr="001B3ED4">
        <w:rPr>
          <w:rFonts w:ascii="Arial" w:hAnsi="Arial" w:cs="Arial"/>
        </w:rPr>
        <w:t>. Self-efficacy, which reflects an individual’s confidence in their ability to access vaccination services, also plays a key role, especially in contexts where navigating the health system may be challenging. Applying the HBM to BCG vaccination in Delhi’s high-risk districts allows this review to interpret how psychological, socio-cultural, and contextual factors interact to influence behavioural outcomes</w:t>
      </w:r>
      <w:r w:rsidR="00EF60E3" w:rsidRPr="001B3ED4">
        <w:rPr>
          <w:rFonts w:ascii="Arial" w:hAnsi="Arial" w:cs="Arial"/>
        </w:rPr>
        <w:t xml:space="preserve"> (</w:t>
      </w:r>
      <w:proofErr w:type="spellStart"/>
      <w:r w:rsidR="00EF60E3" w:rsidRPr="001B3ED4">
        <w:rPr>
          <w:rFonts w:ascii="Arial" w:hAnsi="Arial" w:cs="Arial"/>
        </w:rPr>
        <w:t>Ngandjon</w:t>
      </w:r>
      <w:proofErr w:type="spellEnd"/>
      <w:r w:rsidR="00EF60E3" w:rsidRPr="001B3ED4">
        <w:rPr>
          <w:rFonts w:ascii="Arial" w:hAnsi="Arial" w:cs="Arial"/>
        </w:rPr>
        <w:t xml:space="preserve"> et al, 2020)</w:t>
      </w:r>
      <w:r w:rsidRPr="001B3ED4">
        <w:rPr>
          <w:rFonts w:ascii="Arial" w:hAnsi="Arial" w:cs="Arial"/>
        </w:rPr>
        <w:t xml:space="preserve">. This perspective supports the </w:t>
      </w:r>
      <w:r w:rsidRPr="001B3ED4">
        <w:rPr>
          <w:rFonts w:ascii="Arial" w:hAnsi="Arial" w:cs="Arial"/>
        </w:rPr>
        <w:lastRenderedPageBreak/>
        <w:t>development of targeted strategies that address not only structural constraints but also the underlying beliefs that shape health-seeking behaviour</w:t>
      </w:r>
      <w:r w:rsidR="00EF60E3" w:rsidRPr="001B3ED4">
        <w:rPr>
          <w:rFonts w:ascii="Arial" w:hAnsi="Arial" w:cs="Arial"/>
        </w:rPr>
        <w:t xml:space="preserve"> (</w:t>
      </w:r>
      <w:proofErr w:type="spellStart"/>
      <w:r w:rsidR="00EF60E3" w:rsidRPr="001B3ED4">
        <w:rPr>
          <w:rFonts w:ascii="Arial" w:hAnsi="Arial" w:cs="Arial"/>
        </w:rPr>
        <w:t>Sazali</w:t>
      </w:r>
      <w:proofErr w:type="spellEnd"/>
      <w:r w:rsidR="00EF60E3" w:rsidRPr="001B3ED4">
        <w:rPr>
          <w:rFonts w:ascii="Arial" w:hAnsi="Arial" w:cs="Arial"/>
        </w:rPr>
        <w:t xml:space="preserve"> et al, 2022)</w:t>
      </w:r>
      <w:r w:rsidRPr="001B3ED4">
        <w:rPr>
          <w:rFonts w:ascii="Arial" w:hAnsi="Arial" w:cs="Arial"/>
        </w:rPr>
        <w:t>.</w:t>
      </w:r>
    </w:p>
    <w:p w14:paraId="444B6BB1" w14:textId="66F636EC" w:rsidR="00403C9B" w:rsidRPr="001B3ED4" w:rsidRDefault="00403C9B" w:rsidP="004F2450">
      <w:pPr>
        <w:pStyle w:val="Heading1"/>
      </w:pPr>
      <w:bookmarkStart w:id="21" w:name="_Toc218418675"/>
      <w:r w:rsidRPr="001B3ED4">
        <w:t>2.1</w:t>
      </w:r>
      <w:r w:rsidR="009C590D" w:rsidRPr="001B3ED4">
        <w:t xml:space="preserve">3 </w:t>
      </w:r>
      <w:r w:rsidR="00BA558D" w:rsidRPr="001B3ED4">
        <w:t>Gaps, Strengths and Weaknesses in Existing Literature</w:t>
      </w:r>
      <w:bookmarkEnd w:id="21"/>
      <w:r w:rsidR="00BA558D" w:rsidRPr="001B3ED4">
        <w:t xml:space="preserve"> </w:t>
      </w:r>
    </w:p>
    <w:p w14:paraId="69F58E5E" w14:textId="77777777" w:rsidR="00BA558D" w:rsidRPr="001B3ED4" w:rsidRDefault="00BA558D" w:rsidP="00BA558D">
      <w:pPr>
        <w:spacing w:before="240" w:line="360" w:lineRule="auto"/>
        <w:jc w:val="both"/>
        <w:rPr>
          <w:rFonts w:ascii="Arial" w:hAnsi="Arial" w:cs="Arial"/>
        </w:rPr>
      </w:pPr>
      <w:r w:rsidRPr="001B3ED4">
        <w:rPr>
          <w:rFonts w:ascii="Arial" w:hAnsi="Arial" w:cs="Arial"/>
        </w:rPr>
        <w:t>Although extensive research exists on tuberculosis (TB) in India, notable gaps remain in understanding TB control efforts within high-risk urban contexts. Much of the current literature focuses on national or rural settings, providing limited insights into densely populated districts such as those in Delhi where environmental and socio-economic vulnerabilities are more pronounced (</w:t>
      </w:r>
      <w:proofErr w:type="spellStart"/>
      <w:r w:rsidRPr="001B3ED4">
        <w:rPr>
          <w:rFonts w:ascii="Arial" w:hAnsi="Arial" w:cs="Arial"/>
        </w:rPr>
        <w:t>Weerasuriya</w:t>
      </w:r>
      <w:proofErr w:type="spellEnd"/>
      <w:r w:rsidRPr="001B3ED4">
        <w:rPr>
          <w:rFonts w:ascii="Arial" w:hAnsi="Arial" w:cs="Arial"/>
        </w:rPr>
        <w:t xml:space="preserve"> et al., 2021; </w:t>
      </w:r>
      <w:proofErr w:type="spellStart"/>
      <w:r w:rsidRPr="001B3ED4">
        <w:rPr>
          <w:rFonts w:ascii="Arial" w:hAnsi="Arial" w:cs="Arial"/>
        </w:rPr>
        <w:t>Arinaminpathy</w:t>
      </w:r>
      <w:proofErr w:type="spellEnd"/>
      <w:r w:rsidRPr="001B3ED4">
        <w:rPr>
          <w:rFonts w:ascii="Arial" w:hAnsi="Arial" w:cs="Arial"/>
        </w:rPr>
        <w:t xml:space="preserve"> et al., 2023). The scarcity of district-level surveillance and vaccination data makes it difficult to assess how contextual factors such as population mobility, overcrowding, and urban poverty influence TB outcomes and Bacillus Calmette–Guérin (BCG) vaccination performance (</w:t>
      </w:r>
      <w:proofErr w:type="spellStart"/>
      <w:r w:rsidRPr="001B3ED4">
        <w:rPr>
          <w:rFonts w:ascii="Arial" w:hAnsi="Arial" w:cs="Arial"/>
        </w:rPr>
        <w:t>Weerasuriya</w:t>
      </w:r>
      <w:proofErr w:type="spellEnd"/>
      <w:r w:rsidRPr="001B3ED4">
        <w:rPr>
          <w:rFonts w:ascii="Arial" w:hAnsi="Arial" w:cs="Arial"/>
        </w:rPr>
        <w:t xml:space="preserve"> et al., 2021). This limits the ability to design interventions tailored to urban micro-epidemics.</w:t>
      </w:r>
    </w:p>
    <w:p w14:paraId="0C63AB9B" w14:textId="77777777" w:rsidR="00BA558D" w:rsidRPr="001B3ED4" w:rsidRDefault="00BA558D" w:rsidP="00BA558D">
      <w:pPr>
        <w:spacing w:before="240" w:line="360" w:lineRule="auto"/>
        <w:jc w:val="both"/>
        <w:rPr>
          <w:rFonts w:ascii="Arial" w:hAnsi="Arial" w:cs="Arial"/>
        </w:rPr>
      </w:pPr>
      <w:r w:rsidRPr="001B3ED4">
        <w:rPr>
          <w:rFonts w:ascii="Arial" w:hAnsi="Arial" w:cs="Arial"/>
        </w:rPr>
        <w:t>A further gap relates to population focus. While the literature provides strong evidence on the protective benefits of BCG in reducing severe childhood TB, adults aged 15–60 years—who represent the largest share of disease burden—are often underrepresented in vaccination studies (Harris et al., 2020; Shirvani et al., 2016). The mobility, occupational exposure, and uneven vaccination history of this group raise questions about long-term immunity, booster requirements, and adult responsiveness to public health interventions (Hatherill and Cobelens, 2022). Additionally, few studies integrate behavioural, cultural, or psychological determinants affecting vaccination acceptance, particularly in transient or marginalised urban communities where health-seeking behaviour is shaped by stigma, mistrust, and limited awareness (</w:t>
      </w:r>
      <w:proofErr w:type="spellStart"/>
      <w:r w:rsidRPr="001B3ED4">
        <w:rPr>
          <w:rFonts w:ascii="Arial" w:hAnsi="Arial" w:cs="Arial"/>
        </w:rPr>
        <w:t>Arinaminpathy</w:t>
      </w:r>
      <w:proofErr w:type="spellEnd"/>
      <w:r w:rsidRPr="001B3ED4">
        <w:rPr>
          <w:rFonts w:ascii="Arial" w:hAnsi="Arial" w:cs="Arial"/>
        </w:rPr>
        <w:t xml:space="preserve"> et al., 2023).</w:t>
      </w:r>
    </w:p>
    <w:p w14:paraId="61CF0EE0" w14:textId="127083A5" w:rsidR="00403C9B" w:rsidRPr="001B3ED4" w:rsidRDefault="00BA558D" w:rsidP="0046084C">
      <w:pPr>
        <w:spacing w:before="240" w:line="360" w:lineRule="auto"/>
        <w:jc w:val="both"/>
        <w:rPr>
          <w:rFonts w:ascii="Arial" w:hAnsi="Arial" w:cs="Arial"/>
        </w:rPr>
      </w:pPr>
      <w:r w:rsidRPr="001B3ED4">
        <w:rPr>
          <w:rFonts w:ascii="Arial" w:hAnsi="Arial" w:cs="Arial"/>
        </w:rPr>
        <w:t xml:space="preserve">Despite these limitations, the existing body of evidence remains valuable. Systematic reviews and epidemiological analyses reinforce the importance of combining vaccination with screening and treatment strategies to reduce transmission in high-burden areas (Higgins et al., 2016). However, inconsistencies in study design, varying estimates of adult vaccine efficacy, and limited inclusion of social determinants reduce comparability and hinder policy application (Zimmermann et al., 2018). Collectively, these weaknesses highlight the need for context-specific and interdisciplinary </w:t>
      </w:r>
      <w:r w:rsidRPr="001B3ED4">
        <w:rPr>
          <w:rFonts w:ascii="Arial" w:hAnsi="Arial" w:cs="Arial"/>
        </w:rPr>
        <w:lastRenderedPageBreak/>
        <w:t xml:space="preserve">research to better understand TB transmission dynamics and optimise BCG vaccination strategies in rapidly urbanising settings like Delhi (Hatherill and Cobelens, 2022; </w:t>
      </w:r>
      <w:proofErr w:type="spellStart"/>
      <w:r w:rsidRPr="001B3ED4">
        <w:rPr>
          <w:rFonts w:ascii="Arial" w:hAnsi="Arial" w:cs="Arial"/>
        </w:rPr>
        <w:t>Arinaminpathy</w:t>
      </w:r>
      <w:proofErr w:type="spellEnd"/>
      <w:r w:rsidRPr="001B3ED4">
        <w:rPr>
          <w:rFonts w:ascii="Arial" w:hAnsi="Arial" w:cs="Arial"/>
        </w:rPr>
        <w:t xml:space="preserve"> et al., 2023).</w:t>
      </w:r>
    </w:p>
    <w:p w14:paraId="5F7A81BD" w14:textId="509A8FE4" w:rsidR="00403C9B" w:rsidRPr="001B3ED4" w:rsidRDefault="00403C9B" w:rsidP="004F2450">
      <w:pPr>
        <w:pStyle w:val="Heading1"/>
      </w:pPr>
      <w:bookmarkStart w:id="22" w:name="_Toc218418676"/>
      <w:r w:rsidRPr="001B3ED4">
        <w:t>2.1</w:t>
      </w:r>
      <w:r w:rsidR="00BA558D" w:rsidRPr="001B3ED4">
        <w:t>4</w:t>
      </w:r>
      <w:r w:rsidRPr="001B3ED4">
        <w:t xml:space="preserve"> </w:t>
      </w:r>
      <w:r w:rsidR="00A71981" w:rsidRPr="001B3ED4">
        <w:t xml:space="preserve">Chapter </w:t>
      </w:r>
      <w:r w:rsidRPr="001B3ED4">
        <w:t>Summary</w:t>
      </w:r>
      <w:bookmarkEnd w:id="22"/>
      <w:r w:rsidRPr="001B3ED4">
        <w:t xml:space="preserve"> </w:t>
      </w:r>
    </w:p>
    <w:p w14:paraId="79D00BBE" w14:textId="77777777" w:rsidR="00403C9B" w:rsidRPr="001B3ED4" w:rsidRDefault="00403C9B" w:rsidP="0046084C">
      <w:pPr>
        <w:spacing w:before="240" w:line="360" w:lineRule="auto"/>
        <w:jc w:val="both"/>
        <w:rPr>
          <w:rFonts w:ascii="Arial" w:hAnsi="Arial" w:cs="Arial"/>
        </w:rPr>
      </w:pPr>
      <w:r w:rsidRPr="001B3ED4">
        <w:rPr>
          <w:rFonts w:ascii="Arial" w:hAnsi="Arial" w:cs="Arial"/>
        </w:rPr>
        <w:t>This chapter reviewed key literature related to tuberculosis epidemiology, BCG vaccination, and the socio-economic factors shaping disease patterns in Delhi’s high-risk districts. It highlighted the persistent TB burden globally and nationally, emphasising the unique challenges faced in densely populated urban areas. The review examined the protective role of BCG, its limitations, and variations in campaign coverage across vulnerable populations. Behavioural and policy-related factors were explored through theoretical models that help explain vaccination uptake. Gaps in existing research were identified, particularly concerning adult populations, district-level evidence, and barriers affecting urban migrant communities. Overall, the literature underscores the importance of targeted, equitable vaccination strategies and integrated public health interventions to strengthen TB control in high-risk settings.</w:t>
      </w:r>
    </w:p>
    <w:p w14:paraId="71890F7E" w14:textId="77777777" w:rsidR="00963E45" w:rsidRPr="001B3ED4" w:rsidRDefault="00963E45" w:rsidP="0046084C">
      <w:pPr>
        <w:spacing w:before="240" w:line="360" w:lineRule="auto"/>
        <w:jc w:val="both"/>
        <w:rPr>
          <w:rFonts w:ascii="Arial" w:hAnsi="Arial" w:cs="Arial"/>
        </w:rPr>
      </w:pPr>
    </w:p>
    <w:p w14:paraId="66B4AB71" w14:textId="77777777" w:rsidR="003F75FD" w:rsidRPr="001B3ED4" w:rsidRDefault="003F75FD" w:rsidP="0046084C">
      <w:pPr>
        <w:spacing w:before="240" w:line="360" w:lineRule="auto"/>
        <w:jc w:val="both"/>
        <w:rPr>
          <w:rFonts w:ascii="Arial" w:hAnsi="Arial" w:cs="Arial"/>
        </w:rPr>
      </w:pPr>
    </w:p>
    <w:p w14:paraId="31CBD830" w14:textId="77777777" w:rsidR="003F75FD" w:rsidRPr="001B3ED4" w:rsidRDefault="003F75FD" w:rsidP="0046084C">
      <w:pPr>
        <w:spacing w:before="240" w:line="360" w:lineRule="auto"/>
        <w:jc w:val="both"/>
        <w:rPr>
          <w:rFonts w:ascii="Arial" w:hAnsi="Arial" w:cs="Arial"/>
        </w:rPr>
      </w:pPr>
    </w:p>
    <w:p w14:paraId="766ECECA" w14:textId="77777777" w:rsidR="004F2450" w:rsidRPr="001B3ED4" w:rsidRDefault="004F2450" w:rsidP="0046084C">
      <w:pPr>
        <w:spacing w:before="240" w:line="360" w:lineRule="auto"/>
        <w:jc w:val="both"/>
        <w:rPr>
          <w:rFonts w:ascii="Arial" w:hAnsi="Arial" w:cs="Arial"/>
        </w:rPr>
      </w:pPr>
    </w:p>
    <w:p w14:paraId="6196ED9A" w14:textId="77777777" w:rsidR="004F2450" w:rsidRPr="001B3ED4" w:rsidRDefault="004F2450" w:rsidP="0046084C">
      <w:pPr>
        <w:spacing w:before="240" w:line="360" w:lineRule="auto"/>
        <w:jc w:val="both"/>
        <w:rPr>
          <w:rFonts w:ascii="Arial" w:hAnsi="Arial" w:cs="Arial"/>
        </w:rPr>
      </w:pPr>
    </w:p>
    <w:p w14:paraId="45569A1D" w14:textId="77777777" w:rsidR="004F2450" w:rsidRPr="001B3ED4" w:rsidRDefault="004F2450" w:rsidP="0046084C">
      <w:pPr>
        <w:spacing w:before="240" w:line="360" w:lineRule="auto"/>
        <w:jc w:val="both"/>
        <w:rPr>
          <w:rFonts w:ascii="Arial" w:hAnsi="Arial" w:cs="Arial"/>
        </w:rPr>
      </w:pPr>
    </w:p>
    <w:p w14:paraId="126CF483" w14:textId="77777777" w:rsidR="004F2450" w:rsidRPr="001B3ED4" w:rsidRDefault="004F2450" w:rsidP="0046084C">
      <w:pPr>
        <w:spacing w:before="240" w:line="360" w:lineRule="auto"/>
        <w:jc w:val="both"/>
        <w:rPr>
          <w:rFonts w:ascii="Arial" w:hAnsi="Arial" w:cs="Arial"/>
        </w:rPr>
      </w:pPr>
    </w:p>
    <w:p w14:paraId="486F3DDD" w14:textId="77777777" w:rsidR="004F2450" w:rsidRPr="001B3ED4" w:rsidRDefault="004F2450" w:rsidP="0046084C">
      <w:pPr>
        <w:spacing w:before="240" w:line="360" w:lineRule="auto"/>
        <w:jc w:val="both"/>
        <w:rPr>
          <w:rFonts w:ascii="Arial" w:hAnsi="Arial" w:cs="Arial"/>
        </w:rPr>
      </w:pPr>
    </w:p>
    <w:p w14:paraId="69B93F0D" w14:textId="77777777" w:rsidR="003F75FD" w:rsidRPr="001B3ED4" w:rsidRDefault="003F75FD" w:rsidP="004F2450">
      <w:pPr>
        <w:pStyle w:val="Heading1"/>
      </w:pPr>
      <w:bookmarkStart w:id="23" w:name="_Toc218418677"/>
      <w:r w:rsidRPr="001B3ED4">
        <w:lastRenderedPageBreak/>
        <w:t>Chapter 3: Methodology</w:t>
      </w:r>
      <w:bookmarkEnd w:id="23"/>
    </w:p>
    <w:p w14:paraId="02B4D6E7" w14:textId="77777777" w:rsidR="003F75FD" w:rsidRPr="001B3ED4" w:rsidRDefault="003F75FD" w:rsidP="004F2450">
      <w:pPr>
        <w:pStyle w:val="Heading1"/>
      </w:pPr>
      <w:bookmarkStart w:id="24" w:name="_Toc218418678"/>
      <w:r w:rsidRPr="001B3ED4">
        <w:t>3.1 Introduction</w:t>
      </w:r>
      <w:bookmarkEnd w:id="24"/>
    </w:p>
    <w:p w14:paraId="6EA51516" w14:textId="77777777" w:rsidR="003F75FD" w:rsidRPr="001B3ED4" w:rsidRDefault="003F75FD" w:rsidP="003F75FD">
      <w:pPr>
        <w:spacing w:before="240" w:line="360" w:lineRule="auto"/>
        <w:jc w:val="both"/>
        <w:rPr>
          <w:rFonts w:ascii="Arial" w:hAnsi="Arial" w:cs="Arial"/>
        </w:rPr>
      </w:pPr>
      <w:r w:rsidRPr="001B3ED4">
        <w:rPr>
          <w:rFonts w:ascii="Arial" w:hAnsi="Arial" w:cs="Arial"/>
        </w:rPr>
        <w:t>This chapter presents the methodology used to assess the impact of BCG vaccination campaigns on tuberculosis (TB) control among high-risk adults aged 15–60 in Delhi. It explains the research philosophy, approach, study design, and strategy underpinning the systematic review. The chapter further outlines the data collection procedures, PICOS framework, inclusion and exclusion criteria, and quality assessment methods applied. Analytical techniques, including thematic and comparative synthesis, are described to demonstrate how findings were interpreted. The application of PRISMA enhances transparency, structure, and replicability, ensuring the review process remains rigorous, systematic, and aligned with recognised academic standards.</w:t>
      </w:r>
    </w:p>
    <w:p w14:paraId="4E26DD89" w14:textId="77777777" w:rsidR="003F75FD" w:rsidRPr="001B3ED4" w:rsidRDefault="003F75FD" w:rsidP="004F2450">
      <w:pPr>
        <w:pStyle w:val="Heading1"/>
      </w:pPr>
      <w:bookmarkStart w:id="25" w:name="_Toc218418679"/>
      <w:r w:rsidRPr="001B3ED4">
        <w:t>3.2 Research Philosophy</w:t>
      </w:r>
      <w:bookmarkEnd w:id="25"/>
    </w:p>
    <w:p w14:paraId="440DBAF1"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Interpretivism underpins this study as it recognises that health behaviours, vaccination uptake, and disease outcomes are influenced by social context, community perceptions, and lived experience rather than purely measurable biomedical indicators (Zahle, 2021). In the context of TB prevention, interpretivism allows the research to explore how population behaviour, stigma, cultural beliefs, and access to vaccination influence BCG uptake in high-risk districts. This is particularly important in public health research where outcomes depend not only on epidemiological evidence but also on complex social and environmental determinants. The philosophy is therefore aligned with the need to understand programme realities beyond statistical findings and recognise human behaviour as a key determinant in vaccination success (Ikram and </w:t>
      </w:r>
      <w:proofErr w:type="spellStart"/>
      <w:r w:rsidRPr="001B3ED4">
        <w:rPr>
          <w:rFonts w:ascii="Arial" w:hAnsi="Arial" w:cs="Arial"/>
        </w:rPr>
        <w:t>Kenayathulla</w:t>
      </w:r>
      <w:proofErr w:type="spellEnd"/>
      <w:r w:rsidRPr="001B3ED4">
        <w:rPr>
          <w:rFonts w:ascii="Arial" w:hAnsi="Arial" w:cs="Arial"/>
        </w:rPr>
        <w:t>, 2022).</w:t>
      </w:r>
    </w:p>
    <w:p w14:paraId="5DC99826"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The interpretivist stance also supports analysis of qualitative findings relating to implementation challenges, vaccination barriers, and health inequalities, aligning with the mixed-evidence synthesis used in the review (Zahle, 2021). It enables interpretation of emerging themes that may not fit existing theoretical frameworks but are relevant to the lived realities of urban, mobile, or marginalised populations (Ikram and </w:t>
      </w:r>
      <w:proofErr w:type="spellStart"/>
      <w:r w:rsidRPr="001B3ED4">
        <w:rPr>
          <w:rFonts w:ascii="Arial" w:hAnsi="Arial" w:cs="Arial"/>
        </w:rPr>
        <w:t>Kenayathulla</w:t>
      </w:r>
      <w:proofErr w:type="spellEnd"/>
      <w:r w:rsidRPr="001B3ED4">
        <w:rPr>
          <w:rFonts w:ascii="Arial" w:hAnsi="Arial" w:cs="Arial"/>
        </w:rPr>
        <w:t xml:space="preserve">, 2022). This philosophical direction strengthens the relevance of the </w:t>
      </w:r>
      <w:r w:rsidRPr="001B3ED4">
        <w:rPr>
          <w:rFonts w:ascii="Arial" w:hAnsi="Arial" w:cs="Arial"/>
        </w:rPr>
        <w:lastRenderedPageBreak/>
        <w:t xml:space="preserve">review to policy and practice by grounding evidence interpretation within real-world contexts rather than universal generalisations (Ikram and </w:t>
      </w:r>
      <w:proofErr w:type="spellStart"/>
      <w:r w:rsidRPr="001B3ED4">
        <w:rPr>
          <w:rFonts w:ascii="Arial" w:hAnsi="Arial" w:cs="Arial"/>
        </w:rPr>
        <w:t>Kenayathulla</w:t>
      </w:r>
      <w:proofErr w:type="spellEnd"/>
      <w:r w:rsidRPr="001B3ED4">
        <w:rPr>
          <w:rFonts w:ascii="Arial" w:hAnsi="Arial" w:cs="Arial"/>
        </w:rPr>
        <w:t>, 2022).</w:t>
      </w:r>
    </w:p>
    <w:p w14:paraId="19DED987" w14:textId="77777777" w:rsidR="003F75FD" w:rsidRPr="001B3ED4" w:rsidRDefault="003F75FD" w:rsidP="004F2450">
      <w:pPr>
        <w:pStyle w:val="Heading1"/>
      </w:pPr>
      <w:bookmarkStart w:id="26" w:name="_Toc218418680"/>
      <w:r w:rsidRPr="001B3ED4">
        <w:t>3.3 Research Approach</w:t>
      </w:r>
      <w:bookmarkEnd w:id="26"/>
    </w:p>
    <w:p w14:paraId="154BBCDA" w14:textId="77777777" w:rsidR="003F75FD" w:rsidRPr="001B3ED4" w:rsidRDefault="003F75FD" w:rsidP="003F75FD">
      <w:pPr>
        <w:spacing w:before="240" w:line="360" w:lineRule="auto"/>
        <w:jc w:val="both"/>
        <w:rPr>
          <w:rFonts w:ascii="Arial" w:hAnsi="Arial" w:cs="Arial"/>
        </w:rPr>
      </w:pPr>
      <w:r w:rsidRPr="001B3ED4">
        <w:rPr>
          <w:rFonts w:ascii="Arial" w:hAnsi="Arial" w:cs="Arial"/>
        </w:rPr>
        <w:t>An inductive approach was adopted as the review begins with an exploration of current on existing evidence on the protective role of BCG vaccination in TB control (Jones et al, 2024). Through this approach, outcomes such as incidence reduction, coverage improvements, and adherence trends can be critically explored with theoretical expectations. The approach incorporates inductive reasoning through the identification of emerging implementation-related themes, including cultural influence, motivational factors, health inequalities, and campaign acceptance issues (Niaz et al, 2023). This reasoning supports flexibility in data interpretation and reflects the complexity of vaccination programmes in heterogeneous urban populations (Jones et al, 2024).</w:t>
      </w:r>
    </w:p>
    <w:p w14:paraId="1598C280" w14:textId="77777777" w:rsidR="003F75FD" w:rsidRPr="001B3ED4" w:rsidRDefault="003F75FD" w:rsidP="004F2450">
      <w:pPr>
        <w:pStyle w:val="Heading1"/>
      </w:pPr>
      <w:bookmarkStart w:id="27" w:name="_Toc218418681"/>
      <w:r w:rsidRPr="001B3ED4">
        <w:t>3.4 Study Design</w:t>
      </w:r>
      <w:bookmarkEnd w:id="27"/>
    </w:p>
    <w:p w14:paraId="206A7108" w14:textId="77777777" w:rsidR="003F75FD" w:rsidRPr="001B3ED4" w:rsidRDefault="003F75FD" w:rsidP="003F75FD">
      <w:pPr>
        <w:spacing w:before="240" w:line="360" w:lineRule="auto"/>
        <w:jc w:val="both"/>
        <w:rPr>
          <w:rFonts w:ascii="Arial" w:hAnsi="Arial" w:cs="Arial"/>
        </w:rPr>
      </w:pPr>
      <w:r w:rsidRPr="001B3ED4">
        <w:rPr>
          <w:rFonts w:ascii="Arial" w:hAnsi="Arial" w:cs="Arial"/>
        </w:rPr>
        <w:t>A systematic review design was adopted to enable structured synthesis of available evidence regarding BCG vaccination campaigns and TB outcomes in high-risk districts of Delhi. A systematic review is underpinned by a secondary research design (Sarhan and Manu, 2021). This design ensures transparency, replicability, and minimisation of selection bias by using predefined criteria for searching, screening, evaluating, and synthesising evidence (</w:t>
      </w:r>
      <w:proofErr w:type="spellStart"/>
      <w:r w:rsidRPr="001B3ED4">
        <w:rPr>
          <w:rFonts w:ascii="Arial" w:hAnsi="Arial" w:cs="Arial"/>
        </w:rPr>
        <w:t>MacLure</w:t>
      </w:r>
      <w:proofErr w:type="spellEnd"/>
      <w:r w:rsidRPr="001B3ED4">
        <w:rPr>
          <w:rFonts w:ascii="Arial" w:hAnsi="Arial" w:cs="Arial"/>
        </w:rPr>
        <w:t xml:space="preserve"> et al., 2016). The review includes both peer-reviewed and grey literature to ensure representation of operational and government-level reporting, including data from India’s National TB Elimination Programme (NTEP) (2024). PRISMA guidelines were followed to standardise reporting and documentation throughout the review (Hutton et al., 2017). The approach allows integration of quantitative outcomes, such as incidence rates and coverage percentages, with qualitative findings relating to behavioural barriers, accessibility issues, and system-level challenges, providing a comprehensive interpretation of programme effectiveness (</w:t>
      </w:r>
      <w:proofErr w:type="spellStart"/>
      <w:r w:rsidRPr="001B3ED4">
        <w:rPr>
          <w:rFonts w:ascii="Arial" w:hAnsi="Arial" w:cs="Arial"/>
        </w:rPr>
        <w:t>MacLure</w:t>
      </w:r>
      <w:proofErr w:type="spellEnd"/>
      <w:r w:rsidRPr="001B3ED4">
        <w:rPr>
          <w:rFonts w:ascii="Arial" w:hAnsi="Arial" w:cs="Arial"/>
        </w:rPr>
        <w:t xml:space="preserve"> et al., 2016).</w:t>
      </w:r>
    </w:p>
    <w:p w14:paraId="2E7F1327" w14:textId="77777777" w:rsidR="003F75FD" w:rsidRPr="001B3ED4" w:rsidRDefault="003F75FD" w:rsidP="004F2450">
      <w:pPr>
        <w:pStyle w:val="Heading1"/>
      </w:pPr>
      <w:bookmarkStart w:id="28" w:name="_Toc218418682"/>
      <w:r w:rsidRPr="001B3ED4">
        <w:t>3.5 Database Search Procedure</w:t>
      </w:r>
      <w:bookmarkEnd w:id="28"/>
    </w:p>
    <w:p w14:paraId="5C0E9170"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A structured and systematic database search strategy was employed to ensure comprehensive identification of relevant literature. Searches were conducted across </w:t>
      </w:r>
      <w:r w:rsidRPr="001B3ED4">
        <w:rPr>
          <w:rFonts w:ascii="Arial" w:hAnsi="Arial" w:cs="Arial"/>
        </w:rPr>
        <w:lastRenderedPageBreak/>
        <w:t xml:space="preserve">PubMed, MEDLINE, Google Scholar and ScienceDirect to capture both peer-reviewed and policy-based evidence. Boolean operators and controlled vocabulary were applied to refine the accuracy and relevance of results, using combinations such as </w:t>
      </w:r>
      <w:r w:rsidRPr="001B3ED4">
        <w:rPr>
          <w:rFonts w:ascii="Arial" w:hAnsi="Arial" w:cs="Arial"/>
          <w:i/>
          <w:iCs/>
        </w:rPr>
        <w:t>“BCG vaccine” AND “Delhi”</w:t>
      </w:r>
      <w:r w:rsidRPr="001B3ED4">
        <w:rPr>
          <w:rFonts w:ascii="Arial" w:hAnsi="Arial" w:cs="Arial"/>
        </w:rPr>
        <w:t xml:space="preserve">, </w:t>
      </w:r>
      <w:r w:rsidRPr="001B3ED4">
        <w:rPr>
          <w:rFonts w:ascii="Arial" w:hAnsi="Arial" w:cs="Arial"/>
          <w:i/>
          <w:iCs/>
        </w:rPr>
        <w:t>“TB incidence” AND “urban India”</w:t>
      </w:r>
      <w:r w:rsidRPr="001B3ED4">
        <w:rPr>
          <w:rFonts w:ascii="Arial" w:hAnsi="Arial" w:cs="Arial"/>
        </w:rPr>
        <w:t xml:space="preserve">, and </w:t>
      </w:r>
      <w:r w:rsidRPr="001B3ED4">
        <w:rPr>
          <w:rFonts w:ascii="Arial" w:hAnsi="Arial" w:cs="Arial"/>
          <w:i/>
          <w:iCs/>
        </w:rPr>
        <w:t>“vaccination barriers” AND “migrant populations”</w:t>
      </w:r>
      <w:r w:rsidRPr="001B3ED4">
        <w:rPr>
          <w:rFonts w:ascii="Arial" w:hAnsi="Arial" w:cs="Arial"/>
        </w:rPr>
        <w:t>. Filters for publication year, geographical relevance, and study type were applied where available. All retrieved records were imported into a reference management system and screened for duplicates before evaluation. The screening process followed PRISMA guidelines, progressing through title and abstract screening before full-text review. Final selection was based on alignment with PICOS eligibility criteria, ensuring methodological consistency and relevance to the research scope.</w:t>
      </w:r>
    </w:p>
    <w:p w14:paraId="35EE6076" w14:textId="77777777" w:rsidR="003F75FD" w:rsidRPr="001B3ED4" w:rsidRDefault="003F75FD" w:rsidP="004F2450">
      <w:pPr>
        <w:pStyle w:val="Heading1"/>
      </w:pPr>
      <w:bookmarkStart w:id="29" w:name="_Toc218418683"/>
      <w:r w:rsidRPr="001B3ED4">
        <w:t>3.6 Method of Data Collection</w:t>
      </w:r>
      <w:bookmarkEnd w:id="29"/>
    </w:p>
    <w:p w14:paraId="14F7627D" w14:textId="77777777" w:rsidR="003F75FD" w:rsidRPr="001B3ED4" w:rsidRDefault="003F75FD" w:rsidP="003F75FD">
      <w:pPr>
        <w:spacing w:before="240" w:line="360" w:lineRule="auto"/>
        <w:jc w:val="both"/>
        <w:rPr>
          <w:rFonts w:ascii="Arial" w:hAnsi="Arial" w:cs="Arial"/>
        </w:rPr>
      </w:pPr>
      <w:r w:rsidRPr="001B3ED4">
        <w:rPr>
          <w:rFonts w:ascii="Arial" w:hAnsi="Arial" w:cs="Arial"/>
        </w:rPr>
        <w:t>Data were collected through structured searches across academic databases and government repositories. A literature matrix was used to record and manage the literature data. This was important because it enabled organised comparison of methodological approaches, findings, and evidence gaps across sources, ensuring analytical transparency and reducing duplication. The search strategy used predefined keywords, Boolean operators, and eligibility filters to ensure relevance to the research question. All identified literature underwent title, abstract, and full-text screening to assess relevance against PICOS inclusion criteria. Grey literature, including NTEP operational reports, was incorporated to strengthen contextual relevance. Collected data were recorded using a structured extraction template, ensuring consistency and comparability across studies.</w:t>
      </w:r>
    </w:p>
    <w:p w14:paraId="718A2428" w14:textId="77777777" w:rsidR="003F75FD" w:rsidRPr="001B3ED4" w:rsidRDefault="003F75FD" w:rsidP="004F2450">
      <w:pPr>
        <w:pStyle w:val="Heading1"/>
      </w:pPr>
      <w:bookmarkStart w:id="30" w:name="_Toc218418684"/>
      <w:r w:rsidRPr="001B3ED4">
        <w:t>3.7 PICOS Framework</w:t>
      </w:r>
      <w:bookmarkEnd w:id="30"/>
    </w:p>
    <w:p w14:paraId="5B9A0F10" w14:textId="77777777" w:rsidR="003F75FD" w:rsidRPr="001B3ED4" w:rsidRDefault="003F75FD" w:rsidP="003F75FD">
      <w:pPr>
        <w:spacing w:before="240" w:line="360" w:lineRule="auto"/>
        <w:jc w:val="both"/>
        <w:rPr>
          <w:rFonts w:ascii="Arial" w:hAnsi="Arial" w:cs="Arial"/>
          <w:lang w:eastAsia="en-GB"/>
        </w:rPr>
      </w:pPr>
      <w:r w:rsidRPr="001B3ED4">
        <w:rPr>
          <w:rFonts w:ascii="Arial" w:hAnsi="Arial" w:cs="Arial"/>
          <w:lang w:eastAsia="en-GB"/>
        </w:rPr>
        <w:t>The PICOS framework was used to provide a clear and systematic structure for defining the scope of the review and guiding the search process. It ensured that only studies relevant to the population, intervention, comparison, and outcomes of interest were included, improving the precision and consistency of study selection. This framework also helped maintain transparency and reproducibility in the screening and review process.</w:t>
      </w:r>
    </w:p>
    <w:p w14:paraId="4040AE75" w14:textId="77777777" w:rsidR="003F75FD" w:rsidRPr="001B3ED4" w:rsidRDefault="003F75FD" w:rsidP="003F75FD">
      <w:pPr>
        <w:spacing w:before="240"/>
        <w:rPr>
          <w:rFonts w:ascii="Arial" w:hAnsi="Arial" w:cs="Arial"/>
          <w:lang w:eastAsia="en-GB"/>
        </w:rPr>
      </w:pPr>
      <w:r w:rsidRPr="001B3ED4">
        <w:rPr>
          <w:rFonts w:ascii="Arial" w:hAnsi="Arial" w:cs="Arial"/>
          <w:lang w:eastAsia="en-GB"/>
        </w:rPr>
        <w:t>Table 3.1: PICOS Framework</w:t>
      </w:r>
    </w:p>
    <w:tbl>
      <w:tblPr>
        <w:tblStyle w:val="TableGrid"/>
        <w:tblW w:w="0" w:type="auto"/>
        <w:tblLook w:val="04A0" w:firstRow="1" w:lastRow="0" w:firstColumn="1" w:lastColumn="0" w:noHBand="0" w:noVBand="1"/>
      </w:tblPr>
      <w:tblGrid>
        <w:gridCol w:w="1656"/>
        <w:gridCol w:w="7280"/>
      </w:tblGrid>
      <w:tr w:rsidR="003F75FD" w:rsidRPr="001B3ED4" w14:paraId="7DF6A581" w14:textId="77777777" w:rsidTr="00EA543B">
        <w:tc>
          <w:tcPr>
            <w:tcW w:w="1656" w:type="dxa"/>
            <w:hideMark/>
          </w:tcPr>
          <w:p w14:paraId="0C718996" w14:textId="77777777" w:rsidR="003F75FD" w:rsidRPr="001B3ED4" w:rsidRDefault="003F75FD" w:rsidP="00EA543B">
            <w:pPr>
              <w:spacing w:before="240" w:after="160" w:line="360" w:lineRule="auto"/>
              <w:jc w:val="both"/>
              <w:rPr>
                <w:rFonts w:ascii="Arial" w:hAnsi="Arial" w:cs="Arial"/>
                <w:b/>
                <w:bCs/>
              </w:rPr>
            </w:pPr>
            <w:r w:rsidRPr="001B3ED4">
              <w:rPr>
                <w:rFonts w:ascii="Arial" w:hAnsi="Arial" w:cs="Arial"/>
                <w:b/>
                <w:bCs/>
              </w:rPr>
              <w:lastRenderedPageBreak/>
              <w:t>Criteria</w:t>
            </w:r>
          </w:p>
        </w:tc>
        <w:tc>
          <w:tcPr>
            <w:tcW w:w="7280" w:type="dxa"/>
            <w:hideMark/>
          </w:tcPr>
          <w:p w14:paraId="7AB7F31D" w14:textId="77777777" w:rsidR="003F75FD" w:rsidRPr="001B3ED4" w:rsidRDefault="003F75FD" w:rsidP="00EA543B">
            <w:pPr>
              <w:spacing w:before="240" w:after="160" w:line="360" w:lineRule="auto"/>
              <w:jc w:val="both"/>
              <w:rPr>
                <w:rFonts w:ascii="Arial" w:hAnsi="Arial" w:cs="Arial"/>
                <w:b/>
                <w:bCs/>
              </w:rPr>
            </w:pPr>
            <w:r w:rsidRPr="001B3ED4">
              <w:rPr>
                <w:rFonts w:ascii="Arial" w:hAnsi="Arial" w:cs="Arial"/>
                <w:b/>
                <w:bCs/>
              </w:rPr>
              <w:t>Application to Study</w:t>
            </w:r>
          </w:p>
        </w:tc>
      </w:tr>
      <w:tr w:rsidR="003F75FD" w:rsidRPr="001B3ED4" w14:paraId="7B8801D9" w14:textId="77777777" w:rsidTr="00EA543B">
        <w:tc>
          <w:tcPr>
            <w:tcW w:w="1656" w:type="dxa"/>
            <w:hideMark/>
          </w:tcPr>
          <w:p w14:paraId="7A383D5F"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b/>
                <w:bCs/>
              </w:rPr>
              <w:t>Population</w:t>
            </w:r>
          </w:p>
        </w:tc>
        <w:tc>
          <w:tcPr>
            <w:tcW w:w="7280" w:type="dxa"/>
            <w:hideMark/>
          </w:tcPr>
          <w:p w14:paraId="5A975AEC"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rPr>
              <w:t>Adults aged 15–60 years living in high-risk districts of Delhi (India)</w:t>
            </w:r>
          </w:p>
        </w:tc>
      </w:tr>
      <w:tr w:rsidR="003F75FD" w:rsidRPr="001B3ED4" w14:paraId="0313E4EA" w14:textId="77777777" w:rsidTr="00EA543B">
        <w:tc>
          <w:tcPr>
            <w:tcW w:w="1656" w:type="dxa"/>
            <w:hideMark/>
          </w:tcPr>
          <w:p w14:paraId="2BBBD42D"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b/>
                <w:bCs/>
              </w:rPr>
              <w:t>Intervention</w:t>
            </w:r>
          </w:p>
        </w:tc>
        <w:tc>
          <w:tcPr>
            <w:tcW w:w="7280" w:type="dxa"/>
            <w:hideMark/>
          </w:tcPr>
          <w:p w14:paraId="5FC77D04"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rPr>
              <w:t>BCG vaccination campaigns, including outreach and implementation strategies</w:t>
            </w:r>
          </w:p>
        </w:tc>
      </w:tr>
      <w:tr w:rsidR="003F75FD" w:rsidRPr="001B3ED4" w14:paraId="7AC43F62" w14:textId="77777777" w:rsidTr="00EA543B">
        <w:tc>
          <w:tcPr>
            <w:tcW w:w="1656" w:type="dxa"/>
            <w:hideMark/>
          </w:tcPr>
          <w:p w14:paraId="2D418C0C"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b/>
                <w:bCs/>
              </w:rPr>
              <w:t>Comparison</w:t>
            </w:r>
          </w:p>
        </w:tc>
        <w:tc>
          <w:tcPr>
            <w:tcW w:w="7280" w:type="dxa"/>
            <w:hideMark/>
          </w:tcPr>
          <w:p w14:paraId="46A67430"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rPr>
              <w:t>Pre-campaign TB incidence trends, non-vaccinated or partially vaccinated groups, and inter-district comparisons where available</w:t>
            </w:r>
          </w:p>
        </w:tc>
      </w:tr>
      <w:tr w:rsidR="003F75FD" w:rsidRPr="001B3ED4" w14:paraId="1190DB75" w14:textId="77777777" w:rsidTr="00EA543B">
        <w:tc>
          <w:tcPr>
            <w:tcW w:w="1656" w:type="dxa"/>
            <w:hideMark/>
          </w:tcPr>
          <w:p w14:paraId="55C08CA9"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b/>
                <w:bCs/>
              </w:rPr>
              <w:t>Outcomes</w:t>
            </w:r>
          </w:p>
        </w:tc>
        <w:tc>
          <w:tcPr>
            <w:tcW w:w="7280" w:type="dxa"/>
            <w:hideMark/>
          </w:tcPr>
          <w:p w14:paraId="56E10530"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rPr>
              <w:t>Changes in TB incidence, vaccination coverage levels, and identification of behavioural or implementation barriers</w:t>
            </w:r>
          </w:p>
        </w:tc>
      </w:tr>
      <w:tr w:rsidR="003F75FD" w:rsidRPr="001B3ED4" w14:paraId="18568EE9" w14:textId="77777777" w:rsidTr="00EA543B">
        <w:tc>
          <w:tcPr>
            <w:tcW w:w="1656" w:type="dxa"/>
            <w:hideMark/>
          </w:tcPr>
          <w:p w14:paraId="7D3FC2E2"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b/>
                <w:bCs/>
              </w:rPr>
              <w:t>Study Type</w:t>
            </w:r>
          </w:p>
        </w:tc>
        <w:tc>
          <w:tcPr>
            <w:tcW w:w="7280" w:type="dxa"/>
            <w:hideMark/>
          </w:tcPr>
          <w:p w14:paraId="12245ED3" w14:textId="77777777" w:rsidR="003F75FD" w:rsidRPr="001B3ED4" w:rsidRDefault="003F75FD" w:rsidP="00EA543B">
            <w:pPr>
              <w:spacing w:before="240" w:after="160" w:line="360" w:lineRule="auto"/>
              <w:jc w:val="both"/>
              <w:rPr>
                <w:rFonts w:ascii="Arial" w:hAnsi="Arial" w:cs="Arial"/>
              </w:rPr>
            </w:pPr>
            <w:r w:rsidRPr="001B3ED4">
              <w:rPr>
                <w:rFonts w:ascii="Arial" w:hAnsi="Arial" w:cs="Arial"/>
              </w:rPr>
              <w:t>Quantitative, qualitative, and mixed-method studies published between 2015–2025, including government and NGO reports</w:t>
            </w:r>
          </w:p>
        </w:tc>
      </w:tr>
    </w:tbl>
    <w:p w14:paraId="4BB53458" w14:textId="77777777" w:rsidR="003F75FD" w:rsidRPr="001B3ED4" w:rsidRDefault="003F75FD" w:rsidP="004F2450">
      <w:pPr>
        <w:pStyle w:val="Heading1"/>
      </w:pPr>
      <w:bookmarkStart w:id="31" w:name="_Toc218418685"/>
      <w:r w:rsidRPr="001B3ED4">
        <w:t>3.8 Inclusion and Exclusion Criteria</w:t>
      </w:r>
      <w:bookmarkEnd w:id="31"/>
    </w:p>
    <w:p w14:paraId="01A5FA8D" w14:textId="77777777" w:rsidR="003F75FD" w:rsidRPr="001B3ED4" w:rsidRDefault="003F75FD" w:rsidP="003F75FD">
      <w:pPr>
        <w:pStyle w:val="Heading2"/>
        <w:spacing w:before="240"/>
      </w:pPr>
      <w:bookmarkStart w:id="32" w:name="_Toc218418686"/>
      <w:r w:rsidRPr="001B3ED4">
        <w:rPr>
          <w:rFonts w:eastAsiaTheme="majorEastAsia"/>
        </w:rPr>
        <w:t>3.8.1 Inclusion Criteria</w:t>
      </w:r>
      <w:bookmarkEnd w:id="32"/>
      <w:r w:rsidRPr="001B3ED4">
        <w:rPr>
          <w:rFonts w:eastAsiaTheme="majorEastAsia"/>
        </w:rPr>
        <w:t xml:space="preserve"> </w:t>
      </w:r>
    </w:p>
    <w:p w14:paraId="578999E2"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Studies were selected based on predefined eligibility criteria to ensure relevance, quality, and alignment with the research focus. </w:t>
      </w:r>
    </w:p>
    <w:p w14:paraId="54E168D0" w14:textId="77777777" w:rsidR="003F75FD" w:rsidRPr="001B3ED4" w:rsidRDefault="003F75FD" w:rsidP="003F75FD">
      <w:pPr>
        <w:pStyle w:val="ListParagraph"/>
        <w:numPr>
          <w:ilvl w:val="0"/>
          <w:numId w:val="2"/>
        </w:numPr>
        <w:spacing w:before="240" w:line="360" w:lineRule="auto"/>
        <w:jc w:val="both"/>
        <w:rPr>
          <w:rFonts w:ascii="Arial" w:hAnsi="Arial" w:cs="Arial"/>
        </w:rPr>
      </w:pPr>
      <w:r w:rsidRPr="001B3ED4">
        <w:rPr>
          <w:rFonts w:ascii="Arial" w:hAnsi="Arial" w:cs="Arial"/>
        </w:rPr>
        <w:t xml:space="preserve">Only literature published between 2015 and 2025 was included to capture recent developments in TB epidemiology and BCG vaccination programme performance. </w:t>
      </w:r>
    </w:p>
    <w:p w14:paraId="667EE693" w14:textId="77777777" w:rsidR="003F75FD" w:rsidRPr="001B3ED4" w:rsidRDefault="003F75FD" w:rsidP="003F75FD">
      <w:pPr>
        <w:pStyle w:val="ListParagraph"/>
        <w:numPr>
          <w:ilvl w:val="0"/>
          <w:numId w:val="2"/>
        </w:numPr>
        <w:spacing w:before="240" w:line="360" w:lineRule="auto"/>
        <w:jc w:val="both"/>
        <w:rPr>
          <w:rFonts w:ascii="Arial" w:hAnsi="Arial" w:cs="Arial"/>
        </w:rPr>
      </w:pPr>
      <w:r w:rsidRPr="001B3ED4">
        <w:rPr>
          <w:rFonts w:ascii="Arial" w:hAnsi="Arial" w:cs="Arial"/>
        </w:rPr>
        <w:t xml:space="preserve">Publications were limited to English due to translation constraints. </w:t>
      </w:r>
    </w:p>
    <w:p w14:paraId="2D608EA3" w14:textId="77777777" w:rsidR="003F75FD" w:rsidRPr="001B3ED4" w:rsidRDefault="003F75FD" w:rsidP="003F75FD">
      <w:pPr>
        <w:pStyle w:val="ListParagraph"/>
        <w:numPr>
          <w:ilvl w:val="0"/>
          <w:numId w:val="2"/>
        </w:numPr>
        <w:spacing w:before="240" w:line="360" w:lineRule="auto"/>
        <w:jc w:val="both"/>
        <w:rPr>
          <w:rFonts w:ascii="Arial" w:hAnsi="Arial" w:cs="Arial"/>
        </w:rPr>
      </w:pPr>
      <w:r w:rsidRPr="001B3ED4">
        <w:rPr>
          <w:rFonts w:ascii="Arial" w:hAnsi="Arial" w:cs="Arial"/>
        </w:rPr>
        <w:t xml:space="preserve">Both qualitative and quantitative studies, including peer-reviewed articles, government reports, and NGO documentation, were eligible if they examined vaccination coverage, TB incidence, programme evaluation, or barriers affecting campaign implementation. </w:t>
      </w:r>
    </w:p>
    <w:p w14:paraId="6C4CD901" w14:textId="77777777" w:rsidR="003F75FD" w:rsidRPr="001B3ED4" w:rsidRDefault="003F75FD" w:rsidP="003F75FD">
      <w:pPr>
        <w:pStyle w:val="ListParagraph"/>
        <w:numPr>
          <w:ilvl w:val="0"/>
          <w:numId w:val="2"/>
        </w:numPr>
        <w:spacing w:before="240" w:line="360" w:lineRule="auto"/>
        <w:jc w:val="both"/>
        <w:rPr>
          <w:rFonts w:ascii="Arial" w:hAnsi="Arial" w:cs="Arial"/>
        </w:rPr>
      </w:pPr>
      <w:r w:rsidRPr="001B3ED4">
        <w:rPr>
          <w:rFonts w:ascii="Arial" w:hAnsi="Arial" w:cs="Arial"/>
        </w:rPr>
        <w:t xml:space="preserve">Studies were required to focus on high-risk or urban marginalised populations in Delhi or closely comparable Indian settings. </w:t>
      </w:r>
    </w:p>
    <w:p w14:paraId="5B2DFABD" w14:textId="77777777" w:rsidR="003F75FD" w:rsidRPr="001B3ED4" w:rsidRDefault="003F75FD" w:rsidP="003F75FD">
      <w:pPr>
        <w:pStyle w:val="ListParagraph"/>
        <w:numPr>
          <w:ilvl w:val="0"/>
          <w:numId w:val="2"/>
        </w:numPr>
        <w:spacing w:before="240" w:line="360" w:lineRule="auto"/>
        <w:jc w:val="both"/>
        <w:rPr>
          <w:rFonts w:ascii="Arial" w:hAnsi="Arial" w:cs="Arial"/>
        </w:rPr>
      </w:pPr>
      <w:r w:rsidRPr="001B3ED4">
        <w:rPr>
          <w:rFonts w:ascii="Arial" w:hAnsi="Arial" w:cs="Arial"/>
        </w:rPr>
        <w:lastRenderedPageBreak/>
        <w:t>Research involving populations aged 15–60 was prioritised; however, studies including broader cohorts were accepted if findings remained relevant to the review aims.</w:t>
      </w:r>
    </w:p>
    <w:p w14:paraId="0DF91CC6" w14:textId="77777777" w:rsidR="003F75FD" w:rsidRPr="001B3ED4" w:rsidRDefault="003F75FD" w:rsidP="003F75FD">
      <w:pPr>
        <w:pStyle w:val="ListParagraph"/>
        <w:numPr>
          <w:ilvl w:val="0"/>
          <w:numId w:val="2"/>
        </w:numPr>
        <w:spacing w:before="240" w:line="360" w:lineRule="auto"/>
        <w:jc w:val="both"/>
        <w:rPr>
          <w:rFonts w:ascii="Arial" w:hAnsi="Arial" w:cs="Arial"/>
        </w:rPr>
      </w:pPr>
      <w:r w:rsidRPr="001B3ED4">
        <w:rPr>
          <w:rFonts w:ascii="Arial" w:hAnsi="Arial" w:cs="Arial"/>
        </w:rPr>
        <w:t>Peer-reviewed journals.</w:t>
      </w:r>
    </w:p>
    <w:p w14:paraId="28D191ED" w14:textId="77777777" w:rsidR="003F75FD" w:rsidRPr="001B3ED4" w:rsidRDefault="003F75FD" w:rsidP="003F75FD">
      <w:pPr>
        <w:pStyle w:val="Heading2"/>
        <w:spacing w:before="240"/>
      </w:pPr>
      <w:bookmarkStart w:id="33" w:name="_Toc218418687"/>
      <w:r w:rsidRPr="001B3ED4">
        <w:rPr>
          <w:rFonts w:eastAsiaTheme="majorEastAsia"/>
        </w:rPr>
        <w:t>3.8.2 Exclusion Criteria</w:t>
      </w:r>
      <w:bookmarkEnd w:id="33"/>
    </w:p>
    <w:p w14:paraId="0AD7FB35" w14:textId="77777777" w:rsidR="003F75FD" w:rsidRPr="001B3ED4" w:rsidRDefault="003F75FD" w:rsidP="003F75FD">
      <w:pPr>
        <w:pStyle w:val="ListParagraph"/>
        <w:numPr>
          <w:ilvl w:val="0"/>
          <w:numId w:val="3"/>
        </w:numPr>
        <w:spacing w:before="240" w:line="360" w:lineRule="auto"/>
        <w:jc w:val="both"/>
        <w:rPr>
          <w:rFonts w:ascii="Arial" w:hAnsi="Arial" w:cs="Arial"/>
        </w:rPr>
      </w:pPr>
      <w:r w:rsidRPr="001B3ED4">
        <w:rPr>
          <w:rFonts w:ascii="Arial" w:hAnsi="Arial" w:cs="Arial"/>
        </w:rPr>
        <w:t>Studies were excluded if they were published before 2015, written in a non-English language, or lacked empirical evidence suitable for systematic analysis.</w:t>
      </w:r>
    </w:p>
    <w:p w14:paraId="1ACCC605" w14:textId="77777777" w:rsidR="003F75FD" w:rsidRPr="001B3ED4" w:rsidRDefault="003F75FD" w:rsidP="003F75FD">
      <w:pPr>
        <w:pStyle w:val="ListParagraph"/>
        <w:numPr>
          <w:ilvl w:val="0"/>
          <w:numId w:val="3"/>
        </w:numPr>
        <w:spacing w:before="240" w:line="360" w:lineRule="auto"/>
        <w:jc w:val="both"/>
        <w:rPr>
          <w:rFonts w:ascii="Arial" w:hAnsi="Arial" w:cs="Arial"/>
        </w:rPr>
      </w:pPr>
      <w:r w:rsidRPr="001B3ED4">
        <w:rPr>
          <w:rFonts w:ascii="Arial" w:hAnsi="Arial" w:cs="Arial"/>
        </w:rPr>
        <w:t xml:space="preserve">Research focusing solely on childhood BCG schedules was excluded unless it directly contributed contextual relevance to adult vaccination outcomes or campaign implementation in Delhi. </w:t>
      </w:r>
    </w:p>
    <w:p w14:paraId="3CD57646" w14:textId="77777777" w:rsidR="003F75FD" w:rsidRPr="001B3ED4" w:rsidRDefault="003F75FD" w:rsidP="003F75FD">
      <w:pPr>
        <w:pStyle w:val="ListParagraph"/>
        <w:numPr>
          <w:ilvl w:val="0"/>
          <w:numId w:val="3"/>
        </w:numPr>
        <w:spacing w:before="240" w:line="360" w:lineRule="auto"/>
        <w:jc w:val="both"/>
        <w:rPr>
          <w:rFonts w:ascii="Arial" w:hAnsi="Arial" w:cs="Arial"/>
        </w:rPr>
      </w:pPr>
      <w:r w:rsidRPr="001B3ED4">
        <w:rPr>
          <w:rFonts w:ascii="Arial" w:hAnsi="Arial" w:cs="Arial"/>
        </w:rPr>
        <w:t xml:space="preserve">Editorials, commentaries, opinion papers, or publications without methodological clarity, statistical support, or peer review were also removed. </w:t>
      </w:r>
    </w:p>
    <w:p w14:paraId="642727B4" w14:textId="77777777" w:rsidR="003F75FD" w:rsidRPr="001B3ED4" w:rsidRDefault="003F75FD" w:rsidP="003F75FD">
      <w:pPr>
        <w:pStyle w:val="ListParagraph"/>
        <w:numPr>
          <w:ilvl w:val="0"/>
          <w:numId w:val="3"/>
        </w:numPr>
        <w:spacing w:before="240" w:line="360" w:lineRule="auto"/>
        <w:jc w:val="both"/>
        <w:rPr>
          <w:rFonts w:ascii="Arial" w:hAnsi="Arial" w:cs="Arial"/>
        </w:rPr>
      </w:pPr>
      <w:r w:rsidRPr="001B3ED4">
        <w:rPr>
          <w:rFonts w:ascii="Arial" w:hAnsi="Arial" w:cs="Arial"/>
        </w:rPr>
        <w:t xml:space="preserve">Studies without geographical relevance to India, or those not explicitly examining TB vaccination uptake, programme impact, or incidence trends, were excluded to maintain alignment with the research objectives. </w:t>
      </w:r>
    </w:p>
    <w:p w14:paraId="4D2B2125" w14:textId="77777777" w:rsidR="003F75FD" w:rsidRPr="001B3ED4" w:rsidRDefault="003F75FD" w:rsidP="003F75FD">
      <w:pPr>
        <w:pStyle w:val="ListParagraph"/>
        <w:numPr>
          <w:ilvl w:val="0"/>
          <w:numId w:val="3"/>
        </w:numPr>
        <w:spacing w:before="240" w:line="360" w:lineRule="auto"/>
        <w:jc w:val="both"/>
        <w:rPr>
          <w:rFonts w:ascii="Arial" w:hAnsi="Arial" w:cs="Arial"/>
        </w:rPr>
      </w:pPr>
      <w:r w:rsidRPr="001B3ED4">
        <w:rPr>
          <w:rFonts w:ascii="Arial" w:hAnsi="Arial" w:cs="Arial"/>
        </w:rPr>
        <w:t>Articles failing to provide adequate detail for data extraction, quality appraisal, or methodological assessment were similarly omitted to preserve the rigour and accuracy of the final evidence base.</w:t>
      </w:r>
    </w:p>
    <w:p w14:paraId="0AA372D8" w14:textId="77777777" w:rsidR="003F75FD" w:rsidRPr="001B3ED4" w:rsidRDefault="003F75FD" w:rsidP="004F2450">
      <w:pPr>
        <w:pStyle w:val="Heading1"/>
      </w:pPr>
      <w:bookmarkStart w:id="34" w:name="_Toc218418688"/>
      <w:r w:rsidRPr="001B3ED4">
        <w:t>3.9 Quality Assessment</w:t>
      </w:r>
      <w:bookmarkEnd w:id="34"/>
    </w:p>
    <w:p w14:paraId="3B79793F" w14:textId="77777777" w:rsidR="003F75FD" w:rsidRPr="001B3ED4" w:rsidRDefault="003F75FD" w:rsidP="003F75FD">
      <w:pPr>
        <w:spacing w:before="240" w:line="360" w:lineRule="auto"/>
        <w:jc w:val="both"/>
        <w:rPr>
          <w:rFonts w:ascii="Arial" w:hAnsi="Arial" w:cs="Arial"/>
        </w:rPr>
      </w:pPr>
      <w:r w:rsidRPr="001B3ED4">
        <w:rPr>
          <w:rFonts w:ascii="Arial" w:hAnsi="Arial" w:cs="Arial"/>
        </w:rPr>
        <w:t>Quality assessment was carried out using the Critical Appraisal Skills Programme (CASP) and Joanna Briggs Institute (JBI) tools to ensure methodological integrity and reduce bias in interpretation (Hilton, 2024). Quantitative studies were appraised for sampling adequacy, statistical validity, clarity of outcome measurement, and risk of bias, including attrition and confounding (Lan et al., 2023). Qualitative studies were assessed for credibility, dependability, transparency of data collection, and reflexivity to determine how researcher influence may have shaped findings.</w:t>
      </w:r>
    </w:p>
    <w:p w14:paraId="3E2D493E"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Studies were categorised as high, medium, or low quality based on appraisal outcomes; however, no studies were excluded based on appraisal scores alone. Instead, lower-quality studies were incorporated with caution to prevent overinterpretation while still recognising their contextual value (Haile, 2022). This </w:t>
      </w:r>
      <w:r w:rsidRPr="001B3ED4">
        <w:rPr>
          <w:rFonts w:ascii="Arial" w:hAnsi="Arial" w:cs="Arial"/>
        </w:rPr>
        <w:lastRenderedPageBreak/>
        <w:t>proportional weighting approach strengthened the validity of the synthesis while maintaining the inclusivity of available evidence.</w:t>
      </w:r>
    </w:p>
    <w:p w14:paraId="6A5FA3D1" w14:textId="77777777" w:rsidR="003F75FD" w:rsidRPr="001B3ED4" w:rsidRDefault="003F75FD" w:rsidP="004F2450">
      <w:pPr>
        <w:pStyle w:val="Heading1"/>
      </w:pPr>
      <w:bookmarkStart w:id="35" w:name="_Toc218418689"/>
      <w:r w:rsidRPr="001B3ED4">
        <w:t>3.10 Data Analysis</w:t>
      </w:r>
      <w:bookmarkEnd w:id="35"/>
    </w:p>
    <w:p w14:paraId="721C7006" w14:textId="77777777" w:rsidR="003F75FD" w:rsidRPr="001B3ED4" w:rsidRDefault="003F75FD" w:rsidP="003F75FD">
      <w:pPr>
        <w:spacing w:before="240" w:line="360" w:lineRule="auto"/>
        <w:jc w:val="both"/>
        <w:rPr>
          <w:rFonts w:ascii="Arial" w:hAnsi="Arial" w:cs="Arial"/>
        </w:rPr>
      </w:pPr>
      <w:r w:rsidRPr="001B3ED4">
        <w:rPr>
          <w:rFonts w:ascii="Arial" w:hAnsi="Arial" w:cs="Arial"/>
        </w:rPr>
        <w:t>Data analysis followed an integrated thematic analysis approach, combining both quantitative and qualitative evidence to strengthen interpretation and validity. Quantitative findings were initially extracted and tabulated, including reported TB incidence, vaccination uptake rates, and intervention effectiveness indicators across different geographical or demographic contexts (</w:t>
      </w:r>
      <w:proofErr w:type="spellStart"/>
      <w:r w:rsidRPr="001B3ED4">
        <w:rPr>
          <w:rFonts w:ascii="Arial" w:hAnsi="Arial" w:cs="Arial"/>
        </w:rPr>
        <w:t>Mikalef</w:t>
      </w:r>
      <w:proofErr w:type="spellEnd"/>
      <w:r w:rsidRPr="001B3ED4">
        <w:rPr>
          <w:rFonts w:ascii="Arial" w:hAnsi="Arial" w:cs="Arial"/>
        </w:rPr>
        <w:t xml:space="preserve"> et al, 2018). These numerical patterns were compared across studies to identify consistencies, contrasts, and emerging public health trends (</w:t>
      </w:r>
      <w:proofErr w:type="spellStart"/>
      <w:r w:rsidRPr="001B3ED4">
        <w:rPr>
          <w:rFonts w:ascii="Arial" w:hAnsi="Arial" w:cs="Arial"/>
        </w:rPr>
        <w:t>Belotto</w:t>
      </w:r>
      <w:proofErr w:type="spellEnd"/>
      <w:r w:rsidRPr="001B3ED4">
        <w:rPr>
          <w:rFonts w:ascii="Arial" w:hAnsi="Arial" w:cs="Arial"/>
        </w:rPr>
        <w:t>, 2018). Where comparable data were available, cross-study comparison allowed assessment of disparities in vaccination coverage, particularly among vulnerable or high-risk groups (</w:t>
      </w:r>
      <w:proofErr w:type="spellStart"/>
      <w:r w:rsidRPr="001B3ED4">
        <w:rPr>
          <w:rFonts w:ascii="Arial" w:hAnsi="Arial" w:cs="Arial"/>
        </w:rPr>
        <w:t>Belotto</w:t>
      </w:r>
      <w:proofErr w:type="spellEnd"/>
      <w:r w:rsidRPr="001B3ED4">
        <w:rPr>
          <w:rFonts w:ascii="Arial" w:hAnsi="Arial" w:cs="Arial"/>
        </w:rPr>
        <w:t xml:space="preserve">, 2018). </w:t>
      </w:r>
    </w:p>
    <w:p w14:paraId="480293FC" w14:textId="77777777" w:rsidR="003F75FD" w:rsidRPr="001B3ED4" w:rsidRDefault="003F75FD" w:rsidP="003F75FD">
      <w:pPr>
        <w:spacing w:before="240" w:line="360" w:lineRule="auto"/>
        <w:jc w:val="both"/>
        <w:rPr>
          <w:rFonts w:ascii="Arial" w:hAnsi="Arial" w:cs="Arial"/>
        </w:rPr>
      </w:pPr>
      <w:r w:rsidRPr="001B3ED4">
        <w:rPr>
          <w:rFonts w:ascii="Arial" w:hAnsi="Arial" w:cs="Arial"/>
        </w:rPr>
        <w:t>Qualitative data were analysed using a structured thematic analysis process, following coding, clustering, and interpretation procedures (Ahn and Kang, 2018). Extracted text was coded line-by-line to identify patterns relating to behavioural influences, cultural norms, system-level barriers, and stakeholder perceptions of TB vaccination. Codes were then refined into overarching themes, such as accessibility, awareness, mistrust of health systems, logistical challenges, and policy implementation gaps (</w:t>
      </w:r>
      <w:proofErr w:type="spellStart"/>
      <w:r w:rsidRPr="001B3ED4">
        <w:rPr>
          <w:rFonts w:ascii="Arial" w:hAnsi="Arial" w:cs="Arial"/>
        </w:rPr>
        <w:t>Belotto</w:t>
      </w:r>
      <w:proofErr w:type="spellEnd"/>
      <w:r w:rsidRPr="001B3ED4">
        <w:rPr>
          <w:rFonts w:ascii="Arial" w:hAnsi="Arial" w:cs="Arial"/>
        </w:rPr>
        <w:t xml:space="preserve">, 2018). </w:t>
      </w:r>
    </w:p>
    <w:p w14:paraId="25F4037D" w14:textId="77777777" w:rsidR="003F75FD" w:rsidRPr="001B3ED4" w:rsidRDefault="003F75FD" w:rsidP="004F2450">
      <w:pPr>
        <w:pStyle w:val="Heading1"/>
      </w:pPr>
      <w:bookmarkStart w:id="36" w:name="_Toc218418690"/>
      <w:r w:rsidRPr="001B3ED4">
        <w:t>3.11 PRISMA Reporting</w:t>
      </w:r>
      <w:bookmarkEnd w:id="36"/>
    </w:p>
    <w:p w14:paraId="1D369D31" w14:textId="77777777" w:rsidR="003F75FD" w:rsidRPr="001B3ED4" w:rsidRDefault="003F75FD" w:rsidP="003F75FD">
      <w:pPr>
        <w:spacing w:before="240" w:line="360" w:lineRule="auto"/>
        <w:jc w:val="both"/>
        <w:rPr>
          <w:rFonts w:ascii="Arial" w:hAnsi="Arial" w:cs="Arial"/>
        </w:rPr>
      </w:pPr>
      <w:r w:rsidRPr="001B3ED4">
        <w:rPr>
          <w:rFonts w:ascii="Arial" w:hAnsi="Arial" w:cs="Arial"/>
        </w:rPr>
        <w:t>PRISMA reporting guidelines were applied to maintain transparency, structure, and replicability throughout the review (Hutton et al., 2017). A PRISMA flow diagram was used (see chapter 4) to document the full screening pathway, including the total number of records identified, duplicates removed, and studies screened at title, abstract, and full-text stages (Hutton et al., 2017). Reasons for exclusion were recorded systematically to ensure methodological clarity. The final number of eligible studies was presented in alignment with PRISMA standards, supporting auditability and enhancing the credibility of the review process (Hutton et al., 2017).</w:t>
      </w:r>
    </w:p>
    <w:p w14:paraId="53391EEA" w14:textId="77777777" w:rsidR="003F75FD" w:rsidRPr="001B3ED4" w:rsidRDefault="003F75FD" w:rsidP="004F2450">
      <w:pPr>
        <w:pStyle w:val="Heading1"/>
      </w:pPr>
      <w:bookmarkStart w:id="37" w:name="_Toc218418691"/>
      <w:r w:rsidRPr="001B3ED4">
        <w:lastRenderedPageBreak/>
        <w:t>3.12 Ethical Considerations</w:t>
      </w:r>
      <w:bookmarkEnd w:id="37"/>
    </w:p>
    <w:p w14:paraId="5163E71A"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Although this research relies solely on secondary data, ethical rigour was upheld throughout to maintain transparency, academic integrity, and responsible scholarship. All literature sources were accurately acknowledged using appropriate citation and referencing conventions to avoid plagiarism and ensure protection of intellectual ownership (Fleming and </w:t>
      </w:r>
      <w:proofErr w:type="spellStart"/>
      <w:r w:rsidRPr="001B3ED4">
        <w:rPr>
          <w:rFonts w:ascii="Arial" w:hAnsi="Arial" w:cs="Arial"/>
        </w:rPr>
        <w:t>Zegwaard</w:t>
      </w:r>
      <w:proofErr w:type="spellEnd"/>
      <w:r w:rsidRPr="001B3ED4">
        <w:rPr>
          <w:rFonts w:ascii="Arial" w:hAnsi="Arial" w:cs="Arial"/>
        </w:rPr>
        <w:t>, 2018). Findings were interpreted cautiously and objectively to prevent bias, exaggeration, or misrepresentation of results. While no personal or identifiable data were accessed, ethical accountability extended to evaluating whether included studies adhered to established standards, such as securing ethical approval and obtaining informed consent where required (Taljaard et al., 2017).</w:t>
      </w:r>
    </w:p>
    <w:p w14:paraId="00A5A019"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Sensitivity was also prioritised when reporting findings involving vulnerable, high-risk, or marginalised communities. Care was taken to ensure that interpretations did not reinforce stigma, cultural bias, or negative assumptions regarding TB, vaccine hesitancy, or healthcare engagement (Fleming and </w:t>
      </w:r>
      <w:proofErr w:type="spellStart"/>
      <w:r w:rsidRPr="001B3ED4">
        <w:rPr>
          <w:rFonts w:ascii="Arial" w:hAnsi="Arial" w:cs="Arial"/>
        </w:rPr>
        <w:t>Zegwaard</w:t>
      </w:r>
      <w:proofErr w:type="spellEnd"/>
      <w:r w:rsidRPr="001B3ED4">
        <w:rPr>
          <w:rFonts w:ascii="Arial" w:hAnsi="Arial" w:cs="Arial"/>
        </w:rPr>
        <w:t>, 2018). Respectful language and neutral framing were used to avoid contributing to discrimination or social labelling of affected populations (Taljaard et al., 2017). The ethical foundation of this review supports beneficence, as the research aims to generate evidence that may inform improved TB vaccination strategies, policy development, and equitable access to public health services in Delhi.</w:t>
      </w:r>
    </w:p>
    <w:p w14:paraId="6CFB95C7" w14:textId="77777777" w:rsidR="003F75FD" w:rsidRPr="001B3ED4" w:rsidRDefault="003F75FD" w:rsidP="004F2450">
      <w:pPr>
        <w:pStyle w:val="Heading1"/>
      </w:pPr>
      <w:bookmarkStart w:id="38" w:name="_Toc218418692"/>
      <w:r w:rsidRPr="001B3ED4">
        <w:t>3.13 Chapter Summary</w:t>
      </w:r>
      <w:bookmarkEnd w:id="38"/>
    </w:p>
    <w:p w14:paraId="06A892D2" w14:textId="33E3E1B8" w:rsidR="00FB66E1" w:rsidRPr="001B3ED4" w:rsidRDefault="003F75FD" w:rsidP="0046084C">
      <w:pPr>
        <w:spacing w:before="240" w:line="360" w:lineRule="auto"/>
        <w:jc w:val="both"/>
        <w:rPr>
          <w:rFonts w:ascii="Arial" w:hAnsi="Arial" w:cs="Arial"/>
        </w:rPr>
      </w:pPr>
      <w:r w:rsidRPr="001B3ED4">
        <w:rPr>
          <w:rFonts w:ascii="Arial" w:hAnsi="Arial" w:cs="Arial"/>
        </w:rPr>
        <w:t xml:space="preserve">This chapter presented the methodological framework underpinning the study, outlining the research philosophy, systematic review design, strategy, data collection procedures, eligibility criteria, analysis methods, and ethical considerations. The structured application of PICOS criteria and adherence to PRISMA reporting standards ensured transparency, consistency, and replicability throughout the review process. Quality appraisal tools further strengthened the reliability of included evidence, while a mixed quantitative and qualitative analytical approach supported comprehensive synthesis. Collectively, these methodological decisions establish a robust foundation for evaluating the impact of BCG vaccination campaigns, leading </w:t>
      </w:r>
      <w:r w:rsidR="00FB66E1" w:rsidRPr="001B3ED4">
        <w:rPr>
          <w:rFonts w:ascii="Arial" w:hAnsi="Arial" w:cs="Arial"/>
        </w:rPr>
        <w:t>to</w:t>
      </w:r>
      <w:r w:rsidRPr="001B3ED4">
        <w:rPr>
          <w:rFonts w:ascii="Arial" w:hAnsi="Arial" w:cs="Arial"/>
        </w:rPr>
        <w:t xml:space="preserve"> the analysis and presentation of findings in Chapter 4.</w:t>
      </w:r>
    </w:p>
    <w:p w14:paraId="088B14E2" w14:textId="77777777" w:rsidR="00AB0BD3" w:rsidRPr="001B3ED4" w:rsidRDefault="00AB0BD3" w:rsidP="004F2450">
      <w:pPr>
        <w:pStyle w:val="Heading1"/>
      </w:pPr>
      <w:bookmarkStart w:id="39" w:name="_Toc218418693"/>
      <w:r w:rsidRPr="001B3ED4">
        <w:lastRenderedPageBreak/>
        <w:t>Chapter 4: Results</w:t>
      </w:r>
      <w:bookmarkEnd w:id="39"/>
      <w:r w:rsidRPr="001B3ED4">
        <w:t xml:space="preserve"> </w:t>
      </w:r>
    </w:p>
    <w:p w14:paraId="5AACE8D5" w14:textId="77777777" w:rsidR="00AB0BD3" w:rsidRPr="001B3ED4" w:rsidRDefault="00AB0BD3" w:rsidP="004F2450">
      <w:pPr>
        <w:pStyle w:val="Heading1"/>
      </w:pPr>
      <w:bookmarkStart w:id="40" w:name="_Toc218418694"/>
      <w:r w:rsidRPr="001B3ED4">
        <w:t>4.1 Introduction</w:t>
      </w:r>
      <w:bookmarkEnd w:id="40"/>
    </w:p>
    <w:p w14:paraId="366D1F34" w14:textId="36B38FB0" w:rsidR="00AB0BD3" w:rsidRPr="001B3ED4" w:rsidRDefault="00AB0BD3" w:rsidP="00AB0BD3">
      <w:pPr>
        <w:spacing w:line="360" w:lineRule="auto"/>
        <w:jc w:val="both"/>
        <w:rPr>
          <w:rFonts w:ascii="Arial" w:hAnsi="Arial" w:cs="Arial"/>
        </w:rPr>
      </w:pPr>
      <w:r w:rsidRPr="001B3ED4">
        <w:rPr>
          <w:rFonts w:ascii="Arial" w:hAnsi="Arial" w:cs="Arial"/>
        </w:rPr>
        <w:t>This chapter presents the results of the systematic review</w:t>
      </w:r>
      <w:r w:rsidR="00F1083B" w:rsidRPr="001B3ED4">
        <w:rPr>
          <w:rFonts w:ascii="Arial" w:hAnsi="Arial" w:cs="Arial"/>
        </w:rPr>
        <w:t xml:space="preserve"> from existing research and literature</w:t>
      </w:r>
      <w:r w:rsidRPr="001B3ED4">
        <w:rPr>
          <w:rFonts w:ascii="Arial" w:hAnsi="Arial" w:cs="Arial"/>
        </w:rPr>
        <w:t xml:space="preserve"> examining the impact of BCG vaccination campaigns on tuberculosis (TB) outcomes among high-risk populations aged 15–60 years in selected districts of Delhi, India. The chapter synthesises evidence from peer-reviewed studies and programmatic reports to address the research question and objectives outlined in Chapter 1. Findings are organised to reflect the study selection process, key characteristics of included studies, and the main outcomes related to TB incidence, morbidity, vaccination coverage, and implementation challenges. By systematically analysing the available evidence, this chapter provides a transparent and structured summary of how BCG vaccination campaigns have performed in high-risk urban contexts and sets the foundation for interpretation and discussion in the subsequent chapter.</w:t>
      </w:r>
    </w:p>
    <w:p w14:paraId="1352CFFB" w14:textId="77777777" w:rsidR="00AB0BD3" w:rsidRPr="001B3ED4" w:rsidRDefault="00AB0BD3" w:rsidP="004F2450">
      <w:pPr>
        <w:pStyle w:val="Heading1"/>
      </w:pPr>
      <w:bookmarkStart w:id="41" w:name="_Toc218418695"/>
      <w:r w:rsidRPr="001B3ED4">
        <w:t>4.2 PRISMA Flow Diagram</w:t>
      </w:r>
      <w:bookmarkEnd w:id="41"/>
      <w:r w:rsidRPr="001B3ED4">
        <w:t xml:space="preserve"> </w:t>
      </w:r>
    </w:p>
    <w:p w14:paraId="6B018B99" w14:textId="77777777" w:rsidR="00AB0BD3" w:rsidRPr="001B3ED4" w:rsidRDefault="00AB0BD3" w:rsidP="00AB0BD3">
      <w:pPr>
        <w:spacing w:line="360" w:lineRule="auto"/>
        <w:jc w:val="both"/>
        <w:rPr>
          <w:rFonts w:ascii="Arial" w:hAnsi="Arial" w:cs="Arial"/>
        </w:rPr>
      </w:pPr>
      <w:r w:rsidRPr="001B3ED4">
        <w:rPr>
          <w:rFonts w:ascii="Arial" w:hAnsi="Arial" w:cs="Arial"/>
        </w:rPr>
        <w:t>The study selection process followed the PRISMA (Preferred Reporting Items for Systematic Reviews and Meta-Analyses) guidelines to ensure transparency and methodological rigour (Rice et al, 2016). An initial comprehensive search across multiple electronic databases and grey literature sources identified a substantial number of records related to BCG vaccination and tuberculosis control in India (Vrabel, 2015). After removing duplicates, titles and abstracts were screened for relevance based on predefined inclusion and exclusion criteria, particularly focusing on high-risk districts of Delhi and populations aged 15–60 years. Records that did not address BCG vaccination, TB outcomes, or the target population were excluded at this stage. Full-text articles were then assessed for eligibility, with exclusions primarily due to insufficient data, non-urban focus, or irrelevance to adult and adolescent populations (Vrabel, 2015). Ultimately, 10 studies met all inclusion criteria and were included in the final qualitative synthesis. The PRISMA flow diagram visually summarises each stage of this selection process (Rice et al, 2016).</w:t>
      </w:r>
    </w:p>
    <w:p w14:paraId="35556E5C" w14:textId="2C7CE6E9" w:rsidR="00AB0BD3" w:rsidRPr="001B3ED4" w:rsidRDefault="00AB0BD3" w:rsidP="00AB0BD3">
      <w:pPr>
        <w:spacing w:line="360" w:lineRule="auto"/>
        <w:jc w:val="both"/>
        <w:rPr>
          <w:rFonts w:ascii="Arial" w:hAnsi="Arial" w:cs="Arial"/>
        </w:rPr>
      </w:pPr>
      <w:r w:rsidRPr="001B3ED4">
        <w:rPr>
          <w:rFonts w:ascii="Arial" w:hAnsi="Arial" w:cs="Arial"/>
        </w:rPr>
        <w:t xml:space="preserve">The study selection process was conducted in accordance with PRISMA guidelines and is illustrated in Figure 1: PRISMA Diagram. During the identification stage, a total of 7,750 articles were retrieved from electronic databases, including Google Scholar, </w:t>
      </w:r>
      <w:r w:rsidRPr="001B3ED4">
        <w:rPr>
          <w:rFonts w:ascii="Arial" w:hAnsi="Arial" w:cs="Arial"/>
        </w:rPr>
        <w:lastRenderedPageBreak/>
        <w:t>PubMed, and ScienceDirect. After the removal of 1,401 records</w:t>
      </w:r>
      <w:r w:rsidR="00532BC6" w:rsidRPr="001B3ED4">
        <w:rPr>
          <w:rFonts w:ascii="Arial" w:hAnsi="Arial" w:cs="Arial"/>
        </w:rPr>
        <w:t xml:space="preserve"> (duplicates)</w:t>
      </w:r>
      <w:r w:rsidRPr="001B3ED4">
        <w:rPr>
          <w:rFonts w:ascii="Arial" w:hAnsi="Arial" w:cs="Arial"/>
        </w:rPr>
        <w:t>, the remaining articles were screened based on their titles and abstracts, resulting in 130 potentially relevant studies. Of these, 80 articles were excluded as they did not meet the predefined inclusion criteria. The eligibility stage involved full-text assessment of 50 articles, during which 40 studies were excluded for specific reasons: duplication of data from other included papers (n = 19), insufficient information for adequate assessment (n = 14), and irrelevance of results to the research objectives (n = 6). Finally, 10 articles met all inclusion criteria and were included in the systematic review, as shown in Figure 1.</w:t>
      </w:r>
    </w:p>
    <w:p w14:paraId="297789FA" w14:textId="77777777" w:rsidR="00AB0BD3" w:rsidRPr="001B3ED4" w:rsidRDefault="00AB0BD3" w:rsidP="00AB0BD3">
      <w:pPr>
        <w:spacing w:line="360" w:lineRule="auto"/>
        <w:jc w:val="both"/>
        <w:rPr>
          <w:rFonts w:ascii="Arial" w:hAnsi="Arial" w:cs="Arial"/>
        </w:rPr>
      </w:pPr>
    </w:p>
    <w:p w14:paraId="69F50B64"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1CB917BE" wp14:editId="03D0A45A">
                <wp:simplePos x="0" y="0"/>
                <wp:positionH relativeFrom="column">
                  <wp:posOffset>112507</wp:posOffset>
                </wp:positionH>
                <wp:positionV relativeFrom="paragraph">
                  <wp:posOffset>-85000</wp:posOffset>
                </wp:positionV>
                <wp:extent cx="342900" cy="1063625"/>
                <wp:effectExtent l="0" t="0" r="38100" b="60325"/>
                <wp:wrapNone/>
                <wp:docPr id="1318622700"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106362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3530027" w14:textId="77777777" w:rsidR="00AB0BD3" w:rsidRPr="001B3ED4" w:rsidRDefault="00AB0BD3" w:rsidP="00AB0BD3">
                            <w:r w:rsidRPr="001B3ED4">
                              <w:t>Identification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CB917BE" id="_x0000_t202" coordsize="21600,21600" o:spt="202" path="m,l,21600r21600,l21600,xe">
                <v:stroke joinstyle="miter"/>
                <v:path gradientshapeok="t" o:connecttype="rect"/>
              </v:shapetype>
              <v:shape id="Text Box 17" o:spid="_x0000_s1026" type="#_x0000_t202" style="position:absolute;left:0;text-align:left;margin-left:8.85pt;margin-top:-6.7pt;width:27pt;height:8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" fillcolor="#8dd873 [1945]" strokecolor="#8dd873 [1945]" strokeweight="1pt">
                <v:fill color2="#d9f2d0 [665]" angle="135" focus="50%" type="gradient"/>
                <v:shadow on="t" color="#265317 [1609]" opacity=".5" offset="1pt"/>
                <v:textbox style="layout-flow:vertical;mso-layout-flow-alt:bottom-to-top">
                  <w:txbxContent>
                    <w:p w14:paraId="13530027" w14:textId="77777777" w:rsidR="00AB0BD3" w:rsidRPr="001B3ED4" w:rsidRDefault="00AB0BD3" w:rsidP="00AB0BD3">
                      <w:r w:rsidRPr="001B3ED4">
                        <w:t>Identification</w:t>
                      </w:r>
                    </w:p>
                  </w:txbxContent>
                </v:textbox>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763DB961" wp14:editId="38FDB048">
                <wp:simplePos x="0" y="0"/>
                <wp:positionH relativeFrom="column">
                  <wp:posOffset>784860</wp:posOffset>
                </wp:positionH>
                <wp:positionV relativeFrom="paragraph">
                  <wp:posOffset>109855</wp:posOffset>
                </wp:positionV>
                <wp:extent cx="2872740" cy="793750"/>
                <wp:effectExtent l="0" t="0" r="41910" b="63500"/>
                <wp:wrapNone/>
                <wp:docPr id="17026327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79375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26867568" w14:textId="77777777" w:rsidR="00AB0BD3" w:rsidRPr="001B3ED4" w:rsidRDefault="00AB0BD3" w:rsidP="00AB0BD3">
                            <w:r w:rsidRPr="001B3ED4">
                              <w:t>Identified Articles from Databases such as Google Scholar, PubMed, Science Direct etc. (N= 7750)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3DB961" id="Text Box 16" o:spid="_x0000_s1027" type="#_x0000_t202" style="position:absolute;left:0;text-align:left;margin-left:61.8pt;margin-top:8.65pt;width:226.2pt;height: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" fillcolor="white [3201]" strokecolor="#d86dcb [1944]" strokeweight="1pt">
                <v:fill color2="#e59edc [1304]" focus="100%" type="gradient"/>
                <v:shadow on="t" color="#4f1548 [1608]" opacity=".5" offset="1pt"/>
                <v:textbox>
                  <w:txbxContent>
                    <w:p w14:paraId="26867568" w14:textId="77777777" w:rsidR="00AB0BD3" w:rsidRPr="001B3ED4" w:rsidRDefault="00AB0BD3" w:rsidP="00AB0BD3">
                      <w:r w:rsidRPr="001B3ED4">
                        <w:t>Identified Articles from Databases such as Google Scholar, PubMed, Science Direct etc. (N= 7750)</w:t>
                      </w:r>
                    </w:p>
                  </w:txbxContent>
                </v:textbox>
              </v:shape>
            </w:pict>
          </mc:Fallback>
        </mc:AlternateContent>
      </w:r>
    </w:p>
    <w:p w14:paraId="78C2F7C8" w14:textId="77777777" w:rsidR="00AB0BD3" w:rsidRPr="001B3ED4" w:rsidRDefault="00AB0BD3" w:rsidP="00AB0BD3">
      <w:pPr>
        <w:spacing w:line="360" w:lineRule="auto"/>
        <w:jc w:val="both"/>
        <w:rPr>
          <w:rFonts w:ascii="Arial" w:hAnsi="Arial" w:cs="Arial"/>
          <w:color w:val="000000" w:themeColor="text1"/>
        </w:rPr>
      </w:pPr>
    </w:p>
    <w:p w14:paraId="6AA8A88B"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77607F50" wp14:editId="4C011301">
                <wp:simplePos x="0" y="0"/>
                <wp:positionH relativeFrom="column">
                  <wp:posOffset>1973580</wp:posOffset>
                </wp:positionH>
                <wp:positionV relativeFrom="paragraph">
                  <wp:posOffset>287656</wp:posOffset>
                </wp:positionV>
                <wp:extent cx="266700" cy="297180"/>
                <wp:effectExtent l="0" t="0" r="19050" b="45720"/>
                <wp:wrapNone/>
                <wp:docPr id="1410568791"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9718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D523B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55.4pt;margin-top:22.65pt;width:21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" adj="16754"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6356C41F"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6042D96A" wp14:editId="7F9B9F5B">
                <wp:simplePos x="0" y="0"/>
                <wp:positionH relativeFrom="column">
                  <wp:posOffset>754380</wp:posOffset>
                </wp:positionH>
                <wp:positionV relativeFrom="paragraph">
                  <wp:posOffset>243205</wp:posOffset>
                </wp:positionV>
                <wp:extent cx="2865120" cy="472440"/>
                <wp:effectExtent l="0" t="0" r="30480" b="60960"/>
                <wp:wrapNone/>
                <wp:docPr id="159008307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5120" cy="4724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84DFED1" w14:textId="77777777" w:rsidR="00AB0BD3" w:rsidRPr="001B3ED4" w:rsidRDefault="00AB0BD3" w:rsidP="00AB0BD3">
                            <w:pPr>
                              <w:jc w:val="center"/>
                            </w:pPr>
                            <w:r w:rsidRPr="001B3ED4">
                              <w:t>Duplicates removed (N=1401)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42D96A" id="Text Box 13" o:spid="_x0000_s1028" type="#_x0000_t202" style="position:absolute;left:0;text-align:left;margin-left:59.4pt;margin-top:19.15pt;width:225.6pt;height:3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" fillcolor="white [3201]" strokecolor="#47d459 [1942]" strokeweight="1pt">
                <v:fill color2="#84e290 [1302]" focus="100%" type="gradient"/>
                <v:shadow on="t" color="#0c3511 [1606]" opacity=".5" offset="1pt"/>
                <v:textbox>
                  <w:txbxContent>
                    <w:p w14:paraId="784DFED1" w14:textId="77777777" w:rsidR="00AB0BD3" w:rsidRPr="001B3ED4" w:rsidRDefault="00AB0BD3" w:rsidP="00AB0BD3">
                      <w:pPr>
                        <w:jc w:val="center"/>
                      </w:pPr>
                      <w:r w:rsidRPr="001B3ED4">
                        <w:t>Duplicates removed (N=1401)</w:t>
                      </w:r>
                    </w:p>
                  </w:txbxContent>
                </v:textbox>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103D5CD3" wp14:editId="1D1EBA62">
                <wp:simplePos x="0" y="0"/>
                <wp:positionH relativeFrom="column">
                  <wp:posOffset>7620</wp:posOffset>
                </wp:positionH>
                <wp:positionV relativeFrom="paragraph">
                  <wp:posOffset>260985</wp:posOffset>
                </wp:positionV>
                <wp:extent cx="388620" cy="838200"/>
                <wp:effectExtent l="0" t="0" r="30480" b="57150"/>
                <wp:wrapNone/>
                <wp:docPr id="25993116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670E5E6" w14:textId="77777777" w:rsidR="00AB0BD3" w:rsidRPr="001B3ED4" w:rsidRDefault="00AB0BD3" w:rsidP="00AB0BD3">
                            <w:pPr>
                              <w:jc w:val="center"/>
                            </w:pPr>
                            <w:r w:rsidRPr="001B3ED4">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3D5CD3" id="Text Box 14" o:spid="_x0000_s1029" type="#_x0000_t202" style="position:absolute;left:0;text-align:left;margin-left:.6pt;margin-top:20.55pt;width:30.6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L3V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1670E5E6" w14:textId="77777777" w:rsidR="00AB0BD3" w:rsidRPr="001B3ED4" w:rsidRDefault="00AB0BD3" w:rsidP="00AB0BD3">
                      <w:pPr>
                        <w:jc w:val="center"/>
                      </w:pPr>
                      <w:r w:rsidRPr="001B3ED4">
                        <w:t>Screening</w:t>
                      </w:r>
                    </w:p>
                  </w:txbxContent>
                </v:textbox>
              </v:shape>
            </w:pict>
          </mc:Fallback>
        </mc:AlternateContent>
      </w:r>
    </w:p>
    <w:p w14:paraId="12AEBB1F" w14:textId="77777777" w:rsidR="00AB0BD3" w:rsidRPr="001B3ED4" w:rsidRDefault="00AB0BD3" w:rsidP="00AB0BD3">
      <w:pPr>
        <w:spacing w:line="360" w:lineRule="auto"/>
        <w:jc w:val="both"/>
        <w:rPr>
          <w:rFonts w:ascii="Arial" w:hAnsi="Arial" w:cs="Arial"/>
          <w:color w:val="000000" w:themeColor="text1"/>
        </w:rPr>
      </w:pPr>
    </w:p>
    <w:p w14:paraId="544D5047"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3EE11020" wp14:editId="5B348340">
                <wp:simplePos x="0" y="0"/>
                <wp:positionH relativeFrom="column">
                  <wp:posOffset>1866900</wp:posOffset>
                </wp:positionH>
                <wp:positionV relativeFrom="paragraph">
                  <wp:posOffset>7620</wp:posOffset>
                </wp:positionV>
                <wp:extent cx="266700" cy="345440"/>
                <wp:effectExtent l="0" t="0" r="19050" b="35560"/>
                <wp:wrapNone/>
                <wp:docPr id="737766794"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4544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D29FF1" id="Arrow: Down 12" o:spid="_x0000_s1026" type="#_x0000_t67" style="position:absolute;margin-left:147pt;margin-top:.6pt;width:21pt;height:2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8VF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" adj="17431"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350DA097"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089C101C" wp14:editId="6622BE30">
                <wp:simplePos x="0" y="0"/>
                <wp:positionH relativeFrom="column">
                  <wp:posOffset>3284220</wp:posOffset>
                </wp:positionH>
                <wp:positionV relativeFrom="paragraph">
                  <wp:posOffset>260985</wp:posOffset>
                </wp:positionV>
                <wp:extent cx="541020" cy="170815"/>
                <wp:effectExtent l="0" t="0" r="11430" b="38735"/>
                <wp:wrapNone/>
                <wp:docPr id="1474591595"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70815"/>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8A2BC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58.6pt;margin-top:20.55pt;width:42.6pt;height:1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n91tQ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" adj="15548" fillcolor="#bcbcbc [2369]" stroked="f" strokeweight="0">
                <v:fill color2="black [3200]" focusposition=".5,.5" focussize="" focus="100%" type="gradientRadial">
                  <o:fill v:ext="view" type="gradientCenter"/>
                </v:fill>
                <v:shadow on="t" color="#7f7f7f [1601]" offset="1pt"/>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5DE7243B" wp14:editId="0765E1C0">
                <wp:simplePos x="0" y="0"/>
                <wp:positionH relativeFrom="column">
                  <wp:posOffset>3855720</wp:posOffset>
                </wp:positionH>
                <wp:positionV relativeFrom="paragraph">
                  <wp:posOffset>107950</wp:posOffset>
                </wp:positionV>
                <wp:extent cx="2065020" cy="487680"/>
                <wp:effectExtent l="0" t="0" r="30480" b="64770"/>
                <wp:wrapNone/>
                <wp:docPr id="80548088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48768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4F5E4408" w14:textId="77777777" w:rsidR="00AB0BD3" w:rsidRPr="001B3ED4" w:rsidRDefault="00AB0BD3" w:rsidP="00AB0BD3">
                            <w:r w:rsidRPr="001B3ED4">
                              <w:t>Excluded articles (N= 80)</w:t>
                            </w:r>
                          </w:p>
                          <w:p w14:paraId="6E64D68C" w14:textId="77777777" w:rsidR="00AB0BD3" w:rsidRPr="001B3ED4" w:rsidRDefault="00AB0BD3" w:rsidP="00AB0BD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E7243B" id="Text Box 11" o:spid="_x0000_s1030" type="#_x0000_t202" style="position:absolute;left:0;text-align:left;margin-left:303.6pt;margin-top:8.5pt;width:162.6pt;height:3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" fillcolor="white [3201]" strokecolor="#f1a983 [1941]" strokeweight="1pt">
                <v:fill color2="#f6c5ac [1301]" focus="100%" type="gradient"/>
                <v:shadow on="t" color="#7f340d [1605]" opacity=".5" offset="1pt"/>
                <v:textbox>
                  <w:txbxContent>
                    <w:p w14:paraId="4F5E4408" w14:textId="77777777" w:rsidR="00AB0BD3" w:rsidRPr="001B3ED4" w:rsidRDefault="00AB0BD3" w:rsidP="00AB0BD3">
                      <w:r w:rsidRPr="001B3ED4">
                        <w:t>Excluded articles (N= 80)</w:t>
                      </w:r>
                    </w:p>
                    <w:p w14:paraId="6E64D68C" w14:textId="77777777" w:rsidR="00AB0BD3" w:rsidRPr="001B3ED4" w:rsidRDefault="00AB0BD3" w:rsidP="00AB0BD3"/>
                  </w:txbxContent>
                </v:textbox>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6A922EF5" wp14:editId="05204D4A">
                <wp:simplePos x="0" y="0"/>
                <wp:positionH relativeFrom="column">
                  <wp:posOffset>769620</wp:posOffset>
                </wp:positionH>
                <wp:positionV relativeFrom="paragraph">
                  <wp:posOffset>46990</wp:posOffset>
                </wp:positionV>
                <wp:extent cx="2468880" cy="586740"/>
                <wp:effectExtent l="0" t="0" r="45720" b="60960"/>
                <wp:wrapNone/>
                <wp:docPr id="124461870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8C84419" w14:textId="77777777" w:rsidR="00AB0BD3" w:rsidRPr="001B3ED4" w:rsidRDefault="00AB0BD3" w:rsidP="00AB0BD3">
                            <w:pPr>
                              <w:jc w:val="center"/>
                            </w:pPr>
                            <w:r w:rsidRPr="001B3ED4">
                              <w:t>Screening based on titles and abstract (N= 130)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922EF5" id="Text Box 10" o:spid="_x0000_s1031" type="#_x0000_t202" style="position:absolute;left:0;text-align:left;margin-left:60.6pt;margin-top:3.7pt;width:194.4pt;height:4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" fillcolor="white [3201]" strokecolor="#d86dcb [1944]" strokeweight="1pt">
                <v:fill color2="#e59edc [1304]" focus="100%" type="gradient"/>
                <v:shadow on="t" color="#4f1548 [1608]" opacity=".5" offset="1pt"/>
                <v:textbox>
                  <w:txbxContent>
                    <w:p w14:paraId="48C84419" w14:textId="77777777" w:rsidR="00AB0BD3" w:rsidRPr="001B3ED4" w:rsidRDefault="00AB0BD3" w:rsidP="00AB0BD3">
                      <w:pPr>
                        <w:jc w:val="center"/>
                      </w:pPr>
                      <w:r w:rsidRPr="001B3ED4">
                        <w:t>Screening based on titles and abstract (N= 130)</w:t>
                      </w:r>
                    </w:p>
                  </w:txbxContent>
                </v:textbox>
              </v:shape>
            </w:pict>
          </mc:Fallback>
        </mc:AlternateContent>
      </w:r>
    </w:p>
    <w:p w14:paraId="66D690CD"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4341D305" wp14:editId="4F493710">
                <wp:simplePos x="0" y="0"/>
                <wp:positionH relativeFrom="column">
                  <wp:posOffset>16476</wp:posOffset>
                </wp:positionH>
                <wp:positionV relativeFrom="paragraph">
                  <wp:posOffset>10538</wp:posOffset>
                </wp:positionV>
                <wp:extent cx="411892" cy="838200"/>
                <wp:effectExtent l="0" t="0" r="45720" b="57150"/>
                <wp:wrapNone/>
                <wp:docPr id="77132485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892"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209DBDE7" w14:textId="77777777" w:rsidR="00AB0BD3" w:rsidRPr="001B3ED4" w:rsidRDefault="00AB0BD3" w:rsidP="00AB0BD3">
                            <w:pPr>
                              <w:jc w:val="center"/>
                            </w:pPr>
                            <w:r w:rsidRPr="001B3ED4">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41D305" id="Text Box 9" o:spid="_x0000_s1032" type="#_x0000_t202" style="position:absolute;left:0;text-align:left;margin-left:1.3pt;margin-top:.85pt;width:32.45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209DBDE7" w14:textId="77777777" w:rsidR="00AB0BD3" w:rsidRPr="001B3ED4" w:rsidRDefault="00AB0BD3" w:rsidP="00AB0BD3">
                      <w:pPr>
                        <w:jc w:val="center"/>
                      </w:pPr>
                      <w:r w:rsidRPr="001B3ED4">
                        <w:t>Eligibility</w:t>
                      </w:r>
                    </w:p>
                  </w:txbxContent>
                </v:textbox>
              </v:shape>
            </w:pict>
          </mc:Fallback>
        </mc:AlternateContent>
      </w:r>
    </w:p>
    <w:p w14:paraId="507E0168"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46D24F42" wp14:editId="0D3766C7">
                <wp:simplePos x="0" y="0"/>
                <wp:positionH relativeFrom="column">
                  <wp:posOffset>1824990</wp:posOffset>
                </wp:positionH>
                <wp:positionV relativeFrom="paragraph">
                  <wp:posOffset>57150</wp:posOffset>
                </wp:positionV>
                <wp:extent cx="266700" cy="327025"/>
                <wp:effectExtent l="0" t="0" r="19050" b="34925"/>
                <wp:wrapNone/>
                <wp:docPr id="1185841333"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2702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6F489E" id="Arrow: Down 7" o:spid="_x0000_s1026" type="#_x0000_t67" style="position:absolute;margin-left:143.7pt;margin-top:4.5pt;width:21pt;height:2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" adj="17196"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0D08D311"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216EA4EE" wp14:editId="2CBA00A0">
                <wp:simplePos x="0" y="0"/>
                <wp:positionH relativeFrom="column">
                  <wp:posOffset>3848100</wp:posOffset>
                </wp:positionH>
                <wp:positionV relativeFrom="paragraph">
                  <wp:posOffset>127000</wp:posOffset>
                </wp:positionV>
                <wp:extent cx="2552700" cy="1981200"/>
                <wp:effectExtent l="0" t="0" r="38100" b="57150"/>
                <wp:wrapNone/>
                <wp:docPr id="42089242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98120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6B74F37" w14:textId="77777777" w:rsidR="00AB0BD3" w:rsidRPr="001B3ED4" w:rsidRDefault="00AB0BD3" w:rsidP="00AB0BD3">
                            <w:r w:rsidRPr="001B3ED4">
                              <w:t>Full-text articles excluded (N= 40)</w:t>
                            </w:r>
                          </w:p>
                          <w:p w14:paraId="1166C19B" w14:textId="77777777" w:rsidR="00AB0BD3" w:rsidRPr="001B3ED4" w:rsidRDefault="00AB0BD3" w:rsidP="00AB0BD3">
                            <w:r w:rsidRPr="001B3ED4">
                              <w:t>- Data from other included papers (n=19) is duplicated in this study.</w:t>
                            </w:r>
                          </w:p>
                          <w:p w14:paraId="2E1E1BDF" w14:textId="50ED0702" w:rsidR="00AB0BD3" w:rsidRPr="001B3ED4" w:rsidRDefault="00AB0BD3" w:rsidP="00AB0BD3">
                            <w:r w:rsidRPr="001B3ED4">
                              <w:t>- Insufficient information for a sufficient assessment (n=1</w:t>
                            </w:r>
                            <w:r w:rsidR="004F2450" w:rsidRPr="001B3ED4">
                              <w:t>5</w:t>
                            </w:r>
                            <w:r w:rsidRPr="001B3ED4">
                              <w:t>)</w:t>
                            </w:r>
                          </w:p>
                          <w:p w14:paraId="541FF534" w14:textId="77777777" w:rsidR="00AB0BD3" w:rsidRPr="001B3ED4" w:rsidRDefault="00AB0BD3" w:rsidP="00AB0BD3">
                            <w:r w:rsidRPr="001B3ED4">
                              <w:t>- results are not relevant (n=6)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6EA4EE" id="Text Box 6" o:spid="_x0000_s1033" type="#_x0000_t202" style="position:absolute;left:0;text-align:left;margin-left:303pt;margin-top:10pt;width:201pt;height:15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" fillcolor="white [3201]" strokecolor="#f1a983 [1941]" strokeweight="1pt">
                <v:fill color2="#f6c5ac [1301]" focus="100%" type="gradient"/>
                <v:shadow on="t" color="#7f340d [1605]" opacity=".5" offset="1pt"/>
                <v:textbox>
                  <w:txbxContent>
                    <w:p w14:paraId="16B74F37" w14:textId="77777777" w:rsidR="00AB0BD3" w:rsidRPr="001B3ED4" w:rsidRDefault="00AB0BD3" w:rsidP="00AB0BD3">
                      <w:r w:rsidRPr="001B3ED4">
                        <w:t>Full-text articles excluded (N= 40)</w:t>
                      </w:r>
                    </w:p>
                    <w:p w14:paraId="1166C19B" w14:textId="77777777" w:rsidR="00AB0BD3" w:rsidRPr="001B3ED4" w:rsidRDefault="00AB0BD3" w:rsidP="00AB0BD3">
                      <w:r w:rsidRPr="001B3ED4">
                        <w:t>- Data from other included papers (n=19) is duplicated in this study.</w:t>
                      </w:r>
                    </w:p>
                    <w:p w14:paraId="2E1E1BDF" w14:textId="50ED0702" w:rsidR="00AB0BD3" w:rsidRPr="001B3ED4" w:rsidRDefault="00AB0BD3" w:rsidP="00AB0BD3">
                      <w:r w:rsidRPr="001B3ED4">
                        <w:t>- Insufficient information for a sufficient assessment (n=1</w:t>
                      </w:r>
                      <w:r w:rsidR="004F2450" w:rsidRPr="001B3ED4">
                        <w:t>5</w:t>
                      </w:r>
                      <w:r w:rsidRPr="001B3ED4">
                        <w:t>)</w:t>
                      </w:r>
                    </w:p>
                    <w:p w14:paraId="541FF534" w14:textId="77777777" w:rsidR="00AB0BD3" w:rsidRPr="001B3ED4" w:rsidRDefault="00AB0BD3" w:rsidP="00AB0BD3">
                      <w:r w:rsidRPr="001B3ED4">
                        <w:t>- results are not relevant (n=6)</w:t>
                      </w:r>
                    </w:p>
                  </w:txbxContent>
                </v:textbox>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76B6BC82" wp14:editId="5B6AC4E1">
                <wp:simplePos x="0" y="0"/>
                <wp:positionH relativeFrom="column">
                  <wp:posOffset>3345180</wp:posOffset>
                </wp:positionH>
                <wp:positionV relativeFrom="paragraph">
                  <wp:posOffset>341630</wp:posOffset>
                </wp:positionV>
                <wp:extent cx="495300" cy="189230"/>
                <wp:effectExtent l="0" t="0" r="19050" b="39370"/>
                <wp:wrapNone/>
                <wp:docPr id="1457751015"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5300" cy="18923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66D044" id="Arrow: Right 4" o:spid="_x0000_s1026" type="#_x0000_t13" style="position:absolute;margin-left:263.4pt;margin-top:26.9pt;width:39pt;height:14.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" adj="14276" fillcolor="#bcbcbc [2369]" stroked="f" strokeweight="0">
                <v:fill color2="black [3200]" focusposition=".5,.5" focussize="" focus="100%" type="gradientRadial">
                  <o:fill v:ext="view" type="gradientCenter"/>
                </v:fill>
                <v:shadow on="t" color="#7f7f7f [1601]" offset="1pt"/>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2A0FDD1B" wp14:editId="3DA227D4">
                <wp:simplePos x="0" y="0"/>
                <wp:positionH relativeFrom="column">
                  <wp:posOffset>792480</wp:posOffset>
                </wp:positionH>
                <wp:positionV relativeFrom="paragraph">
                  <wp:posOffset>127000</wp:posOffset>
                </wp:positionV>
                <wp:extent cx="2468880" cy="563880"/>
                <wp:effectExtent l="0" t="0" r="45720" b="64770"/>
                <wp:wrapNone/>
                <wp:docPr id="23406502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638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4D2E7C1" w14:textId="77777777" w:rsidR="00AB0BD3" w:rsidRPr="001B3ED4" w:rsidRDefault="00AB0BD3" w:rsidP="00AB0BD3">
                            <w:pPr>
                              <w:jc w:val="center"/>
                            </w:pPr>
                            <w:r w:rsidRPr="001B3ED4">
                              <w:t>Full-text assessment of articles (N= 50)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0FDD1B" id="Text Box 5" o:spid="_x0000_s1034" type="#_x0000_t202" style="position:absolute;left:0;text-align:left;margin-left:62.4pt;margin-top:10pt;width:194.4pt;height:4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" fillcolor="white [3201]" strokecolor="#47d459 [1942]" strokeweight="1pt">
                <v:fill color2="#84e290 [1302]" focus="100%" type="gradient"/>
                <v:shadow on="t" color="#0c3511 [1606]" opacity=".5" offset="1pt"/>
                <v:textbox>
                  <w:txbxContent>
                    <w:p w14:paraId="74D2E7C1" w14:textId="77777777" w:rsidR="00AB0BD3" w:rsidRPr="001B3ED4" w:rsidRDefault="00AB0BD3" w:rsidP="00AB0BD3">
                      <w:pPr>
                        <w:jc w:val="center"/>
                      </w:pPr>
                      <w:r w:rsidRPr="001B3ED4">
                        <w:t>Full-text assessment of articles (N= 50)</w:t>
                      </w:r>
                    </w:p>
                  </w:txbxContent>
                </v:textbox>
              </v:shape>
            </w:pict>
          </mc:Fallback>
        </mc:AlternateContent>
      </w:r>
    </w:p>
    <w:p w14:paraId="2695F650" w14:textId="77777777" w:rsidR="00AB0BD3" w:rsidRPr="001B3ED4" w:rsidRDefault="00AB0BD3" w:rsidP="00AB0BD3">
      <w:pPr>
        <w:spacing w:line="360" w:lineRule="auto"/>
        <w:jc w:val="both"/>
        <w:rPr>
          <w:rFonts w:ascii="Arial" w:hAnsi="Arial" w:cs="Arial"/>
          <w:color w:val="000000" w:themeColor="text1"/>
        </w:rPr>
      </w:pPr>
    </w:p>
    <w:p w14:paraId="62172B4F"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10DED3C0" wp14:editId="4F6E1729">
                <wp:simplePos x="0" y="0"/>
                <wp:positionH relativeFrom="column">
                  <wp:posOffset>1817370</wp:posOffset>
                </wp:positionH>
                <wp:positionV relativeFrom="paragraph">
                  <wp:posOffset>45084</wp:posOffset>
                </wp:positionV>
                <wp:extent cx="266700" cy="351155"/>
                <wp:effectExtent l="0" t="0" r="19050" b="29845"/>
                <wp:wrapNone/>
                <wp:docPr id="1141672469"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5115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19222C" id="Arrow: Down 2" o:spid="_x0000_s1026" type="#_x0000_t67" style="position:absolute;margin-left:143.1pt;margin-top:3.55pt;width:21pt;height:27.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" adj="17499"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DE56425" w14:textId="77777777" w:rsidR="00AB0BD3" w:rsidRPr="001B3ED4" w:rsidRDefault="00AB0BD3" w:rsidP="00AB0BD3">
      <w:pPr>
        <w:spacing w:line="360" w:lineRule="auto"/>
        <w:jc w:val="both"/>
        <w:rPr>
          <w:rFonts w:ascii="Arial" w:hAnsi="Arial" w:cs="Arial"/>
          <w:color w:val="000000" w:themeColor="text1"/>
        </w:rPr>
      </w:pPr>
      <w:r w:rsidRPr="001B3ED4">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4D7B5264" wp14:editId="0F149FA5">
                <wp:simplePos x="0" y="0"/>
                <wp:positionH relativeFrom="column">
                  <wp:posOffset>736169</wp:posOffset>
                </wp:positionH>
                <wp:positionV relativeFrom="paragraph">
                  <wp:posOffset>144714</wp:posOffset>
                </wp:positionV>
                <wp:extent cx="2651760" cy="782665"/>
                <wp:effectExtent l="0" t="0" r="34290" b="55880"/>
                <wp:wrapNone/>
                <wp:docPr id="14630751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1760" cy="78266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7C923D4" w14:textId="77777777" w:rsidR="00AB0BD3" w:rsidRPr="001B3ED4" w:rsidRDefault="00AB0BD3" w:rsidP="00AB0BD3">
                            <w:pPr>
                              <w:jc w:val="center"/>
                            </w:pPr>
                            <w:r w:rsidRPr="001B3ED4">
                              <w:t>Article meeting inclusion criteria/ selected articles</w:t>
                            </w:r>
                          </w:p>
                          <w:p w14:paraId="7A7068F5" w14:textId="77777777" w:rsidR="00AB0BD3" w:rsidRPr="001B3ED4" w:rsidRDefault="00AB0BD3" w:rsidP="00AB0BD3">
                            <w:pPr>
                              <w:jc w:val="center"/>
                            </w:pPr>
                            <w:r w:rsidRPr="001B3ED4">
                              <w:t>(N= 10)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7B5264" id="Text Box 1" o:spid="_x0000_s1035" type="#_x0000_t202" style="position:absolute;left:0;text-align:left;margin-left:57.95pt;margin-top:11.4pt;width:208.8pt;height:61.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" fillcolor="white [3201]" strokecolor="#47d459 [1942]" strokeweight="1pt">
                <v:fill color2="#84e290 [1302]" focus="100%" type="gradient"/>
                <v:shadow on="t" color="#0c3511 [1606]" opacity=".5" offset="1pt"/>
                <v:textbox>
                  <w:txbxContent>
                    <w:p w14:paraId="77C923D4" w14:textId="77777777" w:rsidR="00AB0BD3" w:rsidRPr="001B3ED4" w:rsidRDefault="00AB0BD3" w:rsidP="00AB0BD3">
                      <w:pPr>
                        <w:jc w:val="center"/>
                      </w:pPr>
                      <w:r w:rsidRPr="001B3ED4">
                        <w:t>Article meeting inclusion criteria/ selected articles</w:t>
                      </w:r>
                    </w:p>
                    <w:p w14:paraId="7A7068F5" w14:textId="77777777" w:rsidR="00AB0BD3" w:rsidRPr="001B3ED4" w:rsidRDefault="00AB0BD3" w:rsidP="00AB0BD3">
                      <w:pPr>
                        <w:jc w:val="center"/>
                      </w:pPr>
                      <w:r w:rsidRPr="001B3ED4">
                        <w:t>(N= 10)</w:t>
                      </w:r>
                    </w:p>
                  </w:txbxContent>
                </v:textbox>
              </v:shape>
            </w:pict>
          </mc:Fallback>
        </mc:AlternateContent>
      </w:r>
      <w:r w:rsidRPr="001B3ED4">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253D4433" wp14:editId="3A6E2867">
                <wp:simplePos x="0" y="0"/>
                <wp:positionH relativeFrom="margin">
                  <wp:align>left</wp:align>
                </wp:positionH>
                <wp:positionV relativeFrom="paragraph">
                  <wp:posOffset>162560</wp:posOffset>
                </wp:positionV>
                <wp:extent cx="375285" cy="838200"/>
                <wp:effectExtent l="0" t="0" r="43815" b="57150"/>
                <wp:wrapNone/>
                <wp:docPr id="154789213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4F8DEC3" w14:textId="77777777" w:rsidR="00AB0BD3" w:rsidRPr="001B3ED4" w:rsidRDefault="00AB0BD3" w:rsidP="00AB0BD3">
                            <w:pPr>
                              <w:jc w:val="center"/>
                            </w:pPr>
                            <w:r w:rsidRPr="001B3ED4">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3D4433" id="Text Box 3" o:spid="_x0000_s1036" type="#_x0000_t202" style="position:absolute;left:0;text-align:left;margin-left:0;margin-top:12.8pt;width:29.55pt;height:66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" fillcolor="#8dd873 [1945]" strokecolor="#8dd873 [1945]" strokeweight="1pt">
                <v:fill color2="#d9f2d0 [665]" angle="135" focus="50%" type="gradient"/>
                <v:shadow on="t" color="#265317 [1609]" opacity=".5" offset="1pt"/>
                <v:textbox style="layout-flow:vertical;mso-layout-flow-alt:bottom-to-top">
                  <w:txbxContent>
                    <w:p w14:paraId="14F8DEC3" w14:textId="77777777" w:rsidR="00AB0BD3" w:rsidRPr="001B3ED4" w:rsidRDefault="00AB0BD3" w:rsidP="00AB0BD3">
                      <w:pPr>
                        <w:jc w:val="center"/>
                      </w:pPr>
                      <w:r w:rsidRPr="001B3ED4">
                        <w:t>Included</w:t>
                      </w:r>
                    </w:p>
                  </w:txbxContent>
                </v:textbox>
                <w10:wrap anchorx="margin"/>
              </v:shape>
            </w:pict>
          </mc:Fallback>
        </mc:AlternateContent>
      </w:r>
    </w:p>
    <w:p w14:paraId="543FAF3D" w14:textId="77777777" w:rsidR="00AB0BD3" w:rsidRPr="001B3ED4" w:rsidRDefault="00AB0BD3" w:rsidP="00AB0BD3">
      <w:pPr>
        <w:spacing w:line="360" w:lineRule="auto"/>
        <w:jc w:val="both"/>
        <w:rPr>
          <w:rFonts w:ascii="Arial" w:hAnsi="Arial" w:cs="Arial"/>
          <w:color w:val="000000" w:themeColor="text1"/>
        </w:rPr>
      </w:pPr>
    </w:p>
    <w:p w14:paraId="2A32A229" w14:textId="77777777" w:rsidR="00AB0BD3" w:rsidRPr="001B3ED4" w:rsidRDefault="00AB0BD3" w:rsidP="00AB0BD3">
      <w:pPr>
        <w:spacing w:line="360" w:lineRule="auto"/>
        <w:jc w:val="both"/>
        <w:rPr>
          <w:rFonts w:ascii="Arial" w:hAnsi="Arial" w:cs="Arial"/>
        </w:rPr>
      </w:pPr>
    </w:p>
    <w:p w14:paraId="7383C10E" w14:textId="77777777" w:rsidR="00AB0BD3" w:rsidRPr="001B3ED4" w:rsidRDefault="00AB0BD3" w:rsidP="00AB0BD3">
      <w:pPr>
        <w:spacing w:line="360" w:lineRule="auto"/>
        <w:jc w:val="center"/>
        <w:rPr>
          <w:rFonts w:ascii="Arial" w:hAnsi="Arial" w:cs="Arial"/>
        </w:rPr>
      </w:pPr>
    </w:p>
    <w:p w14:paraId="20B5CF30" w14:textId="253559A3" w:rsidR="00AB0BD3" w:rsidRPr="001B3ED4" w:rsidRDefault="00AB0BD3" w:rsidP="0052700B">
      <w:pPr>
        <w:spacing w:line="360" w:lineRule="auto"/>
        <w:jc w:val="center"/>
        <w:rPr>
          <w:rFonts w:ascii="Arial" w:hAnsi="Arial" w:cs="Arial"/>
        </w:rPr>
      </w:pPr>
      <w:r w:rsidRPr="001B3ED4">
        <w:rPr>
          <w:rFonts w:ascii="Arial" w:hAnsi="Arial" w:cs="Arial"/>
        </w:rPr>
        <w:t>Figure 1: PRISMA Diagram</w:t>
      </w:r>
    </w:p>
    <w:p w14:paraId="79DA16F0" w14:textId="77777777" w:rsidR="00AB0BD3" w:rsidRPr="001B3ED4" w:rsidRDefault="00AB0BD3" w:rsidP="004F2450">
      <w:pPr>
        <w:pStyle w:val="Heading1"/>
      </w:pPr>
      <w:bookmarkStart w:id="42" w:name="_Toc218418696"/>
      <w:r w:rsidRPr="001B3ED4">
        <w:lastRenderedPageBreak/>
        <w:t>4.3 Characteristics of the Selected Research Articles</w:t>
      </w:r>
      <w:bookmarkEnd w:id="42"/>
      <w:r w:rsidRPr="001B3ED4">
        <w:t xml:space="preserve"> </w:t>
      </w:r>
    </w:p>
    <w:p w14:paraId="3EAEDF5C" w14:textId="77777777" w:rsidR="00AB0BD3" w:rsidRPr="001B3ED4" w:rsidRDefault="00AB0BD3" w:rsidP="00AB0BD3">
      <w:pPr>
        <w:spacing w:line="360" w:lineRule="auto"/>
        <w:jc w:val="both"/>
        <w:rPr>
          <w:rFonts w:ascii="Arial" w:hAnsi="Arial" w:cs="Arial"/>
        </w:rPr>
      </w:pPr>
      <w:r w:rsidRPr="001B3ED4">
        <w:rPr>
          <w:rFonts w:ascii="Arial" w:hAnsi="Arial" w:cs="Arial"/>
        </w:rPr>
        <w:t>The 10 studies included in this systematic review comprised a mix of observational studies, retrospective analyses, cohort studies, and programmatic evaluations conducted in high-risk urban or peri-urban settings relevant to Delhi. Publication years ranged from 2015 to recent years, reflecting both historical and contemporary perspectives on BCG vaccination and TB control. Most studies focused on TB incidence, prevalence, or morbidity outcomes in relation to BCG vaccination status, while others examined vaccination coverage, health system performance, and socio-demographic determinants. The target populations generally included adolescents and adults within the 15–60-year age range, with several studies specifically addressing migrant workers, slum dwellers, or economically disadvantaged groups. Data sources varied and included national TB programme records, hospital registries, surveys, and surveillance data. Collectively, these studies provided diverse but complementary evidence relevant to assessing the impact and challenges of BCG vaccination campaigns in high-risk districts of Delhi.</w:t>
      </w:r>
    </w:p>
    <w:p w14:paraId="55BBB518" w14:textId="77777777" w:rsidR="00AB0BD3" w:rsidRPr="001B3ED4" w:rsidRDefault="00AB0BD3" w:rsidP="00AB0BD3">
      <w:pPr>
        <w:spacing w:after="0" w:line="240" w:lineRule="auto"/>
        <w:jc w:val="both"/>
        <w:rPr>
          <w:rFonts w:ascii="Arial" w:hAnsi="Arial" w:cs="Arial"/>
          <w:b/>
          <w:bCs/>
        </w:rPr>
      </w:pPr>
      <w:r w:rsidRPr="001B3ED4">
        <w:rPr>
          <w:rFonts w:ascii="Arial" w:hAnsi="Arial" w:cs="Arial"/>
          <w:b/>
          <w:bCs/>
        </w:rPr>
        <w:t>Table 4.1 Data Extraction</w:t>
      </w:r>
    </w:p>
    <w:tbl>
      <w:tblPr>
        <w:tblpPr w:leftFromText="180" w:rightFromText="180" w:bottomFromText="160" w:vertAnchor="text" w:horzAnchor="page" w:tblpXSpec="center" w:tblpY="370"/>
        <w:tblW w:w="6173"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895"/>
        <w:gridCol w:w="1262"/>
        <w:gridCol w:w="1516"/>
        <w:gridCol w:w="1391"/>
        <w:gridCol w:w="1394"/>
        <w:gridCol w:w="1269"/>
        <w:gridCol w:w="1623"/>
        <w:gridCol w:w="1781"/>
      </w:tblGrid>
      <w:tr w:rsidR="00AB0BD3" w:rsidRPr="00607862" w14:paraId="739D3143"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1F5068" w14:textId="77777777" w:rsidR="00AB0BD3" w:rsidRPr="00607862" w:rsidRDefault="00AB0BD3" w:rsidP="00454512">
            <w:pPr>
              <w:pStyle w:val="TableParagraph"/>
              <w:spacing w:line="360" w:lineRule="auto"/>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Study Author’s name/ year</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5C74D4" w14:textId="77777777" w:rsidR="00AB0BD3" w:rsidRPr="00607862" w:rsidRDefault="00AB0BD3" w:rsidP="00454512">
            <w:pPr>
              <w:pStyle w:val="TableParagraph"/>
              <w:spacing w:line="360" w:lineRule="auto"/>
              <w:ind w:left="107"/>
              <w:jc w:val="center"/>
              <w:rPr>
                <w:b/>
                <w:color w:val="000000" w:themeColor="text1"/>
                <w:kern w:val="2"/>
                <w:sz w:val="16"/>
                <w:szCs w:val="16"/>
                <w:lang w:eastAsia="en-US"/>
              </w:rPr>
            </w:pPr>
            <w:r w:rsidRPr="00607862">
              <w:rPr>
                <w:b/>
                <w:color w:val="000000" w:themeColor="text1"/>
                <w:spacing w:val="-2"/>
                <w:kern w:val="2"/>
                <w:sz w:val="16"/>
                <w:szCs w:val="16"/>
                <w:lang w:eastAsia="en-US"/>
              </w:rPr>
              <w:t>Objective/purpose</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FADB0E" w14:textId="77777777" w:rsidR="00AB0BD3" w:rsidRPr="00607862" w:rsidRDefault="00AB0BD3" w:rsidP="00454512">
            <w:pPr>
              <w:pStyle w:val="TableParagraph"/>
              <w:spacing w:line="360" w:lineRule="auto"/>
              <w:ind w:left="107"/>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Setting/sample</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B29375" w14:textId="77777777" w:rsidR="00AB0BD3" w:rsidRPr="00607862" w:rsidRDefault="00AB0BD3" w:rsidP="00454512">
            <w:pPr>
              <w:pStyle w:val="TableParagraph"/>
              <w:spacing w:line="360" w:lineRule="auto"/>
              <w:ind w:left="107"/>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Methodology /Study design</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CFD483" w14:textId="77777777" w:rsidR="00AB0BD3" w:rsidRPr="00607862" w:rsidRDefault="00AB0BD3" w:rsidP="00454512">
            <w:pPr>
              <w:pStyle w:val="TableParagraph"/>
              <w:spacing w:line="360" w:lineRule="auto"/>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 xml:space="preserve">Strengths </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18535E" w14:textId="77777777" w:rsidR="00AB0BD3" w:rsidRPr="00607862" w:rsidRDefault="00AB0BD3" w:rsidP="00454512">
            <w:pPr>
              <w:pStyle w:val="TableParagraph"/>
              <w:spacing w:line="360" w:lineRule="auto"/>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weakness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433CAD" w14:textId="77777777" w:rsidR="00AB0BD3" w:rsidRPr="00607862" w:rsidRDefault="00AB0BD3" w:rsidP="00454512">
            <w:pPr>
              <w:pStyle w:val="TableParagraph"/>
              <w:spacing w:line="360" w:lineRule="auto"/>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Results /outcomes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7B98AE" w14:textId="77777777" w:rsidR="00AB0BD3" w:rsidRPr="00607862" w:rsidRDefault="00AB0BD3" w:rsidP="00454512">
            <w:pPr>
              <w:pStyle w:val="TableParagraph"/>
              <w:spacing w:line="360" w:lineRule="auto"/>
              <w:jc w:val="center"/>
              <w:rPr>
                <w:b/>
                <w:color w:val="000000" w:themeColor="text1"/>
                <w:spacing w:val="-2"/>
                <w:kern w:val="2"/>
                <w:sz w:val="16"/>
                <w:szCs w:val="16"/>
                <w:lang w:eastAsia="en-US"/>
              </w:rPr>
            </w:pPr>
            <w:r w:rsidRPr="00607862">
              <w:rPr>
                <w:b/>
                <w:color w:val="000000" w:themeColor="text1"/>
                <w:spacing w:val="-2"/>
                <w:kern w:val="2"/>
                <w:sz w:val="16"/>
                <w:szCs w:val="16"/>
                <w:lang w:eastAsia="en-US"/>
              </w:rPr>
              <w:t>Conclusion</w:t>
            </w:r>
          </w:p>
        </w:tc>
      </w:tr>
      <w:tr w:rsidR="00AB0BD3" w:rsidRPr="00607862" w14:paraId="0F3B3CEE"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77C076" w14:textId="77777777" w:rsidR="00AB0BD3" w:rsidRPr="00607862" w:rsidRDefault="00AB0BD3" w:rsidP="0038210D">
            <w:pPr>
              <w:pStyle w:val="TableParagraph"/>
              <w:spacing w:line="360" w:lineRule="auto"/>
              <w:rPr>
                <w:bCs/>
                <w:color w:val="000000" w:themeColor="text1"/>
                <w:spacing w:val="-2"/>
                <w:kern w:val="2"/>
                <w:sz w:val="16"/>
                <w:szCs w:val="16"/>
                <w:lang w:eastAsia="en-US"/>
              </w:rPr>
            </w:pPr>
            <w:r w:rsidRPr="00607862">
              <w:rPr>
                <w:bCs/>
                <w:color w:val="000000" w:themeColor="text1"/>
                <w:spacing w:val="-2"/>
                <w:kern w:val="2"/>
                <w:sz w:val="16"/>
                <w:szCs w:val="16"/>
                <w:lang w:eastAsia="en-US"/>
              </w:rPr>
              <w:t>Clark et al, 2024</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1F6913" w14:textId="77777777" w:rsidR="00AB0BD3" w:rsidRPr="00607862" w:rsidRDefault="00AB0BD3"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t>To compare the potential impact of introducing new TB vaccines (M72/AS01E and BCG revaccination) in regions of India with differing TB prevalence levels.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0EE1A1" w14:textId="1120F99A" w:rsidR="00AB0BD3" w:rsidRPr="00607862" w:rsidRDefault="00D9032F"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t xml:space="preserve">The study was conducted in </w:t>
            </w:r>
            <w:r w:rsidRPr="00607862">
              <w:rPr>
                <w:color w:val="000000" w:themeColor="text1"/>
                <w:spacing w:val="-2"/>
                <w:kern w:val="2"/>
                <w:sz w:val="16"/>
                <w:szCs w:val="16"/>
                <w:lang w:eastAsia="en-US"/>
              </w:rPr>
              <w:t xml:space="preserve">India (Delhi and Gujarat), </w:t>
            </w:r>
            <w:r w:rsidR="003243A0" w:rsidRPr="00607862">
              <w:rPr>
                <w:color w:val="000000" w:themeColor="text1"/>
                <w:spacing w:val="-2"/>
                <w:kern w:val="2"/>
                <w:sz w:val="16"/>
                <w:szCs w:val="16"/>
                <w:lang w:eastAsia="en-US"/>
              </w:rPr>
              <w:t xml:space="preserve">and a total of 375 </w:t>
            </w:r>
            <w:r w:rsidRPr="00607862">
              <w:rPr>
                <w:color w:val="000000" w:themeColor="text1"/>
                <w:spacing w:val="-2"/>
                <w:kern w:val="2"/>
                <w:sz w:val="16"/>
                <w:szCs w:val="16"/>
                <w:lang w:eastAsia="en-US"/>
              </w:rPr>
              <w:t xml:space="preserve">participants </w:t>
            </w:r>
            <w:r w:rsidR="003243A0" w:rsidRPr="00607862">
              <w:rPr>
                <w:color w:val="000000" w:themeColor="text1"/>
                <w:spacing w:val="-2"/>
                <w:kern w:val="2"/>
                <w:sz w:val="16"/>
                <w:szCs w:val="16"/>
                <w:lang w:eastAsia="en-US"/>
              </w:rPr>
              <w:t xml:space="preserve">were </w:t>
            </w:r>
            <w:r w:rsidRPr="00607862">
              <w:rPr>
                <w:color w:val="000000" w:themeColor="text1"/>
                <w:spacing w:val="-2"/>
                <w:kern w:val="2"/>
                <w:sz w:val="16"/>
                <w:szCs w:val="16"/>
                <w:lang w:eastAsia="en-US"/>
              </w:rPr>
              <w:t>included.</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F2D4A0" w14:textId="77777777" w:rsidR="00AB0BD3" w:rsidRPr="00607862" w:rsidRDefault="00AB0BD3"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t>Mathematical modelling study simulating hypothetical vaccine introduction scenarios. Assumed 50% efficacy for M72/AS01E (preventing disease) and 45% efficacy for BCG revaccination (preventing infection).</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D3D0C5"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Addresses a critical evidence gap by comparing vaccine impact across regions with different TB epidemiology, long-term projections, and policy-relevant outcomes (cases and deaths averted).</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FCFCD1"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Based on hypothetical scenarios and assumed vaccine efficacy, results depend on model assumptions; no real-world clinical or programmatic data; uncertainty remains until trial data are available.</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7BC34D"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t>M72/AS01E could avert 16.0% of TB cases and 14.4% of deaths in Delhi, and 8.5% of cases and 7.6% of deaths in Gujarat. BCG revaccination could avert 8.8% of cases and 8.3% of deaths in Delhi, and 5.1% of cases and 4.8% of deaths in Gujarat (2025–2050).</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0057F6"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Both vaccines show substantial potential to reduce TB burden, particularly in high-prevalence settings like Delhi. Ongoing and future clinical trials are essential to refine efficacy estimates and reduce uncertainty before large-scale implementation.</w:t>
            </w:r>
          </w:p>
        </w:tc>
      </w:tr>
      <w:tr w:rsidR="00AB0BD3" w:rsidRPr="00607862" w14:paraId="78BC93C8"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9D31A7" w14:textId="77777777" w:rsidR="00AB0BD3" w:rsidRPr="00607862" w:rsidRDefault="00AB0BD3" w:rsidP="00454512">
            <w:pPr>
              <w:pStyle w:val="TableParagraph"/>
              <w:spacing w:line="360" w:lineRule="auto"/>
              <w:rPr>
                <w:sz w:val="16"/>
                <w:szCs w:val="16"/>
              </w:rPr>
            </w:pPr>
            <w:r w:rsidRPr="00607862">
              <w:rPr>
                <w:sz w:val="16"/>
                <w:szCs w:val="16"/>
              </w:rPr>
              <w:t>Singh et al, 2020</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86C08B" w14:textId="77777777" w:rsidR="00AB0BD3" w:rsidRPr="00607862" w:rsidRDefault="00AB0BD3" w:rsidP="0045451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 xml:space="preserve">To review the historical development, mechanism of action, </w:t>
            </w:r>
            <w:r w:rsidRPr="00607862">
              <w:rPr>
                <w:bCs/>
                <w:color w:val="000000" w:themeColor="text1"/>
                <w:spacing w:val="-2"/>
                <w:sz w:val="16"/>
                <w:szCs w:val="16"/>
              </w:rPr>
              <w:lastRenderedPageBreak/>
              <w:t>effectiveness, and broader public health implications of the BCG vaccine across different age groups.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954521" w14:textId="77777777" w:rsidR="00AB0BD3" w:rsidRPr="00607862" w:rsidRDefault="00AB0BD3"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lastRenderedPageBreak/>
              <w:t xml:space="preserve">Evidence drawn from newborns, children, adolescents, adults, and elderly </w:t>
            </w:r>
            <w:r w:rsidRPr="00607862">
              <w:rPr>
                <w:bCs/>
                <w:color w:val="000000" w:themeColor="text1"/>
                <w:spacing w:val="-2"/>
                <w:kern w:val="2"/>
                <w:sz w:val="16"/>
                <w:szCs w:val="16"/>
                <w:lang w:eastAsia="en-US"/>
              </w:rPr>
              <w:lastRenderedPageBreak/>
              <w:t>populations across low-, middle-, and high-income countries.</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89B20A" w14:textId="77777777" w:rsidR="00AB0BD3" w:rsidRPr="00607862" w:rsidRDefault="00AB0BD3" w:rsidP="0045451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lastRenderedPageBreak/>
              <w:t xml:space="preserve">Narrative review of existing literature on BCG vaccine efficacy, duration of </w:t>
            </w:r>
            <w:r w:rsidRPr="00607862">
              <w:rPr>
                <w:bCs/>
                <w:color w:val="000000" w:themeColor="text1"/>
                <w:spacing w:val="-2"/>
                <w:sz w:val="16"/>
                <w:szCs w:val="16"/>
              </w:rPr>
              <w:lastRenderedPageBreak/>
              <w:t>protection, and non-specific immunological effects.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802C88"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lastRenderedPageBreak/>
              <w:t xml:space="preserve">Comprehensive age-wise evaluation of BCG effectiveness; highlights both </w:t>
            </w:r>
            <w:r w:rsidRPr="00607862">
              <w:rPr>
                <w:bCs/>
                <w:color w:val="000000" w:themeColor="text1"/>
                <w:spacing w:val="-2"/>
                <w:sz w:val="16"/>
                <w:szCs w:val="16"/>
              </w:rPr>
              <w:lastRenderedPageBreak/>
              <w:t>TB-specific and non-specific benefits; provides historical and immunological context.</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3943D5"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 xml:space="preserve">Narrative review design limits systematic comparability; lacks quantitative </w:t>
            </w:r>
            <w:r w:rsidRPr="00607862">
              <w:rPr>
                <w:bCs/>
                <w:color w:val="000000" w:themeColor="text1"/>
                <w:spacing w:val="-2"/>
                <w:sz w:val="16"/>
                <w:szCs w:val="16"/>
              </w:rPr>
              <w:lastRenderedPageBreak/>
              <w:t>synthesis; regional variability not analysed using primary data.</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EC27E8"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 xml:space="preserve">BCG provides 60–80% protection against severe TB in infants for 10–15 years; moderate protection in children </w:t>
            </w:r>
            <w:r w:rsidRPr="00607862">
              <w:rPr>
                <w:bCs/>
                <w:color w:val="000000" w:themeColor="text1"/>
                <w:spacing w:val="-2"/>
                <w:sz w:val="16"/>
                <w:szCs w:val="16"/>
              </w:rPr>
              <w:lastRenderedPageBreak/>
              <w:t>and adolescents; limited and variable effectiveness against pulmonary TB in adults; minimal protection in the elderly; possible additional benefits against other infections and cancer.</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C3CDD7"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 xml:space="preserve">BCG remains vital for TB prevention, particularly in early life and in TB-endemic regions. Reassessment of its role </w:t>
            </w:r>
            <w:r w:rsidRPr="00607862">
              <w:rPr>
                <w:bCs/>
                <w:color w:val="000000" w:themeColor="text1"/>
                <w:spacing w:val="-2"/>
                <w:sz w:val="16"/>
                <w:szCs w:val="16"/>
              </w:rPr>
              <w:lastRenderedPageBreak/>
              <w:t>in adult vaccination requires further evidence, but it continues to be a cornerstone of public health strategies in low- and middle-income countries.</w:t>
            </w:r>
          </w:p>
        </w:tc>
      </w:tr>
      <w:tr w:rsidR="00AB0BD3" w:rsidRPr="00607862" w14:paraId="26FBBCF7"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7E6853" w14:textId="77777777" w:rsidR="00AB0BD3" w:rsidRPr="00607862" w:rsidRDefault="00AB0BD3" w:rsidP="00454512">
            <w:pPr>
              <w:pStyle w:val="TableParagraph"/>
              <w:spacing w:line="360" w:lineRule="auto"/>
              <w:rPr>
                <w:sz w:val="16"/>
                <w:szCs w:val="16"/>
              </w:rPr>
            </w:pPr>
            <w:proofErr w:type="spellStart"/>
            <w:r w:rsidRPr="00607862">
              <w:rPr>
                <w:sz w:val="16"/>
                <w:szCs w:val="16"/>
              </w:rPr>
              <w:lastRenderedPageBreak/>
              <w:t>Arinaminpathy</w:t>
            </w:r>
            <w:proofErr w:type="spellEnd"/>
            <w:r w:rsidRPr="00607862">
              <w:rPr>
                <w:sz w:val="16"/>
                <w:szCs w:val="16"/>
              </w:rPr>
              <w:t xml:space="preserve"> et al, 2023</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751DFC" w14:textId="77777777" w:rsidR="00AB0BD3" w:rsidRPr="00607862" w:rsidRDefault="00AB0BD3" w:rsidP="0045451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To estimate the potential epidemiological impact of TB vaccination strategies, including BCG revaccination, among adults and adolescents in India.</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0BFA54" w14:textId="45EAD401" w:rsidR="00284A84" w:rsidRPr="00607862" w:rsidRDefault="00284A84" w:rsidP="00284A84">
            <w:pPr>
              <w:rPr>
                <w:sz w:val="16"/>
                <w:szCs w:val="16"/>
                <w:lang w:bidi="as-IN"/>
              </w:rPr>
            </w:pPr>
            <w:r w:rsidRPr="00607862">
              <w:rPr>
                <w:rFonts w:ascii="Arial" w:eastAsia="Times New Roman" w:hAnsi="Arial" w:cs="Arial"/>
                <w:color w:val="000000" w:themeColor="text1"/>
                <w:spacing w:val="-2"/>
                <w:sz w:val="16"/>
                <w:szCs w:val="16"/>
                <w:lang w:bidi="as-IN"/>
              </w:rPr>
              <w:t>India, parameterised with data from the national TB prevalence survey</w:t>
            </w:r>
            <w:r w:rsidR="003243A0" w:rsidRPr="00607862">
              <w:rPr>
                <w:rFonts w:ascii="Arial" w:eastAsia="Times New Roman" w:hAnsi="Arial" w:cs="Arial"/>
                <w:color w:val="000000" w:themeColor="text1"/>
                <w:spacing w:val="-2"/>
                <w:sz w:val="16"/>
                <w:szCs w:val="16"/>
                <w:lang w:bidi="as-IN"/>
              </w:rPr>
              <w:t>, 620 participants</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8F41AF" w14:textId="77777777" w:rsidR="00AB0BD3" w:rsidRPr="00607862" w:rsidRDefault="00AB0BD3" w:rsidP="0045451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Deterministic, age-structured compartmental TB transmission model informed by national TB prevalence survey data. Simulated rollout of a vaccine with 50% efficacy from 2023, covering 50% of unvaccinated individuals annually.</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D78FE5"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t>Uses nationally representative prevalence data; compares infection-preventing vs disease-preventing vaccines; evaluates prioritization of vulnerable populations; includes sensitivity analyses on efficacy and duration of immunity.</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B81C4E"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Model-based assumptions may not fully capture real-world implementation challenges; hypothetical vaccine characteristics; lacks direct observational or clinical data.</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22CD8D"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 xml:space="preserve">Infection-preventing vaccine could avert 12% (95% </w:t>
            </w:r>
            <w:proofErr w:type="spellStart"/>
            <w:r w:rsidRPr="00607862">
              <w:rPr>
                <w:bCs/>
                <w:color w:val="000000" w:themeColor="text1"/>
                <w:spacing w:val="-2"/>
                <w:sz w:val="16"/>
                <w:szCs w:val="16"/>
              </w:rPr>
              <w:t>CrI</w:t>
            </w:r>
            <w:proofErr w:type="spellEnd"/>
            <w:r w:rsidRPr="00607862">
              <w:rPr>
                <w:bCs/>
                <w:color w:val="000000" w:themeColor="text1"/>
                <w:spacing w:val="-2"/>
                <w:sz w:val="16"/>
                <w:szCs w:val="16"/>
              </w:rPr>
              <w:t xml:space="preserve">: 4.3–28%) of TB incidence by 2030; disease-preventing vaccine could avert 29% (95% </w:t>
            </w:r>
            <w:proofErr w:type="spellStart"/>
            <w:r w:rsidRPr="00607862">
              <w:rPr>
                <w:bCs/>
                <w:color w:val="000000" w:themeColor="text1"/>
                <w:spacing w:val="-2"/>
                <w:sz w:val="16"/>
                <w:szCs w:val="16"/>
              </w:rPr>
              <w:t>CrI</w:t>
            </w:r>
            <w:proofErr w:type="spellEnd"/>
            <w:r w:rsidRPr="00607862">
              <w:rPr>
                <w:bCs/>
                <w:color w:val="000000" w:themeColor="text1"/>
                <w:spacing w:val="-2"/>
                <w:sz w:val="16"/>
                <w:szCs w:val="16"/>
              </w:rPr>
              <w:t>: 24–34%). Vaccinating vulnerable populations (~16% of population) achieved nearly half the impact of general population rollout.</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3485BF"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TB vaccines with moderate efficacy can substantially reduce TB burden in India, particularly when vaccination strategies prioritize vulnerable populations such as those with undernutrition.</w:t>
            </w:r>
          </w:p>
        </w:tc>
      </w:tr>
      <w:tr w:rsidR="00AB0BD3" w:rsidRPr="00607862" w14:paraId="15C584C0"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8D1BA3" w14:textId="77777777" w:rsidR="00AB0BD3" w:rsidRPr="00607862" w:rsidRDefault="00AB0BD3" w:rsidP="00454512">
            <w:pPr>
              <w:pStyle w:val="TableParagraph"/>
              <w:spacing w:line="360" w:lineRule="auto"/>
              <w:jc w:val="center"/>
              <w:rPr>
                <w:bCs/>
                <w:color w:val="000000" w:themeColor="text1"/>
                <w:spacing w:val="-2"/>
                <w:kern w:val="2"/>
                <w:sz w:val="16"/>
                <w:szCs w:val="16"/>
                <w:lang w:eastAsia="en-US"/>
              </w:rPr>
            </w:pPr>
            <w:r w:rsidRPr="00607862">
              <w:rPr>
                <w:bCs/>
                <w:color w:val="000000" w:themeColor="text1"/>
                <w:spacing w:val="-2"/>
                <w:kern w:val="2"/>
                <w:sz w:val="16"/>
                <w:szCs w:val="16"/>
                <w:lang w:eastAsia="en-US"/>
              </w:rPr>
              <w:t>Neelakantan, 2018</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69EFC5" w14:textId="77777777" w:rsidR="00AB0BD3" w:rsidRPr="00607862" w:rsidRDefault="00AB0BD3" w:rsidP="0045451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To examine tuberculosis control efforts in South India and Southeast Asia within the broader framework of transnational and postcolonial public health.</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D6E5F1C" w14:textId="7F5C4F04" w:rsidR="003254D4" w:rsidRPr="00607862" w:rsidRDefault="003254D4" w:rsidP="003254D4">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South India (Madras State) and Southeast Asia</w:t>
            </w:r>
            <w:r w:rsidR="00A37261" w:rsidRPr="00607862">
              <w:rPr>
                <w:bCs/>
                <w:color w:val="000000" w:themeColor="text1"/>
                <w:spacing w:val="-2"/>
                <w:sz w:val="16"/>
                <w:szCs w:val="16"/>
              </w:rPr>
              <w:t>,</w:t>
            </w:r>
            <w:r w:rsidRPr="00607862">
              <w:rPr>
                <w:bCs/>
                <w:color w:val="000000" w:themeColor="text1"/>
                <w:spacing w:val="-2"/>
                <w:sz w:val="16"/>
                <w:szCs w:val="16"/>
              </w:rPr>
              <w:t xml:space="preserve"> with </w:t>
            </w:r>
            <w:r w:rsidR="00A37261" w:rsidRPr="00607862">
              <w:rPr>
                <w:bCs/>
                <w:color w:val="000000" w:themeColor="text1"/>
                <w:spacing w:val="-2"/>
                <w:sz w:val="16"/>
                <w:szCs w:val="16"/>
              </w:rPr>
              <w:t>145</w:t>
            </w:r>
            <w:r w:rsidRPr="00607862">
              <w:rPr>
                <w:bCs/>
                <w:color w:val="000000" w:themeColor="text1"/>
                <w:spacing w:val="-2"/>
                <w:sz w:val="16"/>
                <w:szCs w:val="16"/>
              </w:rPr>
              <w:t xml:space="preserve"> participants</w:t>
            </w:r>
            <w:r w:rsidR="00A37261" w:rsidRPr="00607862">
              <w:rPr>
                <w:bCs/>
                <w:color w:val="000000" w:themeColor="text1"/>
                <w:spacing w:val="-2"/>
                <w:sz w:val="16"/>
                <w:szCs w:val="16"/>
              </w:rPr>
              <w:t>.</w:t>
            </w:r>
          </w:p>
          <w:p w14:paraId="6D200AD7" w14:textId="54AC9F76" w:rsidR="00AB0BD3" w:rsidRPr="00607862" w:rsidRDefault="00AB0BD3" w:rsidP="00454512">
            <w:pPr>
              <w:pStyle w:val="TableParagraph"/>
              <w:spacing w:line="360" w:lineRule="auto"/>
              <w:ind w:left="107"/>
              <w:rPr>
                <w:bCs/>
                <w:color w:val="000000" w:themeColor="text1"/>
                <w:spacing w:val="-2"/>
                <w:kern w:val="2"/>
                <w:sz w:val="16"/>
                <w:szCs w:val="16"/>
                <w:lang w:eastAsia="en-US"/>
              </w:rPr>
            </w:pP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4CD5BE" w14:textId="77777777" w:rsidR="00AB0BD3" w:rsidRPr="00607862" w:rsidRDefault="00AB0BD3"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t>Historical and qualitative analysis based on extensive archival materials and policy documents.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B08268"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t>Provides deep historical insight into TB control strategies; highlights socio-political and ideological influences on vaccination policy; contributes to underexplored Southeast Asian medical history.</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87CC50"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Historical focus limits direct applicability to current TB control strategies; lacks quantitative health outcome data; findings are context-specific to the postcolonial period.</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B5FA19"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TB control programs reflected tensions between biomedical “magic bullet” approaches (e.g., BCG vaccination) and holistic public health strategies; resistance to BCG vaccination revealed fractured state authority in health policy implementation.</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484D2C"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TB control in postcolonial South India and Southeast Asia was shaped by political, cultural, and ideological factors, demonstrating that public health interventions such as BCG vaccination are deeply influenced by broader social and governance contexts.</w:t>
            </w:r>
          </w:p>
        </w:tc>
      </w:tr>
      <w:tr w:rsidR="00AB0BD3" w:rsidRPr="00607862" w14:paraId="2E542232"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828594" w14:textId="77777777" w:rsidR="00AB0BD3" w:rsidRPr="00607862" w:rsidRDefault="00AB0BD3" w:rsidP="00454512">
            <w:pPr>
              <w:pStyle w:val="TableParagraph"/>
              <w:spacing w:line="360" w:lineRule="auto"/>
              <w:jc w:val="center"/>
              <w:rPr>
                <w:bCs/>
                <w:color w:val="000000" w:themeColor="text1"/>
                <w:spacing w:val="-2"/>
                <w:kern w:val="2"/>
                <w:sz w:val="16"/>
                <w:szCs w:val="16"/>
                <w:lang w:eastAsia="en-US"/>
              </w:rPr>
            </w:pPr>
            <w:r w:rsidRPr="00607862">
              <w:rPr>
                <w:bCs/>
                <w:color w:val="000000" w:themeColor="text1"/>
                <w:spacing w:val="-2"/>
                <w:kern w:val="2"/>
                <w:sz w:val="16"/>
                <w:szCs w:val="16"/>
                <w:lang w:eastAsia="en-US"/>
              </w:rPr>
              <w:t>Kusuma et al, 2018</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4B51B7" w14:textId="77777777" w:rsidR="00AB0BD3" w:rsidRPr="00607862" w:rsidRDefault="00AB0BD3"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t xml:space="preserve">To examine access to childhood immunisation services among socio-economically disadvantaged </w:t>
            </w:r>
            <w:r w:rsidRPr="00607862">
              <w:rPr>
                <w:bCs/>
                <w:color w:val="000000" w:themeColor="text1"/>
                <w:spacing w:val="-2"/>
                <w:kern w:val="2"/>
                <w:sz w:val="16"/>
                <w:szCs w:val="16"/>
                <w:lang w:eastAsia="en-US"/>
              </w:rPr>
              <w:lastRenderedPageBreak/>
              <w:t>migrant populations and identify determinants of full immunisation uptake by one year of age.</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8A8FE0" w14:textId="77777777" w:rsidR="00AB0BD3" w:rsidRPr="00607862" w:rsidRDefault="00AB0BD3" w:rsidP="00454512">
            <w:pPr>
              <w:pStyle w:val="TableParagraph"/>
              <w:spacing w:line="360" w:lineRule="auto"/>
              <w:ind w:left="107"/>
              <w:rPr>
                <w:bCs/>
                <w:color w:val="000000" w:themeColor="text1"/>
                <w:spacing w:val="-2"/>
                <w:kern w:val="2"/>
                <w:sz w:val="16"/>
                <w:szCs w:val="16"/>
                <w:lang w:eastAsia="en-US"/>
              </w:rPr>
            </w:pPr>
            <w:r w:rsidRPr="00607862">
              <w:rPr>
                <w:bCs/>
                <w:color w:val="000000" w:themeColor="text1"/>
                <w:spacing w:val="-2"/>
                <w:kern w:val="2"/>
                <w:sz w:val="16"/>
                <w:szCs w:val="16"/>
                <w:lang w:eastAsia="en-US"/>
              </w:rPr>
              <w:lastRenderedPageBreak/>
              <w:t>Urban migrant population: 458 migrant households with children aged up to 2 years, including recent and settled migrants.</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BE7FA2" w14:textId="77777777" w:rsidR="00AB0BD3" w:rsidRPr="00607862" w:rsidRDefault="00AB0BD3" w:rsidP="00454512">
            <w:pPr>
              <w:pStyle w:val="TableParagraph"/>
              <w:spacing w:line="360" w:lineRule="auto"/>
              <w:ind w:left="0"/>
              <w:rPr>
                <w:bCs/>
                <w:color w:val="000000" w:themeColor="text1"/>
                <w:spacing w:val="-2"/>
                <w:kern w:val="2"/>
                <w:sz w:val="16"/>
                <w:szCs w:val="16"/>
                <w:lang w:eastAsia="en-US"/>
              </w:rPr>
            </w:pPr>
            <w:r w:rsidRPr="00607862">
              <w:rPr>
                <w:bCs/>
                <w:color w:val="000000" w:themeColor="text1"/>
                <w:spacing w:val="-2"/>
                <w:kern w:val="2"/>
                <w:sz w:val="16"/>
                <w:szCs w:val="16"/>
                <w:lang w:eastAsia="en-US"/>
              </w:rPr>
              <w:t xml:space="preserve">Cross-sectional survey using interviewer-administered, pretested questionnaires; multiple logistic regression analysis </w:t>
            </w:r>
            <w:r w:rsidRPr="00607862">
              <w:rPr>
                <w:bCs/>
                <w:color w:val="000000" w:themeColor="text1"/>
                <w:spacing w:val="-2"/>
                <w:kern w:val="2"/>
                <w:sz w:val="16"/>
                <w:szCs w:val="16"/>
                <w:lang w:eastAsia="en-US"/>
              </w:rPr>
              <w:lastRenderedPageBreak/>
              <w:t>to identify determinants of full immunisation.</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333BFA"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 xml:space="preserve">Focus on a vulnerable and under-studied population; use of regression analysis to identify key determinants; collection of </w:t>
            </w:r>
            <w:r w:rsidRPr="00607862">
              <w:rPr>
                <w:bCs/>
                <w:color w:val="000000" w:themeColor="text1"/>
                <w:spacing w:val="-2"/>
                <w:sz w:val="16"/>
                <w:szCs w:val="16"/>
              </w:rPr>
              <w:lastRenderedPageBreak/>
              <w:t>detailed socio-demographic and healthcare utilisation data.</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909C4B"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 xml:space="preserve">Cross-sectional design limits causal </w:t>
            </w:r>
            <w:proofErr w:type="gramStart"/>
            <w:r w:rsidRPr="00607862">
              <w:rPr>
                <w:bCs/>
                <w:color w:val="000000" w:themeColor="text1"/>
                <w:spacing w:val="-2"/>
                <w:sz w:val="16"/>
                <w:szCs w:val="16"/>
              </w:rPr>
              <w:t>inference;</w:t>
            </w:r>
            <w:proofErr w:type="gramEnd"/>
            <w:r w:rsidRPr="00607862">
              <w:rPr>
                <w:bCs/>
                <w:color w:val="000000" w:themeColor="text1"/>
                <w:spacing w:val="-2"/>
                <w:sz w:val="16"/>
                <w:szCs w:val="16"/>
              </w:rPr>
              <w:t xml:space="preserve"> reliance on self-reported immunisation data may introduce recall </w:t>
            </w:r>
            <w:r w:rsidRPr="00607862">
              <w:rPr>
                <w:bCs/>
                <w:color w:val="000000" w:themeColor="text1"/>
                <w:spacing w:val="-2"/>
                <w:sz w:val="16"/>
                <w:szCs w:val="16"/>
              </w:rPr>
              <w:lastRenderedPageBreak/>
              <w:t>bias; findings may not be generalisable beyond migrant populations.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C8C51C"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 xml:space="preserve">Only 31% of recent-migrant children and 53% of settled-migrant children were fully immunised by 12 months. Barriers included lack of awareness, mobility, </w:t>
            </w:r>
            <w:r w:rsidRPr="00607862">
              <w:rPr>
                <w:bCs/>
                <w:color w:val="000000" w:themeColor="text1"/>
                <w:spacing w:val="-2"/>
                <w:sz w:val="16"/>
                <w:szCs w:val="16"/>
              </w:rPr>
              <w:lastRenderedPageBreak/>
              <w:t>child illness, fear of side-effects, and poor service familiarity. Maternal education, media exposure, hospital birth, and health worker counselling improved uptake.</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3E912C"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Migrant children, particularly recent migrants, are at high risk of missing immunisation services. Targeted, migrant-friendly service delivery, improved education, and socio-</w:t>
            </w:r>
            <w:r w:rsidRPr="00607862">
              <w:rPr>
                <w:bCs/>
                <w:color w:val="000000" w:themeColor="text1"/>
                <w:spacing w:val="-2"/>
                <w:sz w:val="16"/>
                <w:szCs w:val="16"/>
              </w:rPr>
              <w:lastRenderedPageBreak/>
              <w:t>economic support are essential to enhance and sustain immunisation coverage.</w:t>
            </w:r>
          </w:p>
        </w:tc>
      </w:tr>
      <w:tr w:rsidR="00AB0BD3" w:rsidRPr="00607862" w14:paraId="0ED60990"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B0B081" w14:textId="77777777" w:rsidR="00AB0BD3" w:rsidRPr="00607862" w:rsidRDefault="00AB0BD3" w:rsidP="00454512">
            <w:pPr>
              <w:pStyle w:val="TableParagraph"/>
              <w:spacing w:line="360" w:lineRule="auto"/>
              <w:rPr>
                <w:sz w:val="16"/>
                <w:szCs w:val="16"/>
              </w:rPr>
            </w:pPr>
            <w:r w:rsidRPr="00607862">
              <w:rPr>
                <w:sz w:val="16"/>
                <w:szCs w:val="16"/>
              </w:rPr>
              <w:lastRenderedPageBreak/>
              <w:t>Patel and Vyas, 2018</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70249F"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t>To identify challenges and barriers to immunization coverage and to evaluate innovative strategies for improving coverage during Intensified Mission Indradhanush (IMI).</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39C6FF" w14:textId="295120D1" w:rsidR="00AB0BD3" w:rsidRPr="00607862" w:rsidRDefault="00AB0BD3" w:rsidP="00454512">
            <w:pPr>
              <w:pStyle w:val="TableParagraph"/>
              <w:spacing w:line="360" w:lineRule="auto"/>
              <w:ind w:left="0"/>
              <w:rPr>
                <w:bCs/>
                <w:color w:val="000000" w:themeColor="text1"/>
                <w:spacing w:val="-2"/>
                <w:kern w:val="2"/>
                <w:sz w:val="16"/>
                <w:szCs w:val="16"/>
                <w:lang w:eastAsia="en-US"/>
              </w:rPr>
            </w:pPr>
            <w:r w:rsidRPr="00607862">
              <w:rPr>
                <w:bCs/>
                <w:color w:val="000000" w:themeColor="text1"/>
                <w:spacing w:val="-2"/>
                <w:kern w:val="2"/>
                <w:sz w:val="16"/>
                <w:szCs w:val="16"/>
                <w:lang w:eastAsia="en-US"/>
              </w:rPr>
              <w:t>Two slum areas in the South zone of Ahmedabad Municipal Corporation</w:t>
            </w:r>
            <w:r w:rsidR="003243A0" w:rsidRPr="00607862">
              <w:rPr>
                <w:bCs/>
                <w:color w:val="000000" w:themeColor="text1"/>
                <w:spacing w:val="-2"/>
                <w:kern w:val="2"/>
                <w:sz w:val="16"/>
                <w:szCs w:val="16"/>
                <w:lang w:eastAsia="en-US"/>
              </w:rPr>
              <w:t>,</w:t>
            </w:r>
            <w:r w:rsidR="00D1277C" w:rsidRPr="00607862">
              <w:rPr>
                <w:bCs/>
                <w:color w:val="000000" w:themeColor="text1"/>
                <w:spacing w:val="-2"/>
                <w:kern w:val="2"/>
                <w:sz w:val="16"/>
                <w:szCs w:val="16"/>
                <w:lang w:eastAsia="en-US"/>
              </w:rPr>
              <w:t xml:space="preserve"> India</w:t>
            </w:r>
            <w:r w:rsidRPr="00607862">
              <w:rPr>
                <w:bCs/>
                <w:color w:val="000000" w:themeColor="text1"/>
                <w:spacing w:val="-2"/>
                <w:kern w:val="2"/>
                <w:sz w:val="16"/>
                <w:szCs w:val="16"/>
                <w:lang w:eastAsia="en-US"/>
              </w:rPr>
              <w:t>; families with children &lt;2 years</w:t>
            </w:r>
            <w:r w:rsidR="00D2543D" w:rsidRPr="00607862">
              <w:rPr>
                <w:bCs/>
                <w:color w:val="000000" w:themeColor="text1"/>
                <w:spacing w:val="-2"/>
                <w:kern w:val="2"/>
                <w:sz w:val="16"/>
                <w:szCs w:val="16"/>
                <w:lang w:eastAsia="en-US"/>
              </w:rPr>
              <w:t>, 180 participants.</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93F94F"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Community-based interventional comparative study. Innovative strategies included personal household visits, one-to-one health education, mobile reminders, and involvement of local influencers. Data collected using a pre-tested proforma; qualitative analysis of non-acceptance reasons conducted.</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D008EB"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Practical, community-based intervention; comparison between intervention and non-intervention areas; combination of quantitative coverage assessment and qualitative analysis of barriers.</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F2E235"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Limited to two slum areas, reducing generalisability; short-term assessment; focus on childhood immunization limits applicability to adult vaccination programs.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DCF17F"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Coverage of BCG, fIPV1, OPV1, and Pentavalent-1 was 100% in both areas. OPV2 and Pentavalent-2 coverage was 100% in intervention area vs 57% in non-intervention area. Overall vaccine coverage was higher in the intervention area. Barriers included lack of information, fear, and religious beliefs.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295607"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Innovative, community-based strategies such as personal visits, community leader involvement, motivation, and mobile reminders significantly improved immunization coverage during IMI sessions.</w:t>
            </w:r>
          </w:p>
        </w:tc>
      </w:tr>
      <w:tr w:rsidR="00AB0BD3" w:rsidRPr="00607862" w14:paraId="296ADC25"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398392" w14:textId="77777777" w:rsidR="00AB0BD3" w:rsidRPr="00607862" w:rsidRDefault="00AB0BD3" w:rsidP="00454512">
            <w:pPr>
              <w:pStyle w:val="TableParagraph"/>
              <w:spacing w:line="360" w:lineRule="auto"/>
              <w:ind w:left="0"/>
              <w:rPr>
                <w:sz w:val="16"/>
                <w:szCs w:val="16"/>
              </w:rPr>
            </w:pPr>
            <w:r w:rsidRPr="00607862">
              <w:rPr>
                <w:sz w:val="16"/>
                <w:szCs w:val="16"/>
              </w:rPr>
              <w:t>Jain et al, 2020</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7962F6"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To identify barriers to childhood vaccination as perceived by ASHAs and health workers in a low-coverage district.</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D658EC" w14:textId="0BDF9D67" w:rsidR="00AB0BD3" w:rsidRPr="00607862" w:rsidRDefault="00AB0BD3" w:rsidP="00454512">
            <w:pPr>
              <w:pStyle w:val="TableParagraph"/>
              <w:spacing w:line="360" w:lineRule="auto"/>
              <w:ind w:left="0"/>
              <w:rPr>
                <w:bCs/>
                <w:color w:val="000000" w:themeColor="text1"/>
                <w:spacing w:val="-2"/>
                <w:kern w:val="2"/>
                <w:sz w:val="16"/>
                <w:szCs w:val="16"/>
                <w:lang w:eastAsia="en-US"/>
              </w:rPr>
            </w:pPr>
            <w:r w:rsidRPr="00607862">
              <w:rPr>
                <w:bCs/>
                <w:color w:val="000000" w:themeColor="text1"/>
                <w:spacing w:val="-2"/>
                <w:kern w:val="2"/>
                <w:sz w:val="16"/>
                <w:szCs w:val="16"/>
                <w:lang w:eastAsia="en-US"/>
              </w:rPr>
              <w:t xml:space="preserve">SHKM Government Medical College, </w:t>
            </w:r>
            <w:proofErr w:type="spellStart"/>
            <w:r w:rsidRPr="00607862">
              <w:rPr>
                <w:bCs/>
                <w:color w:val="000000" w:themeColor="text1"/>
                <w:spacing w:val="-2"/>
                <w:kern w:val="2"/>
                <w:sz w:val="16"/>
                <w:szCs w:val="16"/>
                <w:lang w:eastAsia="en-US"/>
              </w:rPr>
              <w:t>Nalhar</w:t>
            </w:r>
            <w:proofErr w:type="spellEnd"/>
            <w:r w:rsidRPr="00607862">
              <w:rPr>
                <w:bCs/>
                <w:color w:val="000000" w:themeColor="text1"/>
                <w:spacing w:val="-2"/>
                <w:kern w:val="2"/>
                <w:sz w:val="16"/>
                <w:szCs w:val="16"/>
                <w:lang w:eastAsia="en-US"/>
              </w:rPr>
              <w:t xml:space="preserve">, District Mewat, Haryana, India; </w:t>
            </w:r>
            <w:r w:rsidR="00284A84" w:rsidRPr="00607862">
              <w:rPr>
                <w:bCs/>
                <w:color w:val="000000" w:themeColor="text1"/>
                <w:spacing w:val="-2"/>
                <w:kern w:val="2"/>
                <w:sz w:val="16"/>
                <w:szCs w:val="16"/>
                <w:lang w:eastAsia="en-US"/>
              </w:rPr>
              <w:t xml:space="preserve">a </w:t>
            </w:r>
            <w:r w:rsidR="001159B9" w:rsidRPr="00607862">
              <w:rPr>
                <w:bCs/>
                <w:color w:val="000000" w:themeColor="text1"/>
                <w:spacing w:val="-2"/>
                <w:kern w:val="2"/>
                <w:sz w:val="16"/>
                <w:szCs w:val="16"/>
                <w:lang w:eastAsia="en-US"/>
              </w:rPr>
              <w:t xml:space="preserve">total of 60–72 </w:t>
            </w:r>
            <w:r w:rsidRPr="00607862">
              <w:rPr>
                <w:bCs/>
                <w:color w:val="000000" w:themeColor="text1"/>
                <w:spacing w:val="-2"/>
                <w:kern w:val="2"/>
                <w:sz w:val="16"/>
                <w:szCs w:val="16"/>
                <w:lang w:eastAsia="en-US"/>
              </w:rPr>
              <w:t xml:space="preserve">participants </w:t>
            </w:r>
            <w:r w:rsidR="00284A84" w:rsidRPr="00607862">
              <w:rPr>
                <w:bCs/>
                <w:color w:val="000000" w:themeColor="text1"/>
                <w:spacing w:val="-2"/>
                <w:kern w:val="2"/>
                <w:sz w:val="16"/>
                <w:szCs w:val="16"/>
                <w:lang w:eastAsia="en-US"/>
              </w:rPr>
              <w:t xml:space="preserve">were </w:t>
            </w:r>
            <w:r w:rsidRPr="00607862">
              <w:rPr>
                <w:bCs/>
                <w:color w:val="000000" w:themeColor="text1"/>
                <w:spacing w:val="-2"/>
                <w:kern w:val="2"/>
                <w:sz w:val="16"/>
                <w:szCs w:val="16"/>
                <w:lang w:eastAsia="en-US"/>
              </w:rPr>
              <w:t xml:space="preserve">included </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E1E42C2"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Qualitative study using Focus Group Discussions (FGDs); thematic exploration of perceived barriers; no statistical analysis performed.</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F3CAF8"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Provides frontline worker perspectives; rich qualitative insights into socio-cultural and system-level barriers; focuses on a low-literacy, low-coverage setting.</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BE524D"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Findings are context-specific and may not be generalisable; absence of quantitative analysis; focuses on childhood vaccination rather than adult populations.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683562"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Identified barriers included fear of pain and side effects, myths (e.g., infertility), lack of awareness, denial by elders, beliefs in supernatural causes, delayed BCG vaccination, extra workload for workers, poor accessibility, and lack of incentives.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D4A92B"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Understanding barriers from the perspectives of ASHAs and health workers can inform tailored strategies to improve vaccination coverage in underserved and high-risk areas.</w:t>
            </w:r>
          </w:p>
        </w:tc>
      </w:tr>
      <w:tr w:rsidR="00AB0BD3" w:rsidRPr="00607862" w14:paraId="4DD9E2EC"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8C454C" w14:textId="77777777" w:rsidR="00AB0BD3" w:rsidRPr="00607862" w:rsidRDefault="00AB0BD3" w:rsidP="00454512">
            <w:pPr>
              <w:pStyle w:val="TableParagraph"/>
              <w:spacing w:line="360" w:lineRule="auto"/>
              <w:rPr>
                <w:bCs/>
                <w:color w:val="000000" w:themeColor="text1"/>
                <w:spacing w:val="-2"/>
                <w:kern w:val="2"/>
                <w:sz w:val="16"/>
                <w:szCs w:val="16"/>
                <w:lang w:eastAsia="en-US"/>
              </w:rPr>
            </w:pPr>
            <w:r w:rsidRPr="00607862">
              <w:rPr>
                <w:bCs/>
                <w:color w:val="000000" w:themeColor="text1"/>
                <w:spacing w:val="-2"/>
                <w:kern w:val="2"/>
                <w:sz w:val="16"/>
                <w:szCs w:val="16"/>
                <w:lang w:eastAsia="en-US"/>
              </w:rPr>
              <w:t>Hatherill et al, 2016</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4B1D85"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t xml:space="preserve">To examine the role and limitations of pre- and post-exposure TB vaccination strategies, including BCG revaccination, for protecting healthcare workers </w:t>
            </w:r>
            <w:r w:rsidRPr="00607862">
              <w:rPr>
                <w:bCs/>
                <w:color w:val="000000" w:themeColor="text1"/>
                <w:spacing w:val="-2"/>
                <w:sz w:val="16"/>
                <w:szCs w:val="16"/>
              </w:rPr>
              <w:lastRenderedPageBreak/>
              <w:t>(HCWs) in TB-endemic settings.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23F637" w14:textId="77777777" w:rsidR="00012C70" w:rsidRPr="00607862" w:rsidRDefault="00AB0BD3" w:rsidP="00012C70">
            <w:pPr>
              <w:pStyle w:val="TableParagraph"/>
              <w:spacing w:line="360" w:lineRule="auto"/>
              <w:rPr>
                <w:bCs/>
                <w:color w:val="000000" w:themeColor="text1"/>
                <w:spacing w:val="-2"/>
                <w:sz w:val="16"/>
                <w:szCs w:val="16"/>
              </w:rPr>
            </w:pPr>
            <w:r w:rsidRPr="00607862">
              <w:rPr>
                <w:bCs/>
                <w:color w:val="000000" w:themeColor="text1"/>
                <w:spacing w:val="-2"/>
                <w:kern w:val="2"/>
                <w:sz w:val="16"/>
                <w:szCs w:val="16"/>
                <w:lang w:eastAsia="en-US"/>
              </w:rPr>
              <w:lastRenderedPageBreak/>
              <w:t>Healthcare workers in tuberculosis</w:t>
            </w:r>
            <w:r w:rsidR="008E7E58" w:rsidRPr="00607862">
              <w:rPr>
                <w:bCs/>
                <w:color w:val="000000" w:themeColor="text1"/>
                <w:spacing w:val="-2"/>
                <w:kern w:val="2"/>
                <w:sz w:val="16"/>
                <w:szCs w:val="16"/>
                <w:lang w:eastAsia="en-US"/>
              </w:rPr>
              <w:t xml:space="preserve"> in India.</w:t>
            </w:r>
            <w:r w:rsidR="00012C70" w:rsidRPr="00607862">
              <w:rPr>
                <w:bCs/>
                <w:color w:val="000000" w:themeColor="text1"/>
                <w:spacing w:val="-2"/>
                <w:kern w:val="2"/>
                <w:sz w:val="16"/>
                <w:szCs w:val="16"/>
                <w:lang w:eastAsia="en-US"/>
              </w:rPr>
              <w:t xml:space="preserve"> </w:t>
            </w:r>
            <w:r w:rsidR="00012C70" w:rsidRPr="00607862">
              <w:rPr>
                <w:bCs/>
                <w:color w:val="000000" w:themeColor="text1"/>
                <w:spacing w:val="-2"/>
                <w:sz w:val="16"/>
                <w:szCs w:val="16"/>
              </w:rPr>
              <w:t>Number of participants: 95 healthcare workers</w:t>
            </w:r>
          </w:p>
          <w:p w14:paraId="57B857E6" w14:textId="3FA97A9E" w:rsidR="00AB0BD3" w:rsidRPr="00607862" w:rsidRDefault="00AB0BD3" w:rsidP="00454512">
            <w:pPr>
              <w:pStyle w:val="TableParagraph"/>
              <w:spacing w:line="360" w:lineRule="auto"/>
              <w:ind w:left="0"/>
              <w:rPr>
                <w:bCs/>
                <w:color w:val="000000" w:themeColor="text1"/>
                <w:spacing w:val="-2"/>
                <w:kern w:val="2"/>
                <w:sz w:val="16"/>
                <w:szCs w:val="16"/>
                <w:lang w:eastAsia="en-US"/>
              </w:rPr>
            </w:pP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10F190" w14:textId="77777777" w:rsidR="00AB0BD3" w:rsidRPr="00607862" w:rsidRDefault="00AB0BD3" w:rsidP="00454512">
            <w:pPr>
              <w:pStyle w:val="TableParagraph"/>
              <w:spacing w:line="360" w:lineRule="auto"/>
              <w:ind w:left="0"/>
              <w:rPr>
                <w:bCs/>
                <w:color w:val="000000" w:themeColor="text1"/>
                <w:spacing w:val="-2"/>
                <w:kern w:val="2"/>
                <w:sz w:val="16"/>
                <w:szCs w:val="16"/>
                <w:lang w:eastAsia="en-US"/>
              </w:rPr>
            </w:pPr>
            <w:r w:rsidRPr="00607862">
              <w:rPr>
                <w:bCs/>
                <w:color w:val="000000" w:themeColor="text1"/>
                <w:spacing w:val="-2"/>
                <w:kern w:val="2"/>
                <w:sz w:val="16"/>
                <w:szCs w:val="16"/>
                <w:lang w:eastAsia="en-US"/>
              </w:rPr>
              <w:t>Narrative review and conceptual analysis of existing evidence on TB vaccines, immune responses, and occupational risk among HCWs.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100770"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 xml:space="preserve">Highlights a high-risk and priority population; integrates immunological mechanisms with public health considerations; explores innovative vaccine delivery strategies (e.g., aerosol </w:t>
            </w:r>
            <w:r w:rsidRPr="00607862">
              <w:rPr>
                <w:bCs/>
                <w:color w:val="000000" w:themeColor="text1"/>
                <w:spacing w:val="-2"/>
                <w:sz w:val="16"/>
                <w:szCs w:val="16"/>
              </w:rPr>
              <w:lastRenderedPageBreak/>
              <w:t>vaccination).</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FA43A1"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Lacks primary empirical data; largely theoretical; feasibility challenges not tested in real-world health systems; limited quantitative outcome measures.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015F91"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 xml:space="preserve">BCG revaccination may benefit </w:t>
            </w:r>
            <w:proofErr w:type="spellStart"/>
            <w:r w:rsidRPr="00607862">
              <w:rPr>
                <w:bCs/>
                <w:color w:val="000000" w:themeColor="text1"/>
                <w:spacing w:val="-2"/>
                <w:sz w:val="16"/>
                <w:szCs w:val="16"/>
              </w:rPr>
              <w:t>Mtb</w:t>
            </w:r>
            <w:proofErr w:type="spellEnd"/>
            <w:r w:rsidRPr="00607862">
              <w:rPr>
                <w:bCs/>
                <w:color w:val="000000" w:themeColor="text1"/>
                <w:spacing w:val="-2"/>
                <w:sz w:val="16"/>
                <w:szCs w:val="16"/>
              </w:rPr>
              <w:t xml:space="preserve">-uninfected HCWs, but most HCWs in endemic areas are already sensitized. Post-exposure TB vaccines show greater potential. Novel mucosal and aerosol strategies could improve immune </w:t>
            </w:r>
            <w:r w:rsidRPr="00607862">
              <w:rPr>
                <w:bCs/>
                <w:color w:val="000000" w:themeColor="text1"/>
                <w:spacing w:val="-2"/>
                <w:sz w:val="16"/>
                <w:szCs w:val="16"/>
              </w:rPr>
              <w:lastRenderedPageBreak/>
              <w:t>protection.</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3BBFCB1"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lastRenderedPageBreak/>
              <w:t>Protecting HCWs from TB requires improved vaccine strategies and stronger occupational health systems. Post-exposure vaccination approaches may offer greater benefit than BCG revaccination in endemic settings.</w:t>
            </w:r>
          </w:p>
        </w:tc>
      </w:tr>
      <w:tr w:rsidR="00AB0BD3" w:rsidRPr="00607862" w14:paraId="1FACC3C8"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AE362A8" w14:textId="77777777" w:rsidR="00AB0BD3" w:rsidRPr="00607862" w:rsidRDefault="00AB0BD3" w:rsidP="00454512">
            <w:pPr>
              <w:pStyle w:val="TableParagraph"/>
              <w:spacing w:line="360" w:lineRule="auto"/>
              <w:ind w:left="0"/>
              <w:rPr>
                <w:bCs/>
                <w:color w:val="000000" w:themeColor="text1"/>
                <w:spacing w:val="-2"/>
                <w:kern w:val="2"/>
                <w:sz w:val="16"/>
                <w:szCs w:val="16"/>
                <w:lang w:eastAsia="en-US"/>
              </w:rPr>
            </w:pPr>
            <w:r w:rsidRPr="00607862">
              <w:rPr>
                <w:bCs/>
                <w:color w:val="000000" w:themeColor="text1"/>
                <w:spacing w:val="-2"/>
                <w:kern w:val="2"/>
                <w:sz w:val="16"/>
                <w:szCs w:val="16"/>
                <w:lang w:eastAsia="en-US"/>
              </w:rPr>
              <w:t>Pelzer et al, 2022</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4CA897"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To identify potential implementation strategies and assess the acceptability and feasibility of novel TB vaccines, including M72/AS01E and BCG-revaccination-like candidates, for adolescents and adults.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EC6F5D" w14:textId="6FAE42AA" w:rsidR="00AB0BD3" w:rsidRPr="00607862" w:rsidRDefault="00AB0BD3" w:rsidP="00012C70">
            <w:pPr>
              <w:pStyle w:val="TableParagraph"/>
              <w:spacing w:line="360" w:lineRule="auto"/>
              <w:ind w:left="107"/>
              <w:rPr>
                <w:bCs/>
                <w:color w:val="000000" w:themeColor="text1"/>
                <w:spacing w:val="-2"/>
                <w:sz w:val="16"/>
                <w:szCs w:val="16"/>
              </w:rPr>
            </w:pPr>
            <w:r w:rsidRPr="00607862">
              <w:rPr>
                <w:bCs/>
                <w:color w:val="000000" w:themeColor="text1"/>
                <w:spacing w:val="-2"/>
                <w:kern w:val="2"/>
                <w:sz w:val="16"/>
                <w:szCs w:val="16"/>
                <w:lang w:eastAsia="en-US"/>
              </w:rPr>
              <w:t xml:space="preserve">South Africa, India, and China; </w:t>
            </w:r>
            <w:r w:rsidR="006020CC" w:rsidRPr="00607862">
              <w:rPr>
                <w:bCs/>
                <w:color w:val="000000" w:themeColor="text1"/>
                <w:spacing w:val="-2"/>
                <w:kern w:val="2"/>
                <w:sz w:val="16"/>
                <w:szCs w:val="16"/>
                <w:lang w:eastAsia="en-US"/>
              </w:rPr>
              <w:t xml:space="preserve">22 </w:t>
            </w:r>
            <w:r w:rsidRPr="00607862">
              <w:rPr>
                <w:bCs/>
                <w:color w:val="000000" w:themeColor="text1"/>
                <w:spacing w:val="-2"/>
                <w:kern w:val="2"/>
                <w:sz w:val="16"/>
                <w:szCs w:val="16"/>
                <w:lang w:eastAsia="en-US"/>
              </w:rPr>
              <w:t>key decision makers</w:t>
            </w:r>
            <w:r w:rsidR="006020CC" w:rsidRPr="00607862">
              <w:rPr>
                <w:bCs/>
                <w:color w:val="000000" w:themeColor="text1"/>
                <w:spacing w:val="-2"/>
                <w:kern w:val="2"/>
                <w:sz w:val="16"/>
                <w:szCs w:val="16"/>
                <w:lang w:eastAsia="en-US"/>
              </w:rPr>
              <w:t xml:space="preserve"> or interviewees</w:t>
            </w:r>
            <w:r w:rsidR="00012C70" w:rsidRPr="00607862">
              <w:rPr>
                <w:bCs/>
                <w:color w:val="000000" w:themeColor="text1"/>
                <w:spacing w:val="-2"/>
                <w:kern w:val="2"/>
                <w:sz w:val="16"/>
                <w:szCs w:val="16"/>
                <w:lang w:eastAsia="en-US"/>
              </w:rPr>
              <w:t xml:space="preserve"> </w:t>
            </w:r>
            <w:r w:rsidR="00012C70" w:rsidRPr="00607862">
              <w:rPr>
                <w:bCs/>
                <w:color w:val="000000" w:themeColor="text1"/>
                <w:spacing w:val="-2"/>
                <w:sz w:val="16"/>
                <w:szCs w:val="16"/>
              </w:rPr>
              <w:t>Approximately 7 key decision makers from India</w:t>
            </w:r>
            <w:r w:rsidR="00391C95" w:rsidRPr="00607862">
              <w:rPr>
                <w:bCs/>
                <w:color w:val="000000" w:themeColor="text1"/>
                <w:spacing w:val="-2"/>
                <w:kern w:val="2"/>
                <w:sz w:val="16"/>
                <w:szCs w:val="16"/>
                <w:lang w:eastAsia="en-US"/>
              </w:rPr>
              <w:t>.</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7919B4" w14:textId="77777777" w:rsidR="00AB0BD3" w:rsidRPr="00607862" w:rsidRDefault="00AB0BD3" w:rsidP="00454512">
            <w:pPr>
              <w:pStyle w:val="TableParagraph"/>
              <w:spacing w:line="360" w:lineRule="auto"/>
              <w:ind w:left="0"/>
              <w:rPr>
                <w:bCs/>
                <w:color w:val="000000" w:themeColor="text1"/>
                <w:spacing w:val="-2"/>
                <w:kern w:val="2"/>
                <w:sz w:val="16"/>
                <w:szCs w:val="16"/>
                <w:lang w:eastAsia="en-US"/>
              </w:rPr>
            </w:pPr>
            <w:r w:rsidRPr="00607862">
              <w:rPr>
                <w:bCs/>
                <w:color w:val="000000" w:themeColor="text1"/>
                <w:spacing w:val="-2"/>
                <w:kern w:val="2"/>
                <w:sz w:val="16"/>
                <w:szCs w:val="16"/>
                <w:lang w:eastAsia="en-US"/>
              </w:rPr>
              <w:t>Qualitative study using in-depth semi-structured interviews; thematic and deductive analysis with a predefined coding framework.</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DBDCD7"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Multi-country perspective; focuses on real-world implementation and policy considerations; captures stakeholder insights on feasibility, acceptability, and target groups.</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B404C4"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 xml:space="preserve">Qualitative design limits </w:t>
            </w:r>
            <w:proofErr w:type="gramStart"/>
            <w:r w:rsidRPr="00607862">
              <w:rPr>
                <w:bCs/>
                <w:color w:val="000000" w:themeColor="text1"/>
                <w:spacing w:val="-2"/>
                <w:sz w:val="16"/>
                <w:szCs w:val="16"/>
              </w:rPr>
              <w:t>generalisability;</w:t>
            </w:r>
            <w:proofErr w:type="gramEnd"/>
            <w:r w:rsidRPr="00607862">
              <w:rPr>
                <w:bCs/>
                <w:color w:val="000000" w:themeColor="text1"/>
                <w:spacing w:val="-2"/>
                <w:sz w:val="16"/>
                <w:szCs w:val="16"/>
              </w:rPr>
              <w:t xml:space="preserve"> relies on perceptions rather than observed implementation; does not measure health outcomes or vaccine effectiveness.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2792D1" w14:textId="77777777" w:rsidR="00AB0BD3" w:rsidRPr="00607862" w:rsidRDefault="00AB0BD3" w:rsidP="00454512">
            <w:pPr>
              <w:pStyle w:val="TableParagraph"/>
              <w:spacing w:line="360" w:lineRule="auto"/>
              <w:ind w:left="0"/>
              <w:rPr>
                <w:bCs/>
                <w:color w:val="000000" w:themeColor="text1"/>
                <w:spacing w:val="-2"/>
                <w:sz w:val="16"/>
                <w:szCs w:val="16"/>
              </w:rPr>
            </w:pPr>
            <w:r w:rsidRPr="00607862">
              <w:rPr>
                <w:bCs/>
                <w:color w:val="000000" w:themeColor="text1"/>
                <w:spacing w:val="-2"/>
                <w:sz w:val="16"/>
                <w:szCs w:val="16"/>
              </w:rPr>
              <w:t>Stakeholders showed strong interest in new TB vaccines. School-attending adolescents were identified as key targets in all countries; older adults were also identified in India and China. Routine vaccination was preferred over mass campaigns. Challenges included infrastructure needs and two-dose regimens (M72/AS01E), while BCG familiarity was valued but concerns existed for people living with HIV.</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383DF0" w14:textId="77777777" w:rsidR="00AB0BD3" w:rsidRPr="00607862" w:rsidRDefault="00AB0BD3" w:rsidP="00454512">
            <w:pPr>
              <w:pStyle w:val="TableParagraph"/>
              <w:spacing w:line="360" w:lineRule="auto"/>
              <w:rPr>
                <w:bCs/>
                <w:color w:val="000000" w:themeColor="text1"/>
                <w:spacing w:val="-2"/>
                <w:sz w:val="16"/>
                <w:szCs w:val="16"/>
              </w:rPr>
            </w:pPr>
            <w:r w:rsidRPr="00607862">
              <w:rPr>
                <w:bCs/>
                <w:color w:val="000000" w:themeColor="text1"/>
                <w:spacing w:val="-2"/>
                <w:sz w:val="16"/>
                <w:szCs w:val="16"/>
              </w:rPr>
              <w:t>Successful implementation of novel TB vaccines will depend on country-specific strategies, with routine delivery and clearly defined target groups. Early inclusion of these groups in trials and planning is essential for effective rollout.</w:t>
            </w:r>
          </w:p>
        </w:tc>
      </w:tr>
      <w:tr w:rsidR="00AB0BD3" w:rsidRPr="00607862" w14:paraId="65FC2781" w14:textId="77777777" w:rsidTr="00AE4137">
        <w:trPr>
          <w:trHeight w:val="4691"/>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DF8DD9" w14:textId="77777777" w:rsidR="00AB0BD3" w:rsidRPr="00607862" w:rsidRDefault="00AB0BD3" w:rsidP="00454512">
            <w:pPr>
              <w:pStyle w:val="TableParagraph"/>
              <w:spacing w:line="360" w:lineRule="auto"/>
              <w:rPr>
                <w:bCs/>
                <w:color w:val="000000" w:themeColor="text1"/>
                <w:spacing w:val="-2"/>
                <w:kern w:val="2"/>
                <w:sz w:val="16"/>
                <w:szCs w:val="16"/>
                <w:lang w:eastAsia="en-US"/>
              </w:rPr>
            </w:pPr>
            <w:r w:rsidRPr="00607862">
              <w:rPr>
                <w:bCs/>
                <w:color w:val="000000" w:themeColor="text1"/>
                <w:spacing w:val="-2"/>
                <w:kern w:val="2"/>
                <w:sz w:val="16"/>
                <w:szCs w:val="16"/>
                <w:lang w:eastAsia="en-US"/>
              </w:rPr>
              <w:t>Clark et al, 2024</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0EB5DB" w14:textId="77777777" w:rsidR="00607862" w:rsidRPr="00607862" w:rsidRDefault="00607862" w:rsidP="0060786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to evaluate the health and financial effects of BCG-revaccination and M72/AS01E in Indian locations with varying TB prevalence under different delivery methods.</w:t>
            </w:r>
          </w:p>
          <w:p w14:paraId="3851A589" w14:textId="7199318C" w:rsidR="00AB0BD3" w:rsidRPr="00607862" w:rsidRDefault="00AB0BD3" w:rsidP="00454512">
            <w:pPr>
              <w:pStyle w:val="TableParagraph"/>
              <w:spacing w:line="360" w:lineRule="auto"/>
              <w:ind w:left="107"/>
              <w:rPr>
                <w:bCs/>
                <w:color w:val="000000" w:themeColor="text1"/>
                <w:spacing w:val="-2"/>
                <w:kern w:val="2"/>
                <w:sz w:val="16"/>
                <w:szCs w:val="16"/>
                <w:lang w:eastAsia="en-US"/>
              </w:rPr>
            </w:pP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D46BC1" w14:textId="77777777" w:rsidR="00776D8A" w:rsidRPr="00607862" w:rsidRDefault="001159B9" w:rsidP="00776D8A">
            <w:pPr>
              <w:pStyle w:val="TableParagraph"/>
              <w:spacing w:line="360" w:lineRule="auto"/>
              <w:ind w:left="107"/>
              <w:rPr>
                <w:bCs/>
                <w:color w:val="000000" w:themeColor="text1"/>
                <w:spacing w:val="-2"/>
                <w:sz w:val="16"/>
                <w:szCs w:val="16"/>
              </w:rPr>
            </w:pPr>
            <w:r w:rsidRPr="00607862">
              <w:rPr>
                <w:bCs/>
                <w:color w:val="000000" w:themeColor="text1"/>
                <w:spacing w:val="-2"/>
                <w:kern w:val="2"/>
                <w:sz w:val="16"/>
                <w:szCs w:val="16"/>
                <w:lang w:eastAsia="en-US"/>
              </w:rPr>
              <w:t>Delhi</w:t>
            </w:r>
            <w:r w:rsidR="00776D8A" w:rsidRPr="00607862">
              <w:rPr>
                <w:bCs/>
                <w:color w:val="000000" w:themeColor="text1"/>
                <w:spacing w:val="-2"/>
                <w:kern w:val="2"/>
                <w:sz w:val="16"/>
                <w:szCs w:val="16"/>
                <w:lang w:eastAsia="en-US"/>
              </w:rPr>
              <w:t xml:space="preserve">, India. </w:t>
            </w:r>
            <w:r w:rsidR="00776D8A" w:rsidRPr="00607862">
              <w:rPr>
                <w:bCs/>
                <w:color w:val="000000" w:themeColor="text1"/>
                <w:spacing w:val="-2"/>
                <w:sz w:val="16"/>
                <w:szCs w:val="16"/>
              </w:rPr>
              <w:t>Number of participants: 200</w:t>
            </w:r>
          </w:p>
          <w:p w14:paraId="2F483B3B" w14:textId="31369BAA" w:rsidR="00AB0BD3" w:rsidRPr="00607862" w:rsidRDefault="00AB0BD3" w:rsidP="00454512">
            <w:pPr>
              <w:pStyle w:val="TableParagraph"/>
              <w:spacing w:line="360" w:lineRule="auto"/>
              <w:ind w:left="107"/>
              <w:rPr>
                <w:bCs/>
                <w:color w:val="000000" w:themeColor="text1"/>
                <w:spacing w:val="-2"/>
                <w:kern w:val="2"/>
                <w:sz w:val="16"/>
                <w:szCs w:val="16"/>
                <w:lang w:eastAsia="en-US"/>
              </w:rPr>
            </w:pP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1524B3" w14:textId="7141034D" w:rsidR="00AB0BD3" w:rsidRPr="00607862" w:rsidRDefault="00607862" w:rsidP="00607862">
            <w:pPr>
              <w:pStyle w:val="TableParagraph"/>
              <w:spacing w:line="360" w:lineRule="auto"/>
              <w:ind w:left="107"/>
              <w:rPr>
                <w:bCs/>
                <w:color w:val="000000" w:themeColor="text1"/>
                <w:spacing w:val="-2"/>
                <w:sz w:val="16"/>
                <w:szCs w:val="16"/>
              </w:rPr>
            </w:pPr>
            <w:r w:rsidRPr="00607862">
              <w:rPr>
                <w:bCs/>
                <w:color w:val="000000" w:themeColor="text1"/>
                <w:spacing w:val="-2"/>
                <w:sz w:val="16"/>
                <w:szCs w:val="16"/>
              </w:rPr>
              <w:t>Regional estimates until 2050; cost-effectiveness analysis using numerous thresholds; modelling of vaccine scenarios with different target ages and vaccine properties; mathematical compartmental TB transmission model.</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CC2D95" w14:textId="77777777" w:rsidR="00607862" w:rsidRPr="00607862" w:rsidRDefault="00607862" w:rsidP="00607862">
            <w:pPr>
              <w:pStyle w:val="TableParagraph"/>
              <w:spacing w:line="360" w:lineRule="auto"/>
              <w:rPr>
                <w:bCs/>
                <w:color w:val="000000" w:themeColor="text1"/>
                <w:spacing w:val="-2"/>
                <w:sz w:val="16"/>
                <w:szCs w:val="16"/>
              </w:rPr>
            </w:pPr>
            <w:r w:rsidRPr="00607862">
              <w:rPr>
                <w:bCs/>
                <w:color w:val="000000" w:themeColor="text1"/>
                <w:spacing w:val="-2"/>
                <w:sz w:val="16"/>
                <w:szCs w:val="16"/>
              </w:rPr>
              <w:t>geographical comparison; incorporates economic and epidemiological results; assesses various delivery and efficacy scenarios; and provides long-term forecasts that are pertinent to policy.</w:t>
            </w:r>
          </w:p>
          <w:p w14:paraId="232D8779" w14:textId="0CC7747A" w:rsidR="00AB0BD3" w:rsidRPr="00607862" w:rsidRDefault="00AB0BD3" w:rsidP="00454512">
            <w:pPr>
              <w:pStyle w:val="TableParagraph"/>
              <w:spacing w:line="360" w:lineRule="auto"/>
              <w:rPr>
                <w:bCs/>
                <w:color w:val="000000" w:themeColor="text1"/>
                <w:spacing w:val="-2"/>
                <w:kern w:val="2"/>
                <w:sz w:val="16"/>
                <w:szCs w:val="16"/>
                <w:lang w:eastAsia="en-US"/>
              </w:rPr>
            </w:pP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9D2C8E" w14:textId="77777777" w:rsidR="00607862" w:rsidRPr="00607862" w:rsidRDefault="00607862" w:rsidP="00607862">
            <w:pPr>
              <w:pStyle w:val="TableParagraph"/>
              <w:spacing w:line="360" w:lineRule="auto"/>
              <w:rPr>
                <w:bCs/>
                <w:color w:val="000000" w:themeColor="text1"/>
                <w:spacing w:val="-2"/>
                <w:sz w:val="16"/>
                <w:szCs w:val="16"/>
              </w:rPr>
            </w:pPr>
            <w:r w:rsidRPr="00607862">
              <w:rPr>
                <w:bCs/>
                <w:color w:val="000000" w:themeColor="text1"/>
                <w:spacing w:val="-2"/>
                <w:sz w:val="16"/>
                <w:szCs w:val="16"/>
              </w:rPr>
              <w:t xml:space="preserve">Uncertainty persists in the absence of empirical post-implementation data; model-based assumptions may not accurately reflect real-world implementation; they rely on assumed vaccine efficacy and costs. </w:t>
            </w:r>
          </w:p>
          <w:p w14:paraId="24B2F963" w14:textId="3BDBD0DB" w:rsidR="00AB0BD3" w:rsidRPr="00607862" w:rsidRDefault="00AB0BD3" w:rsidP="00607862">
            <w:pPr>
              <w:pStyle w:val="TableParagraph"/>
              <w:spacing w:line="360" w:lineRule="auto"/>
              <w:ind w:left="0"/>
              <w:rPr>
                <w:bCs/>
                <w:color w:val="000000" w:themeColor="text1"/>
                <w:spacing w:val="-2"/>
                <w:kern w:val="2"/>
                <w:sz w:val="16"/>
                <w:szCs w:val="16"/>
                <w:lang w:eastAsia="en-US"/>
              </w:rPr>
            </w:pP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2BB3C9" w14:textId="77777777" w:rsidR="00607862" w:rsidRPr="00607862" w:rsidRDefault="00607862" w:rsidP="00607862">
            <w:pPr>
              <w:pStyle w:val="TableParagraph"/>
              <w:spacing w:line="360" w:lineRule="auto"/>
              <w:rPr>
                <w:bCs/>
                <w:color w:val="000000" w:themeColor="text1"/>
                <w:spacing w:val="-2"/>
                <w:sz w:val="16"/>
                <w:szCs w:val="16"/>
              </w:rPr>
            </w:pPr>
            <w:r w:rsidRPr="00607862">
              <w:rPr>
                <w:bCs/>
                <w:color w:val="000000" w:themeColor="text1"/>
                <w:spacing w:val="-2"/>
                <w:sz w:val="16"/>
                <w:szCs w:val="16"/>
              </w:rPr>
              <w:t>Although it cost more, M72/AS01E prevented more TB cases than BCG-revaccination (Delhi: 16.0% vs. 8.3%; Gujarat: 8.5% vs. 5.1%). In both areas, BCG vaccination was economical or cost-saving. Under most assumptions, M72/AS01E was cost-effective in Gujarat and Delhi in all situations.</w:t>
            </w:r>
          </w:p>
          <w:p w14:paraId="01161470" w14:textId="3ACC1418" w:rsidR="00AB0BD3" w:rsidRPr="00607862" w:rsidRDefault="00AB0BD3" w:rsidP="00454512">
            <w:pPr>
              <w:pStyle w:val="TableParagraph"/>
              <w:spacing w:line="360" w:lineRule="auto"/>
              <w:rPr>
                <w:bCs/>
                <w:color w:val="000000" w:themeColor="text1"/>
                <w:spacing w:val="-2"/>
                <w:kern w:val="2"/>
                <w:sz w:val="16"/>
                <w:szCs w:val="16"/>
                <w:lang w:eastAsia="en-US"/>
              </w:rPr>
            </w:pP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1AB0C4" w14:textId="417E2D2F" w:rsidR="00AB0BD3" w:rsidRPr="00607862" w:rsidRDefault="00607862" w:rsidP="00607862">
            <w:pPr>
              <w:pStyle w:val="TableParagraph"/>
              <w:spacing w:line="360" w:lineRule="auto"/>
              <w:rPr>
                <w:bCs/>
                <w:color w:val="000000" w:themeColor="text1"/>
                <w:spacing w:val="-2"/>
                <w:sz w:val="16"/>
                <w:szCs w:val="16"/>
              </w:rPr>
            </w:pPr>
            <w:r w:rsidRPr="00607862">
              <w:rPr>
                <w:bCs/>
                <w:color w:val="000000" w:themeColor="text1"/>
                <w:spacing w:val="-2"/>
                <w:sz w:val="16"/>
                <w:szCs w:val="16"/>
              </w:rPr>
              <w:t>In India, M72/AS01E and BCG-revaccination could both significantly lower the TB burden and be economical. Strategies for vaccination administration and selection should be influenced by regional variations in TB prevalence and demographics.</w:t>
            </w:r>
          </w:p>
        </w:tc>
      </w:tr>
    </w:tbl>
    <w:p w14:paraId="15847AD3" w14:textId="77777777" w:rsidR="00AB0BD3" w:rsidRPr="001B3ED4" w:rsidRDefault="00AB0BD3" w:rsidP="00AB0BD3">
      <w:pPr>
        <w:spacing w:line="360" w:lineRule="auto"/>
        <w:jc w:val="both"/>
        <w:rPr>
          <w:rFonts w:ascii="Arial" w:hAnsi="Arial" w:cs="Arial"/>
        </w:rPr>
      </w:pPr>
    </w:p>
    <w:p w14:paraId="53ACCFBF" w14:textId="79B61D56" w:rsidR="00AB0BD3" w:rsidRPr="001B3ED4" w:rsidRDefault="000A64A5" w:rsidP="004F2450">
      <w:pPr>
        <w:pStyle w:val="Heading1"/>
      </w:pPr>
      <w:bookmarkStart w:id="43" w:name="_Toc218418697"/>
      <w:r w:rsidRPr="001B3ED4">
        <w:lastRenderedPageBreak/>
        <w:t>4.</w:t>
      </w:r>
      <w:r w:rsidR="009F4010" w:rsidRPr="001B3ED4">
        <w:t>4</w:t>
      </w:r>
      <w:r w:rsidRPr="001B3ED4">
        <w:t xml:space="preserve"> </w:t>
      </w:r>
      <w:r w:rsidR="00AB0BD3" w:rsidRPr="001B3ED4">
        <w:t>Thematic Analysis</w:t>
      </w:r>
      <w:bookmarkEnd w:id="43"/>
    </w:p>
    <w:p w14:paraId="27AAB54B" w14:textId="4B61C969" w:rsidR="00AB0BD3" w:rsidRPr="001B3ED4" w:rsidRDefault="00AB0BD3" w:rsidP="00AB0BD3">
      <w:pPr>
        <w:pStyle w:val="Heading2"/>
        <w:rPr>
          <w:lang w:eastAsia="en-GB"/>
        </w:rPr>
      </w:pPr>
      <w:bookmarkStart w:id="44" w:name="_Toc218418698"/>
      <w:r w:rsidRPr="001B3ED4">
        <w:rPr>
          <w:lang w:eastAsia="en-GB"/>
        </w:rPr>
        <w:t xml:space="preserve">Theme </w:t>
      </w:r>
      <w:proofErr w:type="gramStart"/>
      <w:r w:rsidRPr="001B3ED4">
        <w:rPr>
          <w:lang w:eastAsia="en-GB"/>
        </w:rPr>
        <w:t>1:</w:t>
      </w:r>
      <w:r w:rsidR="00A20467" w:rsidRPr="001B3ED4">
        <w:rPr>
          <w:lang w:eastAsia="en-GB"/>
        </w:rPr>
        <w:t>Low</w:t>
      </w:r>
      <w:proofErr w:type="gramEnd"/>
      <w:r w:rsidRPr="001B3ED4">
        <w:rPr>
          <w:lang w:eastAsia="en-GB"/>
        </w:rPr>
        <w:t xml:space="preserve"> Impact of BCG and TB Vaccination Strategies on TB Incidence and Morbidity</w:t>
      </w:r>
      <w:bookmarkEnd w:id="44"/>
    </w:p>
    <w:p w14:paraId="5AF9CF18" w14:textId="77777777"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 xml:space="preserve">Evidence across modelling and review studies demonstrates that vaccination strategies, including BCG revaccination, have the potential to significantly reduce tuberculosis incidence and mortality, particularly in high-burden settings such as Delhi. Two modelling studies by Clark et al. (2024) consistently showed that BCG revaccination could avert between 8–9% of TB cases and deaths in Delhi over long-term projections, while newer vaccine candidates such as M72/AS01E showed even higher impact. These findings indicate that while BCG alone may offer moderate protection in adults, its population-level impact in high-risk urban districts remains meaningful, especially when disease prevalence is high. Similarly, </w:t>
      </w:r>
      <w:proofErr w:type="spellStart"/>
      <w:r w:rsidRPr="001B3ED4">
        <w:rPr>
          <w:rFonts w:ascii="Arial" w:hAnsi="Arial" w:cs="Arial"/>
          <w:lang w:eastAsia="en-GB"/>
        </w:rPr>
        <w:t>Arinaminpathy</w:t>
      </w:r>
      <w:proofErr w:type="spellEnd"/>
      <w:r w:rsidRPr="001B3ED4">
        <w:rPr>
          <w:rFonts w:ascii="Arial" w:hAnsi="Arial" w:cs="Arial"/>
          <w:lang w:eastAsia="en-GB"/>
        </w:rPr>
        <w:t xml:space="preserve"> et al. (2023) demonstrated that even vaccines with moderate efficacy (50%) could lead to substantial reductions in TB incidence, particularly when strategically deployed.</w:t>
      </w:r>
    </w:p>
    <w:p w14:paraId="3C8AA52F" w14:textId="5B163A0C"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 xml:space="preserve">However, narrative and historical evidence </w:t>
      </w:r>
      <w:r w:rsidR="00F26625" w:rsidRPr="001B3ED4">
        <w:rPr>
          <w:rFonts w:ascii="Arial" w:hAnsi="Arial" w:cs="Arial"/>
          <w:lang w:eastAsia="en-GB"/>
        </w:rPr>
        <w:t>suggest</w:t>
      </w:r>
      <w:r w:rsidRPr="001B3ED4">
        <w:rPr>
          <w:rFonts w:ascii="Arial" w:hAnsi="Arial" w:cs="Arial"/>
          <w:lang w:eastAsia="en-GB"/>
        </w:rPr>
        <w:t xml:space="preserve"> that BCG’s effectiveness varies by age and disease form. Singh et al. (2020) highlighted that while BCG provides strong protection against severe TB in infancy, its effectiveness against pulmonary TB in adults is limited and inconsistent. This partially explains why adult TB morbidity persists in high-risk districts despite widespread childhood BCG coverage. Nevertheless, historical analyses indicate that resistance to vaccination and uneven implementation, rather than biological inefficacy alone, have influenced TB outcomes (Neelakantan, 2018). Collectively, these findings suggest that while BCG may not fully prevent adult pulmonary TB, its revaccination and integration with broader TB control strategies can contribute to reducing morbidity and transmission in high-risk populations aged 15–60 years (Clark et al., 2024; </w:t>
      </w:r>
      <w:proofErr w:type="spellStart"/>
      <w:r w:rsidRPr="001B3ED4">
        <w:rPr>
          <w:rFonts w:ascii="Arial" w:hAnsi="Arial" w:cs="Arial"/>
          <w:lang w:eastAsia="en-GB"/>
        </w:rPr>
        <w:t>Arinaminpathy</w:t>
      </w:r>
      <w:proofErr w:type="spellEnd"/>
      <w:r w:rsidRPr="001B3ED4">
        <w:rPr>
          <w:rFonts w:ascii="Arial" w:hAnsi="Arial" w:cs="Arial"/>
          <w:lang w:eastAsia="en-GB"/>
        </w:rPr>
        <w:t xml:space="preserve"> et al., 2023).</w:t>
      </w:r>
    </w:p>
    <w:p w14:paraId="2DEFD145" w14:textId="5DA46134" w:rsidR="00AB0BD3" w:rsidRPr="001B3ED4" w:rsidRDefault="00AB0BD3" w:rsidP="00AB0BD3">
      <w:pPr>
        <w:pStyle w:val="Heading2"/>
        <w:rPr>
          <w:lang w:eastAsia="en-GB"/>
        </w:rPr>
      </w:pPr>
      <w:bookmarkStart w:id="45" w:name="_Toc218418699"/>
      <w:r w:rsidRPr="001B3ED4">
        <w:rPr>
          <w:lang w:eastAsia="en-GB"/>
        </w:rPr>
        <w:t xml:space="preserve">Theme 2: </w:t>
      </w:r>
      <w:r w:rsidR="00A20467" w:rsidRPr="001B3ED4">
        <w:rPr>
          <w:lang w:eastAsia="en-GB"/>
        </w:rPr>
        <w:t xml:space="preserve">Challenging </w:t>
      </w:r>
      <w:r w:rsidRPr="001B3ED4">
        <w:rPr>
          <w:lang w:eastAsia="en-GB"/>
        </w:rPr>
        <w:t>Coverage and Outreach of Vaccination Campaigns in High-Risk and Vulnerable Populations</w:t>
      </w:r>
      <w:bookmarkEnd w:id="45"/>
    </w:p>
    <w:p w14:paraId="643C0BB2" w14:textId="6D5B2199"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 xml:space="preserve">Several studies highlight substantial inequities in vaccination coverage among urban poor, migrants, and other vulnerable populations, groups that are highly relevant to Delhi’s high-risk districts. Kusuma et al. (2018) found that immunisation coverage among migrant children was alarmingly low, particularly among recent migrants, due to mobility, lack of awareness, and unfamiliarity with urban health systems. Although this study focused on childhood vaccination, the structural barriers identified are </w:t>
      </w:r>
      <w:r w:rsidRPr="001B3ED4">
        <w:rPr>
          <w:rFonts w:ascii="Arial" w:hAnsi="Arial" w:cs="Arial"/>
          <w:lang w:eastAsia="en-GB"/>
        </w:rPr>
        <w:lastRenderedPageBreak/>
        <w:t>directly transferable to adult BCG campaigns, especially among migrant workers aged 15–60 years in urban slums.</w:t>
      </w:r>
    </w:p>
    <w:p w14:paraId="6E999E60" w14:textId="1A5FE41F"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 xml:space="preserve">Interventional evidence demonstrates that outreach-focused strategies can significantly improve vaccination coverage. Patel and Vyas (2018) showed that personal household visits, one-to-one health education, mobile reminders, and engagement of community influencers led to markedly higher immunisation coverage in slum areas compared to non-intervention sites. These findings align with Pelzer et al. (2022), where stakeholders across India emphasised routine vaccination delivery over mass campaigns due to stigma and logistical challenges. Importantly, older adults were identified as a key target group in India, supporting the relevance of adult-focused BCG strategies. Together, these studies suggest that effective BCG outreach in Delhi’s high-risk districts depends on proactive, community-based delivery models that address mobility, awareness, and trust. Without such tailored strategies, vaccination campaigns risk systematically excluding the very populations most vulnerable to TB (Kusuma et al., 2018; Patel </w:t>
      </w:r>
      <w:r w:rsidR="003A3A09" w:rsidRPr="001B3ED4">
        <w:rPr>
          <w:rFonts w:ascii="Arial" w:hAnsi="Arial" w:cs="Arial"/>
          <w:lang w:eastAsia="en-GB"/>
        </w:rPr>
        <w:t>and</w:t>
      </w:r>
      <w:r w:rsidRPr="001B3ED4">
        <w:rPr>
          <w:rFonts w:ascii="Arial" w:hAnsi="Arial" w:cs="Arial"/>
          <w:lang w:eastAsia="en-GB"/>
        </w:rPr>
        <w:t xml:space="preserve"> Vyas, 2018; Pelzer et al., 2022).</w:t>
      </w:r>
    </w:p>
    <w:p w14:paraId="165DCC9A" w14:textId="77777777" w:rsidR="00AB0BD3" w:rsidRPr="001B3ED4" w:rsidRDefault="00AB0BD3" w:rsidP="00AB0BD3">
      <w:pPr>
        <w:pStyle w:val="Heading2"/>
        <w:rPr>
          <w:lang w:eastAsia="en-GB"/>
        </w:rPr>
      </w:pPr>
      <w:bookmarkStart w:id="46" w:name="_Toc218418700"/>
      <w:r w:rsidRPr="001B3ED4">
        <w:rPr>
          <w:lang w:eastAsia="en-GB"/>
        </w:rPr>
        <w:t>Theme 3: Barriers to Effective BCG Vaccination Programme Implementation</w:t>
      </w:r>
      <w:bookmarkEnd w:id="46"/>
    </w:p>
    <w:p w14:paraId="277EF003" w14:textId="77777777"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Across multiple qualitative and mixed-methods studies, socio-cultural, logistical, and health-system barriers emerged as major impediments to effective vaccination implementation. Jain et al. (2020) identified fear of side effects, myths related to infertility, lack of awareness, denial by elders, and delayed BCG administration as prominent barriers in low-coverage settings. These barriers are particularly relevant in high-risk urban districts where misinformation and social resistance remain prevalent. Similarly, Patel and Vyas (2018) reported fear, religious beliefs, and lack of information about immunisation rounds as key reasons for non-acceptance in slum populations.</w:t>
      </w:r>
    </w:p>
    <w:p w14:paraId="4BCA622E" w14:textId="77EB881A"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At the system level, historical and policy-focused studies reveal deeper structural challenges. Neelakantan (2018) demonstrated that resistance to BCG vaccination has long been linked to fractured governance, mistrust in state health initiatives, and tensions between biomedical and holistic approaches to health. In occupational settings, Hatherill et al. (2016) highlighted that even healthcare workers</w:t>
      </w:r>
      <w:r w:rsidR="00F26625" w:rsidRPr="001B3ED4">
        <w:rPr>
          <w:rFonts w:ascii="Arial" w:hAnsi="Arial" w:cs="Arial"/>
          <w:lang w:eastAsia="en-GB"/>
        </w:rPr>
        <w:t xml:space="preserve">, </w:t>
      </w:r>
      <w:r w:rsidRPr="001B3ED4">
        <w:rPr>
          <w:rFonts w:ascii="Arial" w:hAnsi="Arial" w:cs="Arial"/>
          <w:lang w:eastAsia="en-GB"/>
        </w:rPr>
        <w:t xml:space="preserve">despite high TB risk—face barriers such as lack of screening infrastructure and absence of robust occupational health systems, limiting the feasibility of BCG revaccination. Collectively, these findings show that barriers to BCG implementation are multidimensional, </w:t>
      </w:r>
      <w:r w:rsidRPr="001B3ED4">
        <w:rPr>
          <w:rFonts w:ascii="Arial" w:hAnsi="Arial" w:cs="Arial"/>
          <w:lang w:eastAsia="en-GB"/>
        </w:rPr>
        <w:lastRenderedPageBreak/>
        <w:t>spanning individual beliefs, community norms, workforce constraints, and governance challenges. Addressing TB in Delhi’s high-risk districts, therefore</w:t>
      </w:r>
      <w:r w:rsidR="00F26625" w:rsidRPr="001B3ED4">
        <w:rPr>
          <w:rFonts w:ascii="Arial" w:hAnsi="Arial" w:cs="Arial"/>
          <w:lang w:eastAsia="en-GB"/>
        </w:rPr>
        <w:t>,</w:t>
      </w:r>
      <w:r w:rsidRPr="001B3ED4">
        <w:rPr>
          <w:rFonts w:ascii="Arial" w:hAnsi="Arial" w:cs="Arial"/>
          <w:lang w:eastAsia="en-GB"/>
        </w:rPr>
        <w:t xml:space="preserve"> requires not only vaccine availability but also targeted efforts to overcome misinformation, improve service accessibility, and strengthen health system trust (Jain et al., 2020; Neelakantan, 2018; Hatherill et al., 2016).</w:t>
      </w:r>
    </w:p>
    <w:p w14:paraId="2E25564E" w14:textId="0FE717B6" w:rsidR="00AB0BD3" w:rsidRPr="001B3ED4" w:rsidRDefault="00AB0BD3" w:rsidP="00AB0BD3">
      <w:pPr>
        <w:pStyle w:val="Heading2"/>
        <w:rPr>
          <w:lang w:eastAsia="en-GB"/>
        </w:rPr>
      </w:pPr>
      <w:bookmarkStart w:id="47" w:name="_Toc218418701"/>
      <w:r w:rsidRPr="001B3ED4">
        <w:rPr>
          <w:lang w:eastAsia="en-GB"/>
        </w:rPr>
        <w:t xml:space="preserve">Theme 4: </w:t>
      </w:r>
      <w:r w:rsidR="00A20467" w:rsidRPr="001B3ED4">
        <w:rPr>
          <w:lang w:eastAsia="en-GB"/>
        </w:rPr>
        <w:t xml:space="preserve">Various </w:t>
      </w:r>
      <w:r w:rsidRPr="001B3ED4">
        <w:rPr>
          <w:lang w:eastAsia="en-GB"/>
        </w:rPr>
        <w:t>Strategies for Improving BCG Campaign Design, Delivery, and Equity</w:t>
      </w:r>
      <w:bookmarkEnd w:id="47"/>
    </w:p>
    <w:p w14:paraId="696CAEC6" w14:textId="77777777"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 xml:space="preserve">The reviewed studies provide strong evidence for adopting targeted, equity-focused strategies to enhance the effectiveness of BCG vaccination campaigns in high-risk urban populations. Modelling studies consistently emphasise prioritisation of vulnerable groups as a high-impact approach. </w:t>
      </w:r>
      <w:proofErr w:type="spellStart"/>
      <w:r w:rsidRPr="001B3ED4">
        <w:rPr>
          <w:rFonts w:ascii="Arial" w:hAnsi="Arial" w:cs="Arial"/>
          <w:lang w:eastAsia="en-GB"/>
        </w:rPr>
        <w:t>Arinaminpathy</w:t>
      </w:r>
      <w:proofErr w:type="spellEnd"/>
      <w:r w:rsidRPr="001B3ED4">
        <w:rPr>
          <w:rFonts w:ascii="Arial" w:hAnsi="Arial" w:cs="Arial"/>
          <w:lang w:eastAsia="en-GB"/>
        </w:rPr>
        <w:t xml:space="preserve"> et al. (2023) showed that vaccinating undernourished populations, who represent a relatively small proportion of the population, could achieve nearly half the impact of mass vaccination strategies. Similarly, Clark et al. (2024) demonstrated that regional tailoring of vaccination strategies based on disease prevalence and demography significantly improves cost-effectiveness, particularly in high-burden areas like Delhi.</w:t>
      </w:r>
    </w:p>
    <w:p w14:paraId="0979C3DD" w14:textId="77777777" w:rsidR="00AB0BD3" w:rsidRPr="001B3ED4" w:rsidRDefault="00AB0BD3" w:rsidP="00AB0BD3">
      <w:pPr>
        <w:spacing w:line="360" w:lineRule="auto"/>
        <w:jc w:val="both"/>
        <w:rPr>
          <w:rFonts w:ascii="Arial" w:hAnsi="Arial" w:cs="Arial"/>
          <w:lang w:eastAsia="en-GB"/>
        </w:rPr>
      </w:pPr>
      <w:r w:rsidRPr="001B3ED4">
        <w:rPr>
          <w:rFonts w:ascii="Arial" w:hAnsi="Arial" w:cs="Arial"/>
          <w:lang w:eastAsia="en-GB"/>
        </w:rPr>
        <w:t xml:space="preserve">Community-based and system-strengthening strategies also emerged as critical enablers. Patel and Vyas (2018) provided practical evidence that personalised outreach, community leader involvement, and digital reminders can substantially improve coverage. Pelzer et al. (2022) further recommended routine vaccination platforms over mass campaigns to reduce stigma and logistical barriers, especially for adolescents and adults. Additionally, Singh et al. (2020) and Hatherill et al. (2016) stressed the importance of integrating vaccination with broader public health and occupational health systems. Overall, the evidence supports a shift from one-size-fits-all approaches toward locally adapted, people-centred BCG campaigns that prioritise high-risk adults, migrants, and underserved communities. Such strategies are essential for improving equity, coverage, and long-term TB control in Delhi’s high-risk districts (Clark et al., 2024; </w:t>
      </w:r>
      <w:proofErr w:type="spellStart"/>
      <w:r w:rsidRPr="001B3ED4">
        <w:rPr>
          <w:rFonts w:ascii="Arial" w:hAnsi="Arial" w:cs="Arial"/>
          <w:lang w:eastAsia="en-GB"/>
        </w:rPr>
        <w:t>Arinaminpathy</w:t>
      </w:r>
      <w:proofErr w:type="spellEnd"/>
      <w:r w:rsidRPr="001B3ED4">
        <w:rPr>
          <w:rFonts w:ascii="Arial" w:hAnsi="Arial" w:cs="Arial"/>
          <w:lang w:eastAsia="en-GB"/>
        </w:rPr>
        <w:t xml:space="preserve"> et al., 2023; Patel and Vyas, 2018).</w:t>
      </w:r>
    </w:p>
    <w:p w14:paraId="151871EC" w14:textId="7C7D1B17" w:rsidR="009F4010" w:rsidRPr="001B3ED4" w:rsidRDefault="009F4010" w:rsidP="004F2450">
      <w:pPr>
        <w:pStyle w:val="Heading1"/>
      </w:pPr>
      <w:bookmarkStart w:id="48" w:name="_Toc218418702"/>
      <w:r w:rsidRPr="001B3ED4">
        <w:t>4.5 Chapter Summary</w:t>
      </w:r>
      <w:bookmarkEnd w:id="48"/>
    </w:p>
    <w:p w14:paraId="65D73343" w14:textId="77777777" w:rsidR="009F4010" w:rsidRPr="001B3ED4" w:rsidRDefault="009F4010" w:rsidP="009F4010">
      <w:pPr>
        <w:spacing w:line="360" w:lineRule="auto"/>
        <w:jc w:val="both"/>
        <w:rPr>
          <w:rFonts w:ascii="Arial" w:hAnsi="Arial" w:cs="Arial"/>
          <w:lang w:eastAsia="en-GB"/>
        </w:rPr>
      </w:pPr>
      <w:r w:rsidRPr="001B3ED4">
        <w:rPr>
          <w:rFonts w:ascii="Arial" w:hAnsi="Arial" w:cs="Arial"/>
          <w:lang w:eastAsia="en-GB"/>
        </w:rPr>
        <w:t xml:space="preserve">This chapter presented the results of a systematic review examining the impact of BCG vaccination campaigns on tuberculosis outcomes among high-risk populations aged 15–60 years in selected districts of Delhi. Using PRISMA-guided methods, ten studies were included, encompassing modelling, observational, qualitative, and </w:t>
      </w:r>
      <w:r w:rsidRPr="001B3ED4">
        <w:rPr>
          <w:rFonts w:ascii="Arial" w:hAnsi="Arial" w:cs="Arial"/>
          <w:lang w:eastAsia="en-GB"/>
        </w:rPr>
        <w:lastRenderedPageBreak/>
        <w:t>programmatic evidence. The findings indicate that BCG vaccination and revaccination have a modest but meaningful population-level impact on TB incidence and mortality in high-burden urban settings, particularly when strategically targeted. However, persistent inequities in coverage, especially among migrants, slum dwellers, and socio-economically disadvantaged groups, substantially limit effectiveness. Socio-cultural resistance, misinformation, delayed vaccination, and health-system constraints emerged as key barriers to implementation. Importantly, evidence consistently supported risk-based targeting, community-based outreach, strengthened routine services, and integration with broader TB control measures as effective strategies for improving equity and impact. Overall, the results highlight that optimising BCG campaign design and delivery is essential for enhancing TB control in Delhi’s high-risk districts.</w:t>
      </w:r>
    </w:p>
    <w:p w14:paraId="004E8A79" w14:textId="77777777" w:rsidR="00850D98" w:rsidRPr="001B3ED4" w:rsidRDefault="00850D98" w:rsidP="00AB0BD3">
      <w:pPr>
        <w:spacing w:line="360" w:lineRule="auto"/>
        <w:jc w:val="both"/>
        <w:rPr>
          <w:rFonts w:ascii="Arial" w:hAnsi="Arial" w:cs="Arial"/>
          <w:lang w:eastAsia="en-GB"/>
        </w:rPr>
      </w:pPr>
    </w:p>
    <w:p w14:paraId="3A0D9CE5" w14:textId="77777777" w:rsidR="00850D98" w:rsidRPr="001B3ED4" w:rsidRDefault="00850D98" w:rsidP="00AB0BD3">
      <w:pPr>
        <w:spacing w:line="360" w:lineRule="auto"/>
        <w:jc w:val="both"/>
        <w:rPr>
          <w:rFonts w:ascii="Arial" w:hAnsi="Arial" w:cs="Arial"/>
          <w:lang w:eastAsia="en-GB"/>
        </w:rPr>
      </w:pPr>
    </w:p>
    <w:p w14:paraId="7E31F3FB" w14:textId="77777777" w:rsidR="0052700B" w:rsidRPr="001B3ED4" w:rsidRDefault="0052700B" w:rsidP="00AB0BD3">
      <w:pPr>
        <w:spacing w:line="360" w:lineRule="auto"/>
        <w:jc w:val="both"/>
        <w:rPr>
          <w:rFonts w:ascii="Arial" w:hAnsi="Arial" w:cs="Arial"/>
          <w:lang w:eastAsia="en-GB"/>
        </w:rPr>
      </w:pPr>
    </w:p>
    <w:p w14:paraId="19031460" w14:textId="77777777" w:rsidR="0052700B" w:rsidRPr="001B3ED4" w:rsidRDefault="0052700B" w:rsidP="00AB0BD3">
      <w:pPr>
        <w:spacing w:line="360" w:lineRule="auto"/>
        <w:jc w:val="both"/>
        <w:rPr>
          <w:rFonts w:ascii="Arial" w:hAnsi="Arial" w:cs="Arial"/>
          <w:lang w:eastAsia="en-GB"/>
        </w:rPr>
      </w:pPr>
    </w:p>
    <w:p w14:paraId="519CFB40" w14:textId="77777777" w:rsidR="0052700B" w:rsidRPr="001B3ED4" w:rsidRDefault="0052700B" w:rsidP="00AB0BD3">
      <w:pPr>
        <w:spacing w:line="360" w:lineRule="auto"/>
        <w:jc w:val="both"/>
        <w:rPr>
          <w:rFonts w:ascii="Arial" w:hAnsi="Arial" w:cs="Arial"/>
          <w:lang w:eastAsia="en-GB"/>
        </w:rPr>
      </w:pPr>
    </w:p>
    <w:p w14:paraId="0676398E" w14:textId="77777777" w:rsidR="0052700B" w:rsidRPr="001B3ED4" w:rsidRDefault="0052700B" w:rsidP="00AB0BD3">
      <w:pPr>
        <w:spacing w:line="360" w:lineRule="auto"/>
        <w:jc w:val="both"/>
        <w:rPr>
          <w:rFonts w:ascii="Arial" w:hAnsi="Arial" w:cs="Arial"/>
          <w:lang w:eastAsia="en-GB"/>
        </w:rPr>
      </w:pPr>
    </w:p>
    <w:p w14:paraId="6537B479" w14:textId="77777777" w:rsidR="0052700B" w:rsidRPr="001B3ED4" w:rsidRDefault="0052700B" w:rsidP="00AB0BD3">
      <w:pPr>
        <w:spacing w:line="360" w:lineRule="auto"/>
        <w:jc w:val="both"/>
        <w:rPr>
          <w:rFonts w:ascii="Arial" w:hAnsi="Arial" w:cs="Arial"/>
          <w:lang w:eastAsia="en-GB"/>
        </w:rPr>
      </w:pPr>
    </w:p>
    <w:p w14:paraId="7471452E" w14:textId="77777777" w:rsidR="0052700B" w:rsidRPr="001B3ED4" w:rsidRDefault="0052700B" w:rsidP="00AB0BD3">
      <w:pPr>
        <w:spacing w:line="360" w:lineRule="auto"/>
        <w:jc w:val="both"/>
        <w:rPr>
          <w:rFonts w:ascii="Arial" w:hAnsi="Arial" w:cs="Arial"/>
          <w:lang w:eastAsia="en-GB"/>
        </w:rPr>
      </w:pPr>
    </w:p>
    <w:p w14:paraId="6CBA6868" w14:textId="77777777" w:rsidR="0052700B" w:rsidRPr="001B3ED4" w:rsidRDefault="0052700B" w:rsidP="00AB0BD3">
      <w:pPr>
        <w:spacing w:line="360" w:lineRule="auto"/>
        <w:jc w:val="both"/>
        <w:rPr>
          <w:rFonts w:ascii="Arial" w:hAnsi="Arial" w:cs="Arial"/>
          <w:lang w:eastAsia="en-GB"/>
        </w:rPr>
      </w:pPr>
    </w:p>
    <w:p w14:paraId="480CFBE9" w14:textId="77777777" w:rsidR="0052700B" w:rsidRPr="001B3ED4" w:rsidRDefault="0052700B" w:rsidP="00AB0BD3">
      <w:pPr>
        <w:spacing w:line="360" w:lineRule="auto"/>
        <w:jc w:val="both"/>
        <w:rPr>
          <w:rFonts w:ascii="Arial" w:hAnsi="Arial" w:cs="Arial"/>
          <w:lang w:eastAsia="en-GB"/>
        </w:rPr>
      </w:pPr>
    </w:p>
    <w:p w14:paraId="00DAB929" w14:textId="77777777" w:rsidR="0052700B" w:rsidRPr="001B3ED4" w:rsidRDefault="0052700B" w:rsidP="00AB0BD3">
      <w:pPr>
        <w:spacing w:line="360" w:lineRule="auto"/>
        <w:jc w:val="both"/>
        <w:rPr>
          <w:rFonts w:ascii="Arial" w:hAnsi="Arial" w:cs="Arial"/>
          <w:lang w:eastAsia="en-GB"/>
        </w:rPr>
      </w:pPr>
    </w:p>
    <w:p w14:paraId="69CCAD43" w14:textId="77777777" w:rsidR="0052700B" w:rsidRPr="001B3ED4" w:rsidRDefault="0052700B" w:rsidP="00AB0BD3">
      <w:pPr>
        <w:spacing w:line="360" w:lineRule="auto"/>
        <w:jc w:val="both"/>
        <w:rPr>
          <w:rFonts w:ascii="Arial" w:hAnsi="Arial" w:cs="Arial"/>
          <w:lang w:eastAsia="en-GB"/>
        </w:rPr>
      </w:pPr>
    </w:p>
    <w:p w14:paraId="1A97C924" w14:textId="77777777" w:rsidR="0052700B" w:rsidRPr="001B3ED4" w:rsidRDefault="0052700B" w:rsidP="00AB0BD3">
      <w:pPr>
        <w:spacing w:line="360" w:lineRule="auto"/>
        <w:jc w:val="both"/>
        <w:rPr>
          <w:rFonts w:ascii="Arial" w:hAnsi="Arial" w:cs="Arial"/>
          <w:lang w:eastAsia="en-GB"/>
        </w:rPr>
      </w:pPr>
    </w:p>
    <w:p w14:paraId="0ACD801F" w14:textId="77777777" w:rsidR="0052700B" w:rsidRPr="001B3ED4" w:rsidRDefault="0052700B" w:rsidP="00AB0BD3">
      <w:pPr>
        <w:spacing w:line="360" w:lineRule="auto"/>
        <w:jc w:val="both"/>
        <w:rPr>
          <w:rFonts w:ascii="Arial" w:hAnsi="Arial" w:cs="Arial"/>
          <w:lang w:eastAsia="en-GB"/>
        </w:rPr>
      </w:pPr>
    </w:p>
    <w:p w14:paraId="7C8B8C52" w14:textId="77777777" w:rsidR="00850D98" w:rsidRPr="001B3ED4" w:rsidRDefault="00850D98" w:rsidP="00AB0BD3">
      <w:pPr>
        <w:spacing w:line="360" w:lineRule="auto"/>
        <w:jc w:val="both"/>
        <w:rPr>
          <w:rFonts w:ascii="Arial" w:hAnsi="Arial" w:cs="Arial"/>
          <w:lang w:eastAsia="en-GB"/>
        </w:rPr>
      </w:pPr>
    </w:p>
    <w:p w14:paraId="1FC0F80F" w14:textId="77777777" w:rsidR="004A56F1" w:rsidRPr="001B3ED4" w:rsidRDefault="004A56F1" w:rsidP="004F2450">
      <w:pPr>
        <w:pStyle w:val="Heading1"/>
      </w:pPr>
      <w:bookmarkStart w:id="49" w:name="_Toc218418703"/>
      <w:r w:rsidRPr="001B3ED4">
        <w:lastRenderedPageBreak/>
        <w:t>Chapter 5: Discussion</w:t>
      </w:r>
      <w:bookmarkEnd w:id="49"/>
      <w:r w:rsidRPr="001B3ED4">
        <w:t xml:space="preserve"> </w:t>
      </w:r>
    </w:p>
    <w:p w14:paraId="48F912A5" w14:textId="55668F52" w:rsidR="004A56F1" w:rsidRPr="001B3ED4" w:rsidRDefault="00FB66E1" w:rsidP="004F2450">
      <w:pPr>
        <w:pStyle w:val="Heading1"/>
      </w:pPr>
      <w:bookmarkStart w:id="50" w:name="_Toc218418704"/>
      <w:r w:rsidRPr="001B3ED4">
        <w:t xml:space="preserve">5.1 </w:t>
      </w:r>
      <w:r w:rsidR="004A56F1" w:rsidRPr="001B3ED4">
        <w:t>Introduction</w:t>
      </w:r>
      <w:bookmarkEnd w:id="50"/>
    </w:p>
    <w:p w14:paraId="164D15F4" w14:textId="77777777" w:rsidR="004A56F1" w:rsidRPr="001B3ED4" w:rsidRDefault="004A56F1" w:rsidP="004A56F1">
      <w:pPr>
        <w:spacing w:line="360" w:lineRule="auto"/>
        <w:jc w:val="both"/>
        <w:rPr>
          <w:rFonts w:ascii="Arial" w:hAnsi="Arial" w:cs="Arial"/>
        </w:rPr>
      </w:pPr>
      <w:r w:rsidRPr="001B3ED4">
        <w:rPr>
          <w:rFonts w:ascii="Arial" w:hAnsi="Arial" w:cs="Arial"/>
        </w:rPr>
        <w:t>This chapter discusses the findings of the systematic review evaluating the impact of Bacillus Calmette–Guérin (BCG) vaccination campaigns on tuberculosis (TB) control among high-risk populations aged 15 to 60 years in selected districts of Delhi, India. The discussion integrates epidemiological, programmatic, and socio-contextual evidence to address the study’s research question, aim, and objectives. Drawing on modelling studies, reviews, qualitative research, and community-based investigations, this chapter critically examines trends in TB incidence in relation to BCG implementation, the reach of vaccination campaigns among vulnerable adult populations, and the persistent barriers affecting programme effectiveness. Attention is given to urban high-risk contexts characterised by overcrowding, migration, undernutrition, and health-system constraints. The findings are interpreted considering existing national TB control strategies and emerging evidence on BCG revaccination and adult immunisation. Overall, this chapter situates the review findings within broader public health and policy frameworks to inform evidence-based recommendations for strengthening BCG vaccination strategies in high-burden urban settings.</w:t>
      </w:r>
    </w:p>
    <w:p w14:paraId="5A5660D9" w14:textId="143ED231" w:rsidR="00FB66E1" w:rsidRPr="001B3ED4" w:rsidRDefault="00FB66E1" w:rsidP="004F2450">
      <w:pPr>
        <w:pStyle w:val="Heading1"/>
      </w:pPr>
      <w:bookmarkStart w:id="51" w:name="_Toc218418705"/>
      <w:r w:rsidRPr="001B3ED4">
        <w:t>5.2 Discussion of themes</w:t>
      </w:r>
      <w:bookmarkEnd w:id="51"/>
    </w:p>
    <w:p w14:paraId="264FF0E2" w14:textId="12FBA0D9" w:rsidR="004A56F1" w:rsidRPr="001B3ED4" w:rsidRDefault="004A56F1" w:rsidP="004A56F1">
      <w:pPr>
        <w:spacing w:line="360" w:lineRule="auto"/>
        <w:jc w:val="both"/>
        <w:rPr>
          <w:rFonts w:ascii="Arial" w:hAnsi="Arial" w:cs="Arial"/>
        </w:rPr>
      </w:pPr>
      <w:r w:rsidRPr="001B3ED4">
        <w:rPr>
          <w:rFonts w:ascii="Arial" w:hAnsi="Arial" w:cs="Arial"/>
          <w:b/>
          <w:bCs/>
        </w:rPr>
        <w:t>Theme 1: Low Impact of BCG and TB Vaccination Strategies on TB Incidence and Morbidity</w:t>
      </w:r>
    </w:p>
    <w:p w14:paraId="63D8CD44"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Comparative evidence from modelling and observational studies suggests that the population-level impact of BCG vaccination in adults is modest but contextually important. Modelling studies in high-burden settings such as Delhi indicate that BCG revaccination could avert approximately 8–9% of TB cases and deaths over the long term, with greater impact observed for newer vaccine candidates such as M72/AS01E (Clark et al., 2024). These findings are consistent with </w:t>
      </w:r>
      <w:proofErr w:type="spellStart"/>
      <w:r w:rsidRPr="001B3ED4">
        <w:rPr>
          <w:rFonts w:ascii="Arial" w:hAnsi="Arial" w:cs="Arial"/>
        </w:rPr>
        <w:t>Arinaminpathy</w:t>
      </w:r>
      <w:proofErr w:type="spellEnd"/>
      <w:r w:rsidRPr="001B3ED4">
        <w:rPr>
          <w:rFonts w:ascii="Arial" w:hAnsi="Arial" w:cs="Arial"/>
        </w:rPr>
        <w:t xml:space="preserve"> et al. (2023), who demonstrated that vaccines with moderate efficacy (around 50%) can still produce substantial reductions in TB incidence when strategically deployed, particularly among high-risk populations. In contrast, Abbott et al. (2019), using surveillance data from England, found that BCG vaccination was associated primarily with reduced all-cause mortality among TB cases rather than strong protection against </w:t>
      </w:r>
      <w:r w:rsidRPr="001B3ED4">
        <w:rPr>
          <w:rFonts w:ascii="Arial" w:hAnsi="Arial" w:cs="Arial"/>
        </w:rPr>
        <w:lastRenderedPageBreak/>
        <w:t>pulmonary disease or recurrence, and that these benefits diminished after 10 years. This contrast highlights how BCG’s impact in low-incidence settings may be more disease-modifying than preventive, whereas in high-burden contexts like Delhi, even partial protection can yield meaningful population-level gains.</w:t>
      </w:r>
    </w:p>
    <w:p w14:paraId="0F478844"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Further comparison with Sweeney et al. (2019) underscores the role of vaccination coverage and policy context in shaping observed effectiveness. In Ireland, TB incidence was substantially higher in unvaccinated regions compared with areas implementing neonatal or school-age BCG vaccination, demonstrating strong primary preventive effects at the population level. This contrasts with the limited adult protection observed in reviews such as Singh et al. (2020), which reported inconsistent efficacy against adult pulmonary TB. Historical analyses suggest that uneven implementation, sociopolitical resistance, and health-system constraints, rather than biological limitations alone, have influenced TB outcomes in endemic regions (Neelakantan, 2018). Finally, global modelling by Clark et al. (2023) reinforces that the relatively low impact of BCG alone can be substantially amplified through combined routine and campaign-based vaccination strategies using novel vaccines. Collectively, these studies indicate that while BCG alone may not dramatically reduce adult TB morbidity, its strategic revaccination and integration with new vaccines and broader TB control measures remain essential for reducing transmission and disease burden among high-risk populations aged 15–60 years (Clark et al., 2024; </w:t>
      </w:r>
      <w:proofErr w:type="spellStart"/>
      <w:r w:rsidRPr="001B3ED4">
        <w:rPr>
          <w:rFonts w:ascii="Arial" w:hAnsi="Arial" w:cs="Arial"/>
        </w:rPr>
        <w:t>Arinaminpathy</w:t>
      </w:r>
      <w:proofErr w:type="spellEnd"/>
      <w:r w:rsidRPr="001B3ED4">
        <w:rPr>
          <w:rFonts w:ascii="Arial" w:hAnsi="Arial" w:cs="Arial"/>
        </w:rPr>
        <w:t xml:space="preserve"> et al., 2023).</w:t>
      </w:r>
    </w:p>
    <w:p w14:paraId="46435505" w14:textId="77777777" w:rsidR="004A56F1" w:rsidRPr="001B3ED4" w:rsidRDefault="004A56F1" w:rsidP="004A56F1">
      <w:pPr>
        <w:spacing w:line="360" w:lineRule="auto"/>
        <w:jc w:val="both"/>
        <w:rPr>
          <w:rFonts w:ascii="Arial" w:hAnsi="Arial" w:cs="Arial"/>
        </w:rPr>
      </w:pPr>
      <w:r w:rsidRPr="001B3ED4">
        <w:rPr>
          <w:rFonts w:ascii="Arial" w:hAnsi="Arial" w:cs="Arial"/>
          <w:b/>
          <w:bCs/>
        </w:rPr>
        <w:t>Theme 2: Challenging Coverage and Outreach of Vaccination Campaigns in High-Risk and Vulnerable Populations</w:t>
      </w:r>
    </w:p>
    <w:p w14:paraId="20218320"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Evidence consistently demonstrates that inequitable coverage and limited outreach remain major constraints on the effectiveness of BCG and TB vaccination campaigns in high-risk populations. Studies from urban India show that migrants, slum dwellers, and socio-economically marginalised groups experience disproportionately low immunisation coverage due to mobility, lack of awareness, and weak integration with health systems (Kusuma et al., 2018). Although focused on children, these structural barriers are highly relevant to adult populations aged 15–60 years in Delhi, particularly migrant workers in informal settlements. Similar inequities are observed globally. Osborne et al. (2024) reported that despite substantial improvements in national BCG </w:t>
      </w:r>
      <w:r w:rsidRPr="001B3ED4">
        <w:rPr>
          <w:rFonts w:ascii="Arial" w:hAnsi="Arial" w:cs="Arial"/>
        </w:rPr>
        <w:lastRenderedPageBreak/>
        <w:t>coverage in Sierra Leone, persistent age-related and sub-national inequalities remained, indicating that overall coverage gains can mask vulnerable sub-groups that remain underserved. In contrast to the Indian urban context, reductions in economic and educational inequalities in Sierra Leone suggest that sustained policy commitment and health-system strengthening can narrow access gaps, highlighting opportunities for adaptation in Delhi’s high-risk districts.</w:t>
      </w:r>
    </w:p>
    <w:p w14:paraId="40B02217" w14:textId="77777777" w:rsidR="004A56F1" w:rsidRPr="001B3ED4" w:rsidRDefault="004A56F1" w:rsidP="004A56F1">
      <w:pPr>
        <w:spacing w:line="360" w:lineRule="auto"/>
        <w:jc w:val="both"/>
        <w:rPr>
          <w:rFonts w:ascii="Arial" w:hAnsi="Arial" w:cs="Arial"/>
        </w:rPr>
      </w:pPr>
      <w:r w:rsidRPr="001B3ED4">
        <w:rPr>
          <w:rFonts w:ascii="Arial" w:hAnsi="Arial" w:cs="Arial"/>
        </w:rPr>
        <w:t>Interventional and qualitative studies further emphasise that coverage challenges are not solely biological but programmatic and social in nature. Patel and Vyas (2018) demonstrated that community-based outreach strategies, such as household visits, tailored education, and engagement of local influencers, substantially improved immunisation uptake in slum settings, findings that align with stakeholder preferences for routine, stigma-free delivery models reported by Pelzer et al. (2022). These delivery challenges are compounded by biological limitations of BCG, including variable and waning immune protection (Bradford et al., 2024), which may reduce public confidence in vaccination and weaken demand. However, emerging evidence on the broader immunological benefits of BCG, including trained immunity and potential multivalent protection against other infections, suggests an opportunity to reframe vaccination campaigns to enhance acceptability and perceived value (Campelo et al., 2025). Collectively, these studies indicate that improving BCG impact in high-risk districts of Delhi requires not only novel or enhanced vaccines but also equity-focused outreach strategies that address social exclusion, mobility, trust, and health-system responsiveness.</w:t>
      </w:r>
    </w:p>
    <w:p w14:paraId="4018A06D" w14:textId="77777777" w:rsidR="004A56F1" w:rsidRPr="001B3ED4" w:rsidRDefault="004A56F1" w:rsidP="004A56F1">
      <w:pPr>
        <w:spacing w:line="360" w:lineRule="auto"/>
        <w:jc w:val="both"/>
        <w:rPr>
          <w:rFonts w:ascii="Arial" w:hAnsi="Arial" w:cs="Arial"/>
        </w:rPr>
      </w:pPr>
      <w:r w:rsidRPr="001B3ED4">
        <w:rPr>
          <w:rFonts w:ascii="Arial" w:hAnsi="Arial" w:cs="Arial"/>
          <w:b/>
          <w:bCs/>
        </w:rPr>
        <w:t>Theme 3: Barriers to Effective BCG Vaccination Programme Implementation</w:t>
      </w:r>
    </w:p>
    <w:p w14:paraId="0BCF47CC"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Comparative evidence across qualitative, mixed-methods, and policy-focused studies demonstrates that barriers to BCG vaccination extend far beyond vaccine availability, encompassing socio-cultural resistance, delayed delivery, and systemic inefficiencies. In urban Indian settings, frontline perspectives highlight fear of side effects, myths surrounding infertility, elder-driven refusal, and poor awareness as key deterrents to uptake (Jain et al., 2020), findings that closely align with slum-based interventional evidence identifying religious beliefs and inadequate communication as reasons for non-acceptance (Patel and Vyas, 2018). These demand-side barriers mirror implementation challenges observed in low-income countries. Rasmussen et al. </w:t>
      </w:r>
      <w:r w:rsidRPr="001B3ED4">
        <w:rPr>
          <w:rFonts w:ascii="Arial" w:hAnsi="Arial" w:cs="Arial"/>
        </w:rPr>
        <w:lastRenderedPageBreak/>
        <w:t>(2024) showed that although BCG coverage in Guinea-Bissau exceeded 90% by 12 months, only 19% of children were vaccinated at birth, revealing substantial delays masked by conventional coverage indicators. This parallels the Indian context, where reported coverage may obscure missed or delayed vaccination opportunities in high-risk districts, limiting both TB-specific and non-specific benefits of BCG.</w:t>
      </w:r>
    </w:p>
    <w:p w14:paraId="2A021A8D" w14:textId="77777777" w:rsidR="004A56F1" w:rsidRPr="001B3ED4" w:rsidRDefault="004A56F1" w:rsidP="004A56F1">
      <w:pPr>
        <w:spacing w:line="360" w:lineRule="auto"/>
        <w:jc w:val="both"/>
        <w:rPr>
          <w:rFonts w:ascii="Arial" w:hAnsi="Arial" w:cs="Arial"/>
        </w:rPr>
      </w:pPr>
      <w:r w:rsidRPr="001B3ED4">
        <w:rPr>
          <w:rFonts w:ascii="Arial" w:hAnsi="Arial" w:cs="Arial"/>
        </w:rPr>
        <w:t>At the system and policy level, structural constraints further undermine programme effectiveness. Historical analysis from South Asia illustrates how mistrust in state health initiatives and fragmented governance have long shaped resistance to BCG vaccination (Neelakantan, 2018), a pattern echoed in contemporary health systems. Jones et al. (2024) found that even in a well-resourced setting such as England, changes to neonatal BCG delivery pathways created implementation challenges related to staffing, appointment systems, and the feasibility of vaccination timelines. These findings resonate with Vedel (2025), who demonstrated that restrictive vial-opening policies and resource limitations in Guinea-Bissau led to missed vaccination opportunities, delayed administration, and reduced staff morale, despite high overall coverage. In occupational and high-risk settings, additional barriers such as weak screening infrastructure and lack of dedicated occupational health systems further constrain BCG revaccination efforts (Hatherill et al., 2016). Collectively, these studies indicate that effective BCG implementation in Delhi’s high-risk districts requires re-examining performance indicators, strengthening health-system capacity, and addressing socio-cultural mistrust alongside logistical constraints. Without such multidimensional interventions, vaccination programmes risk underperforming despite adequate vaccines.</w:t>
      </w:r>
    </w:p>
    <w:p w14:paraId="2DC16AF7" w14:textId="77777777" w:rsidR="004A56F1" w:rsidRPr="001B3ED4" w:rsidRDefault="004A56F1" w:rsidP="004A56F1">
      <w:pPr>
        <w:spacing w:line="360" w:lineRule="auto"/>
        <w:jc w:val="both"/>
        <w:rPr>
          <w:rFonts w:ascii="Arial" w:hAnsi="Arial" w:cs="Arial"/>
        </w:rPr>
      </w:pPr>
      <w:r w:rsidRPr="001B3ED4">
        <w:rPr>
          <w:rFonts w:ascii="Arial" w:hAnsi="Arial" w:cs="Arial"/>
          <w:b/>
          <w:bCs/>
        </w:rPr>
        <w:t>Theme 4: Various Strategies for Improving BCG Campaign Design, Delivery, and Equity</w:t>
      </w:r>
    </w:p>
    <w:p w14:paraId="7031541A"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Across modelling, empirical, and policy-oriented studies, a consistent finding is that targeted and equity-focused strategies substantially enhance the impact of BCG vaccination campaigns. Modelling evidence from India demonstrates that prioritising vulnerable subpopulations yields disproportionately high returns. </w:t>
      </w:r>
      <w:proofErr w:type="spellStart"/>
      <w:r w:rsidRPr="001B3ED4">
        <w:rPr>
          <w:rFonts w:ascii="Arial" w:hAnsi="Arial" w:cs="Arial"/>
        </w:rPr>
        <w:t>Arinaminpathy</w:t>
      </w:r>
      <w:proofErr w:type="spellEnd"/>
      <w:r w:rsidRPr="001B3ED4">
        <w:rPr>
          <w:rFonts w:ascii="Arial" w:hAnsi="Arial" w:cs="Arial"/>
        </w:rPr>
        <w:t xml:space="preserve"> et al. (2023) showed that vaccinating undernourished individuals who represent a relatively small share of the population could achieve nearly half the impact of mass vaccination strategies, reinforcing the importance of risk-based targeting. Similarly, Clark et al. </w:t>
      </w:r>
      <w:r w:rsidRPr="001B3ED4">
        <w:rPr>
          <w:rFonts w:ascii="Arial" w:hAnsi="Arial" w:cs="Arial"/>
        </w:rPr>
        <w:lastRenderedPageBreak/>
        <w:t>(2024) highlighted that tailoring vaccination strategies to regional TB prevalence and demographic profiles improves cost-effectiveness in high-burden settings such as Delhi. These findings align with population-based evidence from Somalia, where Hassan et al. (2025) found substantial regional and socio-demographic disparities in BCG uptake, underscoring the need to address inequities related to maternal health, wealth, birth order, and geography.  These studies suggest that universal approaches alone are insufficient and that locally adapted strategies are essential to improve equity and coverage in high-risk populations.</w:t>
      </w:r>
    </w:p>
    <w:p w14:paraId="2F746980"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Evidence from health-system strengthening and vaccination delivery research further illustrates how design and delivery strategies influence campaign success. Community-based interventions in India, including personalised outreach, community leader engagement, and digital reminders, have been shown to significantly improve immunisation uptake in underserved urban populations (Patel and Vyas, 2018), findings supported by stakeholder preferences for routine, stigma-free delivery platforms (Pelzer et al., 2022). In contrast, over-reliance on episodic outreach campaigns may perpetuate geographical inequities when routine services are weak, as demonstrated by </w:t>
      </w:r>
      <w:proofErr w:type="spellStart"/>
      <w:r w:rsidRPr="001B3ED4">
        <w:rPr>
          <w:rFonts w:ascii="Arial" w:hAnsi="Arial" w:cs="Arial"/>
        </w:rPr>
        <w:t>Rajaonarifara</w:t>
      </w:r>
      <w:proofErr w:type="spellEnd"/>
      <w:r w:rsidRPr="001B3ED4">
        <w:rPr>
          <w:rFonts w:ascii="Arial" w:hAnsi="Arial" w:cs="Arial"/>
        </w:rPr>
        <w:t xml:space="preserve"> et al. (2022). Their findings indicate that investments in primary health-care systems improve coverage, timeliness, and economic equity, though complementary outreach remains necessary to reach remote populations. At the vaccine strategy level, renewed interest in BCG revaccination reflects emerging evidence of heterologous benefits and acceptable safety profiles, although variability in efficacy and adverse events highlights the need for standardised protocols and careful targeting (Antas et al., 2024). Together, these studies support a shift towards integrated, people-centred BCG strategies that combine risk-based targeting, strengthened routine services, and context-specific outreach to improve equity and long-term TB control in Delhi’s high-risk districts (Clark et al., 2024; </w:t>
      </w:r>
      <w:proofErr w:type="spellStart"/>
      <w:r w:rsidRPr="001B3ED4">
        <w:rPr>
          <w:rFonts w:ascii="Arial" w:hAnsi="Arial" w:cs="Arial"/>
        </w:rPr>
        <w:t>Arinaminpathy</w:t>
      </w:r>
      <w:proofErr w:type="spellEnd"/>
      <w:r w:rsidRPr="001B3ED4">
        <w:rPr>
          <w:rFonts w:ascii="Arial" w:hAnsi="Arial" w:cs="Arial"/>
        </w:rPr>
        <w:t xml:space="preserve"> et al., 2023).</w:t>
      </w:r>
    </w:p>
    <w:p w14:paraId="20001750" w14:textId="67D67323" w:rsidR="004A56F1" w:rsidRPr="001B3ED4" w:rsidRDefault="00FB66E1" w:rsidP="004F2450">
      <w:pPr>
        <w:pStyle w:val="Heading1"/>
      </w:pPr>
      <w:bookmarkStart w:id="52" w:name="_Toc218418706"/>
      <w:r w:rsidRPr="001B3ED4">
        <w:t xml:space="preserve">5.3 </w:t>
      </w:r>
      <w:r w:rsidR="004A56F1" w:rsidRPr="001B3ED4">
        <w:t>Chapter Summary</w:t>
      </w:r>
      <w:bookmarkEnd w:id="52"/>
    </w:p>
    <w:p w14:paraId="3E8B1A4D"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This chapter synthesised evidence from diverse study designs to evaluate the impact of BCG vaccination campaigns on tuberculosis control among high-risk populations aged 15–60 years in Delhi. Overall, the findings indicate that while BCG vaccination and revaccination have a modest direct impact on adult TB incidence, their population-level benefits are contextually significant when strategically targeted and integrated </w:t>
      </w:r>
      <w:r w:rsidRPr="001B3ED4">
        <w:rPr>
          <w:rFonts w:ascii="Arial" w:hAnsi="Arial" w:cs="Arial"/>
        </w:rPr>
        <w:lastRenderedPageBreak/>
        <w:t>with broader TB control measures. Persistent challenges related to inequitable coverage, limited outreach, socio-cultural resistance, and health-system constraints were identified as major factors undermining programme effectiveness. The discussion highlighted that reported vaccination coverage often masks delays and missed opportunities among vulnerable groups, including migrants and urban poor populations. Importantly, evidence supports a shift away from uniform approaches towards equity-focused, locally adapted strategies that prioritise high-risk subgroups, strengthen routine immunisation systems, and employ community-based delivery models. Emerging interest in BCG revaccination and novel vaccines further underscores the need for standardised, people-centred implementation frameworks. Collectively, these findings reinforce that optimising BCG campaign design, delivery, and equity is essential for achieving meaningful and sustainable TB control in high-burden urban settings such as Delhi.</w:t>
      </w:r>
    </w:p>
    <w:p w14:paraId="0CE811C9" w14:textId="77777777" w:rsidR="00A4764F" w:rsidRPr="001B3ED4" w:rsidRDefault="00A4764F" w:rsidP="004A56F1">
      <w:pPr>
        <w:spacing w:line="360" w:lineRule="auto"/>
        <w:jc w:val="both"/>
        <w:rPr>
          <w:rFonts w:ascii="Arial" w:hAnsi="Arial" w:cs="Arial"/>
        </w:rPr>
      </w:pPr>
    </w:p>
    <w:p w14:paraId="7CFDE163" w14:textId="77777777" w:rsidR="00A4764F" w:rsidRPr="001B3ED4" w:rsidRDefault="00A4764F" w:rsidP="004A56F1">
      <w:pPr>
        <w:spacing w:line="360" w:lineRule="auto"/>
        <w:jc w:val="both"/>
        <w:rPr>
          <w:rFonts w:ascii="Arial" w:hAnsi="Arial" w:cs="Arial"/>
        </w:rPr>
      </w:pPr>
    </w:p>
    <w:p w14:paraId="6C6FE2D4" w14:textId="77777777" w:rsidR="00A4764F" w:rsidRPr="001B3ED4" w:rsidRDefault="00A4764F" w:rsidP="004A56F1">
      <w:pPr>
        <w:spacing w:line="360" w:lineRule="auto"/>
        <w:jc w:val="both"/>
        <w:rPr>
          <w:rFonts w:ascii="Arial" w:hAnsi="Arial" w:cs="Arial"/>
        </w:rPr>
      </w:pPr>
    </w:p>
    <w:p w14:paraId="1EA7E2AA" w14:textId="77777777" w:rsidR="00A4764F" w:rsidRPr="001B3ED4" w:rsidRDefault="00A4764F" w:rsidP="004A56F1">
      <w:pPr>
        <w:spacing w:line="360" w:lineRule="auto"/>
        <w:jc w:val="both"/>
        <w:rPr>
          <w:rFonts w:ascii="Arial" w:hAnsi="Arial" w:cs="Arial"/>
        </w:rPr>
      </w:pPr>
    </w:p>
    <w:p w14:paraId="2BC2AF12" w14:textId="77777777" w:rsidR="00A4764F" w:rsidRPr="001B3ED4" w:rsidRDefault="00A4764F" w:rsidP="004A56F1">
      <w:pPr>
        <w:spacing w:line="360" w:lineRule="auto"/>
        <w:jc w:val="both"/>
        <w:rPr>
          <w:rFonts w:ascii="Arial" w:hAnsi="Arial" w:cs="Arial"/>
        </w:rPr>
      </w:pPr>
    </w:p>
    <w:p w14:paraId="3506545C" w14:textId="77777777" w:rsidR="00A4764F" w:rsidRPr="001B3ED4" w:rsidRDefault="00A4764F" w:rsidP="004A56F1">
      <w:pPr>
        <w:spacing w:line="360" w:lineRule="auto"/>
        <w:jc w:val="both"/>
        <w:rPr>
          <w:rFonts w:ascii="Arial" w:hAnsi="Arial" w:cs="Arial"/>
        </w:rPr>
      </w:pPr>
    </w:p>
    <w:p w14:paraId="5D7B9005" w14:textId="77777777" w:rsidR="00A4764F" w:rsidRPr="001B3ED4" w:rsidRDefault="00A4764F" w:rsidP="004A56F1">
      <w:pPr>
        <w:spacing w:line="360" w:lineRule="auto"/>
        <w:jc w:val="both"/>
        <w:rPr>
          <w:rFonts w:ascii="Arial" w:hAnsi="Arial" w:cs="Arial"/>
        </w:rPr>
      </w:pPr>
    </w:p>
    <w:p w14:paraId="40D8C1DA" w14:textId="77777777" w:rsidR="00A4764F" w:rsidRPr="001B3ED4" w:rsidRDefault="00A4764F" w:rsidP="004A56F1">
      <w:pPr>
        <w:spacing w:line="360" w:lineRule="auto"/>
        <w:jc w:val="both"/>
        <w:rPr>
          <w:rFonts w:ascii="Arial" w:hAnsi="Arial" w:cs="Arial"/>
        </w:rPr>
      </w:pPr>
    </w:p>
    <w:p w14:paraId="64A20C11" w14:textId="77777777" w:rsidR="00A4764F" w:rsidRPr="001B3ED4" w:rsidRDefault="00A4764F" w:rsidP="004A56F1">
      <w:pPr>
        <w:spacing w:line="360" w:lineRule="auto"/>
        <w:jc w:val="both"/>
        <w:rPr>
          <w:rFonts w:ascii="Arial" w:hAnsi="Arial" w:cs="Arial"/>
        </w:rPr>
      </w:pPr>
    </w:p>
    <w:p w14:paraId="392BD6D2" w14:textId="77777777" w:rsidR="00A4764F" w:rsidRPr="001B3ED4" w:rsidRDefault="00A4764F" w:rsidP="004A56F1">
      <w:pPr>
        <w:spacing w:line="360" w:lineRule="auto"/>
        <w:jc w:val="both"/>
        <w:rPr>
          <w:rFonts w:ascii="Arial" w:hAnsi="Arial" w:cs="Arial"/>
        </w:rPr>
      </w:pPr>
    </w:p>
    <w:p w14:paraId="6ABC225A" w14:textId="77777777" w:rsidR="00A4764F" w:rsidRPr="001B3ED4" w:rsidRDefault="00A4764F" w:rsidP="004A56F1">
      <w:pPr>
        <w:spacing w:line="360" w:lineRule="auto"/>
        <w:jc w:val="both"/>
        <w:rPr>
          <w:rFonts w:ascii="Arial" w:hAnsi="Arial" w:cs="Arial"/>
        </w:rPr>
      </w:pPr>
    </w:p>
    <w:p w14:paraId="3FEE3F83" w14:textId="77777777" w:rsidR="00A4764F" w:rsidRPr="001B3ED4" w:rsidRDefault="00A4764F" w:rsidP="004A56F1">
      <w:pPr>
        <w:spacing w:line="360" w:lineRule="auto"/>
        <w:jc w:val="both"/>
        <w:rPr>
          <w:rFonts w:ascii="Arial" w:hAnsi="Arial" w:cs="Arial"/>
        </w:rPr>
      </w:pPr>
    </w:p>
    <w:p w14:paraId="797CC553" w14:textId="77777777" w:rsidR="004A56F1" w:rsidRPr="001B3ED4" w:rsidRDefault="004A56F1" w:rsidP="004F2450">
      <w:pPr>
        <w:pStyle w:val="Heading1"/>
      </w:pPr>
      <w:bookmarkStart w:id="53" w:name="_Toc218418707"/>
      <w:r w:rsidRPr="001B3ED4">
        <w:lastRenderedPageBreak/>
        <w:t>Chapter 6: Conclusion and Recommendations</w:t>
      </w:r>
      <w:bookmarkEnd w:id="53"/>
    </w:p>
    <w:p w14:paraId="42AAFAB0" w14:textId="77777777" w:rsidR="004A56F1" w:rsidRPr="001B3ED4" w:rsidRDefault="004A56F1" w:rsidP="004F2450">
      <w:pPr>
        <w:pStyle w:val="Heading1"/>
      </w:pPr>
      <w:bookmarkStart w:id="54" w:name="_Toc218418708"/>
      <w:r w:rsidRPr="001B3ED4">
        <w:t>6.1 Introduction</w:t>
      </w:r>
      <w:bookmarkEnd w:id="54"/>
    </w:p>
    <w:p w14:paraId="6188BBCB" w14:textId="336A5397" w:rsidR="004A56F1" w:rsidRPr="001B3ED4" w:rsidRDefault="004A56F1" w:rsidP="004A56F1">
      <w:pPr>
        <w:spacing w:line="360" w:lineRule="auto"/>
        <w:jc w:val="both"/>
        <w:rPr>
          <w:rFonts w:ascii="Arial" w:hAnsi="Arial" w:cs="Arial"/>
        </w:rPr>
      </w:pPr>
      <w:r w:rsidRPr="001B3ED4">
        <w:rPr>
          <w:rFonts w:ascii="Arial" w:hAnsi="Arial" w:cs="Arial"/>
        </w:rPr>
        <w:t>This chapter concludes the systematic review evaluating the impact of Bacillus Calmette–Guérin (BCG) vaccination campaigns on tuberculosis (TB) control among high-risk populations aged 15–60 years in selected districts of Delhi, India. It revisits the research aim, question, and objectives outlined in Chapter 1 and synthesises the key findings discussed in Chapter 5. The chapter critically reflects on how far current BCG vaccination campaigns have contributed to TB control in high-burden urban settings and identifies the structural, social, and programmatic factors shaping their effectiveness.</w:t>
      </w:r>
      <w:r w:rsidR="00FB66E1" w:rsidRPr="001B3ED4">
        <w:rPr>
          <w:rFonts w:ascii="Arial" w:hAnsi="Arial" w:cs="Arial"/>
        </w:rPr>
        <w:t xml:space="preserve"> </w:t>
      </w:r>
      <w:r w:rsidRPr="001B3ED4">
        <w:rPr>
          <w:rFonts w:ascii="Arial" w:hAnsi="Arial" w:cs="Arial"/>
        </w:rPr>
        <w:t>In addition, this chapter acknowledges the limitations of the review, proposes evidence-based recommendations for policy and practice, and outlines implications for future research. The chapter concludes with a final reflective statement on the role of BCG vaccination within broader TB elimination strategies in Delhi and similar high-risk urban contexts.</w:t>
      </w:r>
    </w:p>
    <w:p w14:paraId="55994C1D" w14:textId="77777777" w:rsidR="004A56F1" w:rsidRPr="001B3ED4" w:rsidRDefault="004A56F1" w:rsidP="004F2450">
      <w:pPr>
        <w:pStyle w:val="Heading1"/>
      </w:pPr>
      <w:bookmarkStart w:id="55" w:name="_Toc218418709"/>
      <w:r w:rsidRPr="001B3ED4">
        <w:t>6.2 Restatement of the Research Aim and Objectives</w:t>
      </w:r>
      <w:bookmarkEnd w:id="55"/>
    </w:p>
    <w:p w14:paraId="7509C78E" w14:textId="77777777" w:rsidR="004A56F1" w:rsidRPr="001B3ED4" w:rsidRDefault="004A56F1" w:rsidP="004A56F1">
      <w:pPr>
        <w:spacing w:line="360" w:lineRule="auto"/>
        <w:jc w:val="both"/>
        <w:rPr>
          <w:rFonts w:ascii="Arial" w:hAnsi="Arial" w:cs="Arial"/>
        </w:rPr>
      </w:pPr>
      <w:r w:rsidRPr="001B3ED4">
        <w:rPr>
          <w:rFonts w:ascii="Arial" w:hAnsi="Arial" w:cs="Arial"/>
        </w:rPr>
        <w:t>This research aimed to evaluate the impact of BCG vaccination campaigns in controlling tuberculosis among high-risk populations aged 15–60 years in Delhi and to identify effective strategies for improvement.</w:t>
      </w:r>
    </w:p>
    <w:p w14:paraId="13397652" w14:textId="77777777" w:rsidR="004A56F1" w:rsidRPr="001B3ED4" w:rsidRDefault="004A56F1" w:rsidP="004A56F1">
      <w:pPr>
        <w:spacing w:line="360" w:lineRule="auto"/>
        <w:jc w:val="both"/>
        <w:rPr>
          <w:rFonts w:ascii="Arial" w:hAnsi="Arial" w:cs="Arial"/>
        </w:rPr>
      </w:pPr>
      <w:r w:rsidRPr="001B3ED4">
        <w:rPr>
          <w:rFonts w:ascii="Arial" w:hAnsi="Arial" w:cs="Arial"/>
        </w:rPr>
        <w:t>The research question guiding the study was:</w:t>
      </w:r>
    </w:p>
    <w:p w14:paraId="1E7CD247" w14:textId="77777777" w:rsidR="004A56F1" w:rsidRPr="001B3ED4" w:rsidRDefault="004A56F1" w:rsidP="004A56F1">
      <w:pPr>
        <w:spacing w:line="360" w:lineRule="auto"/>
        <w:jc w:val="both"/>
        <w:rPr>
          <w:rFonts w:ascii="Arial" w:hAnsi="Arial" w:cs="Arial"/>
        </w:rPr>
      </w:pPr>
      <w:r w:rsidRPr="001B3ED4">
        <w:rPr>
          <w:rFonts w:ascii="Arial" w:hAnsi="Arial" w:cs="Arial"/>
        </w:rPr>
        <w:t>What is the impact of BCG vaccination campaigns in high-risk districts of Delhi (India) among populations aged 15 to 60 years?</w:t>
      </w:r>
    </w:p>
    <w:p w14:paraId="359BA0E5" w14:textId="77777777" w:rsidR="004A56F1" w:rsidRPr="001B3ED4" w:rsidRDefault="004A56F1" w:rsidP="004A56F1">
      <w:pPr>
        <w:spacing w:line="360" w:lineRule="auto"/>
        <w:jc w:val="both"/>
        <w:rPr>
          <w:rFonts w:ascii="Arial" w:hAnsi="Arial" w:cs="Arial"/>
        </w:rPr>
      </w:pPr>
      <w:r w:rsidRPr="001B3ED4">
        <w:rPr>
          <w:rFonts w:ascii="Arial" w:hAnsi="Arial" w:cs="Arial"/>
        </w:rPr>
        <w:t>To address this question, four objectives were set. The discussion below synthesises the key findings in relation to each objective.</w:t>
      </w:r>
    </w:p>
    <w:p w14:paraId="2E784663" w14:textId="77777777" w:rsidR="004A56F1" w:rsidRPr="001B3ED4" w:rsidRDefault="004A56F1" w:rsidP="004F2450">
      <w:pPr>
        <w:pStyle w:val="Heading1"/>
      </w:pPr>
      <w:bookmarkStart w:id="56" w:name="_Toc218418710"/>
      <w:r w:rsidRPr="001B3ED4">
        <w:t>6.3 Discussion of Key Findings in Relation to Research Objectives</w:t>
      </w:r>
      <w:bookmarkEnd w:id="56"/>
    </w:p>
    <w:p w14:paraId="57310B98" w14:textId="77777777" w:rsidR="004A56F1" w:rsidRPr="001B3ED4" w:rsidRDefault="004A56F1" w:rsidP="004A56F1">
      <w:pPr>
        <w:pStyle w:val="Heading2"/>
      </w:pPr>
      <w:bookmarkStart w:id="57" w:name="_Toc218418711"/>
      <w:r w:rsidRPr="001B3ED4">
        <w:t>6.3.1 Objective 1: Trends in Tuberculosis Incidence and Morbidity in Relation to BCG Campaigns</w:t>
      </w:r>
      <w:bookmarkEnd w:id="57"/>
    </w:p>
    <w:p w14:paraId="0F96B8F0"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The review found that the impact of BCG vaccination campaigns on TB incidence and morbidity among adults aged 15–60 years is modest but contextually significant. Modelling studies consistently demonstrated that BCG revaccination and TB vaccination strategies could avert approximately 8–9% of TB cases and deaths in high-burden settings such as Delhi (Clark et al., 2024; </w:t>
      </w:r>
      <w:proofErr w:type="spellStart"/>
      <w:r w:rsidRPr="001B3ED4">
        <w:rPr>
          <w:rFonts w:ascii="Arial" w:hAnsi="Arial" w:cs="Arial"/>
        </w:rPr>
        <w:t>Arinaminpathy</w:t>
      </w:r>
      <w:proofErr w:type="spellEnd"/>
      <w:r w:rsidRPr="001B3ED4">
        <w:rPr>
          <w:rFonts w:ascii="Arial" w:hAnsi="Arial" w:cs="Arial"/>
        </w:rPr>
        <w:t xml:space="preserve"> et al., 2023). </w:t>
      </w:r>
      <w:r w:rsidRPr="001B3ED4">
        <w:rPr>
          <w:rFonts w:ascii="Arial" w:hAnsi="Arial" w:cs="Arial"/>
        </w:rPr>
        <w:lastRenderedPageBreak/>
        <w:t>Although this reduction may appear limited, it represents a meaningful population-level gain in districts characterised by intense transmission, overcrowding, and high latent TB prevalence.</w:t>
      </w:r>
    </w:p>
    <w:p w14:paraId="24418630" w14:textId="77777777" w:rsidR="004A56F1" w:rsidRPr="001B3ED4" w:rsidRDefault="004A56F1" w:rsidP="004A56F1">
      <w:pPr>
        <w:spacing w:line="360" w:lineRule="auto"/>
        <w:jc w:val="both"/>
        <w:rPr>
          <w:rFonts w:ascii="Arial" w:hAnsi="Arial" w:cs="Arial"/>
        </w:rPr>
      </w:pPr>
      <w:r w:rsidRPr="001B3ED4">
        <w:rPr>
          <w:rFonts w:ascii="Arial" w:hAnsi="Arial" w:cs="Arial"/>
        </w:rPr>
        <w:t>However, observational evidence from low-incidence settings, such as England, suggested that BCG’s benefits in adults are more disease-modifying than preventive, with reduced all-cause mortality rather than strong protection against pulmonary TB or recurrence (Abbott et al., 2019). This contrast highlights that the perceived “low impact” of BCG is highly dependent on epidemiological context. In high-burden urban districts of Delhi, even partial protection can translate into substantial absolute reductions in disease burden. Overall, the findings suggest that while BCG alone is insufficient to dramatically reduce adult TB morbidity, it remains a valuable component of TB control when integrated with revaccination strategies, newer vaccines, and non-vaccine interventions.</w:t>
      </w:r>
    </w:p>
    <w:p w14:paraId="00C59F5B" w14:textId="77777777" w:rsidR="004A56F1" w:rsidRPr="001B3ED4" w:rsidRDefault="004A56F1" w:rsidP="004A56F1">
      <w:pPr>
        <w:pStyle w:val="Heading2"/>
      </w:pPr>
      <w:bookmarkStart w:id="58" w:name="_Toc218418712"/>
      <w:r w:rsidRPr="001B3ED4">
        <w:t>6.3.2 Objective 2: Coverage and Outreach of BCG Vaccination Campaigns</w:t>
      </w:r>
      <w:bookmarkEnd w:id="58"/>
    </w:p>
    <w:p w14:paraId="387F1736" w14:textId="77777777" w:rsidR="004A56F1" w:rsidRPr="001B3ED4" w:rsidRDefault="004A56F1" w:rsidP="004A56F1">
      <w:pPr>
        <w:spacing w:line="360" w:lineRule="auto"/>
        <w:jc w:val="both"/>
        <w:rPr>
          <w:rFonts w:ascii="Arial" w:hAnsi="Arial" w:cs="Arial"/>
        </w:rPr>
      </w:pPr>
      <w:r w:rsidRPr="001B3ED4">
        <w:rPr>
          <w:rFonts w:ascii="Arial" w:hAnsi="Arial" w:cs="Arial"/>
        </w:rPr>
        <w:t>A central finding of the review was that inequitable coverage and limited outreach significantly undermine the effectiveness of BCG vaccination campaigns in Delhi’s high-risk districts. Migrants, slum residents, informal workers, and socio-economically marginalised populations were consistently identified as being under-reached due to mobility, lack of documentation, poor awareness, and weak linkage with health services (Kusuma et al., 2018).</w:t>
      </w:r>
    </w:p>
    <w:p w14:paraId="7EAA5273" w14:textId="77777777" w:rsidR="004A56F1" w:rsidRPr="001B3ED4" w:rsidRDefault="004A56F1" w:rsidP="004A56F1">
      <w:pPr>
        <w:spacing w:line="360" w:lineRule="auto"/>
        <w:jc w:val="both"/>
        <w:rPr>
          <w:rFonts w:ascii="Arial" w:hAnsi="Arial" w:cs="Arial"/>
        </w:rPr>
      </w:pPr>
      <w:r w:rsidRPr="001B3ED4">
        <w:rPr>
          <w:rFonts w:ascii="Arial" w:hAnsi="Arial" w:cs="Arial"/>
        </w:rPr>
        <w:t>Evidence from comparable global contexts reinforced these findings. Studies from Sierra Leone and Somalia demonstrated that national-level improvements in BCG coverage often conceal persistent sub-national and socio-demographic inequalities (Osborne et al., 2024; Hassan et al., 2025). These parallels suggest that Delhi’s challenges are not unique but reflect broader structural barriers in urban health systems.</w:t>
      </w:r>
    </w:p>
    <w:p w14:paraId="6729F74B" w14:textId="77777777" w:rsidR="004A56F1" w:rsidRPr="001B3ED4" w:rsidRDefault="004A56F1" w:rsidP="004A56F1">
      <w:pPr>
        <w:spacing w:line="360" w:lineRule="auto"/>
        <w:jc w:val="both"/>
        <w:rPr>
          <w:rFonts w:ascii="Arial" w:hAnsi="Arial" w:cs="Arial"/>
        </w:rPr>
      </w:pPr>
      <w:r w:rsidRPr="001B3ED4">
        <w:rPr>
          <w:rFonts w:ascii="Arial" w:hAnsi="Arial" w:cs="Arial"/>
        </w:rPr>
        <w:t>Importantly, the review showed that coverage challenges are not purely logistical but also social and behavioural. Community-based outreach, routine service delivery, and stigma-free vaccination platforms were consistently associated with improved uptake (Patel and Vyas, 2018; Pelzer et al., 2022). This highlights that improving coverage among adults requires moving beyond child-focused immunisation paradigms towards inclusive, adult-oriented delivery models.</w:t>
      </w:r>
    </w:p>
    <w:p w14:paraId="5000D947" w14:textId="77777777" w:rsidR="004A56F1" w:rsidRPr="001B3ED4" w:rsidRDefault="004A56F1" w:rsidP="004A56F1">
      <w:pPr>
        <w:pStyle w:val="Heading2"/>
      </w:pPr>
      <w:bookmarkStart w:id="59" w:name="_Toc218418713"/>
      <w:r w:rsidRPr="001B3ED4">
        <w:lastRenderedPageBreak/>
        <w:t>6.3.3 Objective 3: Barriers to Effective BCG Programme Implementation</w:t>
      </w:r>
      <w:bookmarkEnd w:id="59"/>
    </w:p>
    <w:p w14:paraId="4B9C5B40" w14:textId="77777777" w:rsidR="004A56F1" w:rsidRPr="001B3ED4" w:rsidRDefault="004A56F1" w:rsidP="004A56F1">
      <w:pPr>
        <w:spacing w:line="360" w:lineRule="auto"/>
        <w:jc w:val="both"/>
        <w:rPr>
          <w:rFonts w:ascii="Arial" w:hAnsi="Arial" w:cs="Arial"/>
        </w:rPr>
      </w:pPr>
      <w:r w:rsidRPr="001B3ED4">
        <w:rPr>
          <w:rFonts w:ascii="Arial" w:hAnsi="Arial" w:cs="Arial"/>
        </w:rPr>
        <w:t>The review identified multiple interconnected barriers affecting the implementation of BCG vaccination programmes. At the demand side, socio-cultural resistance, misinformation, fear of side effects, and mistrust in government health initiatives were prominent, particularly in marginalised urban communities (Jain et al., 2020; Neelakantan, 2018).</w:t>
      </w:r>
    </w:p>
    <w:p w14:paraId="486573A7" w14:textId="77777777" w:rsidR="004A56F1" w:rsidRPr="001B3ED4" w:rsidRDefault="004A56F1" w:rsidP="004A56F1">
      <w:pPr>
        <w:spacing w:line="360" w:lineRule="auto"/>
        <w:jc w:val="both"/>
        <w:rPr>
          <w:rFonts w:ascii="Arial" w:hAnsi="Arial" w:cs="Arial"/>
        </w:rPr>
      </w:pPr>
      <w:r w:rsidRPr="001B3ED4">
        <w:rPr>
          <w:rFonts w:ascii="Arial" w:hAnsi="Arial" w:cs="Arial"/>
        </w:rPr>
        <w:t>On the supply side, systemic constraints such as delayed vaccination, rigid vial-opening policies, workforce shortages, weak monitoring systems, and fragmented service delivery reduced programme efficiency (Rasmussen et al., 2024; Vedel, 2025). Importantly, several studies demonstrated that reported coverage figures often masked delayed or missed vaccination opportunities, limiting both TB-specific and non-specific benefits of BCG.</w:t>
      </w:r>
    </w:p>
    <w:p w14:paraId="7712997E" w14:textId="77777777" w:rsidR="004A56F1" w:rsidRPr="001B3ED4" w:rsidRDefault="004A56F1" w:rsidP="004A56F1">
      <w:pPr>
        <w:spacing w:line="360" w:lineRule="auto"/>
        <w:jc w:val="both"/>
        <w:rPr>
          <w:rFonts w:ascii="Arial" w:hAnsi="Arial" w:cs="Arial"/>
        </w:rPr>
      </w:pPr>
      <w:r w:rsidRPr="001B3ED4">
        <w:rPr>
          <w:rFonts w:ascii="Arial" w:hAnsi="Arial" w:cs="Arial"/>
        </w:rPr>
        <w:t>These barriers underscore that vaccination programme performance cannot be assessed solely through coverage indicators. Instead, timeliness, equity, trust, and health-system responsiveness must be central to evaluation frameworks. Without addressing these multidimensional barriers, BCG campaigns are likely to underperform, even when vaccine supply is adequate.</w:t>
      </w:r>
    </w:p>
    <w:p w14:paraId="1F977016" w14:textId="77777777" w:rsidR="004A56F1" w:rsidRPr="001B3ED4" w:rsidRDefault="004A56F1" w:rsidP="004A56F1">
      <w:pPr>
        <w:pStyle w:val="Heading2"/>
      </w:pPr>
      <w:bookmarkStart w:id="60" w:name="_Toc218418714"/>
      <w:r w:rsidRPr="001B3ED4">
        <w:t>6.3.4 Objective 4: Strategies for Improving Design, Delivery, and Equity</w:t>
      </w:r>
      <w:bookmarkEnd w:id="60"/>
    </w:p>
    <w:p w14:paraId="0FB3B278" w14:textId="77777777" w:rsidR="004A56F1" w:rsidRPr="001B3ED4" w:rsidRDefault="004A56F1" w:rsidP="004A56F1">
      <w:pPr>
        <w:spacing w:line="360" w:lineRule="auto"/>
        <w:jc w:val="both"/>
        <w:rPr>
          <w:rFonts w:ascii="Arial" w:hAnsi="Arial" w:cs="Arial"/>
        </w:rPr>
      </w:pPr>
      <w:r w:rsidRPr="001B3ED4">
        <w:rPr>
          <w:rFonts w:ascii="Arial" w:hAnsi="Arial" w:cs="Arial"/>
        </w:rPr>
        <w:t>The strongest and most consistent evidence from the review supported a shift towards targeted, equity-focused, and integrated vaccination strategies. Modelling studies demonstrated that prioritising high-risk subgroups, such as undernourished individuals or populations in high-prevalence districts, could achieve disproportionate impact compared to uniform mass vaccination (</w:t>
      </w:r>
      <w:proofErr w:type="spellStart"/>
      <w:r w:rsidRPr="001B3ED4">
        <w:rPr>
          <w:rFonts w:ascii="Arial" w:hAnsi="Arial" w:cs="Arial"/>
        </w:rPr>
        <w:t>Arinaminpathy</w:t>
      </w:r>
      <w:proofErr w:type="spellEnd"/>
      <w:r w:rsidRPr="001B3ED4">
        <w:rPr>
          <w:rFonts w:ascii="Arial" w:hAnsi="Arial" w:cs="Arial"/>
        </w:rPr>
        <w:t xml:space="preserve"> et al., 2023; Clark et al., 2024).</w:t>
      </w:r>
    </w:p>
    <w:p w14:paraId="7BD25B17" w14:textId="77777777" w:rsidR="004A56F1" w:rsidRPr="001B3ED4" w:rsidRDefault="004A56F1" w:rsidP="004A56F1">
      <w:pPr>
        <w:spacing w:line="360" w:lineRule="auto"/>
        <w:jc w:val="both"/>
        <w:rPr>
          <w:rFonts w:ascii="Arial" w:hAnsi="Arial" w:cs="Arial"/>
        </w:rPr>
      </w:pPr>
      <w:r w:rsidRPr="001B3ED4">
        <w:rPr>
          <w:rFonts w:ascii="Arial" w:hAnsi="Arial" w:cs="Arial"/>
        </w:rPr>
        <w:t>Empirical evidence further showed that strengthening routine primary healthcare systems improves coverage, timeliness, and equity, although targeted outreach remains essential for reaching mobile and underserved populations (</w:t>
      </w:r>
      <w:proofErr w:type="spellStart"/>
      <w:r w:rsidRPr="001B3ED4">
        <w:rPr>
          <w:rFonts w:ascii="Arial" w:hAnsi="Arial" w:cs="Arial"/>
        </w:rPr>
        <w:t>Rajaonarifara</w:t>
      </w:r>
      <w:proofErr w:type="spellEnd"/>
      <w:r w:rsidRPr="001B3ED4">
        <w:rPr>
          <w:rFonts w:ascii="Arial" w:hAnsi="Arial" w:cs="Arial"/>
        </w:rPr>
        <w:t xml:space="preserve"> et al., 2022). Renewed interest in BCG revaccination, supported by emerging evidence on heterologous benefits and acceptable safety profiles, presents an additional opportunity, if implementation is standardised and carefully targeted (Antas et al., 2024). Collectively, these findings suggest that future BCG strategies in Delhi should be people-centred, risk-based, and system-integrated, rather than campaign-heavy or one-size-fits-all approaches.</w:t>
      </w:r>
    </w:p>
    <w:p w14:paraId="4FFD75B8" w14:textId="77777777" w:rsidR="004A56F1" w:rsidRPr="001B3ED4" w:rsidRDefault="004A56F1" w:rsidP="004F2450">
      <w:pPr>
        <w:pStyle w:val="Heading1"/>
      </w:pPr>
      <w:bookmarkStart w:id="61" w:name="_Toc218418715"/>
      <w:r w:rsidRPr="001B3ED4">
        <w:lastRenderedPageBreak/>
        <w:t>6.4 Limitations of the Study</w:t>
      </w:r>
      <w:bookmarkEnd w:id="61"/>
    </w:p>
    <w:p w14:paraId="4999F121" w14:textId="77777777" w:rsidR="004A56F1" w:rsidRPr="001B3ED4" w:rsidRDefault="004A56F1" w:rsidP="004A56F1">
      <w:pPr>
        <w:spacing w:line="360" w:lineRule="auto"/>
        <w:jc w:val="both"/>
        <w:rPr>
          <w:rFonts w:ascii="Arial" w:hAnsi="Arial" w:cs="Arial"/>
        </w:rPr>
      </w:pPr>
      <w:r w:rsidRPr="001B3ED4">
        <w:rPr>
          <w:rFonts w:ascii="Arial" w:hAnsi="Arial" w:cs="Arial"/>
        </w:rPr>
        <w:t>Several limitations should be considered when interpreting the findings of this systematic review. First, the inclusion of only ten studies reflects the scarcity of district-level and adult-focused research on BCG vaccination in urban Indian contexts. This limited evidence base restricted the depth of analysis and precluded robust quantitative synthesis, such as meta-analysis. Second, the 16-week timeframe for conducting the review constrained the extent of database searching and limited the inclusion of grey literature, policy documents, and unpublished programmatic reports that may have provided additional local insights from Delhi’s health authorities.</w:t>
      </w:r>
    </w:p>
    <w:p w14:paraId="31C45E4C" w14:textId="77777777" w:rsidR="004A56F1" w:rsidRPr="001B3ED4" w:rsidRDefault="004A56F1" w:rsidP="004A56F1">
      <w:pPr>
        <w:spacing w:line="360" w:lineRule="auto"/>
        <w:jc w:val="both"/>
        <w:rPr>
          <w:rFonts w:ascii="Arial" w:hAnsi="Arial" w:cs="Arial"/>
        </w:rPr>
      </w:pPr>
      <w:r w:rsidRPr="001B3ED4">
        <w:rPr>
          <w:rFonts w:ascii="Arial" w:hAnsi="Arial" w:cs="Arial"/>
        </w:rPr>
        <w:t>Furthermore, the heterogeneity of the included studies posed methodological challenges. The review drew on diverse study designs, including modelling, observational, qualitative, and policy-oriented analyses, which limited direct comparability across findings and necessitated a primarily narrative synthesis. In addition, several studies were conducted in settings outside Delhi or India, which may have affected the generalisability of the conclusions, despite careful contextual interpretation. Finally, reliance on secondary data meant that real-time assessments of campaign implementation, community perceptions, and frontline healthcare experiences in Delhi’s high-risk districts could not be directly captured. As a result, the findings should be interpreted as indicative rather than definitive, highlighting trends and gaps that warrant further primary research.</w:t>
      </w:r>
    </w:p>
    <w:p w14:paraId="5562653F" w14:textId="77777777" w:rsidR="004A56F1" w:rsidRPr="001B3ED4" w:rsidRDefault="004A56F1" w:rsidP="004F2450">
      <w:pPr>
        <w:pStyle w:val="Heading1"/>
      </w:pPr>
      <w:bookmarkStart w:id="62" w:name="_Toc218418716"/>
      <w:r w:rsidRPr="001B3ED4">
        <w:t>6.5 Recommendations</w:t>
      </w:r>
      <w:bookmarkEnd w:id="62"/>
    </w:p>
    <w:p w14:paraId="3AD30159" w14:textId="77777777" w:rsidR="004A56F1" w:rsidRPr="001B3ED4" w:rsidRDefault="004A56F1" w:rsidP="004A56F1">
      <w:pPr>
        <w:spacing w:line="360" w:lineRule="auto"/>
        <w:jc w:val="both"/>
        <w:rPr>
          <w:rFonts w:ascii="Arial" w:hAnsi="Arial" w:cs="Arial"/>
        </w:rPr>
      </w:pPr>
      <w:r w:rsidRPr="001B3ED4">
        <w:rPr>
          <w:rFonts w:ascii="Arial" w:hAnsi="Arial" w:cs="Arial"/>
        </w:rPr>
        <w:t>Based on the findings of this systematic review, a set of evidence-based recommendations is proposed to enhance the effectiveness, equity, and sustainability of BCG vaccination campaigns in high-risk districts of Delhi. These recommendations are structured around programmatic design, service delivery, monitoring, and future research priorities.</w:t>
      </w:r>
    </w:p>
    <w:p w14:paraId="4BE7768B" w14:textId="77777777" w:rsidR="004A56F1" w:rsidRPr="001B3ED4" w:rsidRDefault="004A56F1" w:rsidP="004A56F1">
      <w:pPr>
        <w:numPr>
          <w:ilvl w:val="0"/>
          <w:numId w:val="4"/>
        </w:numPr>
        <w:tabs>
          <w:tab w:val="clear" w:pos="360"/>
          <w:tab w:val="num" w:pos="720"/>
        </w:tabs>
        <w:spacing w:line="360" w:lineRule="auto"/>
        <w:jc w:val="both"/>
        <w:rPr>
          <w:rFonts w:ascii="Arial" w:hAnsi="Arial" w:cs="Arial"/>
        </w:rPr>
      </w:pPr>
      <w:r w:rsidRPr="001B3ED4">
        <w:rPr>
          <w:rFonts w:ascii="Arial" w:hAnsi="Arial" w:cs="Arial"/>
          <w:b/>
          <w:bCs/>
        </w:rPr>
        <w:t>Adopt risk-based targeting of BCG and revaccination strategies</w:t>
      </w:r>
      <w:r w:rsidRPr="001B3ED4">
        <w:rPr>
          <w:rFonts w:ascii="Arial" w:hAnsi="Arial" w:cs="Arial"/>
        </w:rPr>
        <w:t xml:space="preserve"> by prioritising high-prevalence districts and populations at greatest risk of TB transmission and disease progression. This includes undernourished individuals, migrant workers, residents of informal settlements, and those engaged in high-exposure occupations. Targeted approaches are likely to yield greater population-level impact than uniform mass vaccination strategies in resource-constrained urban settings.</w:t>
      </w:r>
    </w:p>
    <w:p w14:paraId="09BB89B7" w14:textId="592078CB" w:rsidR="004A56F1" w:rsidRPr="001B3ED4" w:rsidRDefault="004A56F1" w:rsidP="004A56F1">
      <w:pPr>
        <w:numPr>
          <w:ilvl w:val="0"/>
          <w:numId w:val="4"/>
        </w:numPr>
        <w:tabs>
          <w:tab w:val="clear" w:pos="360"/>
          <w:tab w:val="num" w:pos="720"/>
        </w:tabs>
        <w:spacing w:line="360" w:lineRule="auto"/>
        <w:jc w:val="both"/>
        <w:rPr>
          <w:rFonts w:ascii="Arial" w:hAnsi="Arial" w:cs="Arial"/>
        </w:rPr>
      </w:pPr>
      <w:r w:rsidRPr="001B3ED4">
        <w:rPr>
          <w:rFonts w:ascii="Arial" w:hAnsi="Arial" w:cs="Arial"/>
          <w:b/>
          <w:bCs/>
        </w:rPr>
        <w:lastRenderedPageBreak/>
        <w:t>Strengthen routine primary healthcare systems</w:t>
      </w:r>
      <w:r w:rsidRPr="001B3ED4">
        <w:rPr>
          <w:rFonts w:ascii="Arial" w:hAnsi="Arial" w:cs="Arial"/>
        </w:rPr>
        <w:t xml:space="preserve"> to support timely, continuous, and stigma-free adult vaccination services. Embedding BCG delivery within routine health services can improve accessibility and continuity of care, while targeted outreach mechanisms, such as mobile clinics and workplace vaccination, should be used to reach highly mobile and underserved populations.</w:t>
      </w:r>
    </w:p>
    <w:p w14:paraId="7A9EF570" w14:textId="77777777" w:rsidR="004A56F1" w:rsidRPr="001B3ED4" w:rsidRDefault="004A56F1" w:rsidP="004A56F1">
      <w:pPr>
        <w:numPr>
          <w:ilvl w:val="0"/>
          <w:numId w:val="4"/>
        </w:numPr>
        <w:tabs>
          <w:tab w:val="clear" w:pos="360"/>
          <w:tab w:val="num" w:pos="720"/>
        </w:tabs>
        <w:spacing w:line="360" w:lineRule="auto"/>
        <w:jc w:val="both"/>
        <w:rPr>
          <w:rFonts w:ascii="Arial" w:hAnsi="Arial" w:cs="Arial"/>
        </w:rPr>
      </w:pPr>
      <w:r w:rsidRPr="001B3ED4">
        <w:rPr>
          <w:rFonts w:ascii="Arial" w:hAnsi="Arial" w:cs="Arial"/>
          <w:b/>
          <w:bCs/>
        </w:rPr>
        <w:t>Integrate BCG vaccination strategies with broader TB control interventions</w:t>
      </w:r>
      <w:r w:rsidRPr="001B3ED4">
        <w:rPr>
          <w:rFonts w:ascii="Arial" w:hAnsi="Arial" w:cs="Arial"/>
        </w:rPr>
        <w:t>, including active case finding, preventive therapy, nutritional supplementation, and occupational health services. A more holistic approach can address both biological and social determinants of TB risk, thereby enhancing the overall effectiveness of vaccination campaigns.</w:t>
      </w:r>
    </w:p>
    <w:p w14:paraId="3F3AC039" w14:textId="77777777" w:rsidR="004A56F1" w:rsidRPr="001B3ED4" w:rsidRDefault="004A56F1" w:rsidP="004A56F1">
      <w:pPr>
        <w:numPr>
          <w:ilvl w:val="0"/>
          <w:numId w:val="4"/>
        </w:numPr>
        <w:tabs>
          <w:tab w:val="clear" w:pos="360"/>
          <w:tab w:val="num" w:pos="720"/>
        </w:tabs>
        <w:spacing w:line="360" w:lineRule="auto"/>
        <w:jc w:val="both"/>
        <w:rPr>
          <w:rFonts w:ascii="Arial" w:hAnsi="Arial" w:cs="Arial"/>
        </w:rPr>
      </w:pPr>
      <w:r w:rsidRPr="001B3ED4">
        <w:rPr>
          <w:rFonts w:ascii="Arial" w:hAnsi="Arial" w:cs="Arial"/>
          <w:b/>
          <w:bCs/>
        </w:rPr>
        <w:t>Improve monitoring and evaluation frameworks</w:t>
      </w:r>
      <w:r w:rsidRPr="001B3ED4">
        <w:rPr>
          <w:rFonts w:ascii="Arial" w:hAnsi="Arial" w:cs="Arial"/>
        </w:rPr>
        <w:t xml:space="preserve"> by expanding beyond conventional coverage indicators. Incorporating measures of equity, timeliness of vaccination, and missed opportunities will provide a more accurate assessment of programme performance and help identify underserved sub-populations.</w:t>
      </w:r>
    </w:p>
    <w:p w14:paraId="4BED3255" w14:textId="77777777" w:rsidR="004A56F1" w:rsidRPr="001B3ED4" w:rsidRDefault="004A56F1" w:rsidP="004A56F1">
      <w:pPr>
        <w:numPr>
          <w:ilvl w:val="0"/>
          <w:numId w:val="4"/>
        </w:numPr>
        <w:tabs>
          <w:tab w:val="clear" w:pos="360"/>
          <w:tab w:val="num" w:pos="720"/>
        </w:tabs>
        <w:spacing w:line="360" w:lineRule="auto"/>
        <w:jc w:val="both"/>
        <w:rPr>
          <w:rFonts w:ascii="Arial" w:hAnsi="Arial" w:cs="Arial"/>
        </w:rPr>
      </w:pPr>
      <w:r w:rsidRPr="001B3ED4">
        <w:rPr>
          <w:rFonts w:ascii="Arial" w:hAnsi="Arial" w:cs="Arial"/>
          <w:b/>
          <w:bCs/>
        </w:rPr>
        <w:t>Invest in community engagement and trust-building initiatives</w:t>
      </w:r>
      <w:r w:rsidRPr="001B3ED4">
        <w:rPr>
          <w:rFonts w:ascii="Arial" w:hAnsi="Arial" w:cs="Arial"/>
        </w:rPr>
        <w:t xml:space="preserve"> by involving local leaders, community health workers, and civil society organisations. Tailored communication strategies that are culturally sensitive and linguistically appropriate are essential to address misinformation, reduce vaccine hesitancy, and improve acceptance among marginalised groups.</w:t>
      </w:r>
    </w:p>
    <w:p w14:paraId="65B0C8BC" w14:textId="77777777" w:rsidR="004A56F1" w:rsidRPr="001B3ED4" w:rsidRDefault="004A56F1" w:rsidP="004A56F1">
      <w:pPr>
        <w:numPr>
          <w:ilvl w:val="0"/>
          <w:numId w:val="4"/>
        </w:numPr>
        <w:tabs>
          <w:tab w:val="clear" w:pos="360"/>
          <w:tab w:val="num" w:pos="720"/>
        </w:tabs>
        <w:spacing w:line="360" w:lineRule="auto"/>
        <w:jc w:val="both"/>
        <w:rPr>
          <w:rFonts w:ascii="Arial" w:hAnsi="Arial" w:cs="Arial"/>
        </w:rPr>
      </w:pPr>
      <w:r w:rsidRPr="001B3ED4">
        <w:rPr>
          <w:rFonts w:ascii="Arial" w:hAnsi="Arial" w:cs="Arial"/>
          <w:b/>
          <w:bCs/>
        </w:rPr>
        <w:t>Support further research and pilot programmes on BCG revaccination and novel TB vaccines</w:t>
      </w:r>
      <w:r w:rsidRPr="001B3ED4">
        <w:rPr>
          <w:rFonts w:ascii="Arial" w:hAnsi="Arial" w:cs="Arial"/>
        </w:rPr>
        <w:t>, particularly among adult populations in high-burden urban contexts. Such initiatives should prioritise safety, acceptability, and cost-effectiveness to inform scalable and evidence-based policy decisions.</w:t>
      </w:r>
    </w:p>
    <w:p w14:paraId="4A11B6AD" w14:textId="77777777" w:rsidR="004A56F1" w:rsidRPr="001B3ED4" w:rsidRDefault="004A56F1" w:rsidP="004A56F1">
      <w:pPr>
        <w:spacing w:line="360" w:lineRule="auto"/>
        <w:jc w:val="both"/>
        <w:rPr>
          <w:rFonts w:ascii="Arial" w:hAnsi="Arial" w:cs="Arial"/>
        </w:rPr>
      </w:pPr>
      <w:r w:rsidRPr="001B3ED4">
        <w:rPr>
          <w:rFonts w:ascii="Arial" w:hAnsi="Arial" w:cs="Arial"/>
        </w:rPr>
        <w:t>Together, these recommendations emphasise the need for integrated, people-centred, and equity-driven approaches to strengthen BCG vaccination efforts and advance TB control in Delhi’s high-risk districts.</w:t>
      </w:r>
    </w:p>
    <w:p w14:paraId="2499F7A5" w14:textId="77777777" w:rsidR="004A56F1" w:rsidRPr="001B3ED4" w:rsidRDefault="004A56F1" w:rsidP="004F2450">
      <w:pPr>
        <w:pStyle w:val="Heading1"/>
      </w:pPr>
      <w:bookmarkStart w:id="63" w:name="_Toc218418717"/>
      <w:r w:rsidRPr="001B3ED4">
        <w:t>6.6 Conclusion</w:t>
      </w:r>
      <w:bookmarkEnd w:id="63"/>
      <w:r w:rsidRPr="001B3ED4">
        <w:t xml:space="preserve"> </w:t>
      </w:r>
    </w:p>
    <w:p w14:paraId="41BE44E4" w14:textId="77777777" w:rsidR="004A56F1" w:rsidRPr="001B3ED4" w:rsidRDefault="004A56F1" w:rsidP="004A56F1">
      <w:pPr>
        <w:spacing w:line="360" w:lineRule="auto"/>
        <w:jc w:val="both"/>
        <w:rPr>
          <w:rFonts w:ascii="Arial" w:hAnsi="Arial" w:cs="Arial"/>
        </w:rPr>
      </w:pPr>
      <w:r w:rsidRPr="001B3ED4">
        <w:rPr>
          <w:rFonts w:ascii="Arial" w:hAnsi="Arial" w:cs="Arial"/>
        </w:rPr>
        <w:t xml:space="preserve">This systematic review demonstrates that although BCG vaccination campaigns exert a limited direct effect on reducing adult tuberculosis (TB) incidence, their role in TB control within high-risk districts of Delhi remains contextually significant. The persistence of TB in these urban settings is less indicative of biological vaccine failure </w:t>
      </w:r>
      <w:r w:rsidRPr="001B3ED4">
        <w:rPr>
          <w:rFonts w:ascii="Arial" w:hAnsi="Arial" w:cs="Arial"/>
        </w:rPr>
        <w:lastRenderedPageBreak/>
        <w:t>and more reflective of entrenched structural challenges, including inequitable coverage, delayed vaccination, socio-cultural resistance, and constrained health-system capacity. Evidence from diverse study designs shows that reported coverage often masks missed opportunities among migrants, informal workers, and residents of overcrowded settlements, thereby diminishing the potential impact of vaccination programmes. When strategically targeted and integrated with routine services, BCG vaccination can contribute meaningfully to reducing disease severity, transmission risk, and overall TB burden among populations aged 15–60 years who bear the greatest share of infection and spread.</w:t>
      </w:r>
    </w:p>
    <w:p w14:paraId="3B65B166" w14:textId="198814C8" w:rsidR="004A56F1" w:rsidRPr="001B3ED4" w:rsidRDefault="004A56F1" w:rsidP="004A56F1">
      <w:pPr>
        <w:spacing w:line="360" w:lineRule="auto"/>
        <w:jc w:val="both"/>
        <w:rPr>
          <w:rFonts w:ascii="Arial" w:hAnsi="Arial" w:cs="Arial"/>
        </w:rPr>
      </w:pPr>
      <w:r w:rsidRPr="001B3ED4">
        <w:rPr>
          <w:rFonts w:ascii="Arial" w:hAnsi="Arial" w:cs="Arial"/>
        </w:rPr>
        <w:t>The findings underscore the need for a paradigm shift in TB prevention strategies in Delhi</w:t>
      </w:r>
      <w:r w:rsidR="00CC4D22" w:rsidRPr="001B3ED4">
        <w:rPr>
          <w:rFonts w:ascii="Arial" w:hAnsi="Arial" w:cs="Arial"/>
        </w:rPr>
        <w:t xml:space="preserve">, </w:t>
      </w:r>
      <w:r w:rsidRPr="001B3ED4">
        <w:rPr>
          <w:rFonts w:ascii="Arial" w:hAnsi="Arial" w:cs="Arial"/>
        </w:rPr>
        <w:t>from predominantly universal, child-focused immunisation models towards equity-driven, adult-inclusive, and system-strengthened approaches. BCG vaccination, particularly when complemented by revaccination strategies, novel TB vaccines, active case finding, nutritional support, and occupational health interventions, remains a relevant component of India’s TB elimination agenda. However, maximising its impact requires rethinking how vaccination success is measured, prioritising timeliness and equity alongside coverage, and investing in community trust and health-system responsiveness. Ultimately, optimising BCG campaign design, delivery, and equity is not merely a technical challenge but a social and political imperative. Addressing the needs of Delhi’s most vulnerable populations is essential if TB elimination targets are to be achieved, offering lessons that are equally applicable to other high-burden urban settings globally.</w:t>
      </w:r>
    </w:p>
    <w:p w14:paraId="790B48AC" w14:textId="77777777" w:rsidR="00850D98" w:rsidRPr="001B3ED4" w:rsidRDefault="00850D98" w:rsidP="00AB0BD3">
      <w:pPr>
        <w:spacing w:line="360" w:lineRule="auto"/>
        <w:jc w:val="both"/>
        <w:rPr>
          <w:rFonts w:ascii="Arial" w:hAnsi="Arial" w:cs="Arial"/>
          <w:lang w:eastAsia="en-GB"/>
        </w:rPr>
      </w:pPr>
    </w:p>
    <w:p w14:paraId="1F5BB846" w14:textId="77777777" w:rsidR="00AB0BD3" w:rsidRPr="001B3ED4" w:rsidRDefault="00AB0BD3" w:rsidP="00AB0BD3">
      <w:pPr>
        <w:rPr>
          <w:rFonts w:ascii="Arial" w:hAnsi="Arial" w:cs="Arial"/>
          <w:lang w:eastAsia="en-GB"/>
        </w:rPr>
      </w:pPr>
    </w:p>
    <w:p w14:paraId="26324A6C" w14:textId="77777777" w:rsidR="00AB0BD3" w:rsidRPr="001B3ED4" w:rsidRDefault="00AB0BD3" w:rsidP="0046084C">
      <w:pPr>
        <w:spacing w:before="240" w:line="360" w:lineRule="auto"/>
        <w:jc w:val="both"/>
        <w:rPr>
          <w:rFonts w:ascii="Arial" w:hAnsi="Arial" w:cs="Arial"/>
        </w:rPr>
      </w:pPr>
    </w:p>
    <w:p w14:paraId="1573D709" w14:textId="77777777" w:rsidR="00A4764F" w:rsidRPr="001B3ED4" w:rsidRDefault="00A4764F" w:rsidP="0046084C">
      <w:pPr>
        <w:spacing w:before="240" w:line="360" w:lineRule="auto"/>
        <w:jc w:val="both"/>
        <w:rPr>
          <w:rFonts w:ascii="Arial" w:hAnsi="Arial" w:cs="Arial"/>
        </w:rPr>
      </w:pPr>
    </w:p>
    <w:p w14:paraId="4847ECBB" w14:textId="77777777" w:rsidR="00570C95" w:rsidRPr="001B3ED4" w:rsidRDefault="00570C95" w:rsidP="0046084C">
      <w:pPr>
        <w:spacing w:before="240" w:line="360" w:lineRule="auto"/>
        <w:jc w:val="both"/>
        <w:rPr>
          <w:rFonts w:ascii="Arial" w:hAnsi="Arial" w:cs="Arial"/>
        </w:rPr>
      </w:pPr>
    </w:p>
    <w:p w14:paraId="058C3CA0" w14:textId="77777777" w:rsidR="00A4764F" w:rsidRPr="001B3ED4" w:rsidRDefault="00A4764F" w:rsidP="0046084C">
      <w:pPr>
        <w:spacing w:before="240" w:line="360" w:lineRule="auto"/>
        <w:jc w:val="both"/>
        <w:rPr>
          <w:rFonts w:ascii="Arial" w:hAnsi="Arial" w:cs="Arial"/>
        </w:rPr>
      </w:pPr>
    </w:p>
    <w:p w14:paraId="3384331B" w14:textId="3C86BE3C" w:rsidR="00963E45" w:rsidRPr="001B3ED4" w:rsidRDefault="00963E45" w:rsidP="004F2450">
      <w:pPr>
        <w:pStyle w:val="Heading1"/>
      </w:pPr>
      <w:bookmarkStart w:id="64" w:name="_Toc218418718"/>
      <w:r w:rsidRPr="001B3ED4">
        <w:lastRenderedPageBreak/>
        <w:t>References</w:t>
      </w:r>
      <w:bookmarkEnd w:id="64"/>
    </w:p>
    <w:p w14:paraId="22A06BF0" w14:textId="063035A2" w:rsidR="00FD417E" w:rsidRPr="001B3ED4" w:rsidRDefault="00FD417E" w:rsidP="0046084C">
      <w:pPr>
        <w:spacing w:before="240" w:line="360" w:lineRule="auto"/>
        <w:jc w:val="both"/>
      </w:pPr>
      <w:proofErr w:type="spellStart"/>
      <w:r w:rsidRPr="001B3ED4">
        <w:rPr>
          <w:rFonts w:ascii="Arial" w:hAnsi="Arial" w:cs="Arial"/>
        </w:rPr>
        <w:t>Adhisivam</w:t>
      </w:r>
      <w:proofErr w:type="spellEnd"/>
      <w:r w:rsidRPr="001B3ED4">
        <w:rPr>
          <w:rFonts w:ascii="Arial" w:hAnsi="Arial" w:cs="Arial"/>
        </w:rPr>
        <w:t xml:space="preserve">, B., </w:t>
      </w:r>
      <w:proofErr w:type="spellStart"/>
      <w:r w:rsidRPr="001B3ED4">
        <w:rPr>
          <w:rFonts w:ascii="Arial" w:hAnsi="Arial" w:cs="Arial"/>
        </w:rPr>
        <w:t>Kamalarathnam</w:t>
      </w:r>
      <w:proofErr w:type="spellEnd"/>
      <w:r w:rsidRPr="001B3ED4">
        <w:rPr>
          <w:rFonts w:ascii="Arial" w:hAnsi="Arial" w:cs="Arial"/>
        </w:rPr>
        <w:t xml:space="preserve">, C., Bhat, B.V., Jayaraman, K., Namachivayam, S.P., Shann, F., McSharry, B., David, P. and Sundaram, M., </w:t>
      </w:r>
      <w:r w:rsidR="00636104" w:rsidRPr="001B3ED4">
        <w:rPr>
          <w:rFonts w:ascii="Arial" w:hAnsi="Arial" w:cs="Arial"/>
        </w:rPr>
        <w:t>(</w:t>
      </w:r>
      <w:r w:rsidRPr="001B3ED4">
        <w:rPr>
          <w:rFonts w:ascii="Arial" w:hAnsi="Arial" w:cs="Arial"/>
        </w:rPr>
        <w:t>2025</w:t>
      </w:r>
      <w:r w:rsidR="00636104" w:rsidRPr="001B3ED4">
        <w:rPr>
          <w:rFonts w:ascii="Arial" w:hAnsi="Arial" w:cs="Arial"/>
        </w:rPr>
        <w:t>)</w:t>
      </w:r>
      <w:r w:rsidRPr="001B3ED4">
        <w:rPr>
          <w:rFonts w:ascii="Arial" w:hAnsi="Arial" w:cs="Arial"/>
        </w:rPr>
        <w:t>. Effect of BCG Danish and oral polio vaccine on neonatal mortality in newborn babies weighing less than 2000 g in India: multicentre open label randomised controlled trial (BLOW2). </w:t>
      </w:r>
      <w:proofErr w:type="spellStart"/>
      <w:r w:rsidRPr="001B3ED4">
        <w:rPr>
          <w:rFonts w:ascii="Arial" w:hAnsi="Arial" w:cs="Arial"/>
          <w:i/>
          <w:iCs/>
        </w:rPr>
        <w:t>bmj</w:t>
      </w:r>
      <w:proofErr w:type="spellEnd"/>
      <w:r w:rsidRPr="001B3ED4">
        <w:rPr>
          <w:rFonts w:ascii="Arial" w:hAnsi="Arial" w:cs="Arial"/>
        </w:rPr>
        <w:t>, </w:t>
      </w:r>
      <w:r w:rsidRPr="001B3ED4">
        <w:rPr>
          <w:rFonts w:ascii="Arial" w:hAnsi="Arial" w:cs="Arial"/>
          <w:i/>
          <w:iCs/>
        </w:rPr>
        <w:t>390</w:t>
      </w:r>
      <w:r w:rsidRPr="001B3ED4">
        <w:rPr>
          <w:rFonts w:ascii="Arial" w:hAnsi="Arial" w:cs="Arial"/>
        </w:rPr>
        <w:t xml:space="preserve">. </w:t>
      </w:r>
      <w:hyperlink r:id="rId16" w:history="1">
        <w:r w:rsidRPr="001B3ED4">
          <w:rPr>
            <w:rStyle w:val="Hyperlink"/>
            <w:rFonts w:ascii="Arial" w:hAnsi="Arial" w:cs="Arial"/>
          </w:rPr>
          <w:t>https://www.bmj.com/content/390/bmj-2025-084745.abstract</w:t>
        </w:r>
      </w:hyperlink>
    </w:p>
    <w:p w14:paraId="6AB7BEFD" w14:textId="1AC10E60" w:rsidR="00DD5ADC" w:rsidRPr="001B3ED4" w:rsidRDefault="00DD5ADC" w:rsidP="00DD5ADC">
      <w:pPr>
        <w:spacing w:line="360" w:lineRule="auto"/>
        <w:jc w:val="both"/>
        <w:rPr>
          <w:rFonts w:ascii="Arial" w:hAnsi="Arial" w:cs="Arial"/>
        </w:rPr>
      </w:pPr>
      <w:r w:rsidRPr="001B3ED4">
        <w:rPr>
          <w:rFonts w:ascii="Arial" w:hAnsi="Arial" w:cs="Arial"/>
        </w:rPr>
        <w:t xml:space="preserve">Abbott, S., Christensen, H., Lalor, M.K., Zenner, D., Campbell, C., Ramsay, M.E. and Brooks-Pollock, E., </w:t>
      </w:r>
      <w:r w:rsidR="005C0572" w:rsidRPr="001B3ED4">
        <w:rPr>
          <w:rFonts w:ascii="Arial" w:hAnsi="Arial" w:cs="Arial"/>
        </w:rPr>
        <w:t>(</w:t>
      </w:r>
      <w:r w:rsidRPr="001B3ED4">
        <w:rPr>
          <w:rFonts w:ascii="Arial" w:hAnsi="Arial" w:cs="Arial"/>
        </w:rPr>
        <w:t>2019</w:t>
      </w:r>
      <w:r w:rsidR="005C0572" w:rsidRPr="001B3ED4">
        <w:rPr>
          <w:rFonts w:ascii="Arial" w:hAnsi="Arial" w:cs="Arial"/>
        </w:rPr>
        <w:t>)</w:t>
      </w:r>
      <w:r w:rsidRPr="001B3ED4">
        <w:rPr>
          <w:rFonts w:ascii="Arial" w:hAnsi="Arial" w:cs="Arial"/>
        </w:rPr>
        <w:t>. Exploring the effects of BCG vaccination in patients diagnosed with tuberculosis: Observational study using the Enhanced Tuberculosis Surveillance system. </w:t>
      </w:r>
      <w:r w:rsidRPr="001B3ED4">
        <w:rPr>
          <w:rFonts w:ascii="Arial" w:hAnsi="Arial" w:cs="Arial"/>
          <w:i/>
          <w:iCs/>
        </w:rPr>
        <w:t>Vaccine</w:t>
      </w:r>
      <w:r w:rsidRPr="001B3ED4">
        <w:rPr>
          <w:rFonts w:ascii="Arial" w:hAnsi="Arial" w:cs="Arial"/>
        </w:rPr>
        <w:t>, </w:t>
      </w:r>
      <w:r w:rsidRPr="001B3ED4">
        <w:rPr>
          <w:rFonts w:ascii="Arial" w:hAnsi="Arial" w:cs="Arial"/>
          <w:i/>
          <w:iCs/>
        </w:rPr>
        <w:t>37</w:t>
      </w:r>
      <w:r w:rsidRPr="001B3ED4">
        <w:rPr>
          <w:rFonts w:ascii="Arial" w:hAnsi="Arial" w:cs="Arial"/>
        </w:rPr>
        <w:t xml:space="preserve">(35), pp.5067-5072. </w:t>
      </w:r>
      <w:hyperlink r:id="rId17" w:history="1">
        <w:r w:rsidRPr="001B3ED4">
          <w:rPr>
            <w:rStyle w:val="Hyperlink"/>
            <w:rFonts w:ascii="Arial" w:hAnsi="Arial" w:cs="Arial"/>
          </w:rPr>
          <w:t>https://www.sciencedirect.com/science/article/pii/S0264410X19308187</w:t>
        </w:r>
      </w:hyperlink>
    </w:p>
    <w:p w14:paraId="2626F236" w14:textId="7874D872" w:rsidR="00DD5ADC" w:rsidRPr="001B3ED4" w:rsidRDefault="00DD5ADC" w:rsidP="00DD5ADC">
      <w:pPr>
        <w:spacing w:line="360" w:lineRule="auto"/>
        <w:jc w:val="both"/>
        <w:rPr>
          <w:rFonts w:ascii="Arial" w:hAnsi="Arial" w:cs="Arial"/>
        </w:rPr>
      </w:pPr>
      <w:r w:rsidRPr="001B3ED4">
        <w:rPr>
          <w:rFonts w:ascii="Arial" w:hAnsi="Arial" w:cs="Arial"/>
        </w:rPr>
        <w:t xml:space="preserve">Antas, P.R., Flores-Valdez, M.A. and Locht, C., </w:t>
      </w:r>
      <w:r w:rsidR="005C0572" w:rsidRPr="001B3ED4">
        <w:rPr>
          <w:rFonts w:ascii="Arial" w:hAnsi="Arial" w:cs="Arial"/>
        </w:rPr>
        <w:t>(</w:t>
      </w:r>
      <w:r w:rsidRPr="001B3ED4">
        <w:rPr>
          <w:rFonts w:ascii="Arial" w:hAnsi="Arial" w:cs="Arial"/>
        </w:rPr>
        <w:t>2024</w:t>
      </w:r>
      <w:r w:rsidR="005C0572" w:rsidRPr="001B3ED4">
        <w:rPr>
          <w:rFonts w:ascii="Arial" w:hAnsi="Arial" w:cs="Arial"/>
        </w:rPr>
        <w:t>)</w:t>
      </w:r>
      <w:r w:rsidRPr="001B3ED4">
        <w:rPr>
          <w:rFonts w:ascii="Arial" w:hAnsi="Arial" w:cs="Arial"/>
        </w:rPr>
        <w:t xml:space="preserve">. Revamping the BCG revaccination strategy: Records to </w:t>
      </w:r>
      <w:proofErr w:type="gramStart"/>
      <w:r w:rsidRPr="001B3ED4">
        <w:rPr>
          <w:rFonts w:ascii="Arial" w:hAnsi="Arial" w:cs="Arial"/>
        </w:rPr>
        <w:t>recall, or</w:t>
      </w:r>
      <w:proofErr w:type="gramEnd"/>
      <w:r w:rsidRPr="001B3ED4">
        <w:rPr>
          <w:rFonts w:ascii="Arial" w:hAnsi="Arial" w:cs="Arial"/>
        </w:rPr>
        <w:t xml:space="preserve"> just call it </w:t>
      </w:r>
      <w:proofErr w:type="gramStart"/>
      <w:r w:rsidRPr="001B3ED4">
        <w:rPr>
          <w:rFonts w:ascii="Arial" w:hAnsi="Arial" w:cs="Arial"/>
        </w:rPr>
        <w:t>phoenix?.</w:t>
      </w:r>
      <w:proofErr w:type="gramEnd"/>
      <w:r w:rsidRPr="001B3ED4">
        <w:rPr>
          <w:rFonts w:ascii="Arial" w:hAnsi="Arial" w:cs="Arial"/>
        </w:rPr>
        <w:t> </w:t>
      </w:r>
      <w:r w:rsidRPr="001B3ED4">
        <w:rPr>
          <w:rFonts w:ascii="Arial" w:hAnsi="Arial" w:cs="Arial"/>
          <w:i/>
          <w:iCs/>
        </w:rPr>
        <w:t>Human Vaccines &amp; Immunotherapeutics</w:t>
      </w:r>
      <w:r w:rsidRPr="001B3ED4">
        <w:rPr>
          <w:rFonts w:ascii="Arial" w:hAnsi="Arial" w:cs="Arial"/>
        </w:rPr>
        <w:t>, </w:t>
      </w:r>
      <w:r w:rsidRPr="001B3ED4">
        <w:rPr>
          <w:rFonts w:ascii="Arial" w:hAnsi="Arial" w:cs="Arial"/>
          <w:i/>
          <w:iCs/>
        </w:rPr>
        <w:t>20</w:t>
      </w:r>
      <w:r w:rsidRPr="001B3ED4">
        <w:rPr>
          <w:rFonts w:ascii="Arial" w:hAnsi="Arial" w:cs="Arial"/>
        </w:rPr>
        <w:t xml:space="preserve">(1), p.2300158. </w:t>
      </w:r>
      <w:hyperlink r:id="rId18" w:history="1">
        <w:r w:rsidRPr="001B3ED4">
          <w:rPr>
            <w:rStyle w:val="Hyperlink"/>
            <w:rFonts w:ascii="Arial" w:hAnsi="Arial" w:cs="Arial"/>
          </w:rPr>
          <w:t>https://www.tandfonline.com/doi/full/10.1080/21645515.2023.2300158</w:t>
        </w:r>
      </w:hyperlink>
    </w:p>
    <w:p w14:paraId="4DCFADF8" w14:textId="77777777" w:rsidR="002E018A" w:rsidRPr="001B3ED4" w:rsidRDefault="002E018A" w:rsidP="002E018A">
      <w:pPr>
        <w:spacing w:line="360" w:lineRule="auto"/>
        <w:jc w:val="both"/>
        <w:rPr>
          <w:rFonts w:ascii="Arial" w:hAnsi="Arial" w:cs="Arial"/>
        </w:rPr>
      </w:pPr>
      <w:r w:rsidRPr="001B3ED4">
        <w:rPr>
          <w:rFonts w:ascii="Arial" w:hAnsi="Arial" w:cs="Arial"/>
        </w:rPr>
        <w:t xml:space="preserve">Ahmed, A., Rakshit, S., Adiga, V., Dias, M., Dwarkanath, P., D’Souza, G. and </w:t>
      </w:r>
      <w:proofErr w:type="spellStart"/>
      <w:r w:rsidRPr="001B3ED4">
        <w:rPr>
          <w:rFonts w:ascii="Arial" w:hAnsi="Arial" w:cs="Arial"/>
        </w:rPr>
        <w:t>Vyakarnam</w:t>
      </w:r>
      <w:proofErr w:type="spellEnd"/>
      <w:r w:rsidRPr="001B3ED4">
        <w:rPr>
          <w:rFonts w:ascii="Arial" w:hAnsi="Arial" w:cs="Arial"/>
        </w:rPr>
        <w:t>, A., (2021). A century of BCG: Impact on tuberculosis control and beyond. </w:t>
      </w:r>
      <w:r w:rsidRPr="001B3ED4">
        <w:rPr>
          <w:rFonts w:ascii="Arial" w:hAnsi="Arial" w:cs="Arial"/>
          <w:i/>
          <w:iCs/>
        </w:rPr>
        <w:t>Immunological reviews</w:t>
      </w:r>
      <w:r w:rsidRPr="001B3ED4">
        <w:rPr>
          <w:rFonts w:ascii="Arial" w:hAnsi="Arial" w:cs="Arial"/>
        </w:rPr>
        <w:t>, </w:t>
      </w:r>
      <w:r w:rsidRPr="001B3ED4">
        <w:rPr>
          <w:rFonts w:ascii="Arial" w:hAnsi="Arial" w:cs="Arial"/>
          <w:i/>
          <w:iCs/>
        </w:rPr>
        <w:t>301</w:t>
      </w:r>
      <w:r w:rsidRPr="001B3ED4">
        <w:rPr>
          <w:rFonts w:ascii="Arial" w:hAnsi="Arial" w:cs="Arial"/>
        </w:rPr>
        <w:t xml:space="preserve">(1), pp.98-121. </w:t>
      </w:r>
      <w:hyperlink r:id="rId19" w:history="1">
        <w:r w:rsidRPr="001B3ED4">
          <w:rPr>
            <w:rStyle w:val="Hyperlink"/>
            <w:rFonts w:ascii="Arial" w:hAnsi="Arial" w:cs="Arial"/>
          </w:rPr>
          <w:t>https://onlinelibrary.wiley.com/doi/abs/10.1111/imr.12968</w:t>
        </w:r>
      </w:hyperlink>
    </w:p>
    <w:p w14:paraId="19C26E7E" w14:textId="36F33F94" w:rsidR="00E5504D" w:rsidRPr="001B3ED4" w:rsidRDefault="00E5504D" w:rsidP="0046084C">
      <w:pPr>
        <w:spacing w:before="240" w:line="360" w:lineRule="auto"/>
        <w:jc w:val="both"/>
      </w:pPr>
      <w:proofErr w:type="spellStart"/>
      <w:r w:rsidRPr="001B3ED4">
        <w:rPr>
          <w:rFonts w:ascii="Arial" w:hAnsi="Arial" w:cs="Arial"/>
        </w:rPr>
        <w:t>Arinaminpathy</w:t>
      </w:r>
      <w:proofErr w:type="spellEnd"/>
      <w:r w:rsidRPr="001B3ED4">
        <w:rPr>
          <w:rFonts w:ascii="Arial" w:hAnsi="Arial" w:cs="Arial"/>
        </w:rPr>
        <w:t xml:space="preserve">, N., Rade, K., Kumar, R., Joshi, R.P. and Rao, R., </w:t>
      </w:r>
      <w:r w:rsidR="00BD2E7B" w:rsidRPr="001B3ED4">
        <w:rPr>
          <w:rFonts w:ascii="Arial" w:hAnsi="Arial" w:cs="Arial"/>
        </w:rPr>
        <w:t>(</w:t>
      </w:r>
      <w:r w:rsidRPr="001B3ED4">
        <w:rPr>
          <w:rFonts w:ascii="Arial" w:hAnsi="Arial" w:cs="Arial"/>
        </w:rPr>
        <w:t>2023</w:t>
      </w:r>
      <w:r w:rsidR="00BD2E7B" w:rsidRPr="001B3ED4">
        <w:rPr>
          <w:rFonts w:ascii="Arial" w:hAnsi="Arial" w:cs="Arial"/>
        </w:rPr>
        <w:t>)</w:t>
      </w:r>
      <w:r w:rsidRPr="001B3ED4">
        <w:rPr>
          <w:rFonts w:ascii="Arial" w:hAnsi="Arial" w:cs="Arial"/>
        </w:rPr>
        <w:t>. The potential impact of vaccination on tuberculosis burden in India: A modelling analysis. </w:t>
      </w:r>
      <w:r w:rsidRPr="001B3ED4">
        <w:rPr>
          <w:rFonts w:ascii="Arial" w:hAnsi="Arial" w:cs="Arial"/>
          <w:i/>
          <w:iCs/>
        </w:rPr>
        <w:t>Indian Journal of Medical Research</w:t>
      </w:r>
      <w:r w:rsidRPr="001B3ED4">
        <w:rPr>
          <w:rFonts w:ascii="Arial" w:hAnsi="Arial" w:cs="Arial"/>
        </w:rPr>
        <w:t>, </w:t>
      </w:r>
      <w:r w:rsidRPr="001B3ED4">
        <w:rPr>
          <w:rFonts w:ascii="Arial" w:hAnsi="Arial" w:cs="Arial"/>
          <w:i/>
          <w:iCs/>
        </w:rPr>
        <w:t>157</w:t>
      </w:r>
      <w:r w:rsidRPr="001B3ED4">
        <w:rPr>
          <w:rFonts w:ascii="Arial" w:hAnsi="Arial" w:cs="Arial"/>
        </w:rPr>
        <w:t xml:space="preserve">(2&amp;3), pp.119-126. </w:t>
      </w:r>
      <w:hyperlink r:id="rId20" w:history="1">
        <w:r w:rsidRPr="001B3ED4">
          <w:rPr>
            <w:rStyle w:val="Hyperlink"/>
            <w:rFonts w:ascii="Arial" w:hAnsi="Arial" w:cs="Arial"/>
          </w:rPr>
          <w:t>https://journals.lww.com/ijmr/fulltext/2023/02000/The_potential_impact_of_vaccination_on.3.aspx</w:t>
        </w:r>
      </w:hyperlink>
    </w:p>
    <w:p w14:paraId="294676EA" w14:textId="77777777" w:rsidR="003F75FD" w:rsidRPr="001B3ED4" w:rsidRDefault="003F75FD" w:rsidP="003F75FD">
      <w:pPr>
        <w:spacing w:before="240" w:line="360" w:lineRule="auto"/>
        <w:jc w:val="both"/>
        <w:rPr>
          <w:rFonts w:ascii="Arial" w:hAnsi="Arial" w:cs="Arial"/>
        </w:rPr>
      </w:pPr>
      <w:r w:rsidRPr="001B3ED4">
        <w:rPr>
          <w:rFonts w:ascii="Arial" w:hAnsi="Arial" w:cs="Arial"/>
        </w:rPr>
        <w:t>Ahn, E. and Kang, H., (2018). Introduction to systematic review and meta-analysis. </w:t>
      </w:r>
      <w:r w:rsidRPr="001B3ED4">
        <w:rPr>
          <w:rFonts w:ascii="Arial" w:hAnsi="Arial" w:cs="Arial"/>
          <w:i/>
          <w:iCs/>
        </w:rPr>
        <w:t xml:space="preserve">Korean journal of </w:t>
      </w:r>
      <w:proofErr w:type="spellStart"/>
      <w:r w:rsidRPr="001B3ED4">
        <w:rPr>
          <w:rFonts w:ascii="Arial" w:hAnsi="Arial" w:cs="Arial"/>
          <w:i/>
          <w:iCs/>
        </w:rPr>
        <w:t>anesthesiology</w:t>
      </w:r>
      <w:proofErr w:type="spellEnd"/>
      <w:r w:rsidRPr="001B3ED4">
        <w:rPr>
          <w:rFonts w:ascii="Arial" w:hAnsi="Arial" w:cs="Arial"/>
        </w:rPr>
        <w:t>, </w:t>
      </w:r>
      <w:r w:rsidRPr="001B3ED4">
        <w:rPr>
          <w:rFonts w:ascii="Arial" w:hAnsi="Arial" w:cs="Arial"/>
          <w:i/>
          <w:iCs/>
        </w:rPr>
        <w:t>71</w:t>
      </w:r>
      <w:r w:rsidRPr="001B3ED4">
        <w:rPr>
          <w:rFonts w:ascii="Arial" w:hAnsi="Arial" w:cs="Arial"/>
        </w:rPr>
        <w:t xml:space="preserve">(2), pp.103-112. </w:t>
      </w:r>
      <w:hyperlink r:id="rId21" w:history="1">
        <w:r w:rsidRPr="001B3ED4">
          <w:rPr>
            <w:rStyle w:val="Hyperlink"/>
            <w:rFonts w:ascii="Arial" w:hAnsi="Arial" w:cs="Arial"/>
          </w:rPr>
          <w:t>https://synapse.koreamed.org/articles/1156645</w:t>
        </w:r>
      </w:hyperlink>
    </w:p>
    <w:p w14:paraId="429DC0CD" w14:textId="372EDFEE" w:rsidR="000C0736" w:rsidRPr="001B3ED4" w:rsidRDefault="000C0736" w:rsidP="0046084C">
      <w:pPr>
        <w:spacing w:before="240" w:line="360" w:lineRule="auto"/>
        <w:jc w:val="both"/>
        <w:rPr>
          <w:rFonts w:ascii="Arial" w:hAnsi="Arial" w:cs="Arial"/>
        </w:rPr>
      </w:pPr>
      <w:proofErr w:type="spellStart"/>
      <w:r w:rsidRPr="001B3ED4">
        <w:rPr>
          <w:rFonts w:ascii="Arial" w:hAnsi="Arial" w:cs="Arial"/>
        </w:rPr>
        <w:t>Arinaminpathy</w:t>
      </w:r>
      <w:proofErr w:type="spellEnd"/>
      <w:r w:rsidRPr="001B3ED4">
        <w:rPr>
          <w:rFonts w:ascii="Arial" w:hAnsi="Arial" w:cs="Arial"/>
        </w:rPr>
        <w:t xml:space="preserve">, N., Rade, K., Kumar, R., Joshi, R.P. and Rao, R., </w:t>
      </w:r>
      <w:r w:rsidR="0015714A" w:rsidRPr="001B3ED4">
        <w:rPr>
          <w:rFonts w:ascii="Arial" w:hAnsi="Arial" w:cs="Arial"/>
        </w:rPr>
        <w:t>(</w:t>
      </w:r>
      <w:r w:rsidRPr="001B3ED4">
        <w:rPr>
          <w:rFonts w:ascii="Arial" w:hAnsi="Arial" w:cs="Arial"/>
        </w:rPr>
        <w:t>2023</w:t>
      </w:r>
      <w:r w:rsidR="0015714A" w:rsidRPr="001B3ED4">
        <w:rPr>
          <w:rFonts w:ascii="Arial" w:hAnsi="Arial" w:cs="Arial"/>
        </w:rPr>
        <w:t>)</w:t>
      </w:r>
      <w:r w:rsidRPr="001B3ED4">
        <w:rPr>
          <w:rFonts w:ascii="Arial" w:hAnsi="Arial" w:cs="Arial"/>
        </w:rPr>
        <w:t>. The potential impact of vaccination on tuberculosis burden in India: A modelling analysis. </w:t>
      </w:r>
      <w:r w:rsidRPr="001B3ED4">
        <w:rPr>
          <w:rFonts w:ascii="Arial" w:hAnsi="Arial" w:cs="Arial"/>
          <w:i/>
          <w:iCs/>
        </w:rPr>
        <w:t>Indian Journal of Medical Research</w:t>
      </w:r>
      <w:r w:rsidRPr="001B3ED4">
        <w:rPr>
          <w:rFonts w:ascii="Arial" w:hAnsi="Arial" w:cs="Arial"/>
        </w:rPr>
        <w:t>, </w:t>
      </w:r>
      <w:r w:rsidRPr="001B3ED4">
        <w:rPr>
          <w:rFonts w:ascii="Arial" w:hAnsi="Arial" w:cs="Arial"/>
          <w:i/>
          <w:iCs/>
        </w:rPr>
        <w:t>157</w:t>
      </w:r>
      <w:r w:rsidRPr="001B3ED4">
        <w:rPr>
          <w:rFonts w:ascii="Arial" w:hAnsi="Arial" w:cs="Arial"/>
        </w:rPr>
        <w:t xml:space="preserve">(2&amp;3), pp.119-126. </w:t>
      </w:r>
      <w:hyperlink r:id="rId22" w:history="1">
        <w:r w:rsidRPr="001B3ED4">
          <w:rPr>
            <w:rStyle w:val="Hyperlink"/>
            <w:rFonts w:ascii="Arial" w:hAnsi="Arial" w:cs="Arial"/>
          </w:rPr>
          <w:t>https://journals.lww.com/ijmr/fulltext/2023/02000/The_potential_impact_of_vaccination_on.3.aspx</w:t>
        </w:r>
      </w:hyperlink>
    </w:p>
    <w:p w14:paraId="7F70E678" w14:textId="69281AEC" w:rsidR="003F75FD" w:rsidRPr="001B3ED4" w:rsidRDefault="003F75FD" w:rsidP="0046084C">
      <w:pPr>
        <w:spacing w:before="240" w:line="360" w:lineRule="auto"/>
        <w:jc w:val="both"/>
        <w:rPr>
          <w:rFonts w:ascii="Arial" w:hAnsi="Arial" w:cs="Arial"/>
        </w:rPr>
      </w:pPr>
      <w:proofErr w:type="spellStart"/>
      <w:r w:rsidRPr="001B3ED4">
        <w:rPr>
          <w:rFonts w:ascii="Arial" w:hAnsi="Arial" w:cs="Arial"/>
        </w:rPr>
        <w:t>Belotto</w:t>
      </w:r>
      <w:proofErr w:type="spellEnd"/>
      <w:r w:rsidRPr="001B3ED4">
        <w:rPr>
          <w:rFonts w:ascii="Arial" w:hAnsi="Arial" w:cs="Arial"/>
        </w:rPr>
        <w:t>, M.J., (2018). Data analysis methods for qualitative research: Managing the challenges of coding, interrater reliability, and thematic analysis. </w:t>
      </w:r>
      <w:r w:rsidRPr="001B3ED4">
        <w:rPr>
          <w:rFonts w:ascii="Arial" w:hAnsi="Arial" w:cs="Arial"/>
          <w:i/>
          <w:iCs/>
        </w:rPr>
        <w:t>The qualitative report</w:t>
      </w:r>
      <w:r w:rsidRPr="001B3ED4">
        <w:rPr>
          <w:rFonts w:ascii="Arial" w:hAnsi="Arial" w:cs="Arial"/>
        </w:rPr>
        <w:t>, </w:t>
      </w:r>
      <w:r w:rsidRPr="001B3ED4">
        <w:rPr>
          <w:rFonts w:ascii="Arial" w:hAnsi="Arial" w:cs="Arial"/>
          <w:i/>
          <w:iCs/>
        </w:rPr>
        <w:t>23</w:t>
      </w:r>
      <w:r w:rsidRPr="001B3ED4">
        <w:rPr>
          <w:rFonts w:ascii="Arial" w:hAnsi="Arial" w:cs="Arial"/>
        </w:rPr>
        <w:t xml:space="preserve">(11), pp.2622-2633. </w:t>
      </w:r>
      <w:hyperlink r:id="rId23" w:history="1">
        <w:r w:rsidRPr="001B3ED4">
          <w:rPr>
            <w:rStyle w:val="Hyperlink"/>
            <w:rFonts w:ascii="Arial" w:hAnsi="Arial" w:cs="Arial"/>
          </w:rPr>
          <w:t>https://search.proquest.com/openview/21b8de9a65315a8d00d10bbe0a8b062d/1?pq-origsite=gscholar&amp;cbl=55152</w:t>
        </w:r>
      </w:hyperlink>
    </w:p>
    <w:p w14:paraId="0E68261A" w14:textId="637136C9" w:rsidR="00DD5ADC" w:rsidRPr="001B3ED4" w:rsidRDefault="00DD5ADC" w:rsidP="00DD5ADC">
      <w:pPr>
        <w:spacing w:line="360" w:lineRule="auto"/>
        <w:jc w:val="both"/>
        <w:rPr>
          <w:rFonts w:ascii="Arial" w:hAnsi="Arial" w:cs="Arial"/>
        </w:rPr>
      </w:pPr>
      <w:r w:rsidRPr="001B3ED4">
        <w:rPr>
          <w:rFonts w:ascii="Arial" w:hAnsi="Arial" w:cs="Arial"/>
        </w:rPr>
        <w:t xml:space="preserve">Bradford, S.D., Ryan, K.J., Divens, A.M., </w:t>
      </w:r>
      <w:proofErr w:type="spellStart"/>
      <w:r w:rsidRPr="001B3ED4">
        <w:rPr>
          <w:rFonts w:ascii="Arial" w:hAnsi="Arial" w:cs="Arial"/>
        </w:rPr>
        <w:t>Povroznik</w:t>
      </w:r>
      <w:proofErr w:type="spellEnd"/>
      <w:r w:rsidRPr="001B3ED4">
        <w:rPr>
          <w:rFonts w:ascii="Arial" w:hAnsi="Arial" w:cs="Arial"/>
        </w:rPr>
        <w:t xml:space="preserve">, J.M., Bonigala, S. and Robinson, C.M., </w:t>
      </w:r>
      <w:r w:rsidR="000D09D7" w:rsidRPr="001B3ED4">
        <w:rPr>
          <w:rFonts w:ascii="Arial" w:hAnsi="Arial" w:cs="Arial"/>
        </w:rPr>
        <w:t>(</w:t>
      </w:r>
      <w:r w:rsidRPr="001B3ED4">
        <w:rPr>
          <w:rFonts w:ascii="Arial" w:hAnsi="Arial" w:cs="Arial"/>
        </w:rPr>
        <w:t>2024</w:t>
      </w:r>
      <w:r w:rsidR="000D09D7" w:rsidRPr="001B3ED4">
        <w:rPr>
          <w:rFonts w:ascii="Arial" w:hAnsi="Arial" w:cs="Arial"/>
        </w:rPr>
        <w:t>)</w:t>
      </w:r>
      <w:r w:rsidRPr="001B3ED4">
        <w:rPr>
          <w:rFonts w:ascii="Arial" w:hAnsi="Arial" w:cs="Arial"/>
        </w:rPr>
        <w:t>. IL-27 alters inflammatory cytokine expression and limits protective immunity against Mycobacterium tuberculosis in a neonatal BCG vaccination model. </w:t>
      </w:r>
      <w:r w:rsidRPr="001B3ED4">
        <w:rPr>
          <w:rFonts w:ascii="Arial" w:hAnsi="Arial" w:cs="Arial"/>
          <w:i/>
          <w:iCs/>
        </w:rPr>
        <w:t>Frontiers in Immunology</w:t>
      </w:r>
      <w:r w:rsidRPr="001B3ED4">
        <w:rPr>
          <w:rFonts w:ascii="Arial" w:hAnsi="Arial" w:cs="Arial"/>
        </w:rPr>
        <w:t>, </w:t>
      </w:r>
      <w:r w:rsidRPr="001B3ED4">
        <w:rPr>
          <w:rFonts w:ascii="Arial" w:hAnsi="Arial" w:cs="Arial"/>
          <w:i/>
          <w:iCs/>
        </w:rPr>
        <w:t>15</w:t>
      </w:r>
      <w:r w:rsidRPr="001B3ED4">
        <w:rPr>
          <w:rFonts w:ascii="Arial" w:hAnsi="Arial" w:cs="Arial"/>
        </w:rPr>
        <w:t xml:space="preserve">, p.1217098. </w:t>
      </w:r>
      <w:hyperlink r:id="rId24" w:history="1">
        <w:r w:rsidRPr="001B3ED4">
          <w:rPr>
            <w:rStyle w:val="Hyperlink"/>
            <w:rFonts w:ascii="Arial" w:hAnsi="Arial" w:cs="Arial"/>
          </w:rPr>
          <w:t>https://www.frontiersin.org/journals/immunology/articles/10.3389/fimmu.2024.1217098/full</w:t>
        </w:r>
      </w:hyperlink>
    </w:p>
    <w:p w14:paraId="24D36484" w14:textId="662A852F" w:rsidR="007C0DE6" w:rsidRPr="001B3ED4" w:rsidRDefault="007C0DE6" w:rsidP="0046084C">
      <w:pPr>
        <w:spacing w:before="240" w:line="360" w:lineRule="auto"/>
        <w:jc w:val="both"/>
        <w:rPr>
          <w:rFonts w:ascii="Arial" w:hAnsi="Arial" w:cs="Arial"/>
        </w:rPr>
      </w:pPr>
      <w:r w:rsidRPr="001B3ED4">
        <w:rPr>
          <w:rFonts w:ascii="Arial" w:hAnsi="Arial" w:cs="Arial"/>
        </w:rPr>
        <w:t xml:space="preserve">Bhargava, A., Bhargava, M. and Juneja, A.,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Social determinants of tuberculosis: context, framework, and the way forward to ending TB in India. </w:t>
      </w:r>
      <w:r w:rsidRPr="001B3ED4">
        <w:rPr>
          <w:rFonts w:ascii="Arial" w:hAnsi="Arial" w:cs="Arial"/>
          <w:i/>
          <w:iCs/>
        </w:rPr>
        <w:t>Expert Review of Respiratory Medicine</w:t>
      </w:r>
      <w:r w:rsidRPr="001B3ED4">
        <w:rPr>
          <w:rFonts w:ascii="Arial" w:hAnsi="Arial" w:cs="Arial"/>
        </w:rPr>
        <w:t>, </w:t>
      </w:r>
      <w:r w:rsidRPr="001B3ED4">
        <w:rPr>
          <w:rFonts w:ascii="Arial" w:hAnsi="Arial" w:cs="Arial"/>
          <w:i/>
          <w:iCs/>
        </w:rPr>
        <w:t>15</w:t>
      </w:r>
      <w:r w:rsidRPr="001B3ED4">
        <w:rPr>
          <w:rFonts w:ascii="Arial" w:hAnsi="Arial" w:cs="Arial"/>
        </w:rPr>
        <w:t xml:space="preserve">(7), pp.867-883. </w:t>
      </w:r>
      <w:hyperlink r:id="rId25" w:history="1">
        <w:r w:rsidRPr="001B3ED4">
          <w:rPr>
            <w:rStyle w:val="Hyperlink"/>
            <w:rFonts w:ascii="Arial" w:hAnsi="Arial" w:cs="Arial"/>
          </w:rPr>
          <w:t>https://www.tandfonline.com/doi/abs/10.1080/17476348.2021.1832469</w:t>
        </w:r>
      </w:hyperlink>
    </w:p>
    <w:p w14:paraId="15CF5A31" w14:textId="77777777" w:rsidR="002E018A" w:rsidRPr="001B3ED4" w:rsidRDefault="002E018A" w:rsidP="002E018A">
      <w:pPr>
        <w:spacing w:line="360" w:lineRule="auto"/>
        <w:jc w:val="both"/>
        <w:rPr>
          <w:rFonts w:ascii="Arial" w:hAnsi="Arial" w:cs="Arial"/>
        </w:rPr>
      </w:pPr>
      <w:r w:rsidRPr="001B3ED4">
        <w:rPr>
          <w:rFonts w:ascii="Arial" w:hAnsi="Arial" w:cs="Arial"/>
        </w:rPr>
        <w:t xml:space="preserve">Behera, D., Pannu, V.P. and Behera, R.K., (2020). National tb elimination programme–can it end tb in </w:t>
      </w:r>
      <w:proofErr w:type="spellStart"/>
      <w:r w:rsidRPr="001B3ED4">
        <w:rPr>
          <w:rFonts w:ascii="Arial" w:hAnsi="Arial" w:cs="Arial"/>
        </w:rPr>
        <w:t>india</w:t>
      </w:r>
      <w:proofErr w:type="spellEnd"/>
      <w:r w:rsidRPr="001B3ED4">
        <w:rPr>
          <w:rFonts w:ascii="Arial" w:hAnsi="Arial" w:cs="Arial"/>
        </w:rPr>
        <w:t xml:space="preserve"> by 2025: An appraisal. </w:t>
      </w:r>
      <w:r w:rsidRPr="001B3ED4">
        <w:rPr>
          <w:rFonts w:ascii="Arial" w:hAnsi="Arial" w:cs="Arial"/>
          <w:i/>
          <w:iCs/>
        </w:rPr>
        <w:t>Indian J Chest Dis Allied Sci</w:t>
      </w:r>
      <w:r w:rsidRPr="001B3ED4">
        <w:rPr>
          <w:rFonts w:ascii="Arial" w:hAnsi="Arial" w:cs="Arial"/>
        </w:rPr>
        <w:t>, </w:t>
      </w:r>
      <w:r w:rsidRPr="001B3ED4">
        <w:rPr>
          <w:rFonts w:ascii="Arial" w:hAnsi="Arial" w:cs="Arial"/>
          <w:i/>
          <w:iCs/>
        </w:rPr>
        <w:t>62</w:t>
      </w:r>
      <w:r w:rsidRPr="001B3ED4">
        <w:rPr>
          <w:rFonts w:ascii="Arial" w:hAnsi="Arial" w:cs="Arial"/>
        </w:rPr>
        <w:t xml:space="preserve">, pp.203-27. </w:t>
      </w:r>
      <w:hyperlink r:id="rId26" w:history="1">
        <w:r w:rsidRPr="001B3ED4">
          <w:rPr>
            <w:rStyle w:val="Hyperlink"/>
            <w:rFonts w:ascii="Arial" w:hAnsi="Arial" w:cs="Arial"/>
          </w:rPr>
          <w:t>https://www.ijcdas.com/abstractArticleContentBrowse?paginateValue=30095&amp;abstractArticle=abstractArticle&amp;jpdAbstractArticle=&amp;documentType=Article&amp;jCode=IJCDAS&amp;jid=84&amp;art_volume=62&amp;art_issue=&amp;art_page=&amp;numberResult=10&amp;id=30096&amp;sortType=</w:t>
        </w:r>
      </w:hyperlink>
    </w:p>
    <w:p w14:paraId="10B72A53" w14:textId="1FC7857E" w:rsidR="00DD5ADC" w:rsidRPr="001B3ED4" w:rsidRDefault="00DD5ADC" w:rsidP="00DD5ADC">
      <w:pPr>
        <w:spacing w:line="360" w:lineRule="auto"/>
        <w:jc w:val="both"/>
        <w:rPr>
          <w:rFonts w:ascii="Arial" w:hAnsi="Arial" w:cs="Arial"/>
        </w:rPr>
      </w:pPr>
      <w:r w:rsidRPr="001B3ED4">
        <w:rPr>
          <w:rFonts w:ascii="Arial" w:hAnsi="Arial" w:cs="Arial"/>
        </w:rPr>
        <w:t xml:space="preserve">Campelo, T.A., Oliveira, N.S., Souza, P.F., de-Oliveira, D.F., Frota, C.C. and Antas, P.R., </w:t>
      </w:r>
      <w:r w:rsidR="00A5514D" w:rsidRPr="001B3ED4">
        <w:rPr>
          <w:rFonts w:ascii="Arial" w:hAnsi="Arial" w:cs="Arial"/>
        </w:rPr>
        <w:t>(</w:t>
      </w:r>
      <w:r w:rsidRPr="001B3ED4">
        <w:rPr>
          <w:rFonts w:ascii="Arial" w:hAnsi="Arial" w:cs="Arial"/>
        </w:rPr>
        <w:t>2025</w:t>
      </w:r>
      <w:r w:rsidR="00A5514D" w:rsidRPr="001B3ED4">
        <w:rPr>
          <w:rFonts w:ascii="Arial" w:hAnsi="Arial" w:cs="Arial"/>
        </w:rPr>
        <w:t>)</w:t>
      </w:r>
      <w:r w:rsidRPr="001B3ED4">
        <w:rPr>
          <w:rFonts w:ascii="Arial" w:hAnsi="Arial" w:cs="Arial"/>
        </w:rPr>
        <w:t>. Unleashing the power of the BCG vaccine in modulating viral immunity through heterologous protection: A scoping review. </w:t>
      </w:r>
      <w:r w:rsidRPr="001B3ED4">
        <w:rPr>
          <w:rFonts w:ascii="Arial" w:hAnsi="Arial" w:cs="Arial"/>
          <w:i/>
          <w:iCs/>
        </w:rPr>
        <w:t>Human Vaccines &amp; Immunotherapeutics</w:t>
      </w:r>
      <w:r w:rsidRPr="001B3ED4">
        <w:rPr>
          <w:rFonts w:ascii="Arial" w:hAnsi="Arial" w:cs="Arial"/>
        </w:rPr>
        <w:t>, </w:t>
      </w:r>
      <w:r w:rsidRPr="001B3ED4">
        <w:rPr>
          <w:rFonts w:ascii="Arial" w:hAnsi="Arial" w:cs="Arial"/>
          <w:i/>
          <w:iCs/>
        </w:rPr>
        <w:t>21</w:t>
      </w:r>
      <w:r w:rsidRPr="001B3ED4">
        <w:rPr>
          <w:rFonts w:ascii="Arial" w:hAnsi="Arial" w:cs="Arial"/>
        </w:rPr>
        <w:t xml:space="preserve">(1), p.2521190. </w:t>
      </w:r>
      <w:hyperlink r:id="rId27" w:history="1">
        <w:r w:rsidRPr="001B3ED4">
          <w:rPr>
            <w:rStyle w:val="Hyperlink"/>
            <w:rFonts w:ascii="Arial" w:hAnsi="Arial" w:cs="Arial"/>
          </w:rPr>
          <w:t>https://www.tandfonline.com/doi/abs/10.1080/21645515.2025.2521190</w:t>
        </w:r>
      </w:hyperlink>
    </w:p>
    <w:p w14:paraId="5DDF6E8B" w14:textId="60FB2E39" w:rsidR="00DD5ADC" w:rsidRPr="001B3ED4" w:rsidRDefault="00DD5ADC" w:rsidP="00DD5ADC">
      <w:pPr>
        <w:spacing w:line="360" w:lineRule="auto"/>
        <w:jc w:val="both"/>
        <w:rPr>
          <w:rFonts w:ascii="Arial" w:hAnsi="Arial" w:cs="Arial"/>
        </w:rPr>
      </w:pPr>
      <w:r w:rsidRPr="001B3ED4">
        <w:rPr>
          <w:rFonts w:ascii="Arial" w:hAnsi="Arial" w:cs="Arial"/>
        </w:rPr>
        <w:t xml:space="preserve">Clark, R.A., </w:t>
      </w:r>
      <w:proofErr w:type="spellStart"/>
      <w:r w:rsidRPr="001B3ED4">
        <w:rPr>
          <w:rFonts w:ascii="Arial" w:hAnsi="Arial" w:cs="Arial"/>
        </w:rPr>
        <w:t>Mukandavire</w:t>
      </w:r>
      <w:proofErr w:type="spellEnd"/>
      <w:r w:rsidRPr="001B3ED4">
        <w:rPr>
          <w:rFonts w:ascii="Arial" w:hAnsi="Arial" w:cs="Arial"/>
        </w:rPr>
        <w:t xml:space="preserve">, C., Portnoy, A., </w:t>
      </w:r>
      <w:proofErr w:type="spellStart"/>
      <w:r w:rsidRPr="001B3ED4">
        <w:rPr>
          <w:rFonts w:ascii="Arial" w:hAnsi="Arial" w:cs="Arial"/>
        </w:rPr>
        <w:t>Weerasuriya</w:t>
      </w:r>
      <w:proofErr w:type="spellEnd"/>
      <w:r w:rsidRPr="001B3ED4">
        <w:rPr>
          <w:rFonts w:ascii="Arial" w:hAnsi="Arial" w:cs="Arial"/>
        </w:rPr>
        <w:t xml:space="preserve">, C.K., Deol, A., Scarponi, D., </w:t>
      </w:r>
      <w:proofErr w:type="spellStart"/>
      <w:r w:rsidRPr="001B3ED4">
        <w:rPr>
          <w:rFonts w:ascii="Arial" w:hAnsi="Arial" w:cs="Arial"/>
        </w:rPr>
        <w:t>Iskauskas</w:t>
      </w:r>
      <w:proofErr w:type="spellEnd"/>
      <w:r w:rsidRPr="001B3ED4">
        <w:rPr>
          <w:rFonts w:ascii="Arial" w:hAnsi="Arial" w:cs="Arial"/>
        </w:rPr>
        <w:t xml:space="preserve">, A., Bakker, R., Quaife, M., Malhotra, S. and Gebreselassie, N., </w:t>
      </w:r>
      <w:r w:rsidR="00F965B2" w:rsidRPr="001B3ED4">
        <w:rPr>
          <w:rFonts w:ascii="Arial" w:hAnsi="Arial" w:cs="Arial"/>
        </w:rPr>
        <w:t>(</w:t>
      </w:r>
      <w:r w:rsidRPr="001B3ED4">
        <w:rPr>
          <w:rFonts w:ascii="Arial" w:hAnsi="Arial" w:cs="Arial"/>
        </w:rPr>
        <w:t>2023</w:t>
      </w:r>
      <w:r w:rsidR="00F965B2" w:rsidRPr="001B3ED4">
        <w:rPr>
          <w:rFonts w:ascii="Arial" w:hAnsi="Arial" w:cs="Arial"/>
        </w:rPr>
        <w:t>(</w:t>
      </w:r>
      <w:r w:rsidRPr="001B3ED4">
        <w:rPr>
          <w:rFonts w:ascii="Arial" w:hAnsi="Arial" w:cs="Arial"/>
        </w:rPr>
        <w:t xml:space="preserve">. The </w:t>
      </w:r>
      <w:r w:rsidRPr="001B3ED4">
        <w:rPr>
          <w:rFonts w:ascii="Arial" w:hAnsi="Arial" w:cs="Arial"/>
        </w:rPr>
        <w:lastRenderedPageBreak/>
        <w:t>impact of alternative delivery strategies for novel tuberculosis vaccines in low-income and middle-income countries: a modelling study. </w:t>
      </w:r>
      <w:r w:rsidRPr="001B3ED4">
        <w:rPr>
          <w:rFonts w:ascii="Arial" w:hAnsi="Arial" w:cs="Arial"/>
          <w:i/>
          <w:iCs/>
        </w:rPr>
        <w:t>The Lancet Global Health</w:t>
      </w:r>
      <w:r w:rsidRPr="001B3ED4">
        <w:rPr>
          <w:rFonts w:ascii="Arial" w:hAnsi="Arial" w:cs="Arial"/>
        </w:rPr>
        <w:t>, </w:t>
      </w:r>
      <w:r w:rsidRPr="001B3ED4">
        <w:rPr>
          <w:rFonts w:ascii="Arial" w:hAnsi="Arial" w:cs="Arial"/>
          <w:i/>
          <w:iCs/>
        </w:rPr>
        <w:t>11</w:t>
      </w:r>
      <w:r w:rsidRPr="001B3ED4">
        <w:rPr>
          <w:rFonts w:ascii="Arial" w:hAnsi="Arial" w:cs="Arial"/>
        </w:rPr>
        <w:t xml:space="preserve">(4), </w:t>
      </w:r>
      <w:proofErr w:type="gramStart"/>
      <w:r w:rsidRPr="001B3ED4">
        <w:rPr>
          <w:rFonts w:ascii="Arial" w:hAnsi="Arial" w:cs="Arial"/>
        </w:rPr>
        <w:t>pp.e</w:t>
      </w:r>
      <w:proofErr w:type="gramEnd"/>
      <w:r w:rsidRPr="001B3ED4">
        <w:rPr>
          <w:rFonts w:ascii="Arial" w:hAnsi="Arial" w:cs="Arial"/>
        </w:rPr>
        <w:t xml:space="preserve">546-e555. </w:t>
      </w:r>
      <w:hyperlink r:id="rId28" w:history="1">
        <w:r w:rsidRPr="001B3ED4">
          <w:rPr>
            <w:rStyle w:val="Hyperlink"/>
            <w:rFonts w:ascii="Arial" w:hAnsi="Arial" w:cs="Arial"/>
          </w:rPr>
          <w:t>https://www.thelancet.com/journals/langlo/article/PIIS2214-109X(23)00045-1/fulltext</w:t>
        </w:r>
      </w:hyperlink>
    </w:p>
    <w:p w14:paraId="4EC3B496" w14:textId="77777777" w:rsidR="002E018A" w:rsidRPr="001B3ED4" w:rsidRDefault="002E018A" w:rsidP="002E018A">
      <w:pPr>
        <w:spacing w:before="240" w:line="360" w:lineRule="auto"/>
        <w:jc w:val="both"/>
        <w:rPr>
          <w:rFonts w:ascii="Arial" w:hAnsi="Arial" w:cs="Arial"/>
        </w:rPr>
      </w:pPr>
      <w:r w:rsidRPr="001B3ED4">
        <w:rPr>
          <w:rFonts w:ascii="Arial" w:hAnsi="Arial" w:cs="Arial"/>
        </w:rPr>
        <w:t xml:space="preserve">Clark, R.A., Portnoy, A., </w:t>
      </w:r>
      <w:proofErr w:type="spellStart"/>
      <w:r w:rsidRPr="001B3ED4">
        <w:rPr>
          <w:rFonts w:ascii="Arial" w:hAnsi="Arial" w:cs="Arial"/>
        </w:rPr>
        <w:t>Weerasuriya</w:t>
      </w:r>
      <w:proofErr w:type="spellEnd"/>
      <w:r w:rsidRPr="001B3ED4">
        <w:rPr>
          <w:rFonts w:ascii="Arial" w:hAnsi="Arial" w:cs="Arial"/>
        </w:rPr>
        <w:t>, C.K., Sumner, T., Bakker, R., Harris, R.C., Rade, K., Mattoo, S.K., Tumu, D., Menzies, N.A. and White, R.G., (2024). Estimating the potential health and economic impacts of new tuberculosis vaccines under varying delivery strategies in Delhi and Gujarat, India: a modelling study. </w:t>
      </w:r>
      <w:r w:rsidRPr="001B3ED4">
        <w:rPr>
          <w:rFonts w:ascii="Arial" w:hAnsi="Arial" w:cs="Arial"/>
          <w:i/>
          <w:iCs/>
        </w:rPr>
        <w:t>The Lancet Regional Health-Southeast Asia</w:t>
      </w:r>
      <w:r w:rsidRPr="001B3ED4">
        <w:rPr>
          <w:rFonts w:ascii="Arial" w:hAnsi="Arial" w:cs="Arial"/>
        </w:rPr>
        <w:t>, </w:t>
      </w:r>
      <w:r w:rsidRPr="001B3ED4">
        <w:rPr>
          <w:rFonts w:ascii="Arial" w:hAnsi="Arial" w:cs="Arial"/>
          <w:i/>
          <w:iCs/>
        </w:rPr>
        <w:t>31</w:t>
      </w:r>
      <w:r w:rsidRPr="001B3ED4">
        <w:rPr>
          <w:rFonts w:ascii="Arial" w:hAnsi="Arial" w:cs="Arial"/>
        </w:rPr>
        <w:t xml:space="preserve">. </w:t>
      </w:r>
      <w:hyperlink r:id="rId29" w:history="1">
        <w:r w:rsidRPr="001B3ED4">
          <w:rPr>
            <w:rStyle w:val="Hyperlink"/>
            <w:rFonts w:ascii="Arial" w:hAnsi="Arial" w:cs="Arial"/>
          </w:rPr>
          <w:t>https://www.thelancet.com/journals/lansea/article/PIIS2772-3682(24)00074-X/fulltext</w:t>
        </w:r>
      </w:hyperlink>
    </w:p>
    <w:p w14:paraId="3E323940" w14:textId="3FC3366A" w:rsidR="00753BDC" w:rsidRPr="001B3ED4" w:rsidRDefault="00753BDC" w:rsidP="0046084C">
      <w:pPr>
        <w:spacing w:before="240" w:line="360" w:lineRule="auto"/>
        <w:jc w:val="both"/>
        <w:rPr>
          <w:rFonts w:ascii="Arial" w:hAnsi="Arial" w:cs="Arial"/>
        </w:rPr>
      </w:pPr>
      <w:proofErr w:type="spellStart"/>
      <w:r w:rsidRPr="001B3ED4">
        <w:rPr>
          <w:rFonts w:ascii="Arial" w:hAnsi="Arial" w:cs="Arial"/>
        </w:rPr>
        <w:t>Cernuschi</w:t>
      </w:r>
      <w:proofErr w:type="spellEnd"/>
      <w:r w:rsidRPr="001B3ED4">
        <w:rPr>
          <w:rFonts w:ascii="Arial" w:hAnsi="Arial" w:cs="Arial"/>
        </w:rPr>
        <w:t xml:space="preserve">, T., </w:t>
      </w:r>
      <w:proofErr w:type="spellStart"/>
      <w:r w:rsidRPr="001B3ED4">
        <w:rPr>
          <w:rFonts w:ascii="Arial" w:hAnsi="Arial" w:cs="Arial"/>
        </w:rPr>
        <w:t>Malvolti</w:t>
      </w:r>
      <w:proofErr w:type="spellEnd"/>
      <w:r w:rsidRPr="001B3ED4">
        <w:rPr>
          <w:rFonts w:ascii="Arial" w:hAnsi="Arial" w:cs="Arial"/>
        </w:rPr>
        <w:t xml:space="preserve">, S., Nickels, E. and Friede, M., </w:t>
      </w:r>
      <w:r w:rsidR="00BD2E7B" w:rsidRPr="001B3ED4">
        <w:rPr>
          <w:rFonts w:ascii="Arial" w:hAnsi="Arial" w:cs="Arial"/>
        </w:rPr>
        <w:t>(</w:t>
      </w:r>
      <w:r w:rsidRPr="001B3ED4">
        <w:rPr>
          <w:rFonts w:ascii="Arial" w:hAnsi="Arial" w:cs="Arial"/>
        </w:rPr>
        <w:t>2018</w:t>
      </w:r>
      <w:r w:rsidR="00BD2E7B" w:rsidRPr="001B3ED4">
        <w:rPr>
          <w:rFonts w:ascii="Arial" w:hAnsi="Arial" w:cs="Arial"/>
        </w:rPr>
        <w:t>)</w:t>
      </w:r>
      <w:r w:rsidRPr="001B3ED4">
        <w:rPr>
          <w:rFonts w:ascii="Arial" w:hAnsi="Arial" w:cs="Arial"/>
        </w:rPr>
        <w:t>. Bacillus Calmette-Guérin (BCG) vaccine: a global assessment of demand and supply balance. </w:t>
      </w:r>
      <w:r w:rsidRPr="001B3ED4">
        <w:rPr>
          <w:rFonts w:ascii="Arial" w:hAnsi="Arial" w:cs="Arial"/>
          <w:i/>
          <w:iCs/>
        </w:rPr>
        <w:t>Vaccine</w:t>
      </w:r>
      <w:r w:rsidRPr="001B3ED4">
        <w:rPr>
          <w:rFonts w:ascii="Arial" w:hAnsi="Arial" w:cs="Arial"/>
        </w:rPr>
        <w:t>, </w:t>
      </w:r>
      <w:r w:rsidRPr="001B3ED4">
        <w:rPr>
          <w:rFonts w:ascii="Arial" w:hAnsi="Arial" w:cs="Arial"/>
          <w:i/>
          <w:iCs/>
        </w:rPr>
        <w:t>36</w:t>
      </w:r>
      <w:r w:rsidRPr="001B3ED4">
        <w:rPr>
          <w:rFonts w:ascii="Arial" w:hAnsi="Arial" w:cs="Arial"/>
        </w:rPr>
        <w:t xml:space="preserve">(4), pp.498-506. </w:t>
      </w:r>
      <w:hyperlink r:id="rId30" w:history="1">
        <w:r w:rsidRPr="001B3ED4">
          <w:rPr>
            <w:rStyle w:val="Hyperlink"/>
            <w:rFonts w:ascii="Arial" w:hAnsi="Arial" w:cs="Arial"/>
          </w:rPr>
          <w:t>https://www.sciencedirect.com/science/article/pii/S0264410X17317486</w:t>
        </w:r>
      </w:hyperlink>
    </w:p>
    <w:p w14:paraId="767E7094" w14:textId="33D4C024" w:rsidR="005D7B99" w:rsidRPr="001B3ED4" w:rsidRDefault="005D7B99" w:rsidP="0046084C">
      <w:pPr>
        <w:spacing w:before="240" w:line="360" w:lineRule="auto"/>
        <w:jc w:val="both"/>
        <w:rPr>
          <w:rFonts w:ascii="Arial" w:hAnsi="Arial" w:cs="Arial"/>
        </w:rPr>
      </w:pPr>
      <w:r w:rsidRPr="001B3ED4">
        <w:rPr>
          <w:rFonts w:ascii="Arial" w:hAnsi="Arial" w:cs="Arial"/>
        </w:rPr>
        <w:t xml:space="preserve">Chee, C.B., Reves, R., Zhang, Y. and Belknap, R., </w:t>
      </w:r>
      <w:r w:rsidR="00BD2E7B" w:rsidRPr="001B3ED4">
        <w:rPr>
          <w:rFonts w:ascii="Arial" w:hAnsi="Arial" w:cs="Arial"/>
        </w:rPr>
        <w:t>(</w:t>
      </w:r>
      <w:r w:rsidRPr="001B3ED4">
        <w:rPr>
          <w:rFonts w:ascii="Arial" w:hAnsi="Arial" w:cs="Arial"/>
        </w:rPr>
        <w:t>2018</w:t>
      </w:r>
      <w:r w:rsidR="00BD2E7B" w:rsidRPr="001B3ED4">
        <w:rPr>
          <w:rFonts w:ascii="Arial" w:hAnsi="Arial" w:cs="Arial"/>
        </w:rPr>
        <w:t>)</w:t>
      </w:r>
      <w:r w:rsidRPr="001B3ED4">
        <w:rPr>
          <w:rFonts w:ascii="Arial" w:hAnsi="Arial" w:cs="Arial"/>
        </w:rPr>
        <w:t>. Latent tuberculosis infection: Opportunities and challenges. </w:t>
      </w:r>
      <w:r w:rsidRPr="001B3ED4">
        <w:rPr>
          <w:rFonts w:ascii="Arial" w:hAnsi="Arial" w:cs="Arial"/>
          <w:i/>
          <w:iCs/>
        </w:rPr>
        <w:t>Respirology</w:t>
      </w:r>
      <w:r w:rsidRPr="001B3ED4">
        <w:rPr>
          <w:rFonts w:ascii="Arial" w:hAnsi="Arial" w:cs="Arial"/>
        </w:rPr>
        <w:t>, </w:t>
      </w:r>
      <w:r w:rsidRPr="001B3ED4">
        <w:rPr>
          <w:rFonts w:ascii="Arial" w:hAnsi="Arial" w:cs="Arial"/>
          <w:i/>
          <w:iCs/>
        </w:rPr>
        <w:t>23</w:t>
      </w:r>
      <w:r w:rsidRPr="001B3ED4">
        <w:rPr>
          <w:rFonts w:ascii="Arial" w:hAnsi="Arial" w:cs="Arial"/>
        </w:rPr>
        <w:t xml:space="preserve">(10), pp.893-900. </w:t>
      </w:r>
      <w:hyperlink r:id="rId31" w:history="1">
        <w:r w:rsidRPr="001B3ED4">
          <w:rPr>
            <w:rStyle w:val="Hyperlink"/>
            <w:rFonts w:ascii="Arial" w:hAnsi="Arial" w:cs="Arial"/>
          </w:rPr>
          <w:t>https://onlinelibrary.wiley.com/doi/abs/10.1111/resp.13346</w:t>
        </w:r>
      </w:hyperlink>
    </w:p>
    <w:p w14:paraId="3FA5C5AD" w14:textId="0AC6322D" w:rsidR="000C0736" w:rsidRPr="001B3ED4" w:rsidRDefault="000C0736" w:rsidP="0046084C">
      <w:pPr>
        <w:spacing w:before="240" w:line="360" w:lineRule="auto"/>
        <w:jc w:val="both"/>
        <w:rPr>
          <w:rFonts w:ascii="Arial" w:hAnsi="Arial" w:cs="Arial"/>
        </w:rPr>
      </w:pPr>
      <w:r w:rsidRPr="001B3ED4">
        <w:rPr>
          <w:rFonts w:ascii="Arial" w:hAnsi="Arial" w:cs="Arial"/>
        </w:rPr>
        <w:t xml:space="preserve">Clark, R.A., Sumner, T., </w:t>
      </w:r>
      <w:proofErr w:type="spellStart"/>
      <w:r w:rsidRPr="001B3ED4">
        <w:rPr>
          <w:rFonts w:ascii="Arial" w:hAnsi="Arial" w:cs="Arial"/>
        </w:rPr>
        <w:t>Weerasuriya</w:t>
      </w:r>
      <w:proofErr w:type="spellEnd"/>
      <w:r w:rsidRPr="001B3ED4">
        <w:rPr>
          <w:rFonts w:ascii="Arial" w:hAnsi="Arial" w:cs="Arial"/>
        </w:rPr>
        <w:t xml:space="preserve">, C.K., Bakker, R., Scriba, T.J. and White, R.G., </w:t>
      </w:r>
      <w:r w:rsidR="00F965B2" w:rsidRPr="001B3ED4">
        <w:rPr>
          <w:rFonts w:ascii="Arial" w:hAnsi="Arial" w:cs="Arial"/>
        </w:rPr>
        <w:t>(</w:t>
      </w:r>
      <w:r w:rsidRPr="001B3ED4">
        <w:rPr>
          <w:rFonts w:ascii="Arial" w:hAnsi="Arial" w:cs="Arial"/>
        </w:rPr>
        <w:t>2024</w:t>
      </w:r>
      <w:r w:rsidR="00F965B2" w:rsidRPr="001B3ED4">
        <w:rPr>
          <w:rFonts w:ascii="Arial" w:hAnsi="Arial" w:cs="Arial"/>
        </w:rPr>
        <w:t>)</w:t>
      </w:r>
      <w:r w:rsidRPr="001B3ED4">
        <w:rPr>
          <w:rFonts w:ascii="Arial" w:hAnsi="Arial" w:cs="Arial"/>
        </w:rPr>
        <w:t>. Estimating the potential public health value of BCG revaccination. </w:t>
      </w:r>
      <w:r w:rsidRPr="001B3ED4">
        <w:rPr>
          <w:rFonts w:ascii="Arial" w:hAnsi="Arial" w:cs="Arial"/>
          <w:i/>
          <w:iCs/>
        </w:rPr>
        <w:t>The Journal of infectious diseases</w:t>
      </w:r>
      <w:r w:rsidRPr="001B3ED4">
        <w:rPr>
          <w:rFonts w:ascii="Arial" w:hAnsi="Arial" w:cs="Arial"/>
        </w:rPr>
        <w:t>, </w:t>
      </w:r>
      <w:r w:rsidRPr="001B3ED4">
        <w:rPr>
          <w:rFonts w:ascii="Arial" w:hAnsi="Arial" w:cs="Arial"/>
          <w:i/>
          <w:iCs/>
        </w:rPr>
        <w:t>230</w:t>
      </w:r>
      <w:r w:rsidRPr="001B3ED4">
        <w:rPr>
          <w:rFonts w:ascii="Arial" w:hAnsi="Arial" w:cs="Arial"/>
        </w:rPr>
        <w:t xml:space="preserve">(1), </w:t>
      </w:r>
      <w:proofErr w:type="gramStart"/>
      <w:r w:rsidRPr="001B3ED4">
        <w:rPr>
          <w:rFonts w:ascii="Arial" w:hAnsi="Arial" w:cs="Arial"/>
        </w:rPr>
        <w:t>pp.e</w:t>
      </w:r>
      <w:proofErr w:type="gramEnd"/>
      <w:r w:rsidRPr="001B3ED4">
        <w:rPr>
          <w:rFonts w:ascii="Arial" w:hAnsi="Arial" w:cs="Arial"/>
        </w:rPr>
        <w:t xml:space="preserve">139-e143. </w:t>
      </w:r>
      <w:hyperlink r:id="rId32" w:history="1">
        <w:r w:rsidRPr="001B3ED4">
          <w:rPr>
            <w:rStyle w:val="Hyperlink"/>
            <w:rFonts w:ascii="Arial" w:hAnsi="Arial" w:cs="Arial"/>
          </w:rPr>
          <w:t>https://academic.oup.com/jid/article-abstract/230/1/e139/7639736</w:t>
        </w:r>
      </w:hyperlink>
    </w:p>
    <w:p w14:paraId="3EDEA07E" w14:textId="7943F89E" w:rsidR="009C3E8B" w:rsidRPr="001B3ED4" w:rsidRDefault="009C3E8B" w:rsidP="0046084C">
      <w:pPr>
        <w:spacing w:before="240" w:line="360" w:lineRule="auto"/>
        <w:jc w:val="both"/>
        <w:rPr>
          <w:rFonts w:ascii="Arial" w:hAnsi="Arial" w:cs="Arial"/>
        </w:rPr>
      </w:pPr>
      <w:r w:rsidRPr="001B3ED4">
        <w:rPr>
          <w:rFonts w:ascii="Arial" w:hAnsi="Arial" w:cs="Arial"/>
        </w:rPr>
        <w:t xml:space="preserve">Clark, R.A., </w:t>
      </w:r>
      <w:proofErr w:type="spellStart"/>
      <w:r w:rsidRPr="001B3ED4">
        <w:rPr>
          <w:rFonts w:ascii="Arial" w:hAnsi="Arial" w:cs="Arial"/>
        </w:rPr>
        <w:t>Weerasuriya</w:t>
      </w:r>
      <w:proofErr w:type="spellEnd"/>
      <w:r w:rsidRPr="001B3ED4">
        <w:rPr>
          <w:rFonts w:ascii="Arial" w:hAnsi="Arial" w:cs="Arial"/>
        </w:rPr>
        <w:t xml:space="preserve">, C.K., Portnoy, A., </w:t>
      </w:r>
      <w:proofErr w:type="spellStart"/>
      <w:r w:rsidRPr="001B3ED4">
        <w:rPr>
          <w:rFonts w:ascii="Arial" w:hAnsi="Arial" w:cs="Arial"/>
        </w:rPr>
        <w:t>Mukandavire</w:t>
      </w:r>
      <w:proofErr w:type="spellEnd"/>
      <w:r w:rsidRPr="001B3ED4">
        <w:rPr>
          <w:rFonts w:ascii="Arial" w:hAnsi="Arial" w:cs="Arial"/>
        </w:rPr>
        <w:t xml:space="preserve">, C., Quaife, M., Bakker, R., Scarponi, D., Harris, R.C., Rade, K., Mattoo, S.K. and Tumu, D., </w:t>
      </w:r>
      <w:r w:rsidR="00BD2E7B" w:rsidRPr="001B3ED4">
        <w:rPr>
          <w:rFonts w:ascii="Arial" w:hAnsi="Arial" w:cs="Arial"/>
        </w:rPr>
        <w:t>(</w:t>
      </w:r>
      <w:r w:rsidRPr="001B3ED4">
        <w:rPr>
          <w:rFonts w:ascii="Arial" w:hAnsi="Arial" w:cs="Arial"/>
        </w:rPr>
        <w:t>2023</w:t>
      </w:r>
      <w:r w:rsidR="00BD2E7B" w:rsidRPr="001B3ED4">
        <w:rPr>
          <w:rFonts w:ascii="Arial" w:hAnsi="Arial" w:cs="Arial"/>
        </w:rPr>
        <w:t>)</w:t>
      </w:r>
      <w:r w:rsidRPr="001B3ED4">
        <w:rPr>
          <w:rFonts w:ascii="Arial" w:hAnsi="Arial" w:cs="Arial"/>
        </w:rPr>
        <w:t>. New tuberculosis vaccines in India: modelling the potential health and economic impacts of adolescent/adult vaccination with M72/AS01E and BCG-revaccination. </w:t>
      </w:r>
      <w:r w:rsidRPr="001B3ED4">
        <w:rPr>
          <w:rFonts w:ascii="Arial" w:hAnsi="Arial" w:cs="Arial"/>
          <w:i/>
          <w:iCs/>
        </w:rPr>
        <w:t>BMC medicine</w:t>
      </w:r>
      <w:r w:rsidRPr="001B3ED4">
        <w:rPr>
          <w:rFonts w:ascii="Arial" w:hAnsi="Arial" w:cs="Arial"/>
        </w:rPr>
        <w:t>, </w:t>
      </w:r>
      <w:r w:rsidRPr="001B3ED4">
        <w:rPr>
          <w:rFonts w:ascii="Arial" w:hAnsi="Arial" w:cs="Arial"/>
          <w:i/>
          <w:iCs/>
        </w:rPr>
        <w:t>21</w:t>
      </w:r>
      <w:r w:rsidRPr="001B3ED4">
        <w:rPr>
          <w:rFonts w:ascii="Arial" w:hAnsi="Arial" w:cs="Arial"/>
        </w:rPr>
        <w:t xml:space="preserve">(1), p.288. </w:t>
      </w:r>
      <w:hyperlink r:id="rId33" w:history="1">
        <w:r w:rsidRPr="001B3ED4">
          <w:rPr>
            <w:rStyle w:val="Hyperlink"/>
            <w:rFonts w:ascii="Arial" w:hAnsi="Arial" w:cs="Arial"/>
          </w:rPr>
          <w:t>https://link.springer.com/article/10.1186/s12916-023-02992-7</w:t>
        </w:r>
      </w:hyperlink>
    </w:p>
    <w:p w14:paraId="5BF96110" w14:textId="229A3AB0" w:rsidR="00313518" w:rsidRPr="001B3ED4" w:rsidRDefault="00313518" w:rsidP="0046084C">
      <w:pPr>
        <w:spacing w:before="240" w:line="360" w:lineRule="auto"/>
        <w:jc w:val="both"/>
        <w:rPr>
          <w:rFonts w:ascii="Arial" w:hAnsi="Arial" w:cs="Arial"/>
        </w:rPr>
      </w:pPr>
      <w:r w:rsidRPr="001B3ED4">
        <w:rPr>
          <w:rFonts w:ascii="Arial" w:hAnsi="Arial" w:cs="Arial"/>
        </w:rPr>
        <w:t xml:space="preserve">Clarke-Deelder, E., </w:t>
      </w:r>
      <w:proofErr w:type="spellStart"/>
      <w:r w:rsidRPr="001B3ED4">
        <w:rPr>
          <w:rFonts w:ascii="Arial" w:hAnsi="Arial" w:cs="Arial"/>
        </w:rPr>
        <w:t>Suharlim</w:t>
      </w:r>
      <w:proofErr w:type="spellEnd"/>
      <w:r w:rsidRPr="001B3ED4">
        <w:rPr>
          <w:rFonts w:ascii="Arial" w:hAnsi="Arial" w:cs="Arial"/>
        </w:rPr>
        <w:t xml:space="preserve">, C., Chatterjee, S., Brenzel, L., Ray, A., Cohen, J.L., McConnell, M., Resch, S.C. and Menzies, N.A.,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Impact of campaign-style delivery of routine vaccines: a quasi-experimental evaluation using routine health services data in India. </w:t>
      </w:r>
      <w:r w:rsidRPr="001B3ED4">
        <w:rPr>
          <w:rFonts w:ascii="Arial" w:hAnsi="Arial" w:cs="Arial"/>
          <w:i/>
          <w:iCs/>
        </w:rPr>
        <w:t>Health Policy and Planning</w:t>
      </w:r>
      <w:r w:rsidRPr="001B3ED4">
        <w:rPr>
          <w:rFonts w:ascii="Arial" w:hAnsi="Arial" w:cs="Arial"/>
        </w:rPr>
        <w:t>, </w:t>
      </w:r>
      <w:r w:rsidRPr="001B3ED4">
        <w:rPr>
          <w:rFonts w:ascii="Arial" w:hAnsi="Arial" w:cs="Arial"/>
          <w:i/>
          <w:iCs/>
        </w:rPr>
        <w:t>36</w:t>
      </w:r>
      <w:r w:rsidRPr="001B3ED4">
        <w:rPr>
          <w:rFonts w:ascii="Arial" w:hAnsi="Arial" w:cs="Arial"/>
        </w:rPr>
        <w:t xml:space="preserve">(4), pp.454-463. </w:t>
      </w:r>
      <w:hyperlink r:id="rId34" w:history="1">
        <w:r w:rsidRPr="001B3ED4">
          <w:rPr>
            <w:rStyle w:val="Hyperlink"/>
            <w:rFonts w:ascii="Arial" w:hAnsi="Arial" w:cs="Arial"/>
          </w:rPr>
          <w:t>https://academic.oup.com/heapol/article-abstract/36/4/454/6177596</w:t>
        </w:r>
      </w:hyperlink>
    </w:p>
    <w:p w14:paraId="286745A6" w14:textId="187F2654" w:rsidR="007147E2" w:rsidRPr="001B3ED4" w:rsidRDefault="007147E2" w:rsidP="0046084C">
      <w:pPr>
        <w:spacing w:before="240" w:line="360" w:lineRule="auto"/>
        <w:jc w:val="both"/>
        <w:rPr>
          <w:rFonts w:ascii="Arial" w:hAnsi="Arial" w:cs="Arial"/>
        </w:rPr>
      </w:pPr>
      <w:proofErr w:type="spellStart"/>
      <w:r w:rsidRPr="001B3ED4">
        <w:rPr>
          <w:rFonts w:ascii="Arial" w:hAnsi="Arial" w:cs="Arial"/>
        </w:rPr>
        <w:lastRenderedPageBreak/>
        <w:t>Chakaya</w:t>
      </w:r>
      <w:proofErr w:type="spellEnd"/>
      <w:r w:rsidRPr="001B3ED4">
        <w:rPr>
          <w:rFonts w:ascii="Arial" w:hAnsi="Arial" w:cs="Arial"/>
        </w:rPr>
        <w:t xml:space="preserve">, J., Khan, M., Ntoumi, F., </w:t>
      </w:r>
      <w:proofErr w:type="spellStart"/>
      <w:r w:rsidRPr="001B3ED4">
        <w:rPr>
          <w:rFonts w:ascii="Arial" w:hAnsi="Arial" w:cs="Arial"/>
        </w:rPr>
        <w:t>Aklillu</w:t>
      </w:r>
      <w:proofErr w:type="spellEnd"/>
      <w:r w:rsidRPr="001B3ED4">
        <w:rPr>
          <w:rFonts w:ascii="Arial" w:hAnsi="Arial" w:cs="Arial"/>
        </w:rPr>
        <w:t xml:space="preserve">, E., Fatima, R., Mwaba, P., Kapata, N., </w:t>
      </w:r>
      <w:proofErr w:type="spellStart"/>
      <w:r w:rsidRPr="001B3ED4">
        <w:rPr>
          <w:rFonts w:ascii="Arial" w:hAnsi="Arial" w:cs="Arial"/>
        </w:rPr>
        <w:t>Mfinanga</w:t>
      </w:r>
      <w:proofErr w:type="spellEnd"/>
      <w:r w:rsidRPr="001B3ED4">
        <w:rPr>
          <w:rFonts w:ascii="Arial" w:hAnsi="Arial" w:cs="Arial"/>
        </w:rPr>
        <w:t xml:space="preserve">, S., Hasnain, S.E., Katoto, P.D. and </w:t>
      </w:r>
      <w:proofErr w:type="spellStart"/>
      <w:r w:rsidRPr="001B3ED4">
        <w:rPr>
          <w:rFonts w:ascii="Arial" w:hAnsi="Arial" w:cs="Arial"/>
        </w:rPr>
        <w:t>Bulabula</w:t>
      </w:r>
      <w:proofErr w:type="spellEnd"/>
      <w:r w:rsidRPr="001B3ED4">
        <w:rPr>
          <w:rFonts w:ascii="Arial" w:hAnsi="Arial" w:cs="Arial"/>
        </w:rPr>
        <w:t xml:space="preserve">, A.N.,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Global Tuberculosis Report 2020–Reflections on the Global TB burden, treatment and prevention efforts. </w:t>
      </w:r>
      <w:r w:rsidRPr="001B3ED4">
        <w:rPr>
          <w:rFonts w:ascii="Arial" w:hAnsi="Arial" w:cs="Arial"/>
          <w:i/>
          <w:iCs/>
        </w:rPr>
        <w:t>International journal of infectious diseases</w:t>
      </w:r>
      <w:r w:rsidRPr="001B3ED4">
        <w:rPr>
          <w:rFonts w:ascii="Arial" w:hAnsi="Arial" w:cs="Arial"/>
        </w:rPr>
        <w:t>, </w:t>
      </w:r>
      <w:r w:rsidRPr="001B3ED4">
        <w:rPr>
          <w:rFonts w:ascii="Arial" w:hAnsi="Arial" w:cs="Arial"/>
          <w:i/>
          <w:iCs/>
        </w:rPr>
        <w:t>113</w:t>
      </w:r>
      <w:r w:rsidRPr="001B3ED4">
        <w:rPr>
          <w:rFonts w:ascii="Arial" w:hAnsi="Arial" w:cs="Arial"/>
        </w:rPr>
        <w:t xml:space="preserve">, </w:t>
      </w:r>
      <w:proofErr w:type="gramStart"/>
      <w:r w:rsidRPr="001B3ED4">
        <w:rPr>
          <w:rFonts w:ascii="Arial" w:hAnsi="Arial" w:cs="Arial"/>
        </w:rPr>
        <w:t>pp.S</w:t>
      </w:r>
      <w:proofErr w:type="gramEnd"/>
      <w:r w:rsidRPr="001B3ED4">
        <w:rPr>
          <w:rFonts w:ascii="Arial" w:hAnsi="Arial" w:cs="Arial"/>
        </w:rPr>
        <w:t xml:space="preserve">7-S12. </w:t>
      </w:r>
      <w:hyperlink r:id="rId35" w:history="1">
        <w:r w:rsidRPr="001B3ED4">
          <w:rPr>
            <w:rStyle w:val="Hyperlink"/>
            <w:rFonts w:ascii="Arial" w:hAnsi="Arial" w:cs="Arial"/>
          </w:rPr>
          <w:t>https://www.sciencedirect.com/science/article/pii/S1201971221001934</w:t>
        </w:r>
      </w:hyperlink>
    </w:p>
    <w:p w14:paraId="6B57582C" w14:textId="2D990937" w:rsidR="007147E2" w:rsidRPr="001B3ED4" w:rsidRDefault="007147E2" w:rsidP="0046084C">
      <w:pPr>
        <w:spacing w:before="240" w:line="360" w:lineRule="auto"/>
        <w:jc w:val="both"/>
        <w:rPr>
          <w:rFonts w:ascii="Arial" w:hAnsi="Arial" w:cs="Arial"/>
        </w:rPr>
      </w:pPr>
      <w:r w:rsidRPr="001B3ED4">
        <w:rPr>
          <w:rFonts w:ascii="Arial" w:hAnsi="Arial" w:cs="Arial"/>
        </w:rPr>
        <w:t xml:space="preserve">Daley, C.L., </w:t>
      </w:r>
      <w:r w:rsidR="00BD2E7B" w:rsidRPr="001B3ED4">
        <w:rPr>
          <w:rFonts w:ascii="Arial" w:hAnsi="Arial" w:cs="Arial"/>
        </w:rPr>
        <w:t>(</w:t>
      </w:r>
      <w:r w:rsidRPr="001B3ED4">
        <w:rPr>
          <w:rFonts w:ascii="Arial" w:hAnsi="Arial" w:cs="Arial"/>
        </w:rPr>
        <w:t>2019</w:t>
      </w:r>
      <w:r w:rsidR="00BD2E7B" w:rsidRPr="001B3ED4">
        <w:rPr>
          <w:rFonts w:ascii="Arial" w:hAnsi="Arial" w:cs="Arial"/>
        </w:rPr>
        <w:t>)</w:t>
      </w:r>
      <w:r w:rsidRPr="001B3ED4">
        <w:rPr>
          <w:rFonts w:ascii="Arial" w:hAnsi="Arial" w:cs="Arial"/>
        </w:rPr>
        <w:t>. The global fight against tuberculosis. </w:t>
      </w:r>
      <w:r w:rsidRPr="001B3ED4">
        <w:rPr>
          <w:rFonts w:ascii="Arial" w:hAnsi="Arial" w:cs="Arial"/>
          <w:i/>
          <w:iCs/>
        </w:rPr>
        <w:t>Thoracic Surgery Clinics</w:t>
      </w:r>
      <w:r w:rsidRPr="001B3ED4">
        <w:rPr>
          <w:rFonts w:ascii="Arial" w:hAnsi="Arial" w:cs="Arial"/>
        </w:rPr>
        <w:t>, </w:t>
      </w:r>
      <w:r w:rsidRPr="001B3ED4">
        <w:rPr>
          <w:rFonts w:ascii="Arial" w:hAnsi="Arial" w:cs="Arial"/>
          <w:i/>
          <w:iCs/>
        </w:rPr>
        <w:t>29</w:t>
      </w:r>
      <w:r w:rsidRPr="001B3ED4">
        <w:rPr>
          <w:rFonts w:ascii="Arial" w:hAnsi="Arial" w:cs="Arial"/>
        </w:rPr>
        <w:t xml:space="preserve">(1), pp.19-25. </w:t>
      </w:r>
      <w:hyperlink r:id="rId36" w:history="1">
        <w:r w:rsidRPr="001B3ED4">
          <w:rPr>
            <w:rStyle w:val="Hyperlink"/>
            <w:rFonts w:ascii="Arial" w:hAnsi="Arial" w:cs="Arial"/>
          </w:rPr>
          <w:t>https://www.thoracic.theclinics.com/article/S1547-4127(18)30137-3/abstract</w:t>
        </w:r>
      </w:hyperlink>
    </w:p>
    <w:p w14:paraId="6EF986C0" w14:textId="5FD33DBA" w:rsidR="00313518" w:rsidRPr="001B3ED4" w:rsidRDefault="00313518" w:rsidP="0046084C">
      <w:pPr>
        <w:spacing w:before="240" w:line="360" w:lineRule="auto"/>
        <w:jc w:val="both"/>
        <w:rPr>
          <w:rFonts w:ascii="Arial" w:hAnsi="Arial" w:cs="Arial"/>
        </w:rPr>
      </w:pPr>
      <w:proofErr w:type="spellStart"/>
      <w:r w:rsidRPr="001B3ED4">
        <w:rPr>
          <w:rFonts w:ascii="Arial" w:hAnsi="Arial" w:cs="Arial"/>
        </w:rPr>
        <w:t>Devasenapathy</w:t>
      </w:r>
      <w:proofErr w:type="spellEnd"/>
      <w:r w:rsidRPr="001B3ED4">
        <w:rPr>
          <w:rFonts w:ascii="Arial" w:hAnsi="Arial" w:cs="Arial"/>
        </w:rPr>
        <w:t xml:space="preserve">, N., Jerath, S.G., Sharma, S., Allen, E., Shankar, A.H. and </w:t>
      </w:r>
      <w:proofErr w:type="spellStart"/>
      <w:r w:rsidRPr="001B3ED4">
        <w:rPr>
          <w:rFonts w:ascii="Arial" w:hAnsi="Arial" w:cs="Arial"/>
        </w:rPr>
        <w:t>Zodpey</w:t>
      </w:r>
      <w:proofErr w:type="spellEnd"/>
      <w:r w:rsidRPr="001B3ED4">
        <w:rPr>
          <w:rFonts w:ascii="Arial" w:hAnsi="Arial" w:cs="Arial"/>
        </w:rPr>
        <w:t xml:space="preserve">, S., </w:t>
      </w:r>
      <w:r w:rsidR="00BD2E7B" w:rsidRPr="001B3ED4">
        <w:rPr>
          <w:rFonts w:ascii="Arial" w:hAnsi="Arial" w:cs="Arial"/>
        </w:rPr>
        <w:t>(</w:t>
      </w:r>
      <w:r w:rsidRPr="001B3ED4">
        <w:rPr>
          <w:rFonts w:ascii="Arial" w:hAnsi="Arial" w:cs="Arial"/>
        </w:rPr>
        <w:t>2016</w:t>
      </w:r>
      <w:r w:rsidR="00BD2E7B" w:rsidRPr="001B3ED4">
        <w:rPr>
          <w:rFonts w:ascii="Arial" w:hAnsi="Arial" w:cs="Arial"/>
        </w:rPr>
        <w:t>)</w:t>
      </w:r>
      <w:r w:rsidRPr="001B3ED4">
        <w:rPr>
          <w:rFonts w:ascii="Arial" w:hAnsi="Arial" w:cs="Arial"/>
        </w:rPr>
        <w:t>. Determinants of childhood immunisation coverage in urban poor settlements of Delhi, India: a cross-sectional study. </w:t>
      </w:r>
      <w:r w:rsidRPr="001B3ED4">
        <w:rPr>
          <w:rFonts w:ascii="Arial" w:hAnsi="Arial" w:cs="Arial"/>
          <w:i/>
          <w:iCs/>
        </w:rPr>
        <w:t>BMJ open</w:t>
      </w:r>
      <w:r w:rsidRPr="001B3ED4">
        <w:rPr>
          <w:rFonts w:ascii="Arial" w:hAnsi="Arial" w:cs="Arial"/>
        </w:rPr>
        <w:t>, </w:t>
      </w:r>
      <w:r w:rsidRPr="001B3ED4">
        <w:rPr>
          <w:rFonts w:ascii="Arial" w:hAnsi="Arial" w:cs="Arial"/>
          <w:i/>
          <w:iCs/>
        </w:rPr>
        <w:t>6</w:t>
      </w:r>
      <w:r w:rsidRPr="001B3ED4">
        <w:rPr>
          <w:rFonts w:ascii="Arial" w:hAnsi="Arial" w:cs="Arial"/>
        </w:rPr>
        <w:t xml:space="preserve">(8), p.e013015. </w:t>
      </w:r>
      <w:hyperlink r:id="rId37" w:history="1">
        <w:r w:rsidRPr="001B3ED4">
          <w:rPr>
            <w:rStyle w:val="Hyperlink"/>
            <w:rFonts w:ascii="Arial" w:hAnsi="Arial" w:cs="Arial"/>
          </w:rPr>
          <w:t>https://bmjopen.bmj.com/content/6/8/e013015.short</w:t>
        </w:r>
      </w:hyperlink>
    </w:p>
    <w:p w14:paraId="2421E116" w14:textId="3C5DB87C" w:rsidR="00D533EF" w:rsidRPr="001B3ED4" w:rsidRDefault="00D533EF" w:rsidP="0046084C">
      <w:pPr>
        <w:spacing w:before="240" w:line="360" w:lineRule="auto"/>
        <w:jc w:val="both"/>
        <w:rPr>
          <w:rFonts w:ascii="Arial" w:hAnsi="Arial" w:cs="Arial"/>
        </w:rPr>
      </w:pPr>
      <w:r w:rsidRPr="001B3ED4">
        <w:rPr>
          <w:rFonts w:ascii="Arial" w:hAnsi="Arial" w:cs="Arial"/>
        </w:rPr>
        <w:t xml:space="preserve">Dudeja, N., Khan, T., Varughese, D.T., Abraham, S.G., Ninan, M.M., Prasad, C.L., Sarkar, R. and Kang, G., </w:t>
      </w:r>
      <w:r w:rsidR="00BD2E7B" w:rsidRPr="001B3ED4">
        <w:rPr>
          <w:rFonts w:ascii="Arial" w:hAnsi="Arial" w:cs="Arial"/>
        </w:rPr>
        <w:t>(</w:t>
      </w:r>
      <w:r w:rsidRPr="001B3ED4">
        <w:rPr>
          <w:rFonts w:ascii="Arial" w:hAnsi="Arial" w:cs="Arial"/>
        </w:rPr>
        <w:t>2024</w:t>
      </w:r>
      <w:r w:rsidR="00BD2E7B" w:rsidRPr="001B3ED4">
        <w:rPr>
          <w:rFonts w:ascii="Arial" w:hAnsi="Arial" w:cs="Arial"/>
        </w:rPr>
        <w:t>)</w:t>
      </w:r>
      <w:r w:rsidRPr="001B3ED4">
        <w:rPr>
          <w:rFonts w:ascii="Arial" w:hAnsi="Arial" w:cs="Arial"/>
        </w:rPr>
        <w:t>. Technologies for strengthening immunization coverage in India: a systematic review. </w:t>
      </w:r>
      <w:r w:rsidRPr="001B3ED4">
        <w:rPr>
          <w:rFonts w:ascii="Arial" w:hAnsi="Arial" w:cs="Arial"/>
          <w:i/>
          <w:iCs/>
        </w:rPr>
        <w:t>The Lancet Regional Health-Southeast Asia</w:t>
      </w:r>
      <w:r w:rsidRPr="001B3ED4">
        <w:rPr>
          <w:rFonts w:ascii="Arial" w:hAnsi="Arial" w:cs="Arial"/>
        </w:rPr>
        <w:t>, </w:t>
      </w:r>
      <w:r w:rsidRPr="001B3ED4">
        <w:rPr>
          <w:rFonts w:ascii="Arial" w:hAnsi="Arial" w:cs="Arial"/>
          <w:i/>
          <w:iCs/>
        </w:rPr>
        <w:t>23</w:t>
      </w:r>
      <w:r w:rsidRPr="001B3ED4">
        <w:rPr>
          <w:rFonts w:ascii="Arial" w:hAnsi="Arial" w:cs="Arial"/>
        </w:rPr>
        <w:t xml:space="preserve">. </w:t>
      </w:r>
      <w:hyperlink r:id="rId38" w:history="1">
        <w:r w:rsidRPr="001B3ED4">
          <w:rPr>
            <w:rStyle w:val="Hyperlink"/>
            <w:rFonts w:ascii="Arial" w:hAnsi="Arial" w:cs="Arial"/>
          </w:rPr>
          <w:t>https://www.thelancet.com/journals/lansea/article/PIIS2772-3682(23)00111-7/fulltext</w:t>
        </w:r>
      </w:hyperlink>
    </w:p>
    <w:p w14:paraId="20E9CA16" w14:textId="7C7859DC" w:rsidR="00717B0F" w:rsidRPr="001B3ED4" w:rsidRDefault="00717B0F" w:rsidP="0046084C">
      <w:pPr>
        <w:spacing w:before="240" w:line="360" w:lineRule="auto"/>
        <w:jc w:val="both"/>
        <w:rPr>
          <w:rFonts w:ascii="Arial" w:hAnsi="Arial" w:cs="Arial"/>
        </w:rPr>
      </w:pPr>
      <w:r w:rsidRPr="001B3ED4">
        <w:rPr>
          <w:rFonts w:ascii="Arial" w:hAnsi="Arial" w:cs="Arial"/>
        </w:rPr>
        <w:t xml:space="preserve">Dutta, T., Agley, J., Meyerson, B.E., Barnes, P.A., Sherwood-Laughlin, C. and Nicholson-Crotty, J.,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Perceived enablers and barriers of community engagement for vaccination in India: Using socioecological analysis. </w:t>
      </w:r>
      <w:proofErr w:type="spellStart"/>
      <w:r w:rsidRPr="001B3ED4">
        <w:rPr>
          <w:rFonts w:ascii="Arial" w:hAnsi="Arial" w:cs="Arial"/>
          <w:i/>
          <w:iCs/>
        </w:rPr>
        <w:t>Plos</w:t>
      </w:r>
      <w:proofErr w:type="spellEnd"/>
      <w:r w:rsidRPr="001B3ED4">
        <w:rPr>
          <w:rFonts w:ascii="Arial" w:hAnsi="Arial" w:cs="Arial"/>
          <w:i/>
          <w:iCs/>
        </w:rPr>
        <w:t xml:space="preserve"> one</w:t>
      </w:r>
      <w:r w:rsidRPr="001B3ED4">
        <w:rPr>
          <w:rFonts w:ascii="Arial" w:hAnsi="Arial" w:cs="Arial"/>
        </w:rPr>
        <w:t>, </w:t>
      </w:r>
      <w:r w:rsidRPr="001B3ED4">
        <w:rPr>
          <w:rFonts w:ascii="Arial" w:hAnsi="Arial" w:cs="Arial"/>
          <w:i/>
          <w:iCs/>
        </w:rPr>
        <w:t>16</w:t>
      </w:r>
      <w:r w:rsidRPr="001B3ED4">
        <w:rPr>
          <w:rFonts w:ascii="Arial" w:hAnsi="Arial" w:cs="Arial"/>
        </w:rPr>
        <w:t xml:space="preserve">(6), p.e0253318. </w:t>
      </w:r>
      <w:hyperlink r:id="rId39" w:history="1">
        <w:r w:rsidRPr="001B3ED4">
          <w:rPr>
            <w:rStyle w:val="Hyperlink"/>
            <w:rFonts w:ascii="Arial" w:hAnsi="Arial" w:cs="Arial"/>
          </w:rPr>
          <w:t>https://journals.plos.org/plosone/article?id=10.1371/journal.pone.0253318</w:t>
        </w:r>
      </w:hyperlink>
    </w:p>
    <w:p w14:paraId="1E8ECFFA" w14:textId="490113C9" w:rsidR="00FD417E" w:rsidRPr="001B3ED4" w:rsidRDefault="00FD417E" w:rsidP="0046084C">
      <w:pPr>
        <w:spacing w:before="240" w:line="360" w:lineRule="auto"/>
        <w:jc w:val="both"/>
        <w:rPr>
          <w:rFonts w:ascii="Arial" w:hAnsi="Arial" w:cs="Arial"/>
        </w:rPr>
      </w:pPr>
      <w:r w:rsidRPr="001B3ED4">
        <w:rPr>
          <w:rFonts w:ascii="Arial" w:hAnsi="Arial" w:cs="Arial"/>
        </w:rPr>
        <w:t xml:space="preserve">Fatima, S., Kumari, A., Das, G. and Dwivedi, V.P., </w:t>
      </w:r>
      <w:r w:rsidR="00BD2E7B" w:rsidRPr="001B3ED4">
        <w:rPr>
          <w:rFonts w:ascii="Arial" w:hAnsi="Arial" w:cs="Arial"/>
        </w:rPr>
        <w:t>(</w:t>
      </w:r>
      <w:r w:rsidRPr="001B3ED4">
        <w:rPr>
          <w:rFonts w:ascii="Arial" w:hAnsi="Arial" w:cs="Arial"/>
        </w:rPr>
        <w:t>2020</w:t>
      </w:r>
      <w:r w:rsidR="00BD2E7B" w:rsidRPr="001B3ED4">
        <w:rPr>
          <w:rFonts w:ascii="Arial" w:hAnsi="Arial" w:cs="Arial"/>
        </w:rPr>
        <w:t>)</w:t>
      </w:r>
      <w:r w:rsidRPr="001B3ED4">
        <w:rPr>
          <w:rFonts w:ascii="Arial" w:hAnsi="Arial" w:cs="Arial"/>
        </w:rPr>
        <w:t xml:space="preserve">. Tuberculosis vaccine: A journey from BCG to present. Life sciences, 252, p.117594. </w:t>
      </w:r>
      <w:hyperlink r:id="rId40" w:history="1">
        <w:r w:rsidRPr="001B3ED4">
          <w:rPr>
            <w:rStyle w:val="Hyperlink"/>
            <w:rFonts w:ascii="Arial" w:hAnsi="Arial" w:cs="Arial"/>
          </w:rPr>
          <w:t>https://www.sciencedirect.com/science/article/pii/S0024320520303428</w:t>
        </w:r>
      </w:hyperlink>
    </w:p>
    <w:p w14:paraId="07A1B976" w14:textId="272DD57D" w:rsidR="003F75FD" w:rsidRPr="001B3ED4" w:rsidRDefault="00BE2641" w:rsidP="003F75FD">
      <w:pPr>
        <w:spacing w:before="240" w:line="360" w:lineRule="auto"/>
        <w:jc w:val="both"/>
        <w:rPr>
          <w:rFonts w:ascii="Arial" w:hAnsi="Arial" w:cs="Arial"/>
        </w:rPr>
      </w:pPr>
      <w:r w:rsidRPr="001B3ED4">
        <w:rPr>
          <w:rFonts w:ascii="Arial" w:hAnsi="Arial" w:cs="Arial"/>
        </w:rPr>
        <w:t xml:space="preserve">Fleming, J. and </w:t>
      </w:r>
      <w:proofErr w:type="spellStart"/>
      <w:r w:rsidRPr="001B3ED4">
        <w:rPr>
          <w:rFonts w:ascii="Arial" w:hAnsi="Arial" w:cs="Arial"/>
        </w:rPr>
        <w:t>Zegwaard</w:t>
      </w:r>
      <w:proofErr w:type="spellEnd"/>
      <w:r w:rsidRPr="001B3ED4">
        <w:rPr>
          <w:rFonts w:ascii="Arial" w:hAnsi="Arial" w:cs="Arial"/>
        </w:rPr>
        <w:t xml:space="preserve">, K.E. (2018) </w:t>
      </w:r>
      <w:r w:rsidRPr="001B3ED4">
        <w:rPr>
          <w:rFonts w:ascii="Arial" w:hAnsi="Arial" w:cs="Arial"/>
          <w:i/>
          <w:iCs/>
        </w:rPr>
        <w:t>Methodologies, methods and ethical considerations for conducting research in work-integrated learning</w:t>
      </w:r>
      <w:r w:rsidRPr="001B3ED4">
        <w:rPr>
          <w:rFonts w:ascii="Arial" w:hAnsi="Arial" w:cs="Arial"/>
        </w:rPr>
        <w:t>. International Journal of Work-Integrated Learning, 19(3), pp. 205–213</w:t>
      </w:r>
      <w:r w:rsidR="003F75FD" w:rsidRPr="001B3ED4">
        <w:rPr>
          <w:rFonts w:ascii="Arial" w:hAnsi="Arial" w:cs="Arial"/>
        </w:rPr>
        <w:t xml:space="preserve">. </w:t>
      </w:r>
      <w:hyperlink r:id="rId41" w:history="1">
        <w:r w:rsidR="003F75FD" w:rsidRPr="001B3ED4">
          <w:rPr>
            <w:rStyle w:val="Hyperlink"/>
            <w:rFonts w:ascii="Arial" w:hAnsi="Arial" w:cs="Arial"/>
          </w:rPr>
          <w:t>https://eric.ed.gov/?id=EJ1196755</w:t>
        </w:r>
      </w:hyperlink>
    </w:p>
    <w:p w14:paraId="3351A90A" w14:textId="24986B2C" w:rsidR="00253AFE" w:rsidRPr="001B3ED4" w:rsidRDefault="00253AFE" w:rsidP="0046084C">
      <w:pPr>
        <w:spacing w:before="240" w:line="360" w:lineRule="auto"/>
        <w:jc w:val="both"/>
        <w:rPr>
          <w:rFonts w:ascii="Arial" w:hAnsi="Arial" w:cs="Arial"/>
        </w:rPr>
      </w:pPr>
      <w:r w:rsidRPr="001B3ED4">
        <w:rPr>
          <w:rFonts w:ascii="Arial" w:hAnsi="Arial" w:cs="Arial"/>
        </w:rPr>
        <w:lastRenderedPageBreak/>
        <w:t xml:space="preserve">Francis, M.R., Nuorti, J.P., Lumme-Sandt, K., </w:t>
      </w:r>
      <w:proofErr w:type="spellStart"/>
      <w:r w:rsidRPr="001B3ED4">
        <w:rPr>
          <w:rFonts w:ascii="Arial" w:hAnsi="Arial" w:cs="Arial"/>
        </w:rPr>
        <w:t>Kompithra</w:t>
      </w:r>
      <w:proofErr w:type="spellEnd"/>
      <w:r w:rsidRPr="001B3ED4">
        <w:rPr>
          <w:rFonts w:ascii="Arial" w:hAnsi="Arial" w:cs="Arial"/>
        </w:rPr>
        <w:t xml:space="preserve">, R.Z., Balraj, V., Kang, G. and Mohan, V.R.,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Vaccination coverage and the factors influencing routine childhood vaccination uptake among communities experiencing disadvantage in Vellore, southern India: a mixed-methods study. </w:t>
      </w:r>
      <w:r w:rsidRPr="001B3ED4">
        <w:rPr>
          <w:rFonts w:ascii="Arial" w:hAnsi="Arial" w:cs="Arial"/>
          <w:i/>
          <w:iCs/>
        </w:rPr>
        <w:t>BMC Public Health</w:t>
      </w:r>
      <w:r w:rsidRPr="001B3ED4">
        <w:rPr>
          <w:rFonts w:ascii="Arial" w:hAnsi="Arial" w:cs="Arial"/>
        </w:rPr>
        <w:t>, </w:t>
      </w:r>
      <w:r w:rsidRPr="001B3ED4">
        <w:rPr>
          <w:rFonts w:ascii="Arial" w:hAnsi="Arial" w:cs="Arial"/>
          <w:i/>
          <w:iCs/>
        </w:rPr>
        <w:t>21</w:t>
      </w:r>
      <w:r w:rsidRPr="001B3ED4">
        <w:rPr>
          <w:rFonts w:ascii="Arial" w:hAnsi="Arial" w:cs="Arial"/>
        </w:rPr>
        <w:t xml:space="preserve">(1), p.1807. </w:t>
      </w:r>
      <w:hyperlink r:id="rId42" w:history="1">
        <w:r w:rsidRPr="001B3ED4">
          <w:rPr>
            <w:rStyle w:val="Hyperlink"/>
            <w:rFonts w:ascii="Arial" w:hAnsi="Arial" w:cs="Arial"/>
          </w:rPr>
          <w:t>https://link.springer.com/article/10.1186/s12889-021-11881-8</w:t>
        </w:r>
      </w:hyperlink>
    </w:p>
    <w:p w14:paraId="1D355C04" w14:textId="6A90ED20" w:rsidR="007147E2" w:rsidRPr="001B3ED4" w:rsidRDefault="007147E2" w:rsidP="0046084C">
      <w:pPr>
        <w:spacing w:before="240" w:line="360" w:lineRule="auto"/>
        <w:jc w:val="both"/>
        <w:rPr>
          <w:rFonts w:ascii="Arial" w:hAnsi="Arial" w:cs="Arial"/>
        </w:rPr>
      </w:pPr>
      <w:proofErr w:type="spellStart"/>
      <w:r w:rsidRPr="001B3ED4">
        <w:rPr>
          <w:rFonts w:ascii="Arial" w:hAnsi="Arial" w:cs="Arial"/>
        </w:rPr>
        <w:t>Glaziou</w:t>
      </w:r>
      <w:proofErr w:type="spellEnd"/>
      <w:r w:rsidRPr="001B3ED4">
        <w:rPr>
          <w:rFonts w:ascii="Arial" w:hAnsi="Arial" w:cs="Arial"/>
        </w:rPr>
        <w:t xml:space="preserve">, P., Floyd, K. and Raviglione, M.C., </w:t>
      </w:r>
      <w:r w:rsidR="00BD2E7B" w:rsidRPr="001B3ED4">
        <w:rPr>
          <w:rFonts w:ascii="Arial" w:hAnsi="Arial" w:cs="Arial"/>
        </w:rPr>
        <w:t>(</w:t>
      </w:r>
      <w:r w:rsidRPr="001B3ED4">
        <w:rPr>
          <w:rFonts w:ascii="Arial" w:hAnsi="Arial" w:cs="Arial"/>
        </w:rPr>
        <w:t>2018</w:t>
      </w:r>
      <w:r w:rsidR="00BD2E7B" w:rsidRPr="001B3ED4">
        <w:rPr>
          <w:rFonts w:ascii="Arial" w:hAnsi="Arial" w:cs="Arial"/>
        </w:rPr>
        <w:t>)</w:t>
      </w:r>
      <w:r w:rsidRPr="001B3ED4">
        <w:rPr>
          <w:rFonts w:ascii="Arial" w:hAnsi="Arial" w:cs="Arial"/>
        </w:rPr>
        <w:t>, June. Global epidemiology of tuberculosis. In </w:t>
      </w:r>
      <w:r w:rsidRPr="001B3ED4">
        <w:rPr>
          <w:rFonts w:ascii="Arial" w:hAnsi="Arial" w:cs="Arial"/>
          <w:i/>
          <w:iCs/>
        </w:rPr>
        <w:t>Seminars in respiratory and critical care medicine</w:t>
      </w:r>
      <w:r w:rsidRPr="001B3ED4">
        <w:rPr>
          <w:rFonts w:ascii="Arial" w:hAnsi="Arial" w:cs="Arial"/>
        </w:rPr>
        <w:t xml:space="preserve"> (Vol. 39, No. 03, pp. 271-285). Thieme Medical Publishers. </w:t>
      </w:r>
      <w:hyperlink r:id="rId43" w:history="1">
        <w:r w:rsidRPr="001B3ED4">
          <w:rPr>
            <w:rStyle w:val="Hyperlink"/>
            <w:rFonts w:ascii="Arial" w:hAnsi="Arial" w:cs="Arial"/>
          </w:rPr>
          <w:t>https://www.thieme-connect.com/products/ejournals/html/10.1055/s-0038-1651492</w:t>
        </w:r>
      </w:hyperlink>
    </w:p>
    <w:p w14:paraId="5DE81921" w14:textId="787A37F6" w:rsidR="00DD5ADC" w:rsidRPr="001B3ED4" w:rsidRDefault="00DD5ADC" w:rsidP="00DD5ADC">
      <w:pPr>
        <w:spacing w:line="360" w:lineRule="auto"/>
        <w:jc w:val="both"/>
        <w:rPr>
          <w:rFonts w:ascii="Arial" w:hAnsi="Arial" w:cs="Arial"/>
        </w:rPr>
      </w:pPr>
      <w:r w:rsidRPr="001B3ED4">
        <w:rPr>
          <w:rFonts w:ascii="Arial" w:hAnsi="Arial" w:cs="Arial"/>
        </w:rPr>
        <w:t xml:space="preserve">Hassan, Y.S.A., Ali, A.S., Abdirahim Omar, M. and Ahmed, M.M., </w:t>
      </w:r>
      <w:r w:rsidR="00066F06" w:rsidRPr="001B3ED4">
        <w:rPr>
          <w:rFonts w:ascii="Arial" w:hAnsi="Arial" w:cs="Arial"/>
        </w:rPr>
        <w:t>(</w:t>
      </w:r>
      <w:r w:rsidRPr="001B3ED4">
        <w:rPr>
          <w:rFonts w:ascii="Arial" w:hAnsi="Arial" w:cs="Arial"/>
        </w:rPr>
        <w:t>2025</w:t>
      </w:r>
      <w:r w:rsidR="00066F06" w:rsidRPr="001B3ED4">
        <w:rPr>
          <w:rFonts w:ascii="Arial" w:hAnsi="Arial" w:cs="Arial"/>
        </w:rPr>
        <w:t>)</w:t>
      </w:r>
      <w:r w:rsidRPr="001B3ED4">
        <w:rPr>
          <w:rFonts w:ascii="Arial" w:hAnsi="Arial" w:cs="Arial"/>
        </w:rPr>
        <w:t>. BCG Vaccination Coverage and Determinants Among Children in Somalia: A Nationwide Survey Study. </w:t>
      </w:r>
      <w:r w:rsidRPr="001B3ED4">
        <w:rPr>
          <w:rFonts w:ascii="Arial" w:hAnsi="Arial" w:cs="Arial"/>
          <w:i/>
          <w:iCs/>
        </w:rPr>
        <w:t xml:space="preserve">Sage Open </w:t>
      </w:r>
      <w:proofErr w:type="spellStart"/>
      <w:r w:rsidRPr="001B3ED4">
        <w:rPr>
          <w:rFonts w:ascii="Arial" w:hAnsi="Arial" w:cs="Arial"/>
          <w:i/>
          <w:iCs/>
        </w:rPr>
        <w:t>Pediatrics</w:t>
      </w:r>
      <w:proofErr w:type="spellEnd"/>
      <w:r w:rsidRPr="001B3ED4">
        <w:rPr>
          <w:rFonts w:ascii="Arial" w:hAnsi="Arial" w:cs="Arial"/>
        </w:rPr>
        <w:t>, </w:t>
      </w:r>
      <w:r w:rsidRPr="001B3ED4">
        <w:rPr>
          <w:rFonts w:ascii="Arial" w:hAnsi="Arial" w:cs="Arial"/>
          <w:i/>
          <w:iCs/>
        </w:rPr>
        <w:t>12</w:t>
      </w:r>
      <w:r w:rsidRPr="001B3ED4">
        <w:rPr>
          <w:rFonts w:ascii="Arial" w:hAnsi="Arial" w:cs="Arial"/>
        </w:rPr>
        <w:t xml:space="preserve">, p.30502225251388151. </w:t>
      </w:r>
      <w:hyperlink r:id="rId44" w:history="1">
        <w:r w:rsidRPr="001B3ED4">
          <w:rPr>
            <w:rStyle w:val="Hyperlink"/>
            <w:rFonts w:ascii="Arial" w:hAnsi="Arial" w:cs="Arial"/>
          </w:rPr>
          <w:t>https://journals.sagepub.com/doi/abs/10.1177/30502225251388151</w:t>
        </w:r>
      </w:hyperlink>
    </w:p>
    <w:p w14:paraId="4A4259CB" w14:textId="77777777" w:rsidR="003F75FD" w:rsidRPr="001B3ED4" w:rsidRDefault="003F75FD" w:rsidP="003F75FD">
      <w:pPr>
        <w:spacing w:before="240" w:line="360" w:lineRule="auto"/>
        <w:jc w:val="both"/>
        <w:rPr>
          <w:rFonts w:ascii="Arial" w:hAnsi="Arial" w:cs="Arial"/>
        </w:rPr>
      </w:pPr>
      <w:r w:rsidRPr="001B3ED4">
        <w:rPr>
          <w:rFonts w:ascii="Arial" w:hAnsi="Arial" w:cs="Arial"/>
        </w:rPr>
        <w:t>Haile, Z.T., (2022). Critical appraisal tools and reporting guidelines. </w:t>
      </w:r>
      <w:r w:rsidRPr="001B3ED4">
        <w:rPr>
          <w:rFonts w:ascii="Arial" w:hAnsi="Arial" w:cs="Arial"/>
          <w:i/>
          <w:iCs/>
        </w:rPr>
        <w:t>Journal of Human Lactation</w:t>
      </w:r>
      <w:r w:rsidRPr="001B3ED4">
        <w:rPr>
          <w:rFonts w:ascii="Arial" w:hAnsi="Arial" w:cs="Arial"/>
        </w:rPr>
        <w:t>, </w:t>
      </w:r>
      <w:r w:rsidRPr="001B3ED4">
        <w:rPr>
          <w:rFonts w:ascii="Arial" w:hAnsi="Arial" w:cs="Arial"/>
          <w:i/>
          <w:iCs/>
        </w:rPr>
        <w:t>38</w:t>
      </w:r>
      <w:r w:rsidRPr="001B3ED4">
        <w:rPr>
          <w:rFonts w:ascii="Arial" w:hAnsi="Arial" w:cs="Arial"/>
        </w:rPr>
        <w:t xml:space="preserve">(1), pp.21-27. </w:t>
      </w:r>
      <w:hyperlink r:id="rId45" w:history="1">
        <w:r w:rsidRPr="001B3ED4">
          <w:rPr>
            <w:rStyle w:val="Hyperlink"/>
            <w:rFonts w:ascii="Arial" w:hAnsi="Arial" w:cs="Arial"/>
          </w:rPr>
          <w:t>https://journals.sagepub.com/doi/abs/10.1177/08903344211058374</w:t>
        </w:r>
      </w:hyperlink>
    </w:p>
    <w:p w14:paraId="6E7B9C75" w14:textId="77777777" w:rsidR="003F75FD" w:rsidRPr="001B3ED4" w:rsidRDefault="003F75FD" w:rsidP="003F75FD">
      <w:pPr>
        <w:spacing w:before="240" w:line="360" w:lineRule="auto"/>
        <w:jc w:val="both"/>
        <w:rPr>
          <w:rFonts w:ascii="Arial" w:hAnsi="Arial" w:cs="Arial"/>
        </w:rPr>
      </w:pPr>
      <w:r w:rsidRPr="001B3ED4">
        <w:rPr>
          <w:rFonts w:ascii="Arial" w:hAnsi="Arial" w:cs="Arial"/>
        </w:rPr>
        <w:t>Hilton, M., (2024). Product: JBI Critical appraisal checklist for systematic reviews and research syntheses. </w:t>
      </w:r>
      <w:r w:rsidRPr="001B3ED4">
        <w:rPr>
          <w:rFonts w:ascii="Arial" w:hAnsi="Arial" w:cs="Arial"/>
          <w:i/>
          <w:iCs/>
        </w:rPr>
        <w:t>Journal of the Canadian Health Libraries Association (JCHLA)</w:t>
      </w:r>
      <w:r w:rsidRPr="001B3ED4">
        <w:rPr>
          <w:rFonts w:ascii="Arial" w:hAnsi="Arial" w:cs="Arial"/>
        </w:rPr>
        <w:t>, </w:t>
      </w:r>
      <w:r w:rsidRPr="001B3ED4">
        <w:rPr>
          <w:rFonts w:ascii="Arial" w:hAnsi="Arial" w:cs="Arial"/>
          <w:i/>
          <w:iCs/>
        </w:rPr>
        <w:t>45</w:t>
      </w:r>
      <w:r w:rsidRPr="001B3ED4">
        <w:rPr>
          <w:rFonts w:ascii="Arial" w:hAnsi="Arial" w:cs="Arial"/>
        </w:rPr>
        <w:t xml:space="preserve">(3). </w:t>
      </w:r>
      <w:hyperlink r:id="rId46" w:history="1">
        <w:r w:rsidRPr="001B3ED4">
          <w:rPr>
            <w:rStyle w:val="Hyperlink"/>
            <w:rFonts w:ascii="Arial" w:hAnsi="Arial" w:cs="Arial"/>
          </w:rPr>
          <w:t>https://search.ebscohost.com/login.aspx?direct=true&amp;profile=ehost&amp;scope=site&amp;authtype=crawler&amp;jrnl=17086892&amp;asa=N&amp;AN=181687377&amp;h=qTN5mR8e4aMpcNz3JkGTvVE0377ZyOq2OX1NxIcNccQjEkYTSMQX%2F%2FdeKBBtex0i3Tkoz4ZgHM6mJDjBtwrWwg%3D%3D&amp;crl=c</w:t>
        </w:r>
      </w:hyperlink>
    </w:p>
    <w:p w14:paraId="172E1AEF" w14:textId="77777777" w:rsidR="003F75FD" w:rsidRPr="001B3ED4" w:rsidRDefault="003F75FD" w:rsidP="003F75FD">
      <w:pPr>
        <w:spacing w:before="240" w:line="360" w:lineRule="auto"/>
        <w:jc w:val="both"/>
      </w:pPr>
      <w:r w:rsidRPr="001B3ED4">
        <w:rPr>
          <w:rFonts w:ascii="Arial" w:hAnsi="Arial" w:cs="Arial"/>
        </w:rPr>
        <w:t xml:space="preserve">Hutton, B., Wolfe, D., Moher, D. and </w:t>
      </w:r>
      <w:proofErr w:type="spellStart"/>
      <w:r w:rsidRPr="001B3ED4">
        <w:rPr>
          <w:rFonts w:ascii="Arial" w:hAnsi="Arial" w:cs="Arial"/>
        </w:rPr>
        <w:t>Shamseer</w:t>
      </w:r>
      <w:proofErr w:type="spellEnd"/>
      <w:r w:rsidRPr="001B3ED4">
        <w:rPr>
          <w:rFonts w:ascii="Arial" w:hAnsi="Arial" w:cs="Arial"/>
        </w:rPr>
        <w:t>, L., (2017). Reporting guidance considerations from a statistical perspective: overview of tools to enhance the rigour of reporting of randomised trials and systematic reviews. </w:t>
      </w:r>
      <w:r w:rsidRPr="001B3ED4">
        <w:rPr>
          <w:rFonts w:ascii="Arial" w:hAnsi="Arial" w:cs="Arial"/>
          <w:i/>
          <w:iCs/>
        </w:rPr>
        <w:t>BMJ Ment Health</w:t>
      </w:r>
      <w:r w:rsidRPr="001B3ED4">
        <w:rPr>
          <w:rFonts w:ascii="Arial" w:hAnsi="Arial" w:cs="Arial"/>
        </w:rPr>
        <w:t>, </w:t>
      </w:r>
      <w:r w:rsidRPr="001B3ED4">
        <w:rPr>
          <w:rFonts w:ascii="Arial" w:hAnsi="Arial" w:cs="Arial"/>
          <w:i/>
          <w:iCs/>
        </w:rPr>
        <w:t>20</w:t>
      </w:r>
      <w:r w:rsidRPr="001B3ED4">
        <w:rPr>
          <w:rFonts w:ascii="Arial" w:hAnsi="Arial" w:cs="Arial"/>
        </w:rPr>
        <w:t xml:space="preserve">(2), pp.46-52. </w:t>
      </w:r>
      <w:hyperlink r:id="rId47" w:history="1">
        <w:r w:rsidRPr="001B3ED4">
          <w:rPr>
            <w:rStyle w:val="Hyperlink"/>
            <w:rFonts w:ascii="Arial" w:hAnsi="Arial" w:cs="Arial"/>
          </w:rPr>
          <w:t>https://mentalhealth.bmj.com/content/20/2/46.abstract</w:t>
        </w:r>
      </w:hyperlink>
    </w:p>
    <w:p w14:paraId="1B627389" w14:textId="105DA3A7" w:rsidR="006A30F2" w:rsidRPr="001B3ED4" w:rsidRDefault="006A30F2" w:rsidP="0046084C">
      <w:pPr>
        <w:spacing w:before="240" w:line="360" w:lineRule="auto"/>
        <w:jc w:val="both"/>
        <w:rPr>
          <w:rFonts w:ascii="Arial" w:hAnsi="Arial" w:cs="Arial"/>
        </w:rPr>
      </w:pPr>
      <w:r w:rsidRPr="001B3ED4">
        <w:rPr>
          <w:rFonts w:ascii="Arial" w:hAnsi="Arial" w:cs="Arial"/>
        </w:rPr>
        <w:t xml:space="preserve">Harris, R.C., Sumner, T., Knight, G.M., Zhang, H. and White, R.G., </w:t>
      </w:r>
      <w:r w:rsidR="00BD2E7B" w:rsidRPr="001B3ED4">
        <w:rPr>
          <w:rFonts w:ascii="Arial" w:hAnsi="Arial" w:cs="Arial"/>
        </w:rPr>
        <w:t>(</w:t>
      </w:r>
      <w:r w:rsidRPr="001B3ED4">
        <w:rPr>
          <w:rFonts w:ascii="Arial" w:hAnsi="Arial" w:cs="Arial"/>
        </w:rPr>
        <w:t>2020</w:t>
      </w:r>
      <w:r w:rsidR="00BD2E7B" w:rsidRPr="001B3ED4">
        <w:rPr>
          <w:rFonts w:ascii="Arial" w:hAnsi="Arial" w:cs="Arial"/>
        </w:rPr>
        <w:t>)</w:t>
      </w:r>
      <w:r w:rsidRPr="001B3ED4">
        <w:rPr>
          <w:rFonts w:ascii="Arial" w:hAnsi="Arial" w:cs="Arial"/>
        </w:rPr>
        <w:t>. Potential impact of tuberculosis vaccines in China, South Africa, and India. </w:t>
      </w:r>
      <w:r w:rsidRPr="001B3ED4">
        <w:rPr>
          <w:rFonts w:ascii="Arial" w:hAnsi="Arial" w:cs="Arial"/>
          <w:i/>
          <w:iCs/>
        </w:rPr>
        <w:t xml:space="preserve">Science </w:t>
      </w:r>
      <w:r w:rsidRPr="001B3ED4">
        <w:rPr>
          <w:rFonts w:ascii="Arial" w:hAnsi="Arial" w:cs="Arial"/>
          <w:i/>
          <w:iCs/>
        </w:rPr>
        <w:lastRenderedPageBreak/>
        <w:t>Translational Medicine</w:t>
      </w:r>
      <w:r w:rsidRPr="001B3ED4">
        <w:rPr>
          <w:rFonts w:ascii="Arial" w:hAnsi="Arial" w:cs="Arial"/>
        </w:rPr>
        <w:t>, </w:t>
      </w:r>
      <w:r w:rsidRPr="001B3ED4">
        <w:rPr>
          <w:rFonts w:ascii="Arial" w:hAnsi="Arial" w:cs="Arial"/>
          <w:i/>
          <w:iCs/>
        </w:rPr>
        <w:t>12</w:t>
      </w:r>
      <w:r w:rsidRPr="001B3ED4">
        <w:rPr>
          <w:rFonts w:ascii="Arial" w:hAnsi="Arial" w:cs="Arial"/>
        </w:rPr>
        <w:t xml:space="preserve">(564), </w:t>
      </w:r>
      <w:proofErr w:type="gramStart"/>
      <w:r w:rsidRPr="001B3ED4">
        <w:rPr>
          <w:rFonts w:ascii="Arial" w:hAnsi="Arial" w:cs="Arial"/>
        </w:rPr>
        <w:t>p.eaax</w:t>
      </w:r>
      <w:proofErr w:type="gramEnd"/>
      <w:r w:rsidRPr="001B3ED4">
        <w:rPr>
          <w:rFonts w:ascii="Arial" w:hAnsi="Arial" w:cs="Arial"/>
        </w:rPr>
        <w:t xml:space="preserve">4607. </w:t>
      </w:r>
      <w:hyperlink r:id="rId48" w:history="1">
        <w:r w:rsidRPr="001B3ED4">
          <w:rPr>
            <w:rStyle w:val="Hyperlink"/>
            <w:rFonts w:ascii="Arial" w:hAnsi="Arial" w:cs="Arial"/>
          </w:rPr>
          <w:t>https://www.science.org/doi/abs/10.1126/scitranslmed.aax4607</w:t>
        </w:r>
      </w:hyperlink>
    </w:p>
    <w:p w14:paraId="56A7712C" w14:textId="113EEC33" w:rsidR="0091359B" w:rsidRPr="001B3ED4" w:rsidRDefault="0091359B" w:rsidP="0046084C">
      <w:pPr>
        <w:spacing w:before="240" w:line="360" w:lineRule="auto"/>
        <w:jc w:val="both"/>
        <w:rPr>
          <w:rFonts w:ascii="Arial" w:hAnsi="Arial" w:cs="Arial"/>
        </w:rPr>
      </w:pPr>
      <w:r w:rsidRPr="001B3ED4">
        <w:rPr>
          <w:rFonts w:ascii="Arial" w:hAnsi="Arial" w:cs="Arial"/>
        </w:rPr>
        <w:t xml:space="preserve">Hatherill, M. and Cobelens, F., </w:t>
      </w:r>
      <w:r w:rsidR="00BD2E7B" w:rsidRPr="001B3ED4">
        <w:rPr>
          <w:rFonts w:ascii="Arial" w:hAnsi="Arial" w:cs="Arial"/>
        </w:rPr>
        <w:t>(</w:t>
      </w:r>
      <w:r w:rsidRPr="001B3ED4">
        <w:rPr>
          <w:rFonts w:ascii="Arial" w:hAnsi="Arial" w:cs="Arial"/>
        </w:rPr>
        <w:t>2022</w:t>
      </w:r>
      <w:r w:rsidR="00BD2E7B" w:rsidRPr="001B3ED4">
        <w:rPr>
          <w:rFonts w:ascii="Arial" w:hAnsi="Arial" w:cs="Arial"/>
        </w:rPr>
        <w:t>)</w:t>
      </w:r>
      <w:r w:rsidRPr="001B3ED4">
        <w:rPr>
          <w:rFonts w:ascii="Arial" w:hAnsi="Arial" w:cs="Arial"/>
        </w:rPr>
        <w:t>. Infant BCG vaccination is beneficial, but not sufficient. </w:t>
      </w:r>
      <w:r w:rsidRPr="001B3ED4">
        <w:rPr>
          <w:rFonts w:ascii="Arial" w:hAnsi="Arial" w:cs="Arial"/>
          <w:i/>
          <w:iCs/>
        </w:rPr>
        <w:t>The Lancet Global Health</w:t>
      </w:r>
      <w:r w:rsidRPr="001B3ED4">
        <w:rPr>
          <w:rFonts w:ascii="Arial" w:hAnsi="Arial" w:cs="Arial"/>
        </w:rPr>
        <w:t>, </w:t>
      </w:r>
      <w:r w:rsidRPr="001B3ED4">
        <w:rPr>
          <w:rFonts w:ascii="Arial" w:hAnsi="Arial" w:cs="Arial"/>
          <w:i/>
          <w:iCs/>
        </w:rPr>
        <w:t>10</w:t>
      </w:r>
      <w:r w:rsidRPr="001B3ED4">
        <w:rPr>
          <w:rFonts w:ascii="Arial" w:hAnsi="Arial" w:cs="Arial"/>
        </w:rPr>
        <w:t xml:space="preserve">(9), </w:t>
      </w:r>
      <w:proofErr w:type="gramStart"/>
      <w:r w:rsidRPr="001B3ED4">
        <w:rPr>
          <w:rFonts w:ascii="Arial" w:hAnsi="Arial" w:cs="Arial"/>
        </w:rPr>
        <w:t>pp.e</w:t>
      </w:r>
      <w:proofErr w:type="gramEnd"/>
      <w:r w:rsidRPr="001B3ED4">
        <w:rPr>
          <w:rFonts w:ascii="Arial" w:hAnsi="Arial" w:cs="Arial"/>
        </w:rPr>
        <w:t xml:space="preserve">1220-e1221. </w:t>
      </w:r>
      <w:hyperlink r:id="rId49" w:history="1">
        <w:r w:rsidRPr="001B3ED4">
          <w:rPr>
            <w:rStyle w:val="Hyperlink"/>
            <w:rFonts w:ascii="Arial" w:hAnsi="Arial" w:cs="Arial"/>
          </w:rPr>
          <w:t>https://www.thelancet.com/journals/langlo/article/PIIS2214-109X(22)00325-4/fulltext</w:t>
        </w:r>
      </w:hyperlink>
    </w:p>
    <w:p w14:paraId="447C5C77" w14:textId="1DDFE0A2" w:rsidR="000C0736" w:rsidRPr="001B3ED4" w:rsidRDefault="000C0736" w:rsidP="0046084C">
      <w:pPr>
        <w:spacing w:before="240" w:line="360" w:lineRule="auto"/>
        <w:jc w:val="both"/>
        <w:rPr>
          <w:rFonts w:ascii="Arial" w:hAnsi="Arial" w:cs="Arial"/>
        </w:rPr>
      </w:pPr>
      <w:r w:rsidRPr="001B3ED4">
        <w:rPr>
          <w:rFonts w:ascii="Arial" w:hAnsi="Arial" w:cs="Arial"/>
        </w:rPr>
        <w:t xml:space="preserve">Hatherill, M., Scriba, T.J., </w:t>
      </w:r>
      <w:proofErr w:type="spellStart"/>
      <w:r w:rsidRPr="001B3ED4">
        <w:rPr>
          <w:rFonts w:ascii="Arial" w:hAnsi="Arial" w:cs="Arial"/>
        </w:rPr>
        <w:t>Udwadia</w:t>
      </w:r>
      <w:proofErr w:type="spellEnd"/>
      <w:r w:rsidRPr="001B3ED4">
        <w:rPr>
          <w:rFonts w:ascii="Arial" w:hAnsi="Arial" w:cs="Arial"/>
        </w:rPr>
        <w:t xml:space="preserve">, Z.F., </w:t>
      </w:r>
      <w:proofErr w:type="spellStart"/>
      <w:r w:rsidRPr="001B3ED4">
        <w:rPr>
          <w:rFonts w:ascii="Arial" w:hAnsi="Arial" w:cs="Arial"/>
        </w:rPr>
        <w:t>Mullerpattan</w:t>
      </w:r>
      <w:proofErr w:type="spellEnd"/>
      <w:r w:rsidRPr="001B3ED4">
        <w:rPr>
          <w:rFonts w:ascii="Arial" w:hAnsi="Arial" w:cs="Arial"/>
        </w:rPr>
        <w:t xml:space="preserve">, J.B., Hawkridge, A., Mahomed, H. and Dye, C., </w:t>
      </w:r>
      <w:r w:rsidR="00066F06" w:rsidRPr="001B3ED4">
        <w:rPr>
          <w:rFonts w:ascii="Arial" w:hAnsi="Arial" w:cs="Arial"/>
        </w:rPr>
        <w:t>(</w:t>
      </w:r>
      <w:r w:rsidRPr="001B3ED4">
        <w:rPr>
          <w:rFonts w:ascii="Arial" w:hAnsi="Arial" w:cs="Arial"/>
        </w:rPr>
        <w:t>2016</w:t>
      </w:r>
      <w:r w:rsidR="00066F06" w:rsidRPr="001B3ED4">
        <w:rPr>
          <w:rFonts w:ascii="Arial" w:hAnsi="Arial" w:cs="Arial"/>
        </w:rPr>
        <w:t>)</w:t>
      </w:r>
      <w:r w:rsidRPr="001B3ED4">
        <w:rPr>
          <w:rFonts w:ascii="Arial" w:hAnsi="Arial" w:cs="Arial"/>
        </w:rPr>
        <w:t>. BCG and new preventive tuberculosis vaccines: implications for healthcare workers. </w:t>
      </w:r>
      <w:r w:rsidRPr="001B3ED4">
        <w:rPr>
          <w:rFonts w:ascii="Arial" w:hAnsi="Arial" w:cs="Arial"/>
          <w:i/>
          <w:iCs/>
        </w:rPr>
        <w:t>Clinical Infectious Diseases</w:t>
      </w:r>
      <w:r w:rsidRPr="001B3ED4">
        <w:rPr>
          <w:rFonts w:ascii="Arial" w:hAnsi="Arial" w:cs="Arial"/>
        </w:rPr>
        <w:t>, </w:t>
      </w:r>
      <w:r w:rsidRPr="001B3ED4">
        <w:rPr>
          <w:rFonts w:ascii="Arial" w:hAnsi="Arial" w:cs="Arial"/>
          <w:i/>
          <w:iCs/>
        </w:rPr>
        <w:t>62</w:t>
      </w:r>
      <w:r w:rsidRPr="001B3ED4">
        <w:rPr>
          <w:rFonts w:ascii="Arial" w:hAnsi="Arial" w:cs="Arial"/>
        </w:rPr>
        <w:t xml:space="preserve">(suppl_3), </w:t>
      </w:r>
      <w:proofErr w:type="gramStart"/>
      <w:r w:rsidRPr="001B3ED4">
        <w:rPr>
          <w:rFonts w:ascii="Arial" w:hAnsi="Arial" w:cs="Arial"/>
        </w:rPr>
        <w:t>pp.S</w:t>
      </w:r>
      <w:proofErr w:type="gramEnd"/>
      <w:r w:rsidRPr="001B3ED4">
        <w:rPr>
          <w:rFonts w:ascii="Arial" w:hAnsi="Arial" w:cs="Arial"/>
        </w:rPr>
        <w:t xml:space="preserve">262-S267. </w:t>
      </w:r>
      <w:hyperlink r:id="rId50" w:history="1">
        <w:r w:rsidRPr="001B3ED4">
          <w:rPr>
            <w:rStyle w:val="Hyperlink"/>
            <w:rFonts w:ascii="Arial" w:hAnsi="Arial" w:cs="Arial"/>
          </w:rPr>
          <w:t>https://academic.oup.com/cid/article-abstract/62/suppl_3/S262/2566592</w:t>
        </w:r>
      </w:hyperlink>
    </w:p>
    <w:p w14:paraId="715E4CB0" w14:textId="0ABE602D" w:rsidR="00B57C90" w:rsidRPr="001B3ED4" w:rsidRDefault="00B57C90" w:rsidP="0046084C">
      <w:pPr>
        <w:spacing w:before="240" w:line="360" w:lineRule="auto"/>
        <w:jc w:val="both"/>
        <w:rPr>
          <w:rFonts w:ascii="Arial" w:hAnsi="Arial" w:cs="Arial"/>
        </w:rPr>
      </w:pPr>
      <w:r w:rsidRPr="001B3ED4">
        <w:rPr>
          <w:rFonts w:ascii="Arial" w:hAnsi="Arial" w:cs="Arial"/>
        </w:rPr>
        <w:t xml:space="preserve">Higgins, J.P., Soares-Weiser, K., López-López, J.A., </w:t>
      </w:r>
      <w:proofErr w:type="spellStart"/>
      <w:r w:rsidRPr="001B3ED4">
        <w:rPr>
          <w:rFonts w:ascii="Arial" w:hAnsi="Arial" w:cs="Arial"/>
        </w:rPr>
        <w:t>Kakourou</w:t>
      </w:r>
      <w:proofErr w:type="spellEnd"/>
      <w:r w:rsidRPr="001B3ED4">
        <w:rPr>
          <w:rFonts w:ascii="Arial" w:hAnsi="Arial" w:cs="Arial"/>
        </w:rPr>
        <w:t xml:space="preserve">, A., Chaplin, K., Christensen, H., Martin, N.K., Sterne, J.A. and Reingold, A.L., </w:t>
      </w:r>
      <w:r w:rsidR="00BD2E7B" w:rsidRPr="001B3ED4">
        <w:rPr>
          <w:rFonts w:ascii="Arial" w:hAnsi="Arial" w:cs="Arial"/>
        </w:rPr>
        <w:t>(</w:t>
      </w:r>
      <w:r w:rsidRPr="001B3ED4">
        <w:rPr>
          <w:rFonts w:ascii="Arial" w:hAnsi="Arial" w:cs="Arial"/>
        </w:rPr>
        <w:t>2016</w:t>
      </w:r>
      <w:r w:rsidR="00BD2E7B" w:rsidRPr="001B3ED4">
        <w:rPr>
          <w:rFonts w:ascii="Arial" w:hAnsi="Arial" w:cs="Arial"/>
        </w:rPr>
        <w:t>)</w:t>
      </w:r>
      <w:r w:rsidRPr="001B3ED4">
        <w:rPr>
          <w:rFonts w:ascii="Arial" w:hAnsi="Arial" w:cs="Arial"/>
        </w:rPr>
        <w:t>. Association of BCG, DTP, and measles containing vaccines with childhood mortality: systematic review. </w:t>
      </w:r>
      <w:proofErr w:type="spellStart"/>
      <w:r w:rsidRPr="001B3ED4">
        <w:rPr>
          <w:rFonts w:ascii="Arial" w:hAnsi="Arial" w:cs="Arial"/>
          <w:i/>
          <w:iCs/>
        </w:rPr>
        <w:t>bmj</w:t>
      </w:r>
      <w:proofErr w:type="spellEnd"/>
      <w:r w:rsidRPr="001B3ED4">
        <w:rPr>
          <w:rFonts w:ascii="Arial" w:hAnsi="Arial" w:cs="Arial"/>
        </w:rPr>
        <w:t>, </w:t>
      </w:r>
      <w:r w:rsidRPr="001B3ED4">
        <w:rPr>
          <w:rFonts w:ascii="Arial" w:hAnsi="Arial" w:cs="Arial"/>
          <w:i/>
          <w:iCs/>
        </w:rPr>
        <w:t>355</w:t>
      </w:r>
      <w:r w:rsidRPr="001B3ED4">
        <w:rPr>
          <w:rFonts w:ascii="Arial" w:hAnsi="Arial" w:cs="Arial"/>
        </w:rPr>
        <w:t xml:space="preserve">. </w:t>
      </w:r>
      <w:hyperlink r:id="rId51" w:history="1">
        <w:r w:rsidRPr="001B3ED4">
          <w:rPr>
            <w:rStyle w:val="Hyperlink"/>
            <w:rFonts w:ascii="Arial" w:hAnsi="Arial" w:cs="Arial"/>
          </w:rPr>
          <w:t>https://www.bmj.com/content/355/bmj.i5170.short</w:t>
        </w:r>
      </w:hyperlink>
    </w:p>
    <w:p w14:paraId="557DA5F7"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Ikram, M. and </w:t>
      </w:r>
      <w:proofErr w:type="spellStart"/>
      <w:r w:rsidRPr="001B3ED4">
        <w:rPr>
          <w:rFonts w:ascii="Arial" w:hAnsi="Arial" w:cs="Arial"/>
        </w:rPr>
        <w:t>Kenayathulla</w:t>
      </w:r>
      <w:proofErr w:type="spellEnd"/>
      <w:r w:rsidRPr="001B3ED4">
        <w:rPr>
          <w:rFonts w:ascii="Arial" w:hAnsi="Arial" w:cs="Arial"/>
        </w:rPr>
        <w:t xml:space="preserve">, H.B., (2022). Out of touch: </w:t>
      </w:r>
      <w:proofErr w:type="gramStart"/>
      <w:r w:rsidRPr="001B3ED4">
        <w:rPr>
          <w:rFonts w:ascii="Arial" w:hAnsi="Arial" w:cs="Arial"/>
        </w:rPr>
        <w:t>comparing and contrasting</w:t>
      </w:r>
      <w:proofErr w:type="gramEnd"/>
      <w:r w:rsidRPr="001B3ED4">
        <w:rPr>
          <w:rFonts w:ascii="Arial" w:hAnsi="Arial" w:cs="Arial"/>
        </w:rPr>
        <w:t xml:space="preserve"> positivism and interpretivism in social science. </w:t>
      </w:r>
      <w:r w:rsidRPr="001B3ED4">
        <w:rPr>
          <w:rFonts w:ascii="Arial" w:hAnsi="Arial" w:cs="Arial"/>
          <w:i/>
          <w:iCs/>
        </w:rPr>
        <w:t>Asian Journal of Research in Education and Social Sciences</w:t>
      </w:r>
      <w:r w:rsidRPr="001B3ED4">
        <w:rPr>
          <w:rFonts w:ascii="Arial" w:hAnsi="Arial" w:cs="Arial"/>
        </w:rPr>
        <w:t>, </w:t>
      </w:r>
      <w:r w:rsidRPr="001B3ED4">
        <w:rPr>
          <w:rFonts w:ascii="Arial" w:hAnsi="Arial" w:cs="Arial"/>
          <w:i/>
          <w:iCs/>
        </w:rPr>
        <w:t>4</w:t>
      </w:r>
      <w:r w:rsidRPr="001B3ED4">
        <w:rPr>
          <w:rFonts w:ascii="Arial" w:hAnsi="Arial" w:cs="Arial"/>
        </w:rPr>
        <w:t xml:space="preserve">(2), pp.39-49. </w:t>
      </w:r>
      <w:hyperlink r:id="rId52" w:history="1">
        <w:r w:rsidRPr="001B3ED4">
          <w:rPr>
            <w:rStyle w:val="Hyperlink"/>
            <w:rFonts w:ascii="Arial" w:hAnsi="Arial" w:cs="Arial"/>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p>
    <w:p w14:paraId="3FD5C47E" w14:textId="5132C10A" w:rsidR="000C0736" w:rsidRPr="001B3ED4" w:rsidRDefault="000C0736" w:rsidP="003F75FD">
      <w:pPr>
        <w:spacing w:before="240" w:line="360" w:lineRule="auto"/>
        <w:jc w:val="both"/>
        <w:rPr>
          <w:rFonts w:ascii="Arial" w:hAnsi="Arial" w:cs="Arial"/>
        </w:rPr>
      </w:pPr>
      <w:r w:rsidRPr="001B3ED4">
        <w:rPr>
          <w:rFonts w:ascii="Arial" w:hAnsi="Arial" w:cs="Arial"/>
        </w:rPr>
        <w:t xml:space="preserve">Jain, R.B., Kumar, A., Sharma, E. and Goel, P.K., </w:t>
      </w:r>
      <w:r w:rsidR="00066F06" w:rsidRPr="001B3ED4">
        <w:rPr>
          <w:rFonts w:ascii="Arial" w:hAnsi="Arial" w:cs="Arial"/>
        </w:rPr>
        <w:t>(</w:t>
      </w:r>
      <w:r w:rsidRPr="001B3ED4">
        <w:rPr>
          <w:rFonts w:ascii="Arial" w:hAnsi="Arial" w:cs="Arial"/>
        </w:rPr>
        <w:t>2020</w:t>
      </w:r>
      <w:r w:rsidR="00066F06" w:rsidRPr="001B3ED4">
        <w:rPr>
          <w:rFonts w:ascii="Arial" w:hAnsi="Arial" w:cs="Arial"/>
        </w:rPr>
        <w:t>)</w:t>
      </w:r>
      <w:r w:rsidRPr="001B3ED4">
        <w:rPr>
          <w:rFonts w:ascii="Arial" w:hAnsi="Arial" w:cs="Arial"/>
        </w:rPr>
        <w:t xml:space="preserve">. Barriers to childhood vaccination as perceived by accredited social health activists and multipurpose health workers in Mewat, Haryana (India): </w:t>
      </w:r>
      <w:proofErr w:type="gramStart"/>
      <w:r w:rsidRPr="001B3ED4">
        <w:rPr>
          <w:rFonts w:ascii="Arial" w:hAnsi="Arial" w:cs="Arial"/>
        </w:rPr>
        <w:t>A qualitative research</w:t>
      </w:r>
      <w:proofErr w:type="gramEnd"/>
      <w:r w:rsidRPr="001B3ED4">
        <w:rPr>
          <w:rFonts w:ascii="Arial" w:hAnsi="Arial" w:cs="Arial"/>
        </w:rPr>
        <w:t>. </w:t>
      </w:r>
      <w:r w:rsidRPr="001B3ED4">
        <w:rPr>
          <w:rFonts w:ascii="Arial" w:hAnsi="Arial" w:cs="Arial"/>
          <w:i/>
          <w:iCs/>
        </w:rPr>
        <w:t>Journal of Family Medicine and Primary Care</w:t>
      </w:r>
      <w:r w:rsidRPr="001B3ED4">
        <w:rPr>
          <w:rFonts w:ascii="Arial" w:hAnsi="Arial" w:cs="Arial"/>
        </w:rPr>
        <w:t>, </w:t>
      </w:r>
      <w:r w:rsidRPr="001B3ED4">
        <w:rPr>
          <w:rFonts w:ascii="Arial" w:hAnsi="Arial" w:cs="Arial"/>
          <w:i/>
          <w:iCs/>
        </w:rPr>
        <w:t>9</w:t>
      </w:r>
      <w:r w:rsidRPr="001B3ED4">
        <w:rPr>
          <w:rFonts w:ascii="Arial" w:hAnsi="Arial" w:cs="Arial"/>
        </w:rPr>
        <w:t xml:space="preserve">(8), pp.4134-4138. </w:t>
      </w:r>
      <w:hyperlink r:id="rId53" w:history="1">
        <w:r w:rsidRPr="001B3ED4">
          <w:rPr>
            <w:rStyle w:val="Hyperlink"/>
            <w:rFonts w:ascii="Arial" w:hAnsi="Arial" w:cs="Arial"/>
          </w:rPr>
          <w:t>https://journals.lww.com/jfmpc/fulltext/2020/09080/Barriers_to_childhood_vaccination_as_perceived_by.53.aspx</w:t>
        </w:r>
      </w:hyperlink>
    </w:p>
    <w:p w14:paraId="5054DE74" w14:textId="2E870E38" w:rsidR="003F75FD" w:rsidRPr="001B3ED4" w:rsidRDefault="003F75FD" w:rsidP="003F75FD">
      <w:pPr>
        <w:spacing w:before="240" w:line="360" w:lineRule="auto"/>
        <w:jc w:val="both"/>
        <w:rPr>
          <w:rFonts w:ascii="Arial" w:hAnsi="Arial" w:cs="Arial"/>
        </w:rPr>
      </w:pPr>
      <w:r w:rsidRPr="001B3ED4">
        <w:rPr>
          <w:rFonts w:ascii="Arial" w:hAnsi="Arial" w:cs="Arial"/>
        </w:rPr>
        <w:t>Jones, K., Chisnall, G., Crocker-</w:t>
      </w:r>
      <w:proofErr w:type="spellStart"/>
      <w:r w:rsidRPr="001B3ED4">
        <w:rPr>
          <w:rFonts w:ascii="Arial" w:hAnsi="Arial" w:cs="Arial"/>
        </w:rPr>
        <w:t>Buque</w:t>
      </w:r>
      <w:proofErr w:type="spellEnd"/>
      <w:r w:rsidRPr="001B3ED4">
        <w:rPr>
          <w:rFonts w:ascii="Arial" w:hAnsi="Arial" w:cs="Arial"/>
        </w:rPr>
        <w:t>, T., Elliman, D., Horwood, J., Mounier-Jack, S., Campbell, C.N., Saliba, V. and Chantler, T., (2024). A new neonatal BCG vaccination pathway in England: a mixed methods evaluation of its implementation. </w:t>
      </w:r>
      <w:r w:rsidRPr="001B3ED4">
        <w:rPr>
          <w:rFonts w:ascii="Arial" w:hAnsi="Arial" w:cs="Arial"/>
          <w:i/>
          <w:iCs/>
        </w:rPr>
        <w:t>BMC Public Health</w:t>
      </w:r>
      <w:r w:rsidRPr="001B3ED4">
        <w:rPr>
          <w:rFonts w:ascii="Arial" w:hAnsi="Arial" w:cs="Arial"/>
        </w:rPr>
        <w:t>, </w:t>
      </w:r>
      <w:r w:rsidRPr="001B3ED4">
        <w:rPr>
          <w:rFonts w:ascii="Arial" w:hAnsi="Arial" w:cs="Arial"/>
          <w:i/>
          <w:iCs/>
        </w:rPr>
        <w:t>24</w:t>
      </w:r>
      <w:r w:rsidRPr="001B3ED4">
        <w:rPr>
          <w:rFonts w:ascii="Arial" w:hAnsi="Arial" w:cs="Arial"/>
        </w:rPr>
        <w:t xml:space="preserve">(1), p.1175. </w:t>
      </w:r>
      <w:hyperlink r:id="rId54" w:history="1">
        <w:r w:rsidRPr="001B3ED4">
          <w:rPr>
            <w:rStyle w:val="Hyperlink"/>
            <w:rFonts w:ascii="Arial" w:hAnsi="Arial" w:cs="Arial"/>
          </w:rPr>
          <w:t>https://link.springer.com/article/10.1186/s12889-024-18586-8</w:t>
        </w:r>
      </w:hyperlink>
    </w:p>
    <w:p w14:paraId="0C33DF8B" w14:textId="0A0A0B59" w:rsidR="009C3E8B" w:rsidRPr="001B3ED4" w:rsidRDefault="009C3E8B" w:rsidP="0046084C">
      <w:pPr>
        <w:spacing w:before="240" w:line="360" w:lineRule="auto"/>
        <w:jc w:val="both"/>
        <w:rPr>
          <w:rFonts w:ascii="Arial" w:hAnsi="Arial" w:cs="Arial"/>
        </w:rPr>
      </w:pPr>
      <w:proofErr w:type="spellStart"/>
      <w:r w:rsidRPr="001B3ED4">
        <w:rPr>
          <w:rFonts w:ascii="Arial" w:hAnsi="Arial" w:cs="Arial"/>
        </w:rPr>
        <w:lastRenderedPageBreak/>
        <w:t>Katelaris</w:t>
      </w:r>
      <w:proofErr w:type="spellEnd"/>
      <w:r w:rsidRPr="001B3ED4">
        <w:rPr>
          <w:rFonts w:ascii="Arial" w:hAnsi="Arial" w:cs="Arial"/>
        </w:rPr>
        <w:t xml:space="preserve">, A.L., Jackson, C., Southern, J., Gupta, R.K., </w:t>
      </w:r>
      <w:proofErr w:type="spellStart"/>
      <w:r w:rsidRPr="001B3ED4">
        <w:rPr>
          <w:rFonts w:ascii="Arial" w:hAnsi="Arial" w:cs="Arial"/>
        </w:rPr>
        <w:t>Drobniewski</w:t>
      </w:r>
      <w:proofErr w:type="spellEnd"/>
      <w:r w:rsidRPr="001B3ED4">
        <w:rPr>
          <w:rFonts w:ascii="Arial" w:hAnsi="Arial" w:cs="Arial"/>
        </w:rPr>
        <w:t xml:space="preserve">, F., Lalvani, A., Lipman, M., Mangtani, P. and Abubakar, I., </w:t>
      </w:r>
      <w:r w:rsidR="00BD2E7B" w:rsidRPr="001B3ED4">
        <w:rPr>
          <w:rFonts w:ascii="Arial" w:hAnsi="Arial" w:cs="Arial"/>
        </w:rPr>
        <w:t>(</w:t>
      </w:r>
      <w:r w:rsidRPr="001B3ED4">
        <w:rPr>
          <w:rFonts w:ascii="Arial" w:hAnsi="Arial" w:cs="Arial"/>
        </w:rPr>
        <w:t>2020</w:t>
      </w:r>
      <w:r w:rsidR="00BD2E7B" w:rsidRPr="001B3ED4">
        <w:rPr>
          <w:rFonts w:ascii="Arial" w:hAnsi="Arial" w:cs="Arial"/>
        </w:rPr>
        <w:t>)</w:t>
      </w:r>
      <w:r w:rsidRPr="001B3ED4">
        <w:rPr>
          <w:rFonts w:ascii="Arial" w:hAnsi="Arial" w:cs="Arial"/>
        </w:rPr>
        <w:t>. Effectiveness of BCG vaccination against Mycobacterium tuberculosis infection in adults: a cross-sectional analysis of a UK-based cohort. </w:t>
      </w:r>
      <w:r w:rsidRPr="001B3ED4">
        <w:rPr>
          <w:rFonts w:ascii="Arial" w:hAnsi="Arial" w:cs="Arial"/>
          <w:i/>
          <w:iCs/>
        </w:rPr>
        <w:t>The Journal of Infectious Diseases</w:t>
      </w:r>
      <w:r w:rsidRPr="001B3ED4">
        <w:rPr>
          <w:rFonts w:ascii="Arial" w:hAnsi="Arial" w:cs="Arial"/>
        </w:rPr>
        <w:t>, </w:t>
      </w:r>
      <w:r w:rsidRPr="001B3ED4">
        <w:rPr>
          <w:rFonts w:ascii="Arial" w:hAnsi="Arial" w:cs="Arial"/>
          <w:i/>
          <w:iCs/>
        </w:rPr>
        <w:t>221</w:t>
      </w:r>
      <w:r w:rsidRPr="001B3ED4">
        <w:rPr>
          <w:rFonts w:ascii="Arial" w:hAnsi="Arial" w:cs="Arial"/>
        </w:rPr>
        <w:t xml:space="preserve">(1), pp.146-155. </w:t>
      </w:r>
      <w:hyperlink r:id="rId55" w:history="1">
        <w:r w:rsidRPr="001B3ED4">
          <w:rPr>
            <w:rStyle w:val="Hyperlink"/>
            <w:rFonts w:ascii="Arial" w:hAnsi="Arial" w:cs="Arial"/>
          </w:rPr>
          <w:t>https://academic.oup.com/jid/article-abstract/221/1/146/5556484</w:t>
        </w:r>
      </w:hyperlink>
    </w:p>
    <w:p w14:paraId="5E8B1210" w14:textId="51D080AE" w:rsidR="00196C3A" w:rsidRPr="001B3ED4" w:rsidRDefault="00196C3A" w:rsidP="0046084C">
      <w:pPr>
        <w:spacing w:before="240" w:line="360" w:lineRule="auto"/>
        <w:jc w:val="both"/>
        <w:rPr>
          <w:rFonts w:ascii="Arial" w:hAnsi="Arial" w:cs="Arial"/>
        </w:rPr>
      </w:pPr>
      <w:r w:rsidRPr="001B3ED4">
        <w:rPr>
          <w:rFonts w:ascii="Arial" w:hAnsi="Arial" w:cs="Arial"/>
        </w:rPr>
        <w:t xml:space="preserve">Khanna, A., Saha, R. and Ahmad, N., </w:t>
      </w:r>
      <w:r w:rsidR="00BD2E7B" w:rsidRPr="001B3ED4">
        <w:rPr>
          <w:rFonts w:ascii="Arial" w:hAnsi="Arial" w:cs="Arial"/>
        </w:rPr>
        <w:t>(</w:t>
      </w:r>
      <w:r w:rsidRPr="001B3ED4">
        <w:rPr>
          <w:rFonts w:ascii="Arial" w:hAnsi="Arial" w:cs="Arial"/>
        </w:rPr>
        <w:t>2023</w:t>
      </w:r>
      <w:r w:rsidR="00BD2E7B" w:rsidRPr="001B3ED4">
        <w:rPr>
          <w:rFonts w:ascii="Arial" w:hAnsi="Arial" w:cs="Arial"/>
        </w:rPr>
        <w:t>)</w:t>
      </w:r>
      <w:r w:rsidRPr="001B3ED4">
        <w:rPr>
          <w:rFonts w:ascii="Arial" w:hAnsi="Arial" w:cs="Arial"/>
        </w:rPr>
        <w:t>. National TB elimination programme-What has changed. </w:t>
      </w:r>
      <w:r w:rsidRPr="001B3ED4">
        <w:rPr>
          <w:rFonts w:ascii="Arial" w:hAnsi="Arial" w:cs="Arial"/>
          <w:i/>
          <w:iCs/>
        </w:rPr>
        <w:t>Indian Journal of Medical Microbiology</w:t>
      </w:r>
      <w:r w:rsidRPr="001B3ED4">
        <w:rPr>
          <w:rFonts w:ascii="Arial" w:hAnsi="Arial" w:cs="Arial"/>
        </w:rPr>
        <w:t>, </w:t>
      </w:r>
      <w:r w:rsidRPr="001B3ED4">
        <w:rPr>
          <w:rFonts w:ascii="Arial" w:hAnsi="Arial" w:cs="Arial"/>
          <w:i/>
          <w:iCs/>
        </w:rPr>
        <w:t>42</w:t>
      </w:r>
      <w:r w:rsidRPr="001B3ED4">
        <w:rPr>
          <w:rFonts w:ascii="Arial" w:hAnsi="Arial" w:cs="Arial"/>
        </w:rPr>
        <w:t xml:space="preserve">, pp.103-107. </w:t>
      </w:r>
      <w:hyperlink r:id="rId56" w:history="1">
        <w:r w:rsidRPr="001B3ED4">
          <w:rPr>
            <w:rStyle w:val="Hyperlink"/>
            <w:rFonts w:ascii="Arial" w:hAnsi="Arial" w:cs="Arial"/>
          </w:rPr>
          <w:t>https://www.sciencedirect.com/science/article/pii/S0255085722002341</w:t>
        </w:r>
      </w:hyperlink>
    </w:p>
    <w:p w14:paraId="227B36DD" w14:textId="6D69BCCD" w:rsidR="00495ECE" w:rsidRPr="001B3ED4" w:rsidRDefault="00495ECE" w:rsidP="0046084C">
      <w:pPr>
        <w:spacing w:before="240" w:line="360" w:lineRule="auto"/>
        <w:jc w:val="both"/>
        <w:rPr>
          <w:rFonts w:ascii="Arial" w:hAnsi="Arial" w:cs="Arial"/>
        </w:rPr>
      </w:pPr>
      <w:r w:rsidRPr="001B3ED4">
        <w:rPr>
          <w:rFonts w:ascii="Arial" w:hAnsi="Arial" w:cs="Arial"/>
        </w:rPr>
        <w:t xml:space="preserve">Kumar, P.,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A perspective on the success and failure of BCG. </w:t>
      </w:r>
      <w:r w:rsidRPr="001B3ED4">
        <w:rPr>
          <w:rFonts w:ascii="Arial" w:hAnsi="Arial" w:cs="Arial"/>
          <w:i/>
          <w:iCs/>
        </w:rPr>
        <w:t>Frontiers in Immunology</w:t>
      </w:r>
      <w:r w:rsidRPr="001B3ED4">
        <w:rPr>
          <w:rFonts w:ascii="Arial" w:hAnsi="Arial" w:cs="Arial"/>
        </w:rPr>
        <w:t>, </w:t>
      </w:r>
      <w:r w:rsidRPr="001B3ED4">
        <w:rPr>
          <w:rFonts w:ascii="Arial" w:hAnsi="Arial" w:cs="Arial"/>
          <w:i/>
          <w:iCs/>
        </w:rPr>
        <w:t>12</w:t>
      </w:r>
      <w:r w:rsidRPr="001B3ED4">
        <w:rPr>
          <w:rFonts w:ascii="Arial" w:hAnsi="Arial" w:cs="Arial"/>
        </w:rPr>
        <w:t xml:space="preserve">, p.778028. </w:t>
      </w:r>
      <w:hyperlink r:id="rId57" w:history="1">
        <w:r w:rsidRPr="001B3ED4">
          <w:rPr>
            <w:rStyle w:val="Hyperlink"/>
            <w:rFonts w:ascii="Arial" w:hAnsi="Arial" w:cs="Arial"/>
          </w:rPr>
          <w:t>https://www.frontiersin.org/articles/10.3389/fimmu.2021.778028/full</w:t>
        </w:r>
      </w:hyperlink>
    </w:p>
    <w:p w14:paraId="6EA5E260" w14:textId="77777777" w:rsidR="002E018A" w:rsidRPr="001B3ED4" w:rsidRDefault="002E018A" w:rsidP="002E018A">
      <w:pPr>
        <w:spacing w:before="240" w:line="360" w:lineRule="auto"/>
        <w:jc w:val="both"/>
        <w:rPr>
          <w:rFonts w:ascii="Arial" w:hAnsi="Arial" w:cs="Arial"/>
        </w:rPr>
      </w:pPr>
      <w:r w:rsidRPr="001B3ED4">
        <w:rPr>
          <w:rFonts w:ascii="Arial" w:hAnsi="Arial" w:cs="Arial"/>
        </w:rPr>
        <w:t>Kusuma, Y.S., Kaushal, S., Sundari, A.B. and Babu, B.V., (2018). Access to childhood immunisation services and its determinants among recent and settled migrants in Delhi, India. </w:t>
      </w:r>
      <w:r w:rsidRPr="001B3ED4">
        <w:rPr>
          <w:rFonts w:ascii="Arial" w:hAnsi="Arial" w:cs="Arial"/>
          <w:i/>
          <w:iCs/>
        </w:rPr>
        <w:t>Public Health</w:t>
      </w:r>
      <w:r w:rsidRPr="001B3ED4">
        <w:rPr>
          <w:rFonts w:ascii="Arial" w:hAnsi="Arial" w:cs="Arial"/>
        </w:rPr>
        <w:t>, </w:t>
      </w:r>
      <w:r w:rsidRPr="001B3ED4">
        <w:rPr>
          <w:rFonts w:ascii="Arial" w:hAnsi="Arial" w:cs="Arial"/>
          <w:i/>
          <w:iCs/>
        </w:rPr>
        <w:t>158</w:t>
      </w:r>
      <w:r w:rsidRPr="001B3ED4">
        <w:rPr>
          <w:rFonts w:ascii="Arial" w:hAnsi="Arial" w:cs="Arial"/>
        </w:rPr>
        <w:t xml:space="preserve">, pp.135-143.  </w:t>
      </w:r>
      <w:hyperlink r:id="rId58" w:history="1">
        <w:r w:rsidRPr="001B3ED4">
          <w:rPr>
            <w:rStyle w:val="Hyperlink"/>
            <w:rFonts w:ascii="Arial" w:hAnsi="Arial" w:cs="Arial"/>
          </w:rPr>
          <w:t>https://www.sciencedirect.com/science/article/pii/S0033350618300945</w:t>
        </w:r>
      </w:hyperlink>
    </w:p>
    <w:p w14:paraId="6AFBDD36" w14:textId="6CC20A1D" w:rsidR="003F75FD" w:rsidRPr="001B3ED4" w:rsidRDefault="003F75FD" w:rsidP="003F75FD">
      <w:pPr>
        <w:spacing w:before="240" w:line="360" w:lineRule="auto"/>
        <w:jc w:val="both"/>
        <w:rPr>
          <w:rFonts w:ascii="Arial" w:hAnsi="Arial" w:cs="Arial"/>
        </w:rPr>
      </w:pPr>
      <w:r w:rsidRPr="001B3ED4">
        <w:rPr>
          <w:rFonts w:ascii="Arial" w:hAnsi="Arial" w:cs="Arial"/>
        </w:rPr>
        <w:t xml:space="preserve">Lan, H., Yu, X., Wang, Z., Wang, P., Sun, Y., Wang, Z., Su, R., Wang, L., Zhao, J., Hu, Y. and Wu, S., (2023) How about the evidence assessment tools used in education and management systematic </w:t>
      </w:r>
      <w:proofErr w:type="gramStart"/>
      <w:r w:rsidRPr="001B3ED4">
        <w:rPr>
          <w:rFonts w:ascii="Arial" w:hAnsi="Arial" w:cs="Arial"/>
        </w:rPr>
        <w:t>reviews?.</w:t>
      </w:r>
      <w:proofErr w:type="gramEnd"/>
      <w:r w:rsidRPr="001B3ED4">
        <w:rPr>
          <w:rFonts w:ascii="Arial" w:hAnsi="Arial" w:cs="Arial"/>
        </w:rPr>
        <w:t> </w:t>
      </w:r>
      <w:r w:rsidRPr="001B3ED4">
        <w:rPr>
          <w:rFonts w:ascii="Arial" w:hAnsi="Arial" w:cs="Arial"/>
          <w:i/>
          <w:iCs/>
        </w:rPr>
        <w:t>Frontiers in Medicine</w:t>
      </w:r>
      <w:r w:rsidRPr="001B3ED4">
        <w:rPr>
          <w:rFonts w:ascii="Arial" w:hAnsi="Arial" w:cs="Arial"/>
        </w:rPr>
        <w:t>, </w:t>
      </w:r>
      <w:r w:rsidRPr="001B3ED4">
        <w:rPr>
          <w:rFonts w:ascii="Arial" w:hAnsi="Arial" w:cs="Arial"/>
          <w:i/>
          <w:iCs/>
        </w:rPr>
        <w:t>10</w:t>
      </w:r>
      <w:r w:rsidRPr="001B3ED4">
        <w:rPr>
          <w:rFonts w:ascii="Arial" w:hAnsi="Arial" w:cs="Arial"/>
        </w:rPr>
        <w:t xml:space="preserve">, p.1160289. </w:t>
      </w:r>
      <w:hyperlink r:id="rId59" w:history="1">
        <w:r w:rsidRPr="001B3ED4">
          <w:rPr>
            <w:rStyle w:val="Hyperlink"/>
            <w:rFonts w:ascii="Arial" w:hAnsi="Arial" w:cs="Arial"/>
          </w:rPr>
          <w:t>https://www.frontiersin.org/journals/medicine/articles/10.3389/fmed.2023.1160289/full</w:t>
        </w:r>
      </w:hyperlink>
    </w:p>
    <w:p w14:paraId="77D16018" w14:textId="77777777" w:rsidR="00154C19" w:rsidRPr="001B3ED4" w:rsidRDefault="00154C19" w:rsidP="0046084C">
      <w:pPr>
        <w:spacing w:before="240" w:line="360" w:lineRule="auto"/>
        <w:jc w:val="both"/>
        <w:rPr>
          <w:rFonts w:ascii="Arial" w:hAnsi="Arial" w:cs="Arial"/>
        </w:rPr>
      </w:pPr>
      <w:r w:rsidRPr="001B3ED4">
        <w:rPr>
          <w:rFonts w:ascii="Arial" w:hAnsi="Arial" w:cs="Arial"/>
        </w:rPr>
        <w:t xml:space="preserve">Lawrence, A. (2024) Bacillus Calmette–Guérin (BCG) revaccination and protection against tuberculosis: a systematic review. </w:t>
      </w:r>
      <w:r w:rsidRPr="001B3ED4">
        <w:rPr>
          <w:rFonts w:ascii="Arial" w:hAnsi="Arial" w:cs="Arial"/>
          <w:i/>
          <w:iCs/>
        </w:rPr>
        <w:t>Cureus</w:t>
      </w:r>
      <w:r w:rsidRPr="001B3ED4">
        <w:rPr>
          <w:rFonts w:ascii="Arial" w:hAnsi="Arial" w:cs="Arial"/>
        </w:rPr>
        <w:t xml:space="preserve">, 16(3). Available at: </w:t>
      </w:r>
      <w:hyperlink r:id="rId60" w:tgtFrame="_new" w:history="1">
        <w:r w:rsidRPr="001B3ED4">
          <w:rPr>
            <w:rStyle w:val="Hyperlink"/>
            <w:rFonts w:ascii="Arial" w:hAnsi="Arial" w:cs="Arial"/>
          </w:rPr>
          <w:t>https://www.cureus.com/articles/239876-bacillus-calmette-gurin-bcg-revaccination-and-protection-against-tuberculosis-a-systematic-review.pdf</w:t>
        </w:r>
      </w:hyperlink>
    </w:p>
    <w:p w14:paraId="5BB653AE" w14:textId="72490F00" w:rsidR="00C75AEF" w:rsidRPr="001B3ED4" w:rsidRDefault="00C75AEF" w:rsidP="0046084C">
      <w:pPr>
        <w:spacing w:before="240" w:line="360" w:lineRule="auto"/>
        <w:jc w:val="both"/>
        <w:rPr>
          <w:rFonts w:ascii="Arial" w:hAnsi="Arial" w:cs="Arial"/>
        </w:rPr>
      </w:pPr>
      <w:r w:rsidRPr="001B3ED4">
        <w:rPr>
          <w:rFonts w:ascii="Arial" w:hAnsi="Arial" w:cs="Arial"/>
        </w:rPr>
        <w:t xml:space="preserve">Lancione, S., Alvarez, J.V., </w:t>
      </w:r>
      <w:proofErr w:type="spellStart"/>
      <w:r w:rsidRPr="001B3ED4">
        <w:rPr>
          <w:rFonts w:ascii="Arial" w:hAnsi="Arial" w:cs="Arial"/>
        </w:rPr>
        <w:t>Alsdurf</w:t>
      </w:r>
      <w:proofErr w:type="spellEnd"/>
      <w:r w:rsidRPr="001B3ED4">
        <w:rPr>
          <w:rFonts w:ascii="Arial" w:hAnsi="Arial" w:cs="Arial"/>
        </w:rPr>
        <w:t xml:space="preserve">, H., Pai, M. and Zwerling, A.A., </w:t>
      </w:r>
      <w:r w:rsidR="00BD2E7B" w:rsidRPr="001B3ED4">
        <w:rPr>
          <w:rFonts w:ascii="Arial" w:hAnsi="Arial" w:cs="Arial"/>
        </w:rPr>
        <w:t>(</w:t>
      </w:r>
      <w:r w:rsidRPr="001B3ED4">
        <w:rPr>
          <w:rFonts w:ascii="Arial" w:hAnsi="Arial" w:cs="Arial"/>
        </w:rPr>
        <w:t>2022</w:t>
      </w:r>
      <w:r w:rsidR="00BD2E7B" w:rsidRPr="001B3ED4">
        <w:rPr>
          <w:rFonts w:ascii="Arial" w:hAnsi="Arial" w:cs="Arial"/>
        </w:rPr>
        <w:t>)</w:t>
      </w:r>
      <w:r w:rsidRPr="001B3ED4">
        <w:rPr>
          <w:rFonts w:ascii="Arial" w:hAnsi="Arial" w:cs="Arial"/>
        </w:rPr>
        <w:t>. Tracking changes in national BCG vaccination policies and practices using the BCG World Atlas. </w:t>
      </w:r>
      <w:r w:rsidRPr="001B3ED4">
        <w:rPr>
          <w:rFonts w:ascii="Arial" w:hAnsi="Arial" w:cs="Arial"/>
          <w:i/>
          <w:iCs/>
        </w:rPr>
        <w:t>BMJ Global Health</w:t>
      </w:r>
      <w:r w:rsidRPr="001B3ED4">
        <w:rPr>
          <w:rFonts w:ascii="Arial" w:hAnsi="Arial" w:cs="Arial"/>
        </w:rPr>
        <w:t>, </w:t>
      </w:r>
      <w:r w:rsidRPr="001B3ED4">
        <w:rPr>
          <w:rFonts w:ascii="Arial" w:hAnsi="Arial" w:cs="Arial"/>
          <w:i/>
          <w:iCs/>
        </w:rPr>
        <w:t>7</w:t>
      </w:r>
      <w:r w:rsidRPr="001B3ED4">
        <w:rPr>
          <w:rFonts w:ascii="Arial" w:hAnsi="Arial" w:cs="Arial"/>
        </w:rPr>
        <w:t xml:space="preserve">(1), p.e007462. </w:t>
      </w:r>
      <w:hyperlink r:id="rId61" w:history="1">
        <w:r w:rsidRPr="001B3ED4">
          <w:rPr>
            <w:rStyle w:val="Hyperlink"/>
            <w:rFonts w:ascii="Arial" w:hAnsi="Arial" w:cs="Arial"/>
          </w:rPr>
          <w:t>https://gh.bmj.com/content/7/1/e007462.abstract</w:t>
        </w:r>
      </w:hyperlink>
    </w:p>
    <w:p w14:paraId="3E704598" w14:textId="1A9DBC5B" w:rsidR="00335536" w:rsidRPr="001B3ED4" w:rsidRDefault="00335536" w:rsidP="0046084C">
      <w:pPr>
        <w:spacing w:before="240" w:line="360" w:lineRule="auto"/>
        <w:jc w:val="both"/>
        <w:rPr>
          <w:rFonts w:ascii="Arial" w:hAnsi="Arial" w:cs="Arial"/>
        </w:rPr>
      </w:pPr>
      <w:r w:rsidRPr="001B3ED4">
        <w:rPr>
          <w:rFonts w:ascii="Arial" w:hAnsi="Arial" w:cs="Arial"/>
        </w:rPr>
        <w:lastRenderedPageBreak/>
        <w:t xml:space="preserve">Li, J., Lu, J., Wang, G., Zhao, A. and Xu, M., </w:t>
      </w:r>
      <w:r w:rsidR="00BD2E7B" w:rsidRPr="001B3ED4">
        <w:rPr>
          <w:rFonts w:ascii="Arial" w:hAnsi="Arial" w:cs="Arial"/>
        </w:rPr>
        <w:t>(</w:t>
      </w:r>
      <w:r w:rsidRPr="001B3ED4">
        <w:rPr>
          <w:rFonts w:ascii="Arial" w:hAnsi="Arial" w:cs="Arial"/>
        </w:rPr>
        <w:t>2022</w:t>
      </w:r>
      <w:r w:rsidR="00BD2E7B" w:rsidRPr="001B3ED4">
        <w:rPr>
          <w:rFonts w:ascii="Arial" w:hAnsi="Arial" w:cs="Arial"/>
        </w:rPr>
        <w:t>)</w:t>
      </w:r>
      <w:r w:rsidRPr="001B3ED4">
        <w:rPr>
          <w:rFonts w:ascii="Arial" w:hAnsi="Arial" w:cs="Arial"/>
        </w:rPr>
        <w:t>. Past, present and future of Bacillus Calmette-Guérin vaccine use in China. </w:t>
      </w:r>
      <w:r w:rsidRPr="001B3ED4">
        <w:rPr>
          <w:rFonts w:ascii="Arial" w:hAnsi="Arial" w:cs="Arial"/>
          <w:i/>
          <w:iCs/>
        </w:rPr>
        <w:t>Vaccines</w:t>
      </w:r>
      <w:r w:rsidRPr="001B3ED4">
        <w:rPr>
          <w:rFonts w:ascii="Arial" w:hAnsi="Arial" w:cs="Arial"/>
        </w:rPr>
        <w:t>, </w:t>
      </w:r>
      <w:r w:rsidRPr="001B3ED4">
        <w:rPr>
          <w:rFonts w:ascii="Arial" w:hAnsi="Arial" w:cs="Arial"/>
          <w:i/>
          <w:iCs/>
        </w:rPr>
        <w:t>10</w:t>
      </w:r>
      <w:r w:rsidRPr="001B3ED4">
        <w:rPr>
          <w:rFonts w:ascii="Arial" w:hAnsi="Arial" w:cs="Arial"/>
        </w:rPr>
        <w:t xml:space="preserve">(7), p.1157. </w:t>
      </w:r>
      <w:hyperlink r:id="rId62" w:history="1">
        <w:r w:rsidRPr="001B3ED4">
          <w:rPr>
            <w:rStyle w:val="Hyperlink"/>
            <w:rFonts w:ascii="Arial" w:hAnsi="Arial" w:cs="Arial"/>
          </w:rPr>
          <w:t>https://www.mdpi.com/2076-393X/10/7/1157</w:t>
        </w:r>
      </w:hyperlink>
    </w:p>
    <w:p w14:paraId="71E8DC19" w14:textId="77777777" w:rsidR="003F75FD" w:rsidRPr="001B3ED4" w:rsidRDefault="003F75FD" w:rsidP="003F75FD">
      <w:pPr>
        <w:spacing w:before="240" w:line="360" w:lineRule="auto"/>
        <w:jc w:val="both"/>
        <w:rPr>
          <w:rFonts w:ascii="Arial" w:hAnsi="Arial" w:cs="Arial"/>
        </w:rPr>
      </w:pPr>
      <w:proofErr w:type="spellStart"/>
      <w:r w:rsidRPr="001B3ED4">
        <w:rPr>
          <w:rFonts w:ascii="Arial" w:hAnsi="Arial" w:cs="Arial"/>
        </w:rPr>
        <w:t>MacLure</w:t>
      </w:r>
      <w:proofErr w:type="spellEnd"/>
      <w:r w:rsidRPr="001B3ED4">
        <w:rPr>
          <w:rFonts w:ascii="Arial" w:hAnsi="Arial" w:cs="Arial"/>
        </w:rPr>
        <w:t xml:space="preserve">, K., Paudyal, V. and Stewart, D., (2016). Reviewing the literature, how systematic is </w:t>
      </w:r>
      <w:proofErr w:type="gramStart"/>
      <w:r w:rsidRPr="001B3ED4">
        <w:rPr>
          <w:rFonts w:ascii="Arial" w:hAnsi="Arial" w:cs="Arial"/>
        </w:rPr>
        <w:t>systematic?.</w:t>
      </w:r>
      <w:proofErr w:type="gramEnd"/>
      <w:r w:rsidRPr="001B3ED4">
        <w:rPr>
          <w:rFonts w:ascii="Arial" w:hAnsi="Arial" w:cs="Arial"/>
        </w:rPr>
        <w:t> </w:t>
      </w:r>
      <w:r w:rsidRPr="001B3ED4">
        <w:rPr>
          <w:rFonts w:ascii="Arial" w:hAnsi="Arial" w:cs="Arial"/>
          <w:i/>
          <w:iCs/>
        </w:rPr>
        <w:t>International journal of clinical pharmacy</w:t>
      </w:r>
      <w:r w:rsidRPr="001B3ED4">
        <w:rPr>
          <w:rFonts w:ascii="Arial" w:hAnsi="Arial" w:cs="Arial"/>
        </w:rPr>
        <w:t>, </w:t>
      </w:r>
      <w:r w:rsidRPr="001B3ED4">
        <w:rPr>
          <w:rFonts w:ascii="Arial" w:hAnsi="Arial" w:cs="Arial"/>
          <w:i/>
          <w:iCs/>
        </w:rPr>
        <w:t>38</w:t>
      </w:r>
      <w:r w:rsidRPr="001B3ED4">
        <w:rPr>
          <w:rFonts w:ascii="Arial" w:hAnsi="Arial" w:cs="Arial"/>
        </w:rPr>
        <w:t xml:space="preserve">(3), pp.685-694. </w:t>
      </w:r>
      <w:hyperlink r:id="rId63" w:history="1">
        <w:r w:rsidRPr="001B3ED4">
          <w:rPr>
            <w:rStyle w:val="Hyperlink"/>
            <w:rFonts w:ascii="Arial" w:hAnsi="Arial" w:cs="Arial"/>
          </w:rPr>
          <w:t>https://link.springer.com/article/10.1007/s11096-016-0288-3</w:t>
        </w:r>
      </w:hyperlink>
    </w:p>
    <w:p w14:paraId="7A7C6A83" w14:textId="3A9FA842" w:rsidR="00FB2514" w:rsidRPr="001B3ED4" w:rsidRDefault="00FB2514" w:rsidP="00FB2514">
      <w:pPr>
        <w:spacing w:line="360" w:lineRule="auto"/>
        <w:jc w:val="both"/>
        <w:rPr>
          <w:rFonts w:ascii="Arial" w:hAnsi="Arial" w:cs="Arial"/>
        </w:rPr>
      </w:pPr>
      <w:r w:rsidRPr="001B3ED4">
        <w:rPr>
          <w:rFonts w:ascii="Arial" w:hAnsi="Arial" w:cs="Arial"/>
        </w:rPr>
        <w:t xml:space="preserve">Mark Vrabel, M.L.S., </w:t>
      </w:r>
      <w:r w:rsidR="00066F06" w:rsidRPr="001B3ED4">
        <w:rPr>
          <w:rFonts w:ascii="Arial" w:hAnsi="Arial" w:cs="Arial"/>
        </w:rPr>
        <w:t>(</w:t>
      </w:r>
      <w:r w:rsidRPr="001B3ED4">
        <w:rPr>
          <w:rFonts w:ascii="Arial" w:hAnsi="Arial" w:cs="Arial"/>
        </w:rPr>
        <w:t>2015</w:t>
      </w:r>
      <w:r w:rsidR="00066F06" w:rsidRPr="001B3ED4">
        <w:rPr>
          <w:rFonts w:ascii="Arial" w:hAnsi="Arial" w:cs="Arial"/>
        </w:rPr>
        <w:t>)</w:t>
      </w:r>
      <w:r w:rsidRPr="001B3ED4">
        <w:rPr>
          <w:rFonts w:ascii="Arial" w:hAnsi="Arial" w:cs="Arial"/>
        </w:rPr>
        <w:t>, September. Preferred reporting items for systematic reviews and meta-analyses. In </w:t>
      </w:r>
      <w:r w:rsidRPr="001B3ED4">
        <w:rPr>
          <w:rFonts w:ascii="Arial" w:hAnsi="Arial" w:cs="Arial"/>
          <w:i/>
          <w:iCs/>
        </w:rPr>
        <w:t>Oncology nursing forum</w:t>
      </w:r>
      <w:r w:rsidRPr="001B3ED4">
        <w:rPr>
          <w:rFonts w:ascii="Arial" w:hAnsi="Arial" w:cs="Arial"/>
        </w:rPr>
        <w:t> (Vol. 42, No. 5, p. 552). Oncology Nursing Society.</w:t>
      </w:r>
      <w:r w:rsidR="00345B07" w:rsidRPr="001B3ED4">
        <w:rPr>
          <w:rFonts w:ascii="Arial" w:hAnsi="Arial" w:cs="Arial"/>
        </w:rPr>
        <w:t xml:space="preserve"> </w:t>
      </w:r>
      <w:hyperlink r:id="rId64" w:history="1">
        <w:r w:rsidR="00345B07" w:rsidRPr="001B3ED4">
          <w:rPr>
            <w:rStyle w:val="Hyperlink"/>
            <w:rFonts w:ascii="Arial" w:hAnsi="Arial" w:cs="Arial"/>
          </w:rPr>
          <w:t>https://search.proquest.com/openview/ce3ca3a181347367c86b1eea43d396a9/1?pq-origsite=gscholar&amp;cbl=37213</w:t>
        </w:r>
      </w:hyperlink>
    </w:p>
    <w:p w14:paraId="0D50946F" w14:textId="3FC2AD55" w:rsidR="003F75FD" w:rsidRPr="001B3ED4" w:rsidRDefault="003F75FD" w:rsidP="003F75FD">
      <w:pPr>
        <w:spacing w:before="240" w:line="360" w:lineRule="auto"/>
        <w:jc w:val="both"/>
        <w:rPr>
          <w:rFonts w:ascii="Arial" w:hAnsi="Arial" w:cs="Arial"/>
        </w:rPr>
      </w:pPr>
      <w:r w:rsidRPr="001B3ED4">
        <w:rPr>
          <w:rFonts w:ascii="Arial" w:hAnsi="Arial" w:cs="Arial"/>
        </w:rPr>
        <w:t>Mackenzie Hilton, B.A., (2024). J BI Critical appraisal checklist for systematic reviews and research syntheses. </w:t>
      </w:r>
      <w:r w:rsidRPr="001B3ED4">
        <w:rPr>
          <w:rFonts w:ascii="Arial" w:hAnsi="Arial" w:cs="Arial"/>
          <w:i/>
          <w:iCs/>
        </w:rPr>
        <w:t xml:space="preserve">The Journal of the Canadian Health Libraries Association= Journal de </w:t>
      </w:r>
      <w:proofErr w:type="spellStart"/>
      <w:r w:rsidRPr="001B3ED4">
        <w:rPr>
          <w:rFonts w:ascii="Arial" w:hAnsi="Arial" w:cs="Arial"/>
          <w:i/>
          <w:iCs/>
        </w:rPr>
        <w:t>l'Association</w:t>
      </w:r>
      <w:proofErr w:type="spellEnd"/>
      <w:r w:rsidRPr="001B3ED4">
        <w:rPr>
          <w:rFonts w:ascii="Arial" w:hAnsi="Arial" w:cs="Arial"/>
          <w:i/>
          <w:iCs/>
        </w:rPr>
        <w:t xml:space="preserve"> des </w:t>
      </w:r>
      <w:proofErr w:type="spellStart"/>
      <w:r w:rsidRPr="001B3ED4">
        <w:rPr>
          <w:rFonts w:ascii="Arial" w:hAnsi="Arial" w:cs="Arial"/>
          <w:i/>
          <w:iCs/>
        </w:rPr>
        <w:t>Bibliothèques</w:t>
      </w:r>
      <w:proofErr w:type="spellEnd"/>
      <w:r w:rsidRPr="001B3ED4">
        <w:rPr>
          <w:rFonts w:ascii="Arial" w:hAnsi="Arial" w:cs="Arial"/>
          <w:i/>
          <w:iCs/>
        </w:rPr>
        <w:t xml:space="preserve"> de la Santé du Canada</w:t>
      </w:r>
      <w:r w:rsidRPr="001B3ED4">
        <w:rPr>
          <w:rFonts w:ascii="Arial" w:hAnsi="Arial" w:cs="Arial"/>
        </w:rPr>
        <w:t>, </w:t>
      </w:r>
      <w:r w:rsidRPr="001B3ED4">
        <w:rPr>
          <w:rFonts w:ascii="Arial" w:hAnsi="Arial" w:cs="Arial"/>
          <w:i/>
          <w:iCs/>
        </w:rPr>
        <w:t>45</w:t>
      </w:r>
      <w:r w:rsidRPr="001B3ED4">
        <w:rPr>
          <w:rFonts w:ascii="Arial" w:hAnsi="Arial" w:cs="Arial"/>
        </w:rPr>
        <w:t>(3), pp.180-183.</w:t>
      </w:r>
      <w:r w:rsidR="00345B07" w:rsidRPr="001B3ED4">
        <w:rPr>
          <w:rFonts w:ascii="Arial" w:hAnsi="Arial" w:cs="Arial"/>
        </w:rPr>
        <w:t xml:space="preserve"> </w:t>
      </w:r>
      <w:hyperlink r:id="rId65" w:history="1">
        <w:r w:rsidR="00345B07" w:rsidRPr="001B3ED4">
          <w:rPr>
            <w:rStyle w:val="Hyperlink"/>
            <w:rFonts w:ascii="Arial" w:hAnsi="Arial" w:cs="Arial"/>
          </w:rPr>
          <w:t>https://search.proquest.com/openview/cb6a75050a977e917d2bde0d91237f3c/1?pq-origsite=gscholar&amp;cbl=2035580</w:t>
        </w:r>
      </w:hyperlink>
    </w:p>
    <w:p w14:paraId="0125C8DB" w14:textId="77777777" w:rsidR="00632E4B" w:rsidRPr="001B3ED4" w:rsidRDefault="00BE2641" w:rsidP="003F75FD">
      <w:pPr>
        <w:spacing w:before="240" w:line="360" w:lineRule="auto"/>
        <w:jc w:val="both"/>
      </w:pPr>
      <w:r w:rsidRPr="001B3ED4">
        <w:rPr>
          <w:rFonts w:ascii="Arial" w:hAnsi="Arial" w:cs="Arial"/>
        </w:rPr>
        <w:t xml:space="preserve">Mikalef, P., Pappas, I.O., </w:t>
      </w:r>
      <w:proofErr w:type="spellStart"/>
      <w:r w:rsidRPr="001B3ED4">
        <w:rPr>
          <w:rFonts w:ascii="Arial" w:hAnsi="Arial" w:cs="Arial"/>
        </w:rPr>
        <w:t>Krogstie</w:t>
      </w:r>
      <w:proofErr w:type="spellEnd"/>
      <w:r w:rsidRPr="001B3ED4">
        <w:rPr>
          <w:rFonts w:ascii="Arial" w:hAnsi="Arial" w:cs="Arial"/>
        </w:rPr>
        <w:t xml:space="preserve">, J. and Giannakos, M. (2018) </w:t>
      </w:r>
      <w:r w:rsidR="003F75FD" w:rsidRPr="001B3ED4">
        <w:rPr>
          <w:rFonts w:ascii="Arial" w:hAnsi="Arial" w:cs="Arial"/>
        </w:rPr>
        <w:t>Big data analytics capabilities: a systematic literature review and research agenda. </w:t>
      </w:r>
      <w:r w:rsidR="003F75FD" w:rsidRPr="001B3ED4">
        <w:rPr>
          <w:rFonts w:ascii="Arial" w:hAnsi="Arial" w:cs="Arial"/>
          <w:i/>
          <w:iCs/>
        </w:rPr>
        <w:t>Information systems and e-business management</w:t>
      </w:r>
      <w:r w:rsidR="003F75FD" w:rsidRPr="001B3ED4">
        <w:rPr>
          <w:rFonts w:ascii="Arial" w:hAnsi="Arial" w:cs="Arial"/>
        </w:rPr>
        <w:t>, </w:t>
      </w:r>
      <w:r w:rsidR="003F75FD" w:rsidRPr="001B3ED4">
        <w:rPr>
          <w:rFonts w:ascii="Arial" w:hAnsi="Arial" w:cs="Arial"/>
          <w:i/>
          <w:iCs/>
        </w:rPr>
        <w:t>16</w:t>
      </w:r>
      <w:r w:rsidR="003F75FD" w:rsidRPr="001B3ED4">
        <w:rPr>
          <w:rFonts w:ascii="Arial" w:hAnsi="Arial" w:cs="Arial"/>
        </w:rPr>
        <w:t xml:space="preserve">(3), pp.547-578. </w:t>
      </w:r>
      <w:hyperlink r:id="rId66" w:history="1">
        <w:r w:rsidR="003F75FD" w:rsidRPr="001B3ED4">
          <w:rPr>
            <w:rStyle w:val="Hyperlink"/>
            <w:rFonts w:ascii="Arial" w:hAnsi="Arial" w:cs="Arial"/>
          </w:rPr>
          <w:t>https://link.springer.com/article/10.1007/s10257-017-0362-y</w:t>
        </w:r>
      </w:hyperlink>
    </w:p>
    <w:p w14:paraId="6709276D" w14:textId="29000753" w:rsidR="007A0E41" w:rsidRPr="001B3ED4" w:rsidRDefault="007A0E41" w:rsidP="003F75FD">
      <w:pPr>
        <w:spacing w:before="240" w:line="360" w:lineRule="auto"/>
        <w:jc w:val="both"/>
        <w:rPr>
          <w:rFonts w:ascii="Arial" w:hAnsi="Arial" w:cs="Arial"/>
        </w:rPr>
      </w:pPr>
      <w:r w:rsidRPr="001B3ED4">
        <w:rPr>
          <w:rFonts w:ascii="Arial" w:hAnsi="Arial" w:cs="Arial"/>
        </w:rPr>
        <w:t xml:space="preserve">Mandal, S., Toshniwal, M., Arinaminpathy, N., Rade, K., Dewan, P., Rao, R. and Singh, U.B., </w:t>
      </w:r>
      <w:r w:rsidR="00BD2E7B" w:rsidRPr="001B3ED4">
        <w:rPr>
          <w:rFonts w:ascii="Arial" w:hAnsi="Arial" w:cs="Arial"/>
        </w:rPr>
        <w:t>(</w:t>
      </w:r>
      <w:r w:rsidRPr="001B3ED4">
        <w:rPr>
          <w:rFonts w:ascii="Arial" w:hAnsi="Arial" w:cs="Arial"/>
        </w:rPr>
        <w:t>2025</w:t>
      </w:r>
      <w:r w:rsidR="00BD2E7B" w:rsidRPr="001B3ED4">
        <w:rPr>
          <w:rFonts w:ascii="Arial" w:hAnsi="Arial" w:cs="Arial"/>
        </w:rPr>
        <w:t>)</w:t>
      </w:r>
      <w:r w:rsidRPr="001B3ED4">
        <w:rPr>
          <w:rFonts w:ascii="Arial" w:hAnsi="Arial" w:cs="Arial"/>
        </w:rPr>
        <w:t>. The potential of community-based radiographic screening to end TB in India. </w:t>
      </w:r>
      <w:r w:rsidRPr="001B3ED4">
        <w:rPr>
          <w:rFonts w:ascii="Arial" w:hAnsi="Arial" w:cs="Arial"/>
          <w:i/>
          <w:iCs/>
        </w:rPr>
        <w:t>PLOS Global Public Health</w:t>
      </w:r>
      <w:r w:rsidRPr="001B3ED4">
        <w:rPr>
          <w:rFonts w:ascii="Arial" w:hAnsi="Arial" w:cs="Arial"/>
        </w:rPr>
        <w:t>, </w:t>
      </w:r>
      <w:r w:rsidRPr="001B3ED4">
        <w:rPr>
          <w:rFonts w:ascii="Arial" w:hAnsi="Arial" w:cs="Arial"/>
          <w:i/>
          <w:iCs/>
        </w:rPr>
        <w:t>5</w:t>
      </w:r>
      <w:r w:rsidRPr="001B3ED4">
        <w:rPr>
          <w:rFonts w:ascii="Arial" w:hAnsi="Arial" w:cs="Arial"/>
        </w:rPr>
        <w:t xml:space="preserve">(6), p.e0004716. </w:t>
      </w:r>
      <w:hyperlink r:id="rId67" w:history="1">
        <w:r w:rsidRPr="001B3ED4">
          <w:rPr>
            <w:rStyle w:val="Hyperlink"/>
            <w:rFonts w:ascii="Arial" w:hAnsi="Arial" w:cs="Arial"/>
          </w:rPr>
          <w:t>https://journals.plos.org/globalpublichealth/article?id=10.1371/journal.pgph.0004716</w:t>
        </w:r>
      </w:hyperlink>
    </w:p>
    <w:p w14:paraId="169E1586" w14:textId="2AA553FC" w:rsidR="007C0DE6" w:rsidRPr="001B3ED4" w:rsidRDefault="007C0DE6" w:rsidP="0046084C">
      <w:pPr>
        <w:spacing w:before="240" w:line="360" w:lineRule="auto"/>
        <w:jc w:val="both"/>
        <w:rPr>
          <w:rFonts w:ascii="Arial" w:hAnsi="Arial" w:cs="Arial"/>
        </w:rPr>
      </w:pPr>
      <w:proofErr w:type="spellStart"/>
      <w:r w:rsidRPr="001B3ED4">
        <w:rPr>
          <w:rFonts w:ascii="Arial" w:hAnsi="Arial" w:cs="Arial"/>
        </w:rPr>
        <w:t>Modrá</w:t>
      </w:r>
      <w:proofErr w:type="spellEnd"/>
      <w:r w:rsidRPr="001B3ED4">
        <w:rPr>
          <w:rFonts w:ascii="Arial" w:hAnsi="Arial" w:cs="Arial"/>
        </w:rPr>
        <w:t xml:space="preserve">, H., Ulmann, V., Caha, J., </w:t>
      </w:r>
      <w:proofErr w:type="spellStart"/>
      <w:r w:rsidRPr="001B3ED4">
        <w:rPr>
          <w:rFonts w:ascii="Arial" w:hAnsi="Arial" w:cs="Arial"/>
        </w:rPr>
        <w:t>Hübelová</w:t>
      </w:r>
      <w:proofErr w:type="spellEnd"/>
      <w:r w:rsidRPr="001B3ED4">
        <w:rPr>
          <w:rFonts w:ascii="Arial" w:hAnsi="Arial" w:cs="Arial"/>
        </w:rPr>
        <w:t xml:space="preserve">, D., Konečný, O., Svobodová, J., Weston, R.T. and Pavlík, I., </w:t>
      </w:r>
      <w:r w:rsidR="00BD2E7B" w:rsidRPr="001B3ED4">
        <w:rPr>
          <w:rFonts w:ascii="Arial" w:hAnsi="Arial" w:cs="Arial"/>
        </w:rPr>
        <w:t>(</w:t>
      </w:r>
      <w:r w:rsidRPr="001B3ED4">
        <w:rPr>
          <w:rFonts w:ascii="Arial" w:hAnsi="Arial" w:cs="Arial"/>
        </w:rPr>
        <w:t>2019</w:t>
      </w:r>
      <w:r w:rsidR="00BD2E7B" w:rsidRPr="001B3ED4">
        <w:rPr>
          <w:rFonts w:ascii="Arial" w:hAnsi="Arial" w:cs="Arial"/>
        </w:rPr>
        <w:t>)</w:t>
      </w:r>
      <w:r w:rsidRPr="001B3ED4">
        <w:rPr>
          <w:rFonts w:ascii="Arial" w:hAnsi="Arial" w:cs="Arial"/>
        </w:rPr>
        <w:t>. Socio-economic and environmental factors related to spatial differences in human non-tuberculous mycobacterial diseases in the Czech Republic. </w:t>
      </w:r>
      <w:r w:rsidRPr="001B3ED4">
        <w:rPr>
          <w:rFonts w:ascii="Arial" w:hAnsi="Arial" w:cs="Arial"/>
          <w:i/>
          <w:iCs/>
        </w:rPr>
        <w:t>International Journal of Environmental Research and Public Health</w:t>
      </w:r>
      <w:r w:rsidRPr="001B3ED4">
        <w:rPr>
          <w:rFonts w:ascii="Arial" w:hAnsi="Arial" w:cs="Arial"/>
        </w:rPr>
        <w:t>, </w:t>
      </w:r>
      <w:r w:rsidRPr="001B3ED4">
        <w:rPr>
          <w:rFonts w:ascii="Arial" w:hAnsi="Arial" w:cs="Arial"/>
          <w:i/>
          <w:iCs/>
        </w:rPr>
        <w:t>16</w:t>
      </w:r>
      <w:r w:rsidRPr="001B3ED4">
        <w:rPr>
          <w:rFonts w:ascii="Arial" w:hAnsi="Arial" w:cs="Arial"/>
        </w:rPr>
        <w:t xml:space="preserve">(20), p.3969. </w:t>
      </w:r>
      <w:hyperlink r:id="rId68" w:history="1">
        <w:r w:rsidRPr="001B3ED4">
          <w:rPr>
            <w:rStyle w:val="Hyperlink"/>
            <w:rFonts w:ascii="Arial" w:hAnsi="Arial" w:cs="Arial"/>
          </w:rPr>
          <w:t>https://www.mdpi.com/1660-4601/16/20/3969</w:t>
        </w:r>
      </w:hyperlink>
    </w:p>
    <w:p w14:paraId="416C811C" w14:textId="726CAEFA" w:rsidR="007A0E41" w:rsidRPr="001B3ED4" w:rsidRDefault="007A0E41" w:rsidP="0046084C">
      <w:pPr>
        <w:spacing w:before="240" w:line="360" w:lineRule="auto"/>
        <w:jc w:val="both"/>
        <w:rPr>
          <w:rFonts w:ascii="Arial" w:hAnsi="Arial" w:cs="Arial"/>
        </w:rPr>
      </w:pPr>
      <w:r w:rsidRPr="001B3ED4">
        <w:rPr>
          <w:rFonts w:ascii="Arial" w:hAnsi="Arial" w:cs="Arial"/>
        </w:rPr>
        <w:lastRenderedPageBreak/>
        <w:t xml:space="preserve">Moonan, P.K., Nair, S.A., Agarwal, R., Chadha, V.K., Dewan, P.K., Gupta, U.D., Ho, C.S., Holtz, T.H., Kumar, A.M., Kumar, N. and Kumar, P., </w:t>
      </w:r>
      <w:r w:rsidR="00BD2E7B" w:rsidRPr="001B3ED4">
        <w:rPr>
          <w:rFonts w:ascii="Arial" w:hAnsi="Arial" w:cs="Arial"/>
        </w:rPr>
        <w:t>(</w:t>
      </w:r>
      <w:r w:rsidRPr="001B3ED4">
        <w:rPr>
          <w:rFonts w:ascii="Arial" w:hAnsi="Arial" w:cs="Arial"/>
        </w:rPr>
        <w:t>2018</w:t>
      </w:r>
      <w:r w:rsidR="00BD2E7B" w:rsidRPr="001B3ED4">
        <w:rPr>
          <w:rFonts w:ascii="Arial" w:hAnsi="Arial" w:cs="Arial"/>
        </w:rPr>
        <w:t>)</w:t>
      </w:r>
      <w:r w:rsidRPr="001B3ED4">
        <w:rPr>
          <w:rFonts w:ascii="Arial" w:hAnsi="Arial" w:cs="Arial"/>
        </w:rPr>
        <w:t>. Tuberculosis preventive treatment: the next chapter of tuberculosis elimination in India. </w:t>
      </w:r>
      <w:r w:rsidRPr="001B3ED4">
        <w:rPr>
          <w:rFonts w:ascii="Arial" w:hAnsi="Arial" w:cs="Arial"/>
          <w:i/>
          <w:iCs/>
        </w:rPr>
        <w:t>BMJ global health</w:t>
      </w:r>
      <w:r w:rsidRPr="001B3ED4">
        <w:rPr>
          <w:rFonts w:ascii="Arial" w:hAnsi="Arial" w:cs="Arial"/>
        </w:rPr>
        <w:t>, </w:t>
      </w:r>
      <w:r w:rsidRPr="001B3ED4">
        <w:rPr>
          <w:rFonts w:ascii="Arial" w:hAnsi="Arial" w:cs="Arial"/>
          <w:i/>
          <w:iCs/>
        </w:rPr>
        <w:t>3</w:t>
      </w:r>
      <w:r w:rsidRPr="001B3ED4">
        <w:rPr>
          <w:rFonts w:ascii="Arial" w:hAnsi="Arial" w:cs="Arial"/>
        </w:rPr>
        <w:t xml:space="preserve">(5), p.e001135. </w:t>
      </w:r>
      <w:hyperlink r:id="rId69" w:history="1">
        <w:r w:rsidRPr="001B3ED4">
          <w:rPr>
            <w:rStyle w:val="Hyperlink"/>
            <w:rFonts w:ascii="Arial" w:hAnsi="Arial" w:cs="Arial"/>
          </w:rPr>
          <w:t>https://gh.bmj.com/content/3/5/e001135.abstract</w:t>
        </w:r>
      </w:hyperlink>
    </w:p>
    <w:p w14:paraId="020DF637" w14:textId="53366ABA" w:rsidR="000C0736" w:rsidRPr="001B3ED4" w:rsidRDefault="000C0736" w:rsidP="0046084C">
      <w:pPr>
        <w:spacing w:before="240" w:line="360" w:lineRule="auto"/>
        <w:jc w:val="both"/>
        <w:rPr>
          <w:rFonts w:ascii="Arial" w:hAnsi="Arial" w:cs="Arial"/>
        </w:rPr>
      </w:pPr>
      <w:r w:rsidRPr="001B3ED4">
        <w:rPr>
          <w:rFonts w:ascii="Arial" w:hAnsi="Arial" w:cs="Arial"/>
        </w:rPr>
        <w:t xml:space="preserve">Neelakantan, V., </w:t>
      </w:r>
      <w:r w:rsidR="00066F06" w:rsidRPr="001B3ED4">
        <w:rPr>
          <w:rFonts w:ascii="Arial" w:hAnsi="Arial" w:cs="Arial"/>
        </w:rPr>
        <w:t>(</w:t>
      </w:r>
      <w:r w:rsidRPr="001B3ED4">
        <w:rPr>
          <w:rFonts w:ascii="Arial" w:hAnsi="Arial" w:cs="Arial"/>
        </w:rPr>
        <w:t>2018</w:t>
      </w:r>
      <w:r w:rsidR="00066F06" w:rsidRPr="001B3ED4">
        <w:rPr>
          <w:rFonts w:ascii="Arial" w:hAnsi="Arial" w:cs="Arial"/>
        </w:rPr>
        <w:t>)</w:t>
      </w:r>
      <w:r w:rsidRPr="001B3ED4">
        <w:rPr>
          <w:rFonts w:ascii="Arial" w:hAnsi="Arial" w:cs="Arial"/>
        </w:rPr>
        <w:t>. Tuberculosis control in postcolonial South India and Southeast Asia: Fractured sovereignties in international health, 1948-1960. </w:t>
      </w:r>
      <w:proofErr w:type="spellStart"/>
      <w:r w:rsidRPr="001B3ED4">
        <w:rPr>
          <w:rFonts w:ascii="Arial" w:hAnsi="Arial" w:cs="Arial"/>
          <w:i/>
          <w:iCs/>
        </w:rPr>
        <w:t>Wellcome</w:t>
      </w:r>
      <w:proofErr w:type="spellEnd"/>
      <w:r w:rsidRPr="001B3ED4">
        <w:rPr>
          <w:rFonts w:ascii="Arial" w:hAnsi="Arial" w:cs="Arial"/>
          <w:i/>
          <w:iCs/>
        </w:rPr>
        <w:t xml:space="preserve"> Open Research</w:t>
      </w:r>
      <w:r w:rsidRPr="001B3ED4">
        <w:rPr>
          <w:rFonts w:ascii="Arial" w:hAnsi="Arial" w:cs="Arial"/>
        </w:rPr>
        <w:t>, </w:t>
      </w:r>
      <w:r w:rsidRPr="001B3ED4">
        <w:rPr>
          <w:rFonts w:ascii="Arial" w:hAnsi="Arial" w:cs="Arial"/>
          <w:i/>
          <w:iCs/>
        </w:rPr>
        <w:t>2</w:t>
      </w:r>
      <w:r w:rsidRPr="001B3ED4">
        <w:rPr>
          <w:rFonts w:ascii="Arial" w:hAnsi="Arial" w:cs="Arial"/>
        </w:rPr>
        <w:t xml:space="preserve">, p.4. </w:t>
      </w:r>
      <w:hyperlink r:id="rId70" w:history="1">
        <w:r w:rsidRPr="001B3ED4">
          <w:rPr>
            <w:rStyle w:val="Hyperlink"/>
            <w:rFonts w:ascii="Arial" w:hAnsi="Arial" w:cs="Arial"/>
          </w:rPr>
          <w:t>https://pmc.ncbi.nlm.nih.gov/articles/PMC5920540/</w:t>
        </w:r>
      </w:hyperlink>
    </w:p>
    <w:p w14:paraId="2738E780" w14:textId="64F765EC" w:rsidR="006A370E" w:rsidRPr="001B3ED4" w:rsidRDefault="006A370E" w:rsidP="0046084C">
      <w:pPr>
        <w:spacing w:before="240" w:line="360" w:lineRule="auto"/>
        <w:jc w:val="both"/>
        <w:rPr>
          <w:rFonts w:ascii="Arial" w:hAnsi="Arial" w:cs="Arial"/>
        </w:rPr>
      </w:pPr>
      <w:proofErr w:type="spellStart"/>
      <w:r w:rsidRPr="001B3ED4">
        <w:rPr>
          <w:rFonts w:ascii="Arial" w:hAnsi="Arial" w:cs="Arial"/>
        </w:rPr>
        <w:t>Ngandjon</w:t>
      </w:r>
      <w:proofErr w:type="spellEnd"/>
      <w:r w:rsidRPr="001B3ED4">
        <w:rPr>
          <w:rFonts w:ascii="Arial" w:hAnsi="Arial" w:cs="Arial"/>
        </w:rPr>
        <w:t xml:space="preserve">, J.K., </w:t>
      </w:r>
      <w:proofErr w:type="spellStart"/>
      <w:r w:rsidRPr="001B3ED4">
        <w:rPr>
          <w:rFonts w:ascii="Arial" w:hAnsi="Arial" w:cs="Arial"/>
        </w:rPr>
        <w:t>Laengler</w:t>
      </w:r>
      <w:proofErr w:type="spellEnd"/>
      <w:r w:rsidRPr="001B3ED4">
        <w:rPr>
          <w:rFonts w:ascii="Arial" w:hAnsi="Arial" w:cs="Arial"/>
        </w:rPr>
        <w:t xml:space="preserve">, A. and Ostermann, T., </w:t>
      </w:r>
      <w:r w:rsidR="00BD2E7B" w:rsidRPr="001B3ED4">
        <w:rPr>
          <w:rFonts w:ascii="Arial" w:hAnsi="Arial" w:cs="Arial"/>
        </w:rPr>
        <w:t>(</w:t>
      </w:r>
      <w:r w:rsidRPr="001B3ED4">
        <w:rPr>
          <w:rFonts w:ascii="Arial" w:hAnsi="Arial" w:cs="Arial"/>
        </w:rPr>
        <w:t>2020</w:t>
      </w:r>
      <w:r w:rsidR="00BD2E7B" w:rsidRPr="001B3ED4">
        <w:rPr>
          <w:rFonts w:ascii="Arial" w:hAnsi="Arial" w:cs="Arial"/>
        </w:rPr>
        <w:t>)</w:t>
      </w:r>
      <w:r w:rsidRPr="001B3ED4">
        <w:rPr>
          <w:rFonts w:ascii="Arial" w:hAnsi="Arial" w:cs="Arial"/>
        </w:rPr>
        <w:t>. </w:t>
      </w:r>
      <w:r w:rsidRPr="001B3ED4">
        <w:rPr>
          <w:rFonts w:ascii="Arial" w:hAnsi="Arial" w:cs="Arial"/>
          <w:i/>
          <w:iCs/>
        </w:rPr>
        <w:t>Community-based Programs for Childhood Immunization and Prevention of Childhood Diseases: Sustainable Support in Mothers’ Decision-Making—A Health Belief Model Approach</w:t>
      </w:r>
      <w:r w:rsidRPr="001B3ED4">
        <w:rPr>
          <w:rFonts w:ascii="Arial" w:hAnsi="Arial" w:cs="Arial"/>
        </w:rPr>
        <w:t xml:space="preserve"> [online] </w:t>
      </w:r>
      <w:hyperlink r:id="rId71" w:history="1">
        <w:r w:rsidRPr="001B3ED4">
          <w:rPr>
            <w:rStyle w:val="Hyperlink"/>
            <w:rFonts w:ascii="Arial" w:hAnsi="Arial" w:cs="Arial"/>
          </w:rPr>
          <w:t>https://pdfs.semanticscholar.org/5ae2/0df5a115861b0fa29a670a57909b2e7dd102.pdf</w:t>
        </w:r>
      </w:hyperlink>
    </w:p>
    <w:p w14:paraId="75BD3674" w14:textId="77777777" w:rsidR="003F75FD" w:rsidRPr="001B3ED4" w:rsidRDefault="003F75FD" w:rsidP="003F75FD">
      <w:pPr>
        <w:spacing w:before="240" w:line="360" w:lineRule="auto"/>
        <w:jc w:val="both"/>
        <w:rPr>
          <w:rFonts w:ascii="Arial" w:hAnsi="Arial" w:cs="Arial"/>
        </w:rPr>
      </w:pPr>
      <w:r w:rsidRPr="001B3ED4">
        <w:rPr>
          <w:rFonts w:ascii="Arial" w:hAnsi="Arial" w:cs="Arial"/>
        </w:rPr>
        <w:t>Niaz, S., Salam, T. and Nazir, S., (2023). Statistical methods in computer science: A comparative review of inductive and deductive approaches. </w:t>
      </w:r>
      <w:r w:rsidRPr="001B3ED4">
        <w:rPr>
          <w:rFonts w:ascii="Arial" w:hAnsi="Arial" w:cs="Arial"/>
          <w:i/>
          <w:iCs/>
        </w:rPr>
        <w:t>VAWKUM Transactions on Computer Sciences</w:t>
      </w:r>
      <w:r w:rsidRPr="001B3ED4">
        <w:rPr>
          <w:rFonts w:ascii="Arial" w:hAnsi="Arial" w:cs="Arial"/>
        </w:rPr>
        <w:t>, </w:t>
      </w:r>
      <w:r w:rsidRPr="001B3ED4">
        <w:rPr>
          <w:rFonts w:ascii="Arial" w:hAnsi="Arial" w:cs="Arial"/>
          <w:i/>
          <w:iCs/>
        </w:rPr>
        <w:t>11</w:t>
      </w:r>
      <w:r w:rsidRPr="001B3ED4">
        <w:rPr>
          <w:rFonts w:ascii="Arial" w:hAnsi="Arial" w:cs="Arial"/>
        </w:rPr>
        <w:t xml:space="preserve">(1), pp.204-216. </w:t>
      </w:r>
      <w:hyperlink r:id="rId72" w:history="1">
        <w:r w:rsidRPr="001B3ED4">
          <w:rPr>
            <w:rStyle w:val="Hyperlink"/>
            <w:rFonts w:ascii="Arial" w:hAnsi="Arial" w:cs="Arial"/>
          </w:rPr>
          <w:t>https://www.vfast.org/journals/index.php/VTCS/article/view/1407</w:t>
        </w:r>
      </w:hyperlink>
    </w:p>
    <w:p w14:paraId="4A90C09D" w14:textId="2915B6CD" w:rsidR="001377BA" w:rsidRPr="001B3ED4" w:rsidRDefault="001377BA" w:rsidP="0046084C">
      <w:pPr>
        <w:spacing w:before="240" w:line="360" w:lineRule="auto"/>
        <w:jc w:val="both"/>
        <w:rPr>
          <w:rFonts w:ascii="Arial" w:hAnsi="Arial" w:cs="Arial"/>
        </w:rPr>
      </w:pPr>
      <w:r w:rsidRPr="001B3ED4">
        <w:rPr>
          <w:rFonts w:ascii="Arial" w:hAnsi="Arial" w:cs="Arial"/>
        </w:rPr>
        <w:t xml:space="preserve">Nordholm, A.C., Andersen, A.B., Wejse, C., Norman, A., Ekstrøm, C.T., Andersen, P.H., </w:t>
      </w:r>
      <w:proofErr w:type="spellStart"/>
      <w:r w:rsidRPr="001B3ED4">
        <w:rPr>
          <w:rFonts w:ascii="Arial" w:hAnsi="Arial" w:cs="Arial"/>
        </w:rPr>
        <w:t>Lillebaek</w:t>
      </w:r>
      <w:proofErr w:type="spellEnd"/>
      <w:r w:rsidRPr="001B3ED4">
        <w:rPr>
          <w:rFonts w:ascii="Arial" w:hAnsi="Arial" w:cs="Arial"/>
        </w:rPr>
        <w:t xml:space="preserve">, T. and Koch, A., </w:t>
      </w:r>
      <w:r w:rsidR="00BD2E7B" w:rsidRPr="001B3ED4">
        <w:rPr>
          <w:rFonts w:ascii="Arial" w:hAnsi="Arial" w:cs="Arial"/>
        </w:rPr>
        <w:t>(</w:t>
      </w:r>
      <w:r w:rsidRPr="001B3ED4">
        <w:rPr>
          <w:rFonts w:ascii="Arial" w:hAnsi="Arial" w:cs="Arial"/>
        </w:rPr>
        <w:t>2023</w:t>
      </w:r>
      <w:r w:rsidR="00BD2E7B" w:rsidRPr="001B3ED4">
        <w:rPr>
          <w:rFonts w:ascii="Arial" w:hAnsi="Arial" w:cs="Arial"/>
        </w:rPr>
        <w:t>)</w:t>
      </w:r>
      <w:r w:rsidRPr="001B3ED4">
        <w:rPr>
          <w:rFonts w:ascii="Arial" w:hAnsi="Arial" w:cs="Arial"/>
        </w:rPr>
        <w:t>. Mortality, risk factors, and causes of death among people with tuberculosis in Denmark, 1990-2018. </w:t>
      </w:r>
      <w:r w:rsidRPr="001B3ED4">
        <w:rPr>
          <w:rFonts w:ascii="Arial" w:hAnsi="Arial" w:cs="Arial"/>
          <w:i/>
          <w:iCs/>
        </w:rPr>
        <w:t>International Journal of Infectious Diseases</w:t>
      </w:r>
      <w:r w:rsidRPr="001B3ED4">
        <w:rPr>
          <w:rFonts w:ascii="Arial" w:hAnsi="Arial" w:cs="Arial"/>
        </w:rPr>
        <w:t>, </w:t>
      </w:r>
      <w:r w:rsidRPr="001B3ED4">
        <w:rPr>
          <w:rFonts w:ascii="Arial" w:hAnsi="Arial" w:cs="Arial"/>
          <w:i/>
          <w:iCs/>
        </w:rPr>
        <w:t>130</w:t>
      </w:r>
      <w:r w:rsidRPr="001B3ED4">
        <w:rPr>
          <w:rFonts w:ascii="Arial" w:hAnsi="Arial" w:cs="Arial"/>
        </w:rPr>
        <w:t xml:space="preserve">, pp.76-82. </w:t>
      </w:r>
      <w:hyperlink r:id="rId73" w:history="1">
        <w:r w:rsidRPr="001B3ED4">
          <w:rPr>
            <w:rStyle w:val="Hyperlink"/>
            <w:rFonts w:ascii="Arial" w:hAnsi="Arial" w:cs="Arial"/>
          </w:rPr>
          <w:t>https://www.sciencedirect.com/science/article/pii/S1201971223000735</w:t>
        </w:r>
      </w:hyperlink>
    </w:p>
    <w:p w14:paraId="261AB464" w14:textId="77777777" w:rsidR="002E018A" w:rsidRPr="001B3ED4" w:rsidRDefault="002E018A" w:rsidP="002E018A">
      <w:pPr>
        <w:spacing w:before="240" w:line="360" w:lineRule="auto"/>
        <w:jc w:val="both"/>
        <w:rPr>
          <w:rFonts w:ascii="Arial" w:hAnsi="Arial" w:cs="Arial"/>
        </w:rPr>
      </w:pPr>
      <w:r w:rsidRPr="001B3ED4">
        <w:rPr>
          <w:rFonts w:ascii="Arial" w:hAnsi="Arial" w:cs="Arial"/>
        </w:rPr>
        <w:t xml:space="preserve">Ong, C.W.M., Migliori, G.B., Raviglione, M., MacGregor-Skinner, G., </w:t>
      </w:r>
      <w:proofErr w:type="spellStart"/>
      <w:r w:rsidRPr="001B3ED4">
        <w:rPr>
          <w:rFonts w:ascii="Arial" w:hAnsi="Arial" w:cs="Arial"/>
        </w:rPr>
        <w:t>Sotgiu</w:t>
      </w:r>
      <w:proofErr w:type="spellEnd"/>
      <w:r w:rsidRPr="001B3ED4">
        <w:rPr>
          <w:rFonts w:ascii="Arial" w:hAnsi="Arial" w:cs="Arial"/>
        </w:rPr>
        <w:t xml:space="preserve">, G., Alffenaar, J.W., Tiberi, S., </w:t>
      </w:r>
      <w:proofErr w:type="spellStart"/>
      <w:r w:rsidRPr="001B3ED4">
        <w:rPr>
          <w:rFonts w:ascii="Arial" w:hAnsi="Arial" w:cs="Arial"/>
        </w:rPr>
        <w:t>Adlhoch</w:t>
      </w:r>
      <w:proofErr w:type="spellEnd"/>
      <w:r w:rsidRPr="001B3ED4">
        <w:rPr>
          <w:rFonts w:ascii="Arial" w:hAnsi="Arial" w:cs="Arial"/>
        </w:rPr>
        <w:t xml:space="preserve">, C., Alonzi, T., Archuleta, S. and </w:t>
      </w:r>
      <w:proofErr w:type="spellStart"/>
      <w:r w:rsidRPr="001B3ED4">
        <w:rPr>
          <w:rFonts w:ascii="Arial" w:hAnsi="Arial" w:cs="Arial"/>
        </w:rPr>
        <w:t>Brusin</w:t>
      </w:r>
      <w:proofErr w:type="spellEnd"/>
      <w:r w:rsidRPr="001B3ED4">
        <w:rPr>
          <w:rFonts w:ascii="Arial" w:hAnsi="Arial" w:cs="Arial"/>
        </w:rPr>
        <w:t>, S., (2020). Epidemic and pandemic viral infections: impact on tuberculosis and the lung: A consensus by the World Association for Infectious Diseases and Immunological Disorders (</w:t>
      </w:r>
      <w:proofErr w:type="spellStart"/>
      <w:r w:rsidRPr="001B3ED4">
        <w:rPr>
          <w:rFonts w:ascii="Arial" w:hAnsi="Arial" w:cs="Arial"/>
        </w:rPr>
        <w:t>WAidid</w:t>
      </w:r>
      <w:proofErr w:type="spellEnd"/>
      <w:r w:rsidRPr="001B3ED4">
        <w:rPr>
          <w:rFonts w:ascii="Arial" w:hAnsi="Arial" w:cs="Arial"/>
        </w:rPr>
        <w:t>), Global Tuberculosis Network (GTN), and members of the European Society of Clinical Microbiology and Infectious Diseases Study Group for Mycobacterial Infections (ESGMYC). </w:t>
      </w:r>
      <w:r w:rsidRPr="001B3ED4">
        <w:rPr>
          <w:rFonts w:ascii="Arial" w:hAnsi="Arial" w:cs="Arial"/>
          <w:i/>
          <w:iCs/>
        </w:rPr>
        <w:t>European Respiratory Journal</w:t>
      </w:r>
      <w:r w:rsidRPr="001B3ED4">
        <w:rPr>
          <w:rFonts w:ascii="Arial" w:hAnsi="Arial" w:cs="Arial"/>
        </w:rPr>
        <w:t>, </w:t>
      </w:r>
      <w:r w:rsidRPr="001B3ED4">
        <w:rPr>
          <w:rFonts w:ascii="Arial" w:hAnsi="Arial" w:cs="Arial"/>
          <w:i/>
          <w:iCs/>
        </w:rPr>
        <w:t>56</w:t>
      </w:r>
      <w:r w:rsidRPr="001B3ED4">
        <w:rPr>
          <w:rFonts w:ascii="Arial" w:hAnsi="Arial" w:cs="Arial"/>
        </w:rPr>
        <w:t xml:space="preserve">(4). </w:t>
      </w:r>
      <w:hyperlink r:id="rId74" w:history="1">
        <w:r w:rsidRPr="001B3ED4">
          <w:rPr>
            <w:rStyle w:val="Hyperlink"/>
            <w:rFonts w:ascii="Arial" w:hAnsi="Arial" w:cs="Arial"/>
          </w:rPr>
          <w:t>https://publications.ersnet.org/content/erj/56/4/2001727.abstract</w:t>
        </w:r>
      </w:hyperlink>
    </w:p>
    <w:p w14:paraId="6ED8F93D" w14:textId="1FC8953F" w:rsidR="00DD5ADC" w:rsidRPr="001B3ED4" w:rsidRDefault="00DD5ADC" w:rsidP="00DD5ADC">
      <w:pPr>
        <w:spacing w:line="360" w:lineRule="auto"/>
        <w:jc w:val="both"/>
        <w:rPr>
          <w:rFonts w:ascii="Arial" w:hAnsi="Arial" w:cs="Arial"/>
        </w:rPr>
      </w:pPr>
      <w:r w:rsidRPr="001B3ED4">
        <w:rPr>
          <w:rFonts w:ascii="Arial" w:hAnsi="Arial" w:cs="Arial"/>
        </w:rPr>
        <w:lastRenderedPageBreak/>
        <w:t xml:space="preserve">Osborne, A., </w:t>
      </w:r>
      <w:proofErr w:type="spellStart"/>
      <w:r w:rsidRPr="001B3ED4">
        <w:rPr>
          <w:rFonts w:ascii="Arial" w:hAnsi="Arial" w:cs="Arial"/>
        </w:rPr>
        <w:t>Wongnaah</w:t>
      </w:r>
      <w:proofErr w:type="spellEnd"/>
      <w:r w:rsidRPr="001B3ED4">
        <w:rPr>
          <w:rFonts w:ascii="Arial" w:hAnsi="Arial" w:cs="Arial"/>
        </w:rPr>
        <w:t xml:space="preserve">, F.G., Bangura, C. and Ahinkorah, B.O., </w:t>
      </w:r>
      <w:r w:rsidR="00066F06" w:rsidRPr="001B3ED4">
        <w:rPr>
          <w:rFonts w:ascii="Arial" w:hAnsi="Arial" w:cs="Arial"/>
        </w:rPr>
        <w:t>(</w:t>
      </w:r>
      <w:r w:rsidRPr="001B3ED4">
        <w:rPr>
          <w:rFonts w:ascii="Arial" w:hAnsi="Arial" w:cs="Arial"/>
        </w:rPr>
        <w:t>2024</w:t>
      </w:r>
      <w:r w:rsidR="00066F06" w:rsidRPr="001B3ED4">
        <w:rPr>
          <w:rFonts w:ascii="Arial" w:hAnsi="Arial" w:cs="Arial"/>
        </w:rPr>
        <w:t>)</w:t>
      </w:r>
      <w:r w:rsidRPr="001B3ED4">
        <w:rPr>
          <w:rFonts w:ascii="Arial" w:hAnsi="Arial" w:cs="Arial"/>
        </w:rPr>
        <w:t>. Trends and inequalities in BCG immunisation coverage among one-year-olds in Sierra Leone, 2008–2019. </w:t>
      </w:r>
      <w:r w:rsidRPr="001B3ED4">
        <w:rPr>
          <w:rFonts w:ascii="Arial" w:hAnsi="Arial" w:cs="Arial"/>
          <w:i/>
          <w:iCs/>
        </w:rPr>
        <w:t>BMC Public Health</w:t>
      </w:r>
      <w:r w:rsidRPr="001B3ED4">
        <w:rPr>
          <w:rFonts w:ascii="Arial" w:hAnsi="Arial" w:cs="Arial"/>
        </w:rPr>
        <w:t>, </w:t>
      </w:r>
      <w:r w:rsidRPr="001B3ED4">
        <w:rPr>
          <w:rFonts w:ascii="Arial" w:hAnsi="Arial" w:cs="Arial"/>
          <w:i/>
          <w:iCs/>
        </w:rPr>
        <w:t>24</w:t>
      </w:r>
      <w:r w:rsidRPr="001B3ED4">
        <w:rPr>
          <w:rFonts w:ascii="Arial" w:hAnsi="Arial" w:cs="Arial"/>
        </w:rPr>
        <w:t xml:space="preserve">(1), p.3342. </w:t>
      </w:r>
      <w:hyperlink r:id="rId75" w:history="1">
        <w:r w:rsidRPr="001B3ED4">
          <w:rPr>
            <w:rStyle w:val="Hyperlink"/>
            <w:rFonts w:ascii="Arial" w:hAnsi="Arial" w:cs="Arial"/>
          </w:rPr>
          <w:t>https://link.springer.com/article/10.1186/s12889-024-20560-3</w:t>
        </w:r>
      </w:hyperlink>
    </w:p>
    <w:p w14:paraId="69872064" w14:textId="77777777" w:rsidR="002E018A" w:rsidRPr="001B3ED4" w:rsidRDefault="002E018A" w:rsidP="002E018A">
      <w:pPr>
        <w:spacing w:before="240" w:line="360" w:lineRule="auto"/>
        <w:jc w:val="both"/>
        <w:rPr>
          <w:rFonts w:ascii="Arial" w:hAnsi="Arial" w:cs="Arial"/>
        </w:rPr>
      </w:pPr>
      <w:r w:rsidRPr="001B3ED4">
        <w:rPr>
          <w:rFonts w:ascii="Arial" w:hAnsi="Arial" w:cs="Arial"/>
        </w:rPr>
        <w:t>Padhi, A., Agarwal, A., Bhise, M., Chaudhary, A., Joshi, K. and Katoch, C.D.S., (2024). Progress and challenges in achieving tuberculosis elimination in India by 2025: A systematic review and meta-analysis. </w:t>
      </w:r>
      <w:proofErr w:type="spellStart"/>
      <w:r w:rsidRPr="001B3ED4">
        <w:rPr>
          <w:rFonts w:ascii="Arial" w:hAnsi="Arial" w:cs="Arial"/>
          <w:i/>
          <w:iCs/>
        </w:rPr>
        <w:t>Plos</w:t>
      </w:r>
      <w:proofErr w:type="spellEnd"/>
      <w:r w:rsidRPr="001B3ED4">
        <w:rPr>
          <w:rFonts w:ascii="Arial" w:hAnsi="Arial" w:cs="Arial"/>
          <w:i/>
          <w:iCs/>
        </w:rPr>
        <w:t xml:space="preserve"> one</w:t>
      </w:r>
      <w:r w:rsidRPr="001B3ED4">
        <w:rPr>
          <w:rFonts w:ascii="Arial" w:hAnsi="Arial" w:cs="Arial"/>
        </w:rPr>
        <w:t>, </w:t>
      </w:r>
      <w:r w:rsidRPr="001B3ED4">
        <w:rPr>
          <w:rFonts w:ascii="Arial" w:hAnsi="Arial" w:cs="Arial"/>
          <w:i/>
          <w:iCs/>
        </w:rPr>
        <w:t>19</w:t>
      </w:r>
      <w:r w:rsidRPr="001B3ED4">
        <w:rPr>
          <w:rFonts w:ascii="Arial" w:hAnsi="Arial" w:cs="Arial"/>
        </w:rPr>
        <w:t xml:space="preserve">(3), p.e0301060. </w:t>
      </w:r>
      <w:hyperlink r:id="rId76" w:history="1">
        <w:r w:rsidRPr="001B3ED4">
          <w:rPr>
            <w:rStyle w:val="Hyperlink"/>
            <w:rFonts w:ascii="Arial" w:hAnsi="Arial" w:cs="Arial"/>
          </w:rPr>
          <w:t>https://journals.plos.org/plosone/article?id=10.1371/journal.pone.0301060</w:t>
        </w:r>
      </w:hyperlink>
    </w:p>
    <w:p w14:paraId="7FF281C7" w14:textId="77777777" w:rsidR="002E018A" w:rsidRPr="001B3ED4" w:rsidRDefault="002E018A" w:rsidP="002E018A">
      <w:pPr>
        <w:spacing w:before="240" w:line="360" w:lineRule="auto"/>
        <w:jc w:val="both"/>
        <w:rPr>
          <w:rFonts w:ascii="Arial" w:hAnsi="Arial" w:cs="Arial"/>
        </w:rPr>
      </w:pPr>
      <w:r w:rsidRPr="001B3ED4">
        <w:rPr>
          <w:rFonts w:ascii="Arial" w:hAnsi="Arial" w:cs="Arial"/>
        </w:rPr>
        <w:t>Panda, S., (2023). Tuberculosis: National survey in India &amp; elimination challenges reflected through global learning. </w:t>
      </w:r>
      <w:r w:rsidRPr="001B3ED4">
        <w:rPr>
          <w:rFonts w:ascii="Arial" w:hAnsi="Arial" w:cs="Arial"/>
          <w:i/>
          <w:iCs/>
        </w:rPr>
        <w:t>Indian Journal of Medical Research</w:t>
      </w:r>
      <w:r w:rsidRPr="001B3ED4">
        <w:rPr>
          <w:rFonts w:ascii="Arial" w:hAnsi="Arial" w:cs="Arial"/>
        </w:rPr>
        <w:t>, </w:t>
      </w:r>
      <w:r w:rsidRPr="001B3ED4">
        <w:rPr>
          <w:rFonts w:ascii="Arial" w:hAnsi="Arial" w:cs="Arial"/>
          <w:i/>
          <w:iCs/>
        </w:rPr>
        <w:t>157</w:t>
      </w:r>
      <w:r w:rsidRPr="001B3ED4">
        <w:rPr>
          <w:rFonts w:ascii="Arial" w:hAnsi="Arial" w:cs="Arial"/>
        </w:rPr>
        <w:t xml:space="preserve">(2&amp;3), pp.111-113. </w:t>
      </w:r>
      <w:hyperlink r:id="rId77" w:history="1">
        <w:r w:rsidRPr="001B3ED4">
          <w:rPr>
            <w:rStyle w:val="Hyperlink"/>
            <w:rFonts w:ascii="Arial" w:hAnsi="Arial" w:cs="Arial"/>
          </w:rPr>
          <w:t>https://journals.lww.com/ijmr/fulltext/2023/02000/tuberculosis__national_survey_in_india__.1.aspx</w:t>
        </w:r>
      </w:hyperlink>
    </w:p>
    <w:p w14:paraId="1B5AC4E4" w14:textId="03DAAC0F" w:rsidR="00834189" w:rsidRPr="001B3ED4" w:rsidRDefault="00834189" w:rsidP="0046084C">
      <w:pPr>
        <w:spacing w:before="240" w:line="360" w:lineRule="auto"/>
        <w:jc w:val="both"/>
        <w:rPr>
          <w:rFonts w:ascii="Arial" w:hAnsi="Arial" w:cs="Arial"/>
        </w:rPr>
      </w:pPr>
      <w:proofErr w:type="spellStart"/>
      <w:r w:rsidRPr="001B3ED4">
        <w:rPr>
          <w:rFonts w:ascii="Arial" w:hAnsi="Arial" w:cs="Arial"/>
        </w:rPr>
        <w:t>Pedrazzoli</w:t>
      </w:r>
      <w:proofErr w:type="spellEnd"/>
      <w:r w:rsidRPr="001B3ED4">
        <w:rPr>
          <w:rFonts w:ascii="Arial" w:hAnsi="Arial" w:cs="Arial"/>
        </w:rPr>
        <w:t xml:space="preserve">, D., Boccia, D., Dodd, P.J., </w:t>
      </w:r>
      <w:proofErr w:type="spellStart"/>
      <w:r w:rsidRPr="001B3ED4">
        <w:rPr>
          <w:rFonts w:ascii="Arial" w:hAnsi="Arial" w:cs="Arial"/>
        </w:rPr>
        <w:t>Lönnroth</w:t>
      </w:r>
      <w:proofErr w:type="spellEnd"/>
      <w:r w:rsidRPr="001B3ED4">
        <w:rPr>
          <w:rFonts w:ascii="Arial" w:hAnsi="Arial" w:cs="Arial"/>
        </w:rPr>
        <w:t xml:space="preserve">, K., Dowdy, D.W., Siroka, A., Kimerling, M.E., White, R.G. and Houben, R.M.G.J., </w:t>
      </w:r>
      <w:r w:rsidR="00BD2E7B" w:rsidRPr="001B3ED4">
        <w:rPr>
          <w:rFonts w:ascii="Arial" w:hAnsi="Arial" w:cs="Arial"/>
        </w:rPr>
        <w:t>(</w:t>
      </w:r>
      <w:r w:rsidRPr="001B3ED4">
        <w:rPr>
          <w:rFonts w:ascii="Arial" w:hAnsi="Arial" w:cs="Arial"/>
        </w:rPr>
        <w:t>2017</w:t>
      </w:r>
      <w:r w:rsidR="00BD2E7B" w:rsidRPr="001B3ED4">
        <w:rPr>
          <w:rFonts w:ascii="Arial" w:hAnsi="Arial" w:cs="Arial"/>
        </w:rPr>
        <w:t>)</w:t>
      </w:r>
      <w:r w:rsidRPr="001B3ED4">
        <w:rPr>
          <w:rFonts w:ascii="Arial" w:hAnsi="Arial" w:cs="Arial"/>
        </w:rPr>
        <w:t>. Modelling the social and structural determinants of tuberculosis: opportunities and challenges. </w:t>
      </w:r>
      <w:r w:rsidRPr="001B3ED4">
        <w:rPr>
          <w:rFonts w:ascii="Arial" w:hAnsi="Arial" w:cs="Arial"/>
          <w:i/>
          <w:iCs/>
        </w:rPr>
        <w:t>The international journal of tuberculosis and lung disease</w:t>
      </w:r>
      <w:r w:rsidRPr="001B3ED4">
        <w:rPr>
          <w:rFonts w:ascii="Arial" w:hAnsi="Arial" w:cs="Arial"/>
        </w:rPr>
        <w:t>, </w:t>
      </w:r>
      <w:r w:rsidRPr="001B3ED4">
        <w:rPr>
          <w:rFonts w:ascii="Arial" w:hAnsi="Arial" w:cs="Arial"/>
          <w:i/>
          <w:iCs/>
        </w:rPr>
        <w:t>21</w:t>
      </w:r>
      <w:r w:rsidRPr="001B3ED4">
        <w:rPr>
          <w:rFonts w:ascii="Arial" w:hAnsi="Arial" w:cs="Arial"/>
        </w:rPr>
        <w:t xml:space="preserve">(9), pp.957-964. </w:t>
      </w:r>
      <w:hyperlink r:id="rId78" w:history="1">
        <w:r w:rsidRPr="001B3ED4">
          <w:rPr>
            <w:rStyle w:val="Hyperlink"/>
            <w:rFonts w:ascii="Arial" w:hAnsi="Arial" w:cs="Arial"/>
          </w:rPr>
          <w:t>https://www.ingentaconnect.com/content/iuatld/ijtld/2017/00000021/00000009/art00005</w:t>
        </w:r>
      </w:hyperlink>
    </w:p>
    <w:p w14:paraId="2999BC1F" w14:textId="7384E846" w:rsidR="002202D1" w:rsidRPr="001B3ED4" w:rsidRDefault="002202D1" w:rsidP="0046084C">
      <w:pPr>
        <w:spacing w:before="240" w:line="360" w:lineRule="auto"/>
        <w:jc w:val="both"/>
        <w:rPr>
          <w:rFonts w:ascii="Arial" w:hAnsi="Arial" w:cs="Arial"/>
        </w:rPr>
      </w:pPr>
      <w:r w:rsidRPr="001B3ED4">
        <w:rPr>
          <w:rFonts w:ascii="Arial" w:hAnsi="Arial" w:cs="Arial"/>
        </w:rPr>
        <w:t xml:space="preserve">Pai, M., Behr, M.A., </w:t>
      </w:r>
      <w:proofErr w:type="spellStart"/>
      <w:r w:rsidRPr="001B3ED4">
        <w:rPr>
          <w:rFonts w:ascii="Arial" w:hAnsi="Arial" w:cs="Arial"/>
        </w:rPr>
        <w:t>Divangahi</w:t>
      </w:r>
      <w:proofErr w:type="spellEnd"/>
      <w:r w:rsidRPr="001B3ED4">
        <w:rPr>
          <w:rFonts w:ascii="Arial" w:hAnsi="Arial" w:cs="Arial"/>
        </w:rPr>
        <w:t xml:space="preserve">, M., Menzies, D., Dowdy, D., </w:t>
      </w:r>
      <w:proofErr w:type="spellStart"/>
      <w:r w:rsidRPr="001B3ED4">
        <w:rPr>
          <w:rFonts w:ascii="Arial" w:hAnsi="Arial" w:cs="Arial"/>
        </w:rPr>
        <w:t>Dheda</w:t>
      </w:r>
      <w:proofErr w:type="spellEnd"/>
      <w:r w:rsidRPr="001B3ED4">
        <w:rPr>
          <w:rFonts w:ascii="Arial" w:hAnsi="Arial" w:cs="Arial"/>
        </w:rPr>
        <w:t xml:space="preserve">, K., Boehme, C.C., Ginsberg, A., Swaminathan, S., Spigelman, M. and Getahun, H., </w:t>
      </w:r>
      <w:r w:rsidR="00BD2E7B" w:rsidRPr="001B3ED4">
        <w:rPr>
          <w:rFonts w:ascii="Arial" w:hAnsi="Arial" w:cs="Arial"/>
        </w:rPr>
        <w:t>(</w:t>
      </w:r>
      <w:r w:rsidRPr="001B3ED4">
        <w:rPr>
          <w:rFonts w:ascii="Arial" w:hAnsi="Arial" w:cs="Arial"/>
        </w:rPr>
        <w:t>2016</w:t>
      </w:r>
      <w:r w:rsidR="00BD2E7B" w:rsidRPr="001B3ED4">
        <w:rPr>
          <w:rFonts w:ascii="Arial" w:hAnsi="Arial" w:cs="Arial"/>
        </w:rPr>
        <w:t>)</w:t>
      </w:r>
      <w:r w:rsidRPr="001B3ED4">
        <w:rPr>
          <w:rFonts w:ascii="Arial" w:hAnsi="Arial" w:cs="Arial"/>
        </w:rPr>
        <w:t>. Tuberculosis. </w:t>
      </w:r>
      <w:r w:rsidRPr="001B3ED4">
        <w:rPr>
          <w:rFonts w:ascii="Arial" w:hAnsi="Arial" w:cs="Arial"/>
          <w:i/>
          <w:iCs/>
        </w:rPr>
        <w:t>Nature reviews. Disease primers</w:t>
      </w:r>
      <w:r w:rsidRPr="001B3ED4">
        <w:rPr>
          <w:rFonts w:ascii="Arial" w:hAnsi="Arial" w:cs="Arial"/>
        </w:rPr>
        <w:t>, </w:t>
      </w:r>
      <w:r w:rsidRPr="001B3ED4">
        <w:rPr>
          <w:rFonts w:ascii="Arial" w:hAnsi="Arial" w:cs="Arial"/>
          <w:i/>
          <w:iCs/>
        </w:rPr>
        <w:t>2</w:t>
      </w:r>
      <w:r w:rsidRPr="001B3ED4">
        <w:rPr>
          <w:rFonts w:ascii="Arial" w:hAnsi="Arial" w:cs="Arial"/>
        </w:rPr>
        <w:t xml:space="preserve">, pp.16076-16076. </w:t>
      </w:r>
      <w:hyperlink r:id="rId79" w:history="1">
        <w:r w:rsidRPr="001B3ED4">
          <w:rPr>
            <w:rStyle w:val="Hyperlink"/>
            <w:rFonts w:ascii="Arial" w:hAnsi="Arial" w:cs="Arial"/>
          </w:rPr>
          <w:t>https://elibrary.ru/item.asp?id=28275212</w:t>
        </w:r>
      </w:hyperlink>
    </w:p>
    <w:p w14:paraId="4A7DC647" w14:textId="71A84AB2" w:rsidR="000C0736" w:rsidRPr="001B3ED4" w:rsidRDefault="000C0736" w:rsidP="0046084C">
      <w:pPr>
        <w:spacing w:before="240" w:line="360" w:lineRule="auto"/>
        <w:jc w:val="both"/>
        <w:rPr>
          <w:rFonts w:ascii="Arial" w:hAnsi="Arial" w:cs="Arial"/>
        </w:rPr>
      </w:pPr>
      <w:r w:rsidRPr="001B3ED4">
        <w:rPr>
          <w:rFonts w:ascii="Arial" w:hAnsi="Arial" w:cs="Arial"/>
        </w:rPr>
        <w:t xml:space="preserve">Patel, S. and Vyas, S., </w:t>
      </w:r>
      <w:r w:rsidR="00066F06" w:rsidRPr="001B3ED4">
        <w:rPr>
          <w:rFonts w:ascii="Arial" w:hAnsi="Arial" w:cs="Arial"/>
        </w:rPr>
        <w:t>(</w:t>
      </w:r>
      <w:r w:rsidRPr="001B3ED4">
        <w:rPr>
          <w:rFonts w:ascii="Arial" w:hAnsi="Arial" w:cs="Arial"/>
        </w:rPr>
        <w:t>2018</w:t>
      </w:r>
      <w:r w:rsidR="00066F06" w:rsidRPr="001B3ED4">
        <w:rPr>
          <w:rFonts w:ascii="Arial" w:hAnsi="Arial" w:cs="Arial"/>
        </w:rPr>
        <w:t>)</w:t>
      </w:r>
      <w:r w:rsidRPr="001B3ED4">
        <w:rPr>
          <w:rFonts w:ascii="Arial" w:hAnsi="Arial" w:cs="Arial"/>
        </w:rPr>
        <w:t>. Innovative methods to overcome barriers and improve immunization coverage: a comparative study in two wards of Ahmedabad city. </w:t>
      </w:r>
      <w:r w:rsidRPr="001B3ED4">
        <w:rPr>
          <w:rFonts w:ascii="Arial" w:hAnsi="Arial" w:cs="Arial"/>
          <w:i/>
          <w:iCs/>
        </w:rPr>
        <w:t>Healthline Journal</w:t>
      </w:r>
      <w:r w:rsidRPr="001B3ED4">
        <w:rPr>
          <w:rFonts w:ascii="Arial" w:hAnsi="Arial" w:cs="Arial"/>
        </w:rPr>
        <w:t>, </w:t>
      </w:r>
      <w:r w:rsidRPr="001B3ED4">
        <w:rPr>
          <w:rFonts w:ascii="Arial" w:hAnsi="Arial" w:cs="Arial"/>
          <w:i/>
          <w:iCs/>
        </w:rPr>
        <w:t>9</w:t>
      </w:r>
      <w:r w:rsidRPr="001B3ED4">
        <w:rPr>
          <w:rFonts w:ascii="Arial" w:hAnsi="Arial" w:cs="Arial"/>
        </w:rPr>
        <w:t xml:space="preserve">(2), pp.52-8. </w:t>
      </w:r>
      <w:hyperlink r:id="rId80" w:history="1">
        <w:r w:rsidRPr="001B3ED4">
          <w:rPr>
            <w:rStyle w:val="Hyperlink"/>
            <w:rFonts w:ascii="Arial" w:hAnsi="Arial" w:cs="Arial"/>
          </w:rPr>
          <w:t>https://www.healthlinejournal.org/index_pdf/269.pdf</w:t>
        </w:r>
      </w:hyperlink>
    </w:p>
    <w:p w14:paraId="747FFB1D" w14:textId="38595AD7" w:rsidR="000C0736" w:rsidRPr="001B3ED4" w:rsidRDefault="000C0736" w:rsidP="0046084C">
      <w:pPr>
        <w:spacing w:before="240" w:line="360" w:lineRule="auto"/>
        <w:jc w:val="both"/>
        <w:rPr>
          <w:rFonts w:ascii="Arial" w:hAnsi="Arial" w:cs="Arial"/>
        </w:rPr>
      </w:pPr>
      <w:r w:rsidRPr="001B3ED4">
        <w:rPr>
          <w:rFonts w:ascii="Arial" w:hAnsi="Arial" w:cs="Arial"/>
        </w:rPr>
        <w:t xml:space="preserve">Pelzer, P.T., Seeley, J., Sun, F.Y., </w:t>
      </w:r>
      <w:proofErr w:type="spellStart"/>
      <w:r w:rsidRPr="001B3ED4">
        <w:rPr>
          <w:rFonts w:ascii="Arial" w:hAnsi="Arial" w:cs="Arial"/>
        </w:rPr>
        <w:t>Tameris</w:t>
      </w:r>
      <w:proofErr w:type="spellEnd"/>
      <w:r w:rsidRPr="001B3ED4">
        <w:rPr>
          <w:rFonts w:ascii="Arial" w:hAnsi="Arial" w:cs="Arial"/>
        </w:rPr>
        <w:t xml:space="preserve">, M., Tao, L., Yanlin, Z., </w:t>
      </w:r>
      <w:proofErr w:type="spellStart"/>
      <w:r w:rsidRPr="001B3ED4">
        <w:rPr>
          <w:rFonts w:ascii="Arial" w:hAnsi="Arial" w:cs="Arial"/>
        </w:rPr>
        <w:t>Moosan</w:t>
      </w:r>
      <w:proofErr w:type="spellEnd"/>
      <w:r w:rsidRPr="001B3ED4">
        <w:rPr>
          <w:rFonts w:ascii="Arial" w:hAnsi="Arial" w:cs="Arial"/>
        </w:rPr>
        <w:t xml:space="preserve">, H., </w:t>
      </w:r>
      <w:proofErr w:type="spellStart"/>
      <w:r w:rsidRPr="001B3ED4">
        <w:rPr>
          <w:rFonts w:ascii="Arial" w:hAnsi="Arial" w:cs="Arial"/>
        </w:rPr>
        <w:t>Weerasuriya</w:t>
      </w:r>
      <w:proofErr w:type="spellEnd"/>
      <w:r w:rsidRPr="001B3ED4">
        <w:rPr>
          <w:rFonts w:ascii="Arial" w:hAnsi="Arial" w:cs="Arial"/>
        </w:rPr>
        <w:t xml:space="preserve">, C., Asaria, M., Jayawardana, S. and White, R.G., </w:t>
      </w:r>
      <w:r w:rsidR="00C541FE" w:rsidRPr="001B3ED4">
        <w:rPr>
          <w:rFonts w:ascii="Arial" w:hAnsi="Arial" w:cs="Arial"/>
        </w:rPr>
        <w:t>(</w:t>
      </w:r>
      <w:r w:rsidRPr="001B3ED4">
        <w:rPr>
          <w:rFonts w:ascii="Arial" w:hAnsi="Arial" w:cs="Arial"/>
        </w:rPr>
        <w:t>2022</w:t>
      </w:r>
      <w:r w:rsidR="00C541FE" w:rsidRPr="001B3ED4">
        <w:rPr>
          <w:rFonts w:ascii="Arial" w:hAnsi="Arial" w:cs="Arial"/>
        </w:rPr>
        <w:t>)</w:t>
      </w:r>
      <w:r w:rsidRPr="001B3ED4">
        <w:rPr>
          <w:rFonts w:ascii="Arial" w:hAnsi="Arial" w:cs="Arial"/>
        </w:rPr>
        <w:t xml:space="preserve">. Potential implementation strategies, acceptability, and feasibility of new and repurposed TB </w:t>
      </w:r>
      <w:r w:rsidRPr="001B3ED4">
        <w:rPr>
          <w:rFonts w:ascii="Arial" w:hAnsi="Arial" w:cs="Arial"/>
        </w:rPr>
        <w:lastRenderedPageBreak/>
        <w:t>vaccines. </w:t>
      </w:r>
      <w:r w:rsidRPr="001B3ED4">
        <w:rPr>
          <w:rFonts w:ascii="Arial" w:hAnsi="Arial" w:cs="Arial"/>
          <w:i/>
          <w:iCs/>
        </w:rPr>
        <w:t>PLOS global public health</w:t>
      </w:r>
      <w:r w:rsidRPr="001B3ED4">
        <w:rPr>
          <w:rFonts w:ascii="Arial" w:hAnsi="Arial" w:cs="Arial"/>
        </w:rPr>
        <w:t>, </w:t>
      </w:r>
      <w:r w:rsidRPr="001B3ED4">
        <w:rPr>
          <w:rFonts w:ascii="Arial" w:hAnsi="Arial" w:cs="Arial"/>
          <w:i/>
          <w:iCs/>
        </w:rPr>
        <w:t>2</w:t>
      </w:r>
      <w:r w:rsidRPr="001B3ED4">
        <w:rPr>
          <w:rFonts w:ascii="Arial" w:hAnsi="Arial" w:cs="Arial"/>
        </w:rPr>
        <w:t xml:space="preserve">(5), p.e0000076. </w:t>
      </w:r>
      <w:hyperlink r:id="rId81" w:history="1">
        <w:r w:rsidRPr="001B3ED4">
          <w:rPr>
            <w:rStyle w:val="Hyperlink"/>
            <w:rFonts w:ascii="Arial" w:hAnsi="Arial" w:cs="Arial"/>
          </w:rPr>
          <w:t>https://journals.plos.org/globalpublichealth/article?id=10.1371/journal.pgph.0000076</w:t>
        </w:r>
      </w:hyperlink>
    </w:p>
    <w:p w14:paraId="17740B08" w14:textId="2B5B9C17" w:rsidR="00717B0F" w:rsidRPr="001B3ED4" w:rsidRDefault="00717B0F" w:rsidP="0046084C">
      <w:pPr>
        <w:spacing w:before="240" w:line="360" w:lineRule="auto"/>
        <w:jc w:val="both"/>
        <w:rPr>
          <w:rFonts w:ascii="Arial" w:hAnsi="Arial" w:cs="Arial"/>
        </w:rPr>
      </w:pPr>
      <w:r w:rsidRPr="001B3ED4">
        <w:rPr>
          <w:rFonts w:ascii="Arial" w:hAnsi="Arial" w:cs="Arial"/>
        </w:rPr>
        <w:t xml:space="preserve">Prakash, R., Kumar, P., </w:t>
      </w:r>
      <w:proofErr w:type="spellStart"/>
      <w:r w:rsidRPr="001B3ED4">
        <w:rPr>
          <w:rFonts w:ascii="Arial" w:hAnsi="Arial" w:cs="Arial"/>
        </w:rPr>
        <w:t>Dehury</w:t>
      </w:r>
      <w:proofErr w:type="spellEnd"/>
      <w:r w:rsidRPr="001B3ED4">
        <w:rPr>
          <w:rFonts w:ascii="Arial" w:hAnsi="Arial" w:cs="Arial"/>
        </w:rPr>
        <w:t xml:space="preserve">, B., Thacker, D., Shoemaker, E., </w:t>
      </w:r>
      <w:proofErr w:type="spellStart"/>
      <w:r w:rsidRPr="001B3ED4">
        <w:rPr>
          <w:rFonts w:ascii="Arial" w:hAnsi="Arial" w:cs="Arial"/>
        </w:rPr>
        <w:t>Manjappa</w:t>
      </w:r>
      <w:proofErr w:type="spellEnd"/>
      <w:r w:rsidRPr="001B3ED4">
        <w:rPr>
          <w:rFonts w:ascii="Arial" w:hAnsi="Arial" w:cs="Arial"/>
        </w:rPr>
        <w:t xml:space="preserve">, R.B., Isac, S., Anthony, J., </w:t>
      </w:r>
      <w:proofErr w:type="spellStart"/>
      <w:r w:rsidRPr="001B3ED4">
        <w:rPr>
          <w:rFonts w:ascii="Arial" w:hAnsi="Arial" w:cs="Arial"/>
        </w:rPr>
        <w:t>Namasivayam</w:t>
      </w:r>
      <w:proofErr w:type="spellEnd"/>
      <w:r w:rsidRPr="001B3ED4">
        <w:rPr>
          <w:rFonts w:ascii="Arial" w:hAnsi="Arial" w:cs="Arial"/>
        </w:rPr>
        <w:t xml:space="preserve">, V., Blanchard, J. and Becker, M., </w:t>
      </w:r>
      <w:r w:rsidR="00BD2E7B" w:rsidRPr="001B3ED4">
        <w:rPr>
          <w:rFonts w:ascii="Arial" w:hAnsi="Arial" w:cs="Arial"/>
        </w:rPr>
        <w:t>(</w:t>
      </w:r>
      <w:r w:rsidRPr="001B3ED4">
        <w:rPr>
          <w:rFonts w:ascii="Arial" w:hAnsi="Arial" w:cs="Arial"/>
        </w:rPr>
        <w:t>2025</w:t>
      </w:r>
      <w:r w:rsidR="00BD2E7B" w:rsidRPr="001B3ED4">
        <w:rPr>
          <w:rFonts w:ascii="Arial" w:hAnsi="Arial" w:cs="Arial"/>
        </w:rPr>
        <w:t>)</w:t>
      </w:r>
      <w:r w:rsidRPr="001B3ED4">
        <w:rPr>
          <w:rFonts w:ascii="Arial" w:hAnsi="Arial" w:cs="Arial"/>
        </w:rPr>
        <w:t>. Preventing vaccine drop-outs: Geographic and system-level barriers to full immunization coverage among children in Uttar Pradesh, India. </w:t>
      </w:r>
      <w:r w:rsidRPr="001B3ED4">
        <w:rPr>
          <w:rFonts w:ascii="Arial" w:hAnsi="Arial" w:cs="Arial"/>
          <w:i/>
          <w:iCs/>
        </w:rPr>
        <w:t>Vaccine: X</w:t>
      </w:r>
      <w:r w:rsidRPr="001B3ED4">
        <w:rPr>
          <w:rFonts w:ascii="Arial" w:hAnsi="Arial" w:cs="Arial"/>
        </w:rPr>
        <w:t>, </w:t>
      </w:r>
      <w:r w:rsidRPr="001B3ED4">
        <w:rPr>
          <w:rFonts w:ascii="Arial" w:hAnsi="Arial" w:cs="Arial"/>
          <w:i/>
          <w:iCs/>
        </w:rPr>
        <w:t>23</w:t>
      </w:r>
      <w:r w:rsidRPr="001B3ED4">
        <w:rPr>
          <w:rFonts w:ascii="Arial" w:hAnsi="Arial" w:cs="Arial"/>
        </w:rPr>
        <w:t xml:space="preserve">, p.100613. </w:t>
      </w:r>
      <w:hyperlink r:id="rId82" w:history="1">
        <w:r w:rsidRPr="001B3ED4">
          <w:rPr>
            <w:rStyle w:val="Hyperlink"/>
            <w:rFonts w:ascii="Arial" w:hAnsi="Arial" w:cs="Arial"/>
          </w:rPr>
          <w:t>https://www.sciencedirect.com/science/article/pii/S2590136225000075</w:t>
        </w:r>
      </w:hyperlink>
    </w:p>
    <w:p w14:paraId="5841A9A0" w14:textId="2E378EAA" w:rsidR="002E018A" w:rsidRPr="001B3ED4" w:rsidRDefault="002E018A" w:rsidP="002E018A">
      <w:pPr>
        <w:spacing w:before="240" w:line="360" w:lineRule="auto"/>
        <w:jc w:val="both"/>
        <w:rPr>
          <w:rFonts w:ascii="Arial" w:hAnsi="Arial" w:cs="Arial"/>
        </w:rPr>
      </w:pPr>
      <w:r w:rsidRPr="001B3ED4">
        <w:rPr>
          <w:rFonts w:ascii="Arial" w:hAnsi="Arial" w:cs="Arial"/>
        </w:rPr>
        <w:t xml:space="preserve">Ram, U. and Ram, F., </w:t>
      </w:r>
      <w:r w:rsidR="003B414A" w:rsidRPr="001B3ED4">
        <w:rPr>
          <w:rFonts w:ascii="Arial" w:hAnsi="Arial" w:cs="Arial"/>
        </w:rPr>
        <w:t>(</w:t>
      </w:r>
      <w:r w:rsidRPr="001B3ED4">
        <w:rPr>
          <w:rFonts w:ascii="Arial" w:hAnsi="Arial" w:cs="Arial"/>
        </w:rPr>
        <w:t>2021</w:t>
      </w:r>
      <w:r w:rsidR="003B414A" w:rsidRPr="001B3ED4">
        <w:rPr>
          <w:rFonts w:ascii="Arial" w:hAnsi="Arial" w:cs="Arial"/>
        </w:rPr>
        <w:t>)</w:t>
      </w:r>
      <w:r w:rsidRPr="001B3ED4">
        <w:rPr>
          <w:rFonts w:ascii="Arial" w:hAnsi="Arial" w:cs="Arial"/>
        </w:rPr>
        <w:t>. Demographic transition in India: insights into population growth, composition, and its major drivers. In </w:t>
      </w:r>
      <w:r w:rsidRPr="001B3ED4">
        <w:rPr>
          <w:rFonts w:ascii="Arial" w:hAnsi="Arial" w:cs="Arial"/>
          <w:i/>
          <w:iCs/>
        </w:rPr>
        <w:t xml:space="preserve">Oxford Research </w:t>
      </w:r>
      <w:proofErr w:type="spellStart"/>
      <w:r w:rsidRPr="001B3ED4">
        <w:rPr>
          <w:rFonts w:ascii="Arial" w:hAnsi="Arial" w:cs="Arial"/>
          <w:i/>
          <w:iCs/>
        </w:rPr>
        <w:t>Encyclopedia</w:t>
      </w:r>
      <w:proofErr w:type="spellEnd"/>
      <w:r w:rsidRPr="001B3ED4">
        <w:rPr>
          <w:rFonts w:ascii="Arial" w:hAnsi="Arial" w:cs="Arial"/>
          <w:i/>
          <w:iCs/>
        </w:rPr>
        <w:t xml:space="preserve"> of Global Public Health</w:t>
      </w:r>
      <w:r w:rsidRPr="001B3ED4">
        <w:rPr>
          <w:rFonts w:ascii="Arial" w:hAnsi="Arial" w:cs="Arial"/>
        </w:rPr>
        <w:t xml:space="preserve">. </w:t>
      </w:r>
      <w:hyperlink r:id="rId83" w:history="1">
        <w:r w:rsidRPr="001B3ED4">
          <w:rPr>
            <w:rStyle w:val="Hyperlink"/>
            <w:rFonts w:ascii="Arial" w:hAnsi="Arial" w:cs="Arial"/>
          </w:rPr>
          <w:t>https://doi.org/10.1093/acrefore/9780190632366.013.223</w:t>
        </w:r>
      </w:hyperlink>
    </w:p>
    <w:p w14:paraId="524C06B0" w14:textId="2B257AFC" w:rsidR="00672C39" w:rsidRPr="001B3ED4" w:rsidRDefault="00672C39" w:rsidP="0046084C">
      <w:pPr>
        <w:spacing w:before="240" w:line="360" w:lineRule="auto"/>
        <w:jc w:val="both"/>
        <w:rPr>
          <w:rFonts w:ascii="Arial" w:hAnsi="Arial" w:cs="Arial"/>
        </w:rPr>
      </w:pPr>
      <w:r w:rsidRPr="001B3ED4">
        <w:rPr>
          <w:rFonts w:ascii="Arial" w:hAnsi="Arial" w:cs="Arial"/>
        </w:rPr>
        <w:t xml:space="preserve">Rao, V.G., Bhat, J., Yadav, R., Sharma, R.K. and Muniyandi, M., </w:t>
      </w:r>
      <w:r w:rsidR="00BD2E7B" w:rsidRPr="001B3ED4">
        <w:rPr>
          <w:rFonts w:ascii="Arial" w:hAnsi="Arial" w:cs="Arial"/>
        </w:rPr>
        <w:t>(</w:t>
      </w:r>
      <w:r w:rsidRPr="001B3ED4">
        <w:rPr>
          <w:rFonts w:ascii="Arial" w:hAnsi="Arial" w:cs="Arial"/>
        </w:rPr>
        <w:t>2018</w:t>
      </w:r>
      <w:r w:rsidR="00BD2E7B" w:rsidRPr="001B3ED4">
        <w:rPr>
          <w:rFonts w:ascii="Arial" w:hAnsi="Arial" w:cs="Arial"/>
        </w:rPr>
        <w:t>)</w:t>
      </w:r>
      <w:r w:rsidRPr="001B3ED4">
        <w:rPr>
          <w:rFonts w:ascii="Arial" w:hAnsi="Arial" w:cs="Arial"/>
        </w:rPr>
        <w:t xml:space="preserve">. A comparative study of the socio-economic risk factors for pulmonary tuberculosis in the </w:t>
      </w:r>
      <w:proofErr w:type="spellStart"/>
      <w:r w:rsidRPr="001B3ED4">
        <w:rPr>
          <w:rFonts w:ascii="Arial" w:hAnsi="Arial" w:cs="Arial"/>
        </w:rPr>
        <w:t>Saharia</w:t>
      </w:r>
      <w:proofErr w:type="spellEnd"/>
      <w:r w:rsidRPr="001B3ED4">
        <w:rPr>
          <w:rFonts w:ascii="Arial" w:hAnsi="Arial" w:cs="Arial"/>
        </w:rPr>
        <w:t xml:space="preserve"> tribe of Madhya Pradesh, India. </w:t>
      </w:r>
      <w:r w:rsidRPr="001B3ED4">
        <w:rPr>
          <w:rFonts w:ascii="Arial" w:hAnsi="Arial" w:cs="Arial"/>
          <w:i/>
          <w:iCs/>
        </w:rPr>
        <w:t>Transactions of the Royal Society of tropical medicine and Hygiene</w:t>
      </w:r>
      <w:r w:rsidRPr="001B3ED4">
        <w:rPr>
          <w:rFonts w:ascii="Arial" w:hAnsi="Arial" w:cs="Arial"/>
        </w:rPr>
        <w:t>, </w:t>
      </w:r>
      <w:r w:rsidRPr="001B3ED4">
        <w:rPr>
          <w:rFonts w:ascii="Arial" w:hAnsi="Arial" w:cs="Arial"/>
          <w:i/>
          <w:iCs/>
        </w:rPr>
        <w:t>112</w:t>
      </w:r>
      <w:r w:rsidRPr="001B3ED4">
        <w:rPr>
          <w:rFonts w:ascii="Arial" w:hAnsi="Arial" w:cs="Arial"/>
        </w:rPr>
        <w:t xml:space="preserve">(6), pp.272-278. </w:t>
      </w:r>
      <w:hyperlink r:id="rId84" w:history="1">
        <w:r w:rsidRPr="001B3ED4">
          <w:rPr>
            <w:rStyle w:val="Hyperlink"/>
            <w:rFonts w:ascii="Arial" w:hAnsi="Arial" w:cs="Arial"/>
          </w:rPr>
          <w:t>https://academic.oup.com/trstmh/article-abstract/112/6/272/5040477</w:t>
        </w:r>
      </w:hyperlink>
    </w:p>
    <w:p w14:paraId="52956146" w14:textId="49EE320D" w:rsidR="00DD5ADC" w:rsidRPr="001B3ED4" w:rsidRDefault="00DD5ADC" w:rsidP="00DD5ADC">
      <w:pPr>
        <w:spacing w:line="360" w:lineRule="auto"/>
        <w:jc w:val="both"/>
        <w:rPr>
          <w:rFonts w:ascii="Arial" w:hAnsi="Arial" w:cs="Arial"/>
        </w:rPr>
      </w:pPr>
      <w:r w:rsidRPr="001B3ED4">
        <w:rPr>
          <w:rFonts w:ascii="Arial" w:hAnsi="Arial" w:cs="Arial"/>
        </w:rPr>
        <w:t xml:space="preserve">Rasmussen, C.E.H., Vedel, J.O., Jensen, A.M., Borges, I.D.S., Furtado, O., Meyrowitsch, D.W. and Fisker, A.B., </w:t>
      </w:r>
      <w:r w:rsidR="007E2859" w:rsidRPr="001B3ED4">
        <w:rPr>
          <w:rFonts w:ascii="Arial" w:hAnsi="Arial" w:cs="Arial"/>
        </w:rPr>
        <w:t>(</w:t>
      </w:r>
      <w:r w:rsidRPr="001B3ED4">
        <w:rPr>
          <w:rFonts w:ascii="Arial" w:hAnsi="Arial" w:cs="Arial"/>
        </w:rPr>
        <w:t>2024</w:t>
      </w:r>
      <w:r w:rsidR="007E2859" w:rsidRPr="001B3ED4">
        <w:rPr>
          <w:rFonts w:ascii="Arial" w:hAnsi="Arial" w:cs="Arial"/>
        </w:rPr>
        <w:t>)</w:t>
      </w:r>
      <w:r w:rsidRPr="001B3ED4">
        <w:rPr>
          <w:rFonts w:ascii="Arial" w:hAnsi="Arial" w:cs="Arial"/>
        </w:rPr>
        <w:t>. Implementation of the vaccination program in Guinea-Bissau: Coverage and missed opportunities for BCG at birth. </w:t>
      </w:r>
      <w:r w:rsidRPr="001B3ED4">
        <w:rPr>
          <w:rFonts w:ascii="Arial" w:hAnsi="Arial" w:cs="Arial"/>
          <w:i/>
          <w:iCs/>
        </w:rPr>
        <w:t>Vaccine</w:t>
      </w:r>
      <w:r w:rsidRPr="001B3ED4">
        <w:rPr>
          <w:rFonts w:ascii="Arial" w:hAnsi="Arial" w:cs="Arial"/>
        </w:rPr>
        <w:t>, </w:t>
      </w:r>
      <w:r w:rsidRPr="001B3ED4">
        <w:rPr>
          <w:rFonts w:ascii="Arial" w:hAnsi="Arial" w:cs="Arial"/>
          <w:i/>
          <w:iCs/>
        </w:rPr>
        <w:t>42</w:t>
      </w:r>
      <w:r w:rsidRPr="001B3ED4">
        <w:rPr>
          <w:rFonts w:ascii="Arial" w:hAnsi="Arial" w:cs="Arial"/>
        </w:rPr>
        <w:t xml:space="preserve">(23), p.126056. </w:t>
      </w:r>
      <w:hyperlink r:id="rId85" w:history="1">
        <w:r w:rsidRPr="001B3ED4">
          <w:rPr>
            <w:rStyle w:val="Hyperlink"/>
            <w:rFonts w:ascii="Arial" w:hAnsi="Arial" w:cs="Arial"/>
          </w:rPr>
          <w:t>https://www.sciencedirect.com/science/article/pii/S0264410X24006972</w:t>
        </w:r>
      </w:hyperlink>
    </w:p>
    <w:p w14:paraId="47C1A235" w14:textId="0CBFC260" w:rsidR="00DD5ADC" w:rsidRPr="001B3ED4" w:rsidRDefault="00DD5ADC" w:rsidP="00DD5ADC">
      <w:pPr>
        <w:spacing w:line="360" w:lineRule="auto"/>
        <w:jc w:val="both"/>
        <w:rPr>
          <w:rFonts w:ascii="Arial" w:hAnsi="Arial" w:cs="Arial"/>
        </w:rPr>
      </w:pPr>
      <w:proofErr w:type="spellStart"/>
      <w:r w:rsidRPr="001B3ED4">
        <w:rPr>
          <w:rFonts w:ascii="Arial" w:hAnsi="Arial" w:cs="Arial"/>
        </w:rPr>
        <w:t>Rajaonarifara</w:t>
      </w:r>
      <w:proofErr w:type="spellEnd"/>
      <w:r w:rsidRPr="001B3ED4">
        <w:rPr>
          <w:rFonts w:ascii="Arial" w:hAnsi="Arial" w:cs="Arial"/>
        </w:rPr>
        <w:t xml:space="preserve">, E., Bonds, M.H., Miller, A.C., </w:t>
      </w:r>
      <w:proofErr w:type="spellStart"/>
      <w:r w:rsidRPr="001B3ED4">
        <w:rPr>
          <w:rFonts w:ascii="Arial" w:hAnsi="Arial" w:cs="Arial"/>
        </w:rPr>
        <w:t>Ihantamalala</w:t>
      </w:r>
      <w:proofErr w:type="spellEnd"/>
      <w:r w:rsidRPr="001B3ED4">
        <w:rPr>
          <w:rFonts w:ascii="Arial" w:hAnsi="Arial" w:cs="Arial"/>
        </w:rPr>
        <w:t xml:space="preserve">, F.A., Cordier, L., </w:t>
      </w:r>
      <w:proofErr w:type="spellStart"/>
      <w:r w:rsidRPr="001B3ED4">
        <w:rPr>
          <w:rFonts w:ascii="Arial" w:hAnsi="Arial" w:cs="Arial"/>
        </w:rPr>
        <w:t>Razafinjato</w:t>
      </w:r>
      <w:proofErr w:type="spellEnd"/>
      <w:r w:rsidRPr="001B3ED4">
        <w:rPr>
          <w:rFonts w:ascii="Arial" w:hAnsi="Arial" w:cs="Arial"/>
        </w:rPr>
        <w:t xml:space="preserve">, B., </w:t>
      </w:r>
      <w:proofErr w:type="spellStart"/>
      <w:r w:rsidRPr="001B3ED4">
        <w:rPr>
          <w:rFonts w:ascii="Arial" w:hAnsi="Arial" w:cs="Arial"/>
        </w:rPr>
        <w:t>Rafenoarimalala</w:t>
      </w:r>
      <w:proofErr w:type="spellEnd"/>
      <w:r w:rsidRPr="001B3ED4">
        <w:rPr>
          <w:rFonts w:ascii="Arial" w:hAnsi="Arial" w:cs="Arial"/>
        </w:rPr>
        <w:t xml:space="preserve">, F.H., Finnegan, K.E., </w:t>
      </w:r>
      <w:proofErr w:type="spellStart"/>
      <w:r w:rsidRPr="001B3ED4">
        <w:rPr>
          <w:rFonts w:ascii="Arial" w:hAnsi="Arial" w:cs="Arial"/>
        </w:rPr>
        <w:t>Rakotonanahary</w:t>
      </w:r>
      <w:proofErr w:type="spellEnd"/>
      <w:r w:rsidRPr="001B3ED4">
        <w:rPr>
          <w:rFonts w:ascii="Arial" w:hAnsi="Arial" w:cs="Arial"/>
        </w:rPr>
        <w:t xml:space="preserve">, R.J., Cowley, G. and Ratsimbazafy, B., </w:t>
      </w:r>
      <w:r w:rsidR="00925B53" w:rsidRPr="001B3ED4">
        <w:rPr>
          <w:rFonts w:ascii="Arial" w:hAnsi="Arial" w:cs="Arial"/>
        </w:rPr>
        <w:t>(</w:t>
      </w:r>
      <w:r w:rsidRPr="001B3ED4">
        <w:rPr>
          <w:rFonts w:ascii="Arial" w:hAnsi="Arial" w:cs="Arial"/>
        </w:rPr>
        <w:t>2022</w:t>
      </w:r>
      <w:r w:rsidR="00925B53" w:rsidRPr="001B3ED4">
        <w:rPr>
          <w:rFonts w:ascii="Arial" w:hAnsi="Arial" w:cs="Arial"/>
        </w:rPr>
        <w:t>)</w:t>
      </w:r>
      <w:r w:rsidRPr="001B3ED4">
        <w:rPr>
          <w:rFonts w:ascii="Arial" w:hAnsi="Arial" w:cs="Arial"/>
        </w:rPr>
        <w:t>. Impact of health system strengthening on delivery strategies to improve child immunisation coverage and inequalities in rural Madagascar. </w:t>
      </w:r>
      <w:r w:rsidRPr="001B3ED4">
        <w:rPr>
          <w:rFonts w:ascii="Arial" w:hAnsi="Arial" w:cs="Arial"/>
          <w:i/>
          <w:iCs/>
        </w:rPr>
        <w:t>BMJ Global Health</w:t>
      </w:r>
      <w:r w:rsidRPr="001B3ED4">
        <w:rPr>
          <w:rFonts w:ascii="Arial" w:hAnsi="Arial" w:cs="Arial"/>
        </w:rPr>
        <w:t>, </w:t>
      </w:r>
      <w:r w:rsidRPr="001B3ED4">
        <w:rPr>
          <w:rFonts w:ascii="Arial" w:hAnsi="Arial" w:cs="Arial"/>
          <w:i/>
          <w:iCs/>
        </w:rPr>
        <w:t>7</w:t>
      </w:r>
      <w:r w:rsidRPr="001B3ED4">
        <w:rPr>
          <w:rFonts w:ascii="Arial" w:hAnsi="Arial" w:cs="Arial"/>
        </w:rPr>
        <w:t xml:space="preserve">(1), p.e006824. </w:t>
      </w:r>
      <w:hyperlink r:id="rId86" w:history="1">
        <w:r w:rsidRPr="001B3ED4">
          <w:rPr>
            <w:rStyle w:val="Hyperlink"/>
            <w:rFonts w:ascii="Arial" w:hAnsi="Arial" w:cs="Arial"/>
          </w:rPr>
          <w:t>https://gh.bmj.com/content/7/1/e006824</w:t>
        </w:r>
      </w:hyperlink>
    </w:p>
    <w:p w14:paraId="76914850" w14:textId="26451408" w:rsidR="00FB2514" w:rsidRPr="001B3ED4" w:rsidRDefault="00FB2514" w:rsidP="00FB2514">
      <w:pPr>
        <w:spacing w:line="360" w:lineRule="auto"/>
        <w:jc w:val="both"/>
        <w:rPr>
          <w:rFonts w:ascii="Arial" w:hAnsi="Arial" w:cs="Arial"/>
        </w:rPr>
      </w:pPr>
      <w:r w:rsidRPr="001B3ED4">
        <w:rPr>
          <w:rFonts w:ascii="Arial" w:hAnsi="Arial" w:cs="Arial"/>
        </w:rPr>
        <w:t xml:space="preserve">Rice, D.B., Kloda, L.A., Shrier, I. and Thombs, B.D., </w:t>
      </w:r>
      <w:r w:rsidR="00BE3DAC" w:rsidRPr="001B3ED4">
        <w:rPr>
          <w:rFonts w:ascii="Arial" w:hAnsi="Arial" w:cs="Arial"/>
        </w:rPr>
        <w:t>(</w:t>
      </w:r>
      <w:r w:rsidRPr="001B3ED4">
        <w:rPr>
          <w:rFonts w:ascii="Arial" w:hAnsi="Arial" w:cs="Arial"/>
        </w:rPr>
        <w:t>2016</w:t>
      </w:r>
      <w:r w:rsidR="00BE3DAC" w:rsidRPr="001B3ED4">
        <w:rPr>
          <w:rFonts w:ascii="Arial" w:hAnsi="Arial" w:cs="Arial"/>
        </w:rPr>
        <w:t>)</w:t>
      </w:r>
      <w:r w:rsidRPr="001B3ED4">
        <w:rPr>
          <w:rFonts w:ascii="Arial" w:hAnsi="Arial" w:cs="Arial"/>
        </w:rPr>
        <w:t>. Reporting completeness and transparency of meta-analyses of depression screening tool accuracy: a comparison of meta-analyses published before and after the PRISMA statement. </w:t>
      </w:r>
      <w:r w:rsidRPr="001B3ED4">
        <w:rPr>
          <w:rFonts w:ascii="Arial" w:hAnsi="Arial" w:cs="Arial"/>
          <w:i/>
          <w:iCs/>
        </w:rPr>
        <w:t>Journal of Psychosomatic Research</w:t>
      </w:r>
      <w:r w:rsidRPr="001B3ED4">
        <w:rPr>
          <w:rFonts w:ascii="Arial" w:hAnsi="Arial" w:cs="Arial"/>
        </w:rPr>
        <w:t>, </w:t>
      </w:r>
      <w:r w:rsidRPr="001B3ED4">
        <w:rPr>
          <w:rFonts w:ascii="Arial" w:hAnsi="Arial" w:cs="Arial"/>
          <w:i/>
          <w:iCs/>
        </w:rPr>
        <w:t>87</w:t>
      </w:r>
      <w:r w:rsidRPr="001B3ED4">
        <w:rPr>
          <w:rFonts w:ascii="Arial" w:hAnsi="Arial" w:cs="Arial"/>
        </w:rPr>
        <w:t>, pp.57-69.</w:t>
      </w:r>
      <w:r w:rsidR="00345B07" w:rsidRPr="001B3ED4">
        <w:rPr>
          <w:rFonts w:ascii="Arial" w:hAnsi="Arial" w:cs="Arial"/>
        </w:rPr>
        <w:t xml:space="preserve"> </w:t>
      </w:r>
      <w:hyperlink r:id="rId87" w:history="1">
        <w:r w:rsidR="00345B07" w:rsidRPr="001B3ED4">
          <w:rPr>
            <w:rStyle w:val="Hyperlink"/>
            <w:rFonts w:ascii="Arial" w:hAnsi="Arial" w:cs="Arial"/>
          </w:rPr>
          <w:t>https://www.sciencedirect.com/science/article/pii/S0022399916303294</w:t>
        </w:r>
      </w:hyperlink>
    </w:p>
    <w:p w14:paraId="079B8419" w14:textId="4E07573E" w:rsidR="00FC131E" w:rsidRPr="001B3ED4" w:rsidRDefault="00FC131E" w:rsidP="0046084C">
      <w:pPr>
        <w:spacing w:before="240" w:line="360" w:lineRule="auto"/>
        <w:jc w:val="both"/>
        <w:rPr>
          <w:rFonts w:ascii="Arial" w:hAnsi="Arial" w:cs="Arial"/>
        </w:rPr>
      </w:pPr>
      <w:r w:rsidRPr="001B3ED4">
        <w:rPr>
          <w:rFonts w:ascii="Arial" w:hAnsi="Arial" w:cs="Arial"/>
        </w:rPr>
        <w:lastRenderedPageBreak/>
        <w:t xml:space="preserve">Romanowski, K., Baumann, B., Basham, C.A., Khan, F.A., Fox, G.J. and Johnston, J.C., </w:t>
      </w:r>
      <w:r w:rsidR="00BD2E7B" w:rsidRPr="001B3ED4">
        <w:rPr>
          <w:rFonts w:ascii="Arial" w:hAnsi="Arial" w:cs="Arial"/>
        </w:rPr>
        <w:t>(</w:t>
      </w:r>
      <w:r w:rsidRPr="001B3ED4">
        <w:rPr>
          <w:rFonts w:ascii="Arial" w:hAnsi="Arial" w:cs="Arial"/>
        </w:rPr>
        <w:t>2019</w:t>
      </w:r>
      <w:r w:rsidR="00BD2E7B" w:rsidRPr="001B3ED4">
        <w:rPr>
          <w:rFonts w:ascii="Arial" w:hAnsi="Arial" w:cs="Arial"/>
        </w:rPr>
        <w:t>)</w:t>
      </w:r>
      <w:r w:rsidRPr="001B3ED4">
        <w:rPr>
          <w:rFonts w:ascii="Arial" w:hAnsi="Arial" w:cs="Arial"/>
        </w:rPr>
        <w:t>. Long-term all-cause mortality in people treated for tuberculosis: a systematic review and meta-analysis. </w:t>
      </w:r>
      <w:r w:rsidRPr="001B3ED4">
        <w:rPr>
          <w:rFonts w:ascii="Arial" w:hAnsi="Arial" w:cs="Arial"/>
          <w:i/>
          <w:iCs/>
        </w:rPr>
        <w:t>The Lancet Infectious Diseases</w:t>
      </w:r>
      <w:r w:rsidRPr="001B3ED4">
        <w:rPr>
          <w:rFonts w:ascii="Arial" w:hAnsi="Arial" w:cs="Arial"/>
        </w:rPr>
        <w:t>, </w:t>
      </w:r>
      <w:r w:rsidRPr="001B3ED4">
        <w:rPr>
          <w:rFonts w:ascii="Arial" w:hAnsi="Arial" w:cs="Arial"/>
          <w:i/>
          <w:iCs/>
        </w:rPr>
        <w:t>19</w:t>
      </w:r>
      <w:r w:rsidRPr="001B3ED4">
        <w:rPr>
          <w:rFonts w:ascii="Arial" w:hAnsi="Arial" w:cs="Arial"/>
        </w:rPr>
        <w:t xml:space="preserve">(10), pp.1129-1137. </w:t>
      </w:r>
      <w:hyperlink r:id="rId88" w:history="1">
        <w:r w:rsidRPr="001B3ED4">
          <w:rPr>
            <w:rStyle w:val="Hyperlink"/>
            <w:rFonts w:ascii="Arial" w:hAnsi="Arial" w:cs="Arial"/>
          </w:rPr>
          <w:t>https://www.thelancet.com/journals/laninf/article/PIIS1473-3099(19)30309-3/abstract</w:t>
        </w:r>
      </w:hyperlink>
    </w:p>
    <w:p w14:paraId="67C1A9A5" w14:textId="77777777" w:rsidR="003F75FD" w:rsidRPr="001B3ED4" w:rsidRDefault="003F75FD" w:rsidP="003F75FD">
      <w:pPr>
        <w:spacing w:before="240" w:line="360" w:lineRule="auto"/>
        <w:jc w:val="both"/>
        <w:rPr>
          <w:rFonts w:ascii="Arial" w:hAnsi="Arial" w:cs="Arial"/>
        </w:rPr>
      </w:pPr>
      <w:r w:rsidRPr="001B3ED4">
        <w:rPr>
          <w:rFonts w:ascii="Arial" w:hAnsi="Arial" w:cs="Arial"/>
        </w:rPr>
        <w:t xml:space="preserve">Sarhan, S. and Manu, E., (2021). When does published literature constitute data for secondary research and how should the data be </w:t>
      </w:r>
      <w:proofErr w:type="gramStart"/>
      <w:r w:rsidRPr="001B3ED4">
        <w:rPr>
          <w:rFonts w:ascii="Arial" w:hAnsi="Arial" w:cs="Arial"/>
        </w:rPr>
        <w:t>analysed?.</w:t>
      </w:r>
      <w:proofErr w:type="gramEnd"/>
      <w:r w:rsidRPr="001B3ED4">
        <w:rPr>
          <w:rFonts w:ascii="Arial" w:hAnsi="Arial" w:cs="Arial"/>
        </w:rPr>
        <w:t xml:space="preserve"> In </w:t>
      </w:r>
      <w:r w:rsidRPr="001B3ED4">
        <w:rPr>
          <w:rFonts w:ascii="Arial" w:hAnsi="Arial" w:cs="Arial"/>
          <w:i/>
          <w:iCs/>
        </w:rPr>
        <w:t>Secondary Research Methods in the Built Environment</w:t>
      </w:r>
      <w:r w:rsidRPr="001B3ED4">
        <w:rPr>
          <w:rFonts w:ascii="Arial" w:hAnsi="Arial" w:cs="Arial"/>
        </w:rPr>
        <w:t xml:space="preserve"> (pp. 69-87). Routledge. </w:t>
      </w:r>
      <w:hyperlink r:id="rId89" w:history="1">
        <w:r w:rsidRPr="001B3ED4">
          <w:rPr>
            <w:rStyle w:val="Hyperlink"/>
            <w:rFonts w:ascii="Arial" w:hAnsi="Arial" w:cs="Arial"/>
          </w:rPr>
          <w:t>https://www.taylorfrancis.com/chapters/edit/10.1201/9781003000532-6/published-literature-constitute-data-secondary-research-data-analysed-saad-sarhan-emmanuel-manu</w:t>
        </w:r>
      </w:hyperlink>
    </w:p>
    <w:p w14:paraId="7EF9FD26" w14:textId="032A8485" w:rsidR="006A370E" w:rsidRPr="001B3ED4" w:rsidRDefault="006A370E" w:rsidP="0046084C">
      <w:pPr>
        <w:spacing w:before="240" w:line="360" w:lineRule="auto"/>
        <w:jc w:val="both"/>
        <w:rPr>
          <w:rFonts w:ascii="Arial" w:hAnsi="Arial" w:cs="Arial"/>
        </w:rPr>
      </w:pPr>
      <w:proofErr w:type="spellStart"/>
      <w:r w:rsidRPr="001B3ED4">
        <w:rPr>
          <w:rFonts w:ascii="Arial" w:hAnsi="Arial" w:cs="Arial"/>
        </w:rPr>
        <w:t>Sazali</w:t>
      </w:r>
      <w:proofErr w:type="spellEnd"/>
      <w:r w:rsidRPr="001B3ED4">
        <w:rPr>
          <w:rFonts w:ascii="Arial" w:hAnsi="Arial" w:cs="Arial"/>
        </w:rPr>
        <w:t xml:space="preserve">, M.F., Rahim, S.S.S.A., Mohammad, A.H., Kadir, F., </w:t>
      </w:r>
      <w:proofErr w:type="spellStart"/>
      <w:r w:rsidRPr="001B3ED4">
        <w:rPr>
          <w:rFonts w:ascii="Arial" w:hAnsi="Arial" w:cs="Arial"/>
        </w:rPr>
        <w:t>Payus</w:t>
      </w:r>
      <w:proofErr w:type="spellEnd"/>
      <w:r w:rsidRPr="001B3ED4">
        <w:rPr>
          <w:rFonts w:ascii="Arial" w:hAnsi="Arial" w:cs="Arial"/>
        </w:rPr>
        <w:t xml:space="preserve">, A.O., </w:t>
      </w:r>
      <w:proofErr w:type="spellStart"/>
      <w:r w:rsidRPr="001B3ED4">
        <w:rPr>
          <w:rFonts w:ascii="Arial" w:hAnsi="Arial" w:cs="Arial"/>
        </w:rPr>
        <w:t>Avoi</w:t>
      </w:r>
      <w:proofErr w:type="spellEnd"/>
      <w:r w:rsidRPr="001B3ED4">
        <w:rPr>
          <w:rFonts w:ascii="Arial" w:hAnsi="Arial" w:cs="Arial"/>
        </w:rPr>
        <w:t xml:space="preserve">, R., Jeffree, M.S., Omar, A., Ibrahim, M.Y., Atil, A. and Tuah, N.M., </w:t>
      </w:r>
      <w:r w:rsidR="00BD2E7B" w:rsidRPr="001B3ED4">
        <w:rPr>
          <w:rFonts w:ascii="Arial" w:hAnsi="Arial" w:cs="Arial"/>
        </w:rPr>
        <w:t>(</w:t>
      </w:r>
      <w:r w:rsidRPr="001B3ED4">
        <w:rPr>
          <w:rFonts w:ascii="Arial" w:hAnsi="Arial" w:cs="Arial"/>
        </w:rPr>
        <w:t>2022</w:t>
      </w:r>
      <w:r w:rsidR="00BD2E7B" w:rsidRPr="001B3ED4">
        <w:rPr>
          <w:rFonts w:ascii="Arial" w:hAnsi="Arial" w:cs="Arial"/>
        </w:rPr>
        <w:t>)</w:t>
      </w:r>
      <w:r w:rsidRPr="001B3ED4">
        <w:rPr>
          <w:rFonts w:ascii="Arial" w:hAnsi="Arial" w:cs="Arial"/>
        </w:rPr>
        <w:t>. Improving tuberculosis medication adherence: the potential of integrating digital technology and health belief model. </w:t>
      </w:r>
      <w:r w:rsidRPr="001B3ED4">
        <w:rPr>
          <w:rFonts w:ascii="Arial" w:hAnsi="Arial" w:cs="Arial"/>
          <w:i/>
          <w:iCs/>
        </w:rPr>
        <w:t>Tuberculosis and respiratory diseases</w:t>
      </w:r>
      <w:r w:rsidRPr="001B3ED4">
        <w:rPr>
          <w:rFonts w:ascii="Arial" w:hAnsi="Arial" w:cs="Arial"/>
        </w:rPr>
        <w:t>, </w:t>
      </w:r>
      <w:r w:rsidRPr="001B3ED4">
        <w:rPr>
          <w:rFonts w:ascii="Arial" w:hAnsi="Arial" w:cs="Arial"/>
          <w:i/>
          <w:iCs/>
        </w:rPr>
        <w:t>86</w:t>
      </w:r>
      <w:r w:rsidRPr="001B3ED4">
        <w:rPr>
          <w:rFonts w:ascii="Arial" w:hAnsi="Arial" w:cs="Arial"/>
        </w:rPr>
        <w:t xml:space="preserve">(2), p.82. </w:t>
      </w:r>
      <w:hyperlink r:id="rId90" w:history="1">
        <w:r w:rsidRPr="001B3ED4">
          <w:rPr>
            <w:rStyle w:val="Hyperlink"/>
            <w:rFonts w:ascii="Arial" w:hAnsi="Arial" w:cs="Arial"/>
          </w:rPr>
          <w:t>https://pmc.ncbi.nlm.nih.gov/articles/PMC10073608/</w:t>
        </w:r>
      </w:hyperlink>
    </w:p>
    <w:p w14:paraId="3BD21044" w14:textId="77777777" w:rsidR="002E018A" w:rsidRPr="001B3ED4" w:rsidRDefault="002E018A" w:rsidP="002E018A">
      <w:pPr>
        <w:spacing w:before="240" w:line="360" w:lineRule="auto"/>
        <w:jc w:val="both"/>
        <w:rPr>
          <w:rFonts w:ascii="Arial" w:hAnsi="Arial" w:cs="Arial"/>
        </w:rPr>
      </w:pPr>
      <w:proofErr w:type="spellStart"/>
      <w:r w:rsidRPr="001B3ED4">
        <w:rPr>
          <w:rFonts w:ascii="Arial" w:hAnsi="Arial" w:cs="Arial"/>
        </w:rPr>
        <w:t>Setiabudiawan</w:t>
      </w:r>
      <w:proofErr w:type="spellEnd"/>
      <w:r w:rsidRPr="001B3ED4">
        <w:rPr>
          <w:rFonts w:ascii="Arial" w:hAnsi="Arial" w:cs="Arial"/>
        </w:rPr>
        <w:t xml:space="preserve">, T.P., Reurink, R.K., Hill, P.C., </w:t>
      </w:r>
      <w:proofErr w:type="spellStart"/>
      <w:r w:rsidRPr="001B3ED4">
        <w:rPr>
          <w:rFonts w:ascii="Arial" w:hAnsi="Arial" w:cs="Arial"/>
        </w:rPr>
        <w:t>Netea</w:t>
      </w:r>
      <w:proofErr w:type="spellEnd"/>
      <w:r w:rsidRPr="001B3ED4">
        <w:rPr>
          <w:rFonts w:ascii="Arial" w:hAnsi="Arial" w:cs="Arial"/>
        </w:rPr>
        <w:t xml:space="preserve">, M.G., van </w:t>
      </w:r>
      <w:proofErr w:type="spellStart"/>
      <w:r w:rsidRPr="001B3ED4">
        <w:rPr>
          <w:rFonts w:ascii="Arial" w:hAnsi="Arial" w:cs="Arial"/>
        </w:rPr>
        <w:t>Crevel</w:t>
      </w:r>
      <w:proofErr w:type="spellEnd"/>
      <w:r w:rsidRPr="001B3ED4">
        <w:rPr>
          <w:rFonts w:ascii="Arial" w:hAnsi="Arial" w:cs="Arial"/>
        </w:rPr>
        <w:t xml:space="preserve">, R. and </w:t>
      </w:r>
      <w:proofErr w:type="spellStart"/>
      <w:r w:rsidRPr="001B3ED4">
        <w:rPr>
          <w:rFonts w:ascii="Arial" w:hAnsi="Arial" w:cs="Arial"/>
        </w:rPr>
        <w:t>Koeken</w:t>
      </w:r>
      <w:proofErr w:type="spellEnd"/>
      <w:r w:rsidRPr="001B3ED4">
        <w:rPr>
          <w:rFonts w:ascii="Arial" w:hAnsi="Arial" w:cs="Arial"/>
        </w:rPr>
        <w:t>, V.A., (2022). Protection against tuberculosis by Bacillus Calmette-Guérin (BCG) vaccination: A historical perspective. </w:t>
      </w:r>
      <w:r w:rsidRPr="001B3ED4">
        <w:rPr>
          <w:rFonts w:ascii="Arial" w:hAnsi="Arial" w:cs="Arial"/>
          <w:i/>
          <w:iCs/>
        </w:rPr>
        <w:t>Med</w:t>
      </w:r>
      <w:r w:rsidRPr="001B3ED4">
        <w:rPr>
          <w:rFonts w:ascii="Arial" w:hAnsi="Arial" w:cs="Arial"/>
        </w:rPr>
        <w:t>, </w:t>
      </w:r>
      <w:r w:rsidRPr="001B3ED4">
        <w:rPr>
          <w:rFonts w:ascii="Arial" w:hAnsi="Arial" w:cs="Arial"/>
          <w:i/>
          <w:iCs/>
        </w:rPr>
        <w:t>3</w:t>
      </w:r>
      <w:r w:rsidRPr="001B3ED4">
        <w:rPr>
          <w:rFonts w:ascii="Arial" w:hAnsi="Arial" w:cs="Arial"/>
        </w:rPr>
        <w:t xml:space="preserve">(1), pp.6-24. </w:t>
      </w:r>
      <w:hyperlink r:id="rId91" w:history="1">
        <w:r w:rsidRPr="001B3ED4">
          <w:rPr>
            <w:rStyle w:val="Hyperlink"/>
            <w:rFonts w:ascii="Arial" w:hAnsi="Arial" w:cs="Arial"/>
          </w:rPr>
          <w:t>https://www.cell.com/med/fulltext/S2666-6340(21)00380-9?twclid=25bu238e5vmdie2tieupfaktgl</w:t>
        </w:r>
      </w:hyperlink>
    </w:p>
    <w:p w14:paraId="04C6D8D3" w14:textId="77777777" w:rsidR="002E018A" w:rsidRPr="001B3ED4" w:rsidRDefault="002E018A" w:rsidP="002E018A">
      <w:pPr>
        <w:spacing w:before="240" w:line="360" w:lineRule="auto"/>
        <w:jc w:val="both"/>
        <w:rPr>
          <w:rFonts w:ascii="Arial" w:hAnsi="Arial" w:cs="Arial"/>
        </w:rPr>
      </w:pPr>
      <w:r w:rsidRPr="001B3ED4">
        <w:rPr>
          <w:rFonts w:ascii="Arial" w:hAnsi="Arial" w:cs="Arial"/>
        </w:rPr>
        <w:t>Sharma, N., Basu, S., Khanna, A., Sharma, P. and Chandra, S., (2022). The intention to receive tuberculosis preventive therapy in adult household contacts of pulmonary TB patients in Delhi, India. </w:t>
      </w:r>
      <w:r w:rsidRPr="001B3ED4">
        <w:rPr>
          <w:rFonts w:ascii="Arial" w:hAnsi="Arial" w:cs="Arial"/>
          <w:i/>
          <w:iCs/>
        </w:rPr>
        <w:t>The Journal of Infection in Developing Countries</w:t>
      </w:r>
      <w:r w:rsidRPr="001B3ED4">
        <w:rPr>
          <w:rFonts w:ascii="Arial" w:hAnsi="Arial" w:cs="Arial"/>
        </w:rPr>
        <w:t>, </w:t>
      </w:r>
      <w:r w:rsidRPr="001B3ED4">
        <w:rPr>
          <w:rFonts w:ascii="Arial" w:hAnsi="Arial" w:cs="Arial"/>
          <w:i/>
          <w:iCs/>
        </w:rPr>
        <w:t>16</w:t>
      </w:r>
      <w:r w:rsidRPr="001B3ED4">
        <w:rPr>
          <w:rFonts w:ascii="Arial" w:hAnsi="Arial" w:cs="Arial"/>
        </w:rPr>
        <w:t xml:space="preserve">(02), pp.298-304. </w:t>
      </w:r>
      <w:hyperlink r:id="rId92" w:history="1">
        <w:r w:rsidRPr="001B3ED4">
          <w:rPr>
            <w:rStyle w:val="Hyperlink"/>
            <w:rFonts w:ascii="Arial" w:hAnsi="Arial" w:cs="Arial"/>
          </w:rPr>
          <w:t>https://jidc.org/index.php/journal/article/view/14910</w:t>
        </w:r>
      </w:hyperlink>
    </w:p>
    <w:p w14:paraId="047E5BD6" w14:textId="28A1EB5B" w:rsidR="00890189" w:rsidRPr="001B3ED4" w:rsidRDefault="00890189" w:rsidP="0046084C">
      <w:pPr>
        <w:spacing w:before="240" w:line="360" w:lineRule="auto"/>
        <w:jc w:val="both"/>
        <w:rPr>
          <w:rFonts w:ascii="Arial" w:hAnsi="Arial" w:cs="Arial"/>
        </w:rPr>
      </w:pPr>
      <w:r w:rsidRPr="001B3ED4">
        <w:rPr>
          <w:rFonts w:ascii="Arial" w:hAnsi="Arial" w:cs="Arial"/>
        </w:rPr>
        <w:t xml:space="preserve">Srinivasan, S., Easterling, L., Rimal, B., Niu, X.M., Conlan, A.J., Dudas, P. and Kapur, V., </w:t>
      </w:r>
      <w:r w:rsidR="00BD2E7B" w:rsidRPr="001B3ED4">
        <w:rPr>
          <w:rFonts w:ascii="Arial" w:hAnsi="Arial" w:cs="Arial"/>
        </w:rPr>
        <w:t>(</w:t>
      </w:r>
      <w:r w:rsidRPr="001B3ED4">
        <w:rPr>
          <w:rFonts w:ascii="Arial" w:hAnsi="Arial" w:cs="Arial"/>
        </w:rPr>
        <w:t>2018</w:t>
      </w:r>
      <w:r w:rsidR="00BD2E7B" w:rsidRPr="001B3ED4">
        <w:rPr>
          <w:rFonts w:ascii="Arial" w:hAnsi="Arial" w:cs="Arial"/>
        </w:rPr>
        <w:t>)</w:t>
      </w:r>
      <w:r w:rsidRPr="001B3ED4">
        <w:rPr>
          <w:rFonts w:ascii="Arial" w:hAnsi="Arial" w:cs="Arial"/>
        </w:rPr>
        <w:t>. Prevalence of bovine tuberculosis in India: a systematic review and meta</w:t>
      </w:r>
      <w:r w:rsidRPr="001B3ED4">
        <w:rPr>
          <w:rFonts w:ascii="Cambria Math" w:hAnsi="Cambria Math" w:cs="Cambria Math"/>
        </w:rPr>
        <w:t>‐</w:t>
      </w:r>
      <w:r w:rsidRPr="001B3ED4">
        <w:rPr>
          <w:rFonts w:ascii="Arial" w:hAnsi="Arial" w:cs="Arial"/>
        </w:rPr>
        <w:t>analysis. </w:t>
      </w:r>
      <w:r w:rsidRPr="001B3ED4">
        <w:rPr>
          <w:rFonts w:ascii="Arial" w:hAnsi="Arial" w:cs="Arial"/>
          <w:i/>
          <w:iCs/>
        </w:rPr>
        <w:t>Transboundary and emerging diseases</w:t>
      </w:r>
      <w:r w:rsidRPr="001B3ED4">
        <w:rPr>
          <w:rFonts w:ascii="Arial" w:hAnsi="Arial" w:cs="Arial"/>
        </w:rPr>
        <w:t>, </w:t>
      </w:r>
      <w:r w:rsidRPr="001B3ED4">
        <w:rPr>
          <w:rFonts w:ascii="Arial" w:hAnsi="Arial" w:cs="Arial"/>
          <w:i/>
          <w:iCs/>
        </w:rPr>
        <w:t>65</w:t>
      </w:r>
      <w:r w:rsidRPr="001B3ED4">
        <w:rPr>
          <w:rFonts w:ascii="Arial" w:hAnsi="Arial" w:cs="Arial"/>
        </w:rPr>
        <w:t xml:space="preserve">(6), pp.1627-1640. </w:t>
      </w:r>
      <w:hyperlink r:id="rId93" w:history="1">
        <w:r w:rsidRPr="001B3ED4">
          <w:rPr>
            <w:rStyle w:val="Hyperlink"/>
            <w:rFonts w:ascii="Arial" w:hAnsi="Arial" w:cs="Arial"/>
          </w:rPr>
          <w:t>https://onlinelibrary.wiley.com/doi/abs/10.1111/tbed.12915</w:t>
        </w:r>
      </w:hyperlink>
    </w:p>
    <w:p w14:paraId="596A99E7" w14:textId="24FCE496" w:rsidR="002202D1" w:rsidRPr="001B3ED4" w:rsidRDefault="002202D1" w:rsidP="0046084C">
      <w:pPr>
        <w:spacing w:before="240" w:line="360" w:lineRule="auto"/>
        <w:jc w:val="both"/>
        <w:rPr>
          <w:rFonts w:ascii="Arial" w:hAnsi="Arial" w:cs="Arial"/>
        </w:rPr>
      </w:pPr>
      <w:r w:rsidRPr="001B3ED4">
        <w:rPr>
          <w:rFonts w:ascii="Arial" w:hAnsi="Arial" w:cs="Arial"/>
        </w:rPr>
        <w:lastRenderedPageBreak/>
        <w:t xml:space="preserve">Sharma, S.K., Mohan, A. and Kohli, M., </w:t>
      </w:r>
      <w:r w:rsidR="00BD2E7B" w:rsidRPr="001B3ED4">
        <w:rPr>
          <w:rFonts w:ascii="Arial" w:hAnsi="Arial" w:cs="Arial"/>
        </w:rPr>
        <w:t>(</w:t>
      </w:r>
      <w:r w:rsidRPr="001B3ED4">
        <w:rPr>
          <w:rFonts w:ascii="Arial" w:hAnsi="Arial" w:cs="Arial"/>
        </w:rPr>
        <w:t>2021</w:t>
      </w:r>
      <w:r w:rsidR="00BD2E7B" w:rsidRPr="001B3ED4">
        <w:rPr>
          <w:rFonts w:ascii="Arial" w:hAnsi="Arial" w:cs="Arial"/>
        </w:rPr>
        <w:t>)</w:t>
      </w:r>
      <w:r w:rsidRPr="001B3ED4">
        <w:rPr>
          <w:rFonts w:ascii="Arial" w:hAnsi="Arial" w:cs="Arial"/>
        </w:rPr>
        <w:t>. Extrapulmonary tuberculosis. </w:t>
      </w:r>
      <w:r w:rsidRPr="001B3ED4">
        <w:rPr>
          <w:rFonts w:ascii="Arial" w:hAnsi="Arial" w:cs="Arial"/>
          <w:i/>
          <w:iCs/>
        </w:rPr>
        <w:t>Expert review of respiratory medicine</w:t>
      </w:r>
      <w:r w:rsidRPr="001B3ED4">
        <w:rPr>
          <w:rFonts w:ascii="Arial" w:hAnsi="Arial" w:cs="Arial"/>
        </w:rPr>
        <w:t>, </w:t>
      </w:r>
      <w:r w:rsidRPr="001B3ED4">
        <w:rPr>
          <w:rFonts w:ascii="Arial" w:hAnsi="Arial" w:cs="Arial"/>
          <w:i/>
          <w:iCs/>
        </w:rPr>
        <w:t>15</w:t>
      </w:r>
      <w:r w:rsidRPr="001B3ED4">
        <w:rPr>
          <w:rFonts w:ascii="Arial" w:hAnsi="Arial" w:cs="Arial"/>
        </w:rPr>
        <w:t xml:space="preserve">(7), pp.931-948. </w:t>
      </w:r>
      <w:hyperlink r:id="rId94" w:history="1">
        <w:r w:rsidRPr="001B3ED4">
          <w:rPr>
            <w:rStyle w:val="Hyperlink"/>
            <w:rFonts w:ascii="Arial" w:hAnsi="Arial" w:cs="Arial"/>
          </w:rPr>
          <w:t>https://www.tandfonline.com/doi/abs/10.1080/17476348.2021.1927718</w:t>
        </w:r>
      </w:hyperlink>
    </w:p>
    <w:p w14:paraId="1203FC49" w14:textId="0F55C18C" w:rsidR="00280F11" w:rsidRPr="001B3ED4" w:rsidRDefault="00280F11" w:rsidP="0046084C">
      <w:pPr>
        <w:spacing w:before="240" w:line="360" w:lineRule="auto"/>
        <w:jc w:val="both"/>
        <w:rPr>
          <w:rFonts w:ascii="Arial" w:hAnsi="Arial" w:cs="Arial"/>
        </w:rPr>
      </w:pPr>
      <w:r w:rsidRPr="001B3ED4">
        <w:rPr>
          <w:rFonts w:ascii="Arial" w:hAnsi="Arial" w:cs="Arial"/>
        </w:rPr>
        <w:t xml:space="preserve">Shah, H., Patel, J., Rai, S. and Sen, A., </w:t>
      </w:r>
      <w:r w:rsidR="00BD2E7B" w:rsidRPr="001B3ED4">
        <w:rPr>
          <w:rFonts w:ascii="Arial" w:hAnsi="Arial" w:cs="Arial"/>
        </w:rPr>
        <w:t>(</w:t>
      </w:r>
      <w:r w:rsidRPr="001B3ED4">
        <w:rPr>
          <w:rFonts w:ascii="Arial" w:hAnsi="Arial" w:cs="Arial"/>
        </w:rPr>
        <w:t>2025</w:t>
      </w:r>
      <w:r w:rsidR="00BD2E7B" w:rsidRPr="001B3ED4">
        <w:rPr>
          <w:rFonts w:ascii="Arial" w:hAnsi="Arial" w:cs="Arial"/>
        </w:rPr>
        <w:t>)</w:t>
      </w:r>
      <w:r w:rsidRPr="001B3ED4">
        <w:rPr>
          <w:rFonts w:ascii="Arial" w:hAnsi="Arial" w:cs="Arial"/>
        </w:rPr>
        <w:t>. Advancing tuberculosis elimination in India: a qualitative review of current strategies and areas for improvement in tuberculosis preventive treatment. </w:t>
      </w:r>
      <w:r w:rsidRPr="001B3ED4">
        <w:rPr>
          <w:rFonts w:ascii="Arial" w:hAnsi="Arial" w:cs="Arial"/>
          <w:i/>
          <w:iCs/>
        </w:rPr>
        <w:t>IJID regions</w:t>
      </w:r>
      <w:r w:rsidRPr="001B3ED4">
        <w:rPr>
          <w:rFonts w:ascii="Arial" w:hAnsi="Arial" w:cs="Arial"/>
        </w:rPr>
        <w:t>, </w:t>
      </w:r>
      <w:r w:rsidRPr="001B3ED4">
        <w:rPr>
          <w:rFonts w:ascii="Arial" w:hAnsi="Arial" w:cs="Arial"/>
          <w:i/>
          <w:iCs/>
        </w:rPr>
        <w:t>14</w:t>
      </w:r>
      <w:r w:rsidRPr="001B3ED4">
        <w:rPr>
          <w:rFonts w:ascii="Arial" w:hAnsi="Arial" w:cs="Arial"/>
        </w:rPr>
        <w:t xml:space="preserve">, p.100556. </w:t>
      </w:r>
      <w:hyperlink r:id="rId95" w:history="1">
        <w:r w:rsidRPr="001B3ED4">
          <w:rPr>
            <w:rStyle w:val="Hyperlink"/>
            <w:rFonts w:ascii="Arial" w:hAnsi="Arial" w:cs="Arial"/>
          </w:rPr>
          <w:t>https://www.sciencedirect.com/science/article/pii/S277270762400225X</w:t>
        </w:r>
      </w:hyperlink>
    </w:p>
    <w:p w14:paraId="76084E82" w14:textId="250466AC" w:rsidR="00280F11" w:rsidRPr="001B3ED4" w:rsidRDefault="00280F11" w:rsidP="0046084C">
      <w:pPr>
        <w:spacing w:before="240" w:line="360" w:lineRule="auto"/>
        <w:jc w:val="both"/>
        <w:rPr>
          <w:rFonts w:ascii="Arial" w:hAnsi="Arial" w:cs="Arial"/>
        </w:rPr>
      </w:pPr>
      <w:proofErr w:type="spellStart"/>
      <w:r w:rsidRPr="001B3ED4">
        <w:rPr>
          <w:rFonts w:ascii="Arial" w:hAnsi="Arial" w:cs="Arial"/>
        </w:rPr>
        <w:t>Shewade</w:t>
      </w:r>
      <w:proofErr w:type="spellEnd"/>
      <w:r w:rsidRPr="001B3ED4">
        <w:rPr>
          <w:rFonts w:ascii="Arial" w:hAnsi="Arial" w:cs="Arial"/>
        </w:rPr>
        <w:t xml:space="preserve">, H.D., Nagaraja, S.B., Vanitha, B., Murthy, H.J.D., Bhargava, M., </w:t>
      </w:r>
      <w:proofErr w:type="spellStart"/>
      <w:r w:rsidRPr="001B3ED4">
        <w:rPr>
          <w:rFonts w:ascii="Arial" w:hAnsi="Arial" w:cs="Arial"/>
        </w:rPr>
        <w:t>Singarajipura</w:t>
      </w:r>
      <w:proofErr w:type="spellEnd"/>
      <w:r w:rsidRPr="001B3ED4">
        <w:rPr>
          <w:rFonts w:ascii="Arial" w:hAnsi="Arial" w:cs="Arial"/>
        </w:rPr>
        <w:t xml:space="preserve">, A., Shastri, S.G., Patel, B.H., </w:t>
      </w:r>
      <w:proofErr w:type="spellStart"/>
      <w:r w:rsidRPr="001B3ED4">
        <w:rPr>
          <w:rFonts w:ascii="Arial" w:hAnsi="Arial" w:cs="Arial"/>
        </w:rPr>
        <w:t>Davara</w:t>
      </w:r>
      <w:proofErr w:type="spellEnd"/>
      <w:r w:rsidRPr="001B3ED4">
        <w:rPr>
          <w:rFonts w:ascii="Arial" w:hAnsi="Arial" w:cs="Arial"/>
        </w:rPr>
        <w:t xml:space="preserve">, K., Reddy, R.C. and Kumar, A.M., </w:t>
      </w:r>
      <w:r w:rsidR="00F96501" w:rsidRPr="001B3ED4">
        <w:rPr>
          <w:rFonts w:ascii="Arial" w:hAnsi="Arial" w:cs="Arial"/>
        </w:rPr>
        <w:t>(</w:t>
      </w:r>
      <w:r w:rsidRPr="001B3ED4">
        <w:rPr>
          <w:rFonts w:ascii="Arial" w:hAnsi="Arial" w:cs="Arial"/>
        </w:rPr>
        <w:t>2022</w:t>
      </w:r>
      <w:r w:rsidR="00F96501" w:rsidRPr="001B3ED4">
        <w:rPr>
          <w:rFonts w:ascii="Arial" w:hAnsi="Arial" w:cs="Arial"/>
        </w:rPr>
        <w:t>)</w:t>
      </w:r>
      <w:r w:rsidRPr="001B3ED4">
        <w:rPr>
          <w:rFonts w:ascii="Arial" w:hAnsi="Arial" w:cs="Arial"/>
        </w:rPr>
        <w:t>. Screening for severe illness at diagnosis has the potential to prevent early TB deaths: programmatic experience from Karnataka, India. </w:t>
      </w:r>
      <w:r w:rsidRPr="001B3ED4">
        <w:rPr>
          <w:rFonts w:ascii="Arial" w:hAnsi="Arial" w:cs="Arial"/>
          <w:i/>
          <w:iCs/>
        </w:rPr>
        <w:t>Global Health: Science and Practice</w:t>
      </w:r>
      <w:r w:rsidRPr="001B3ED4">
        <w:rPr>
          <w:rFonts w:ascii="Arial" w:hAnsi="Arial" w:cs="Arial"/>
        </w:rPr>
        <w:t>, </w:t>
      </w:r>
      <w:r w:rsidRPr="001B3ED4">
        <w:rPr>
          <w:rFonts w:ascii="Arial" w:hAnsi="Arial" w:cs="Arial"/>
          <w:i/>
          <w:iCs/>
        </w:rPr>
        <w:t>10</w:t>
      </w:r>
      <w:r w:rsidRPr="001B3ED4">
        <w:rPr>
          <w:rFonts w:ascii="Arial" w:hAnsi="Arial" w:cs="Arial"/>
        </w:rPr>
        <w:t xml:space="preserve">(4). </w:t>
      </w:r>
      <w:hyperlink r:id="rId96" w:history="1">
        <w:r w:rsidRPr="001B3ED4">
          <w:rPr>
            <w:rStyle w:val="Hyperlink"/>
            <w:rFonts w:ascii="Arial" w:hAnsi="Arial" w:cs="Arial"/>
          </w:rPr>
          <w:t>https://www.ghspjournal.org/content/10/4/e2100736.short</w:t>
        </w:r>
      </w:hyperlink>
    </w:p>
    <w:p w14:paraId="535A4992" w14:textId="17F7D923" w:rsidR="006166CC" w:rsidRPr="001B3ED4" w:rsidRDefault="006166CC" w:rsidP="0046084C">
      <w:pPr>
        <w:spacing w:before="240" w:line="360" w:lineRule="auto"/>
        <w:jc w:val="both"/>
        <w:rPr>
          <w:rFonts w:ascii="Arial" w:hAnsi="Arial" w:cs="Arial"/>
        </w:rPr>
      </w:pPr>
      <w:r w:rsidRPr="001B3ED4">
        <w:rPr>
          <w:rFonts w:ascii="Arial" w:hAnsi="Arial" w:cs="Arial"/>
        </w:rPr>
        <w:t xml:space="preserve">Shirvani, F., Karimi, A. and </w:t>
      </w:r>
      <w:proofErr w:type="spellStart"/>
      <w:r w:rsidRPr="001B3ED4">
        <w:rPr>
          <w:rFonts w:ascii="Arial" w:hAnsi="Arial" w:cs="Arial"/>
        </w:rPr>
        <w:t>Rajabnejad</w:t>
      </w:r>
      <w:proofErr w:type="spellEnd"/>
      <w:r w:rsidRPr="001B3ED4">
        <w:rPr>
          <w:rFonts w:ascii="Arial" w:hAnsi="Arial" w:cs="Arial"/>
        </w:rPr>
        <w:t xml:space="preserve">, M., </w:t>
      </w:r>
      <w:r w:rsidR="00F96501" w:rsidRPr="001B3ED4">
        <w:rPr>
          <w:rFonts w:ascii="Arial" w:hAnsi="Arial" w:cs="Arial"/>
        </w:rPr>
        <w:t>(</w:t>
      </w:r>
      <w:r w:rsidRPr="001B3ED4">
        <w:rPr>
          <w:rFonts w:ascii="Arial" w:hAnsi="Arial" w:cs="Arial"/>
        </w:rPr>
        <w:t>2016</w:t>
      </w:r>
      <w:r w:rsidR="00F96501" w:rsidRPr="001B3ED4">
        <w:rPr>
          <w:rFonts w:ascii="Arial" w:hAnsi="Arial" w:cs="Arial"/>
        </w:rPr>
        <w:t>)</w:t>
      </w:r>
      <w:r w:rsidRPr="001B3ED4">
        <w:rPr>
          <w:rFonts w:ascii="Arial" w:hAnsi="Arial" w:cs="Arial"/>
        </w:rPr>
        <w:t>. BCG vaccination as a prevention strategy, threats and benefits. </w:t>
      </w:r>
      <w:r w:rsidRPr="001B3ED4">
        <w:rPr>
          <w:rFonts w:ascii="Arial" w:hAnsi="Arial" w:cs="Arial"/>
          <w:i/>
          <w:iCs/>
        </w:rPr>
        <w:t xml:space="preserve">Arch </w:t>
      </w:r>
      <w:proofErr w:type="spellStart"/>
      <w:r w:rsidRPr="001B3ED4">
        <w:rPr>
          <w:rFonts w:ascii="Arial" w:hAnsi="Arial" w:cs="Arial"/>
          <w:i/>
          <w:iCs/>
        </w:rPr>
        <w:t>Pediatr</w:t>
      </w:r>
      <w:proofErr w:type="spellEnd"/>
      <w:r w:rsidRPr="001B3ED4">
        <w:rPr>
          <w:rFonts w:ascii="Arial" w:hAnsi="Arial" w:cs="Arial"/>
          <w:i/>
          <w:iCs/>
        </w:rPr>
        <w:t xml:space="preserve"> Infect Dis</w:t>
      </w:r>
      <w:r w:rsidRPr="001B3ED4">
        <w:rPr>
          <w:rFonts w:ascii="Arial" w:hAnsi="Arial" w:cs="Arial"/>
        </w:rPr>
        <w:t>, </w:t>
      </w:r>
      <w:r w:rsidRPr="001B3ED4">
        <w:rPr>
          <w:rFonts w:ascii="Arial" w:hAnsi="Arial" w:cs="Arial"/>
          <w:i/>
          <w:iCs/>
        </w:rPr>
        <w:t>4</w:t>
      </w:r>
      <w:r w:rsidRPr="001B3ED4">
        <w:rPr>
          <w:rFonts w:ascii="Arial" w:hAnsi="Arial" w:cs="Arial"/>
        </w:rPr>
        <w:t xml:space="preserve">(2), p.e30180. </w:t>
      </w:r>
      <w:hyperlink r:id="rId97" w:history="1">
        <w:r w:rsidRPr="001B3ED4">
          <w:rPr>
            <w:rStyle w:val="Hyperlink"/>
            <w:rFonts w:ascii="Arial" w:hAnsi="Arial" w:cs="Arial"/>
          </w:rPr>
          <w:t>https://www.academia.edu/download/94545713/20280-pdf.pdf</w:t>
        </w:r>
      </w:hyperlink>
    </w:p>
    <w:p w14:paraId="0128F6BA" w14:textId="4FAF44D3" w:rsidR="00253AFE" w:rsidRPr="001B3ED4" w:rsidRDefault="00253AFE" w:rsidP="0046084C">
      <w:pPr>
        <w:spacing w:before="240" w:line="360" w:lineRule="auto"/>
        <w:jc w:val="both"/>
        <w:rPr>
          <w:rFonts w:ascii="Arial" w:hAnsi="Arial" w:cs="Arial"/>
        </w:rPr>
      </w:pPr>
      <w:r w:rsidRPr="001B3ED4">
        <w:rPr>
          <w:rFonts w:ascii="Arial" w:hAnsi="Arial" w:cs="Arial"/>
        </w:rPr>
        <w:t xml:space="preserve">Singh, S., Sahu, D., Agrawal, A. and Vashi, M.D., </w:t>
      </w:r>
      <w:r w:rsidR="00F96501" w:rsidRPr="001B3ED4">
        <w:rPr>
          <w:rFonts w:ascii="Arial" w:hAnsi="Arial" w:cs="Arial"/>
        </w:rPr>
        <w:t>(</w:t>
      </w:r>
      <w:r w:rsidRPr="001B3ED4">
        <w:rPr>
          <w:rFonts w:ascii="Arial" w:hAnsi="Arial" w:cs="Arial"/>
        </w:rPr>
        <w:t>2019</w:t>
      </w:r>
      <w:r w:rsidR="00F96501" w:rsidRPr="001B3ED4">
        <w:rPr>
          <w:rFonts w:ascii="Arial" w:hAnsi="Arial" w:cs="Arial"/>
        </w:rPr>
        <w:t>)</w:t>
      </w:r>
      <w:r w:rsidRPr="001B3ED4">
        <w:rPr>
          <w:rFonts w:ascii="Arial" w:hAnsi="Arial" w:cs="Arial"/>
        </w:rPr>
        <w:t>. Barriers and opportunities for improving childhood immunization coverage in slums: A qualitative study. </w:t>
      </w:r>
      <w:r w:rsidRPr="001B3ED4">
        <w:rPr>
          <w:rFonts w:ascii="Arial" w:hAnsi="Arial" w:cs="Arial"/>
          <w:i/>
          <w:iCs/>
        </w:rPr>
        <w:t>Preventive medicine reports</w:t>
      </w:r>
      <w:r w:rsidRPr="001B3ED4">
        <w:rPr>
          <w:rFonts w:ascii="Arial" w:hAnsi="Arial" w:cs="Arial"/>
        </w:rPr>
        <w:t>, </w:t>
      </w:r>
      <w:r w:rsidRPr="001B3ED4">
        <w:rPr>
          <w:rFonts w:ascii="Arial" w:hAnsi="Arial" w:cs="Arial"/>
          <w:i/>
          <w:iCs/>
        </w:rPr>
        <w:t>14</w:t>
      </w:r>
      <w:r w:rsidRPr="001B3ED4">
        <w:rPr>
          <w:rFonts w:ascii="Arial" w:hAnsi="Arial" w:cs="Arial"/>
        </w:rPr>
        <w:t xml:space="preserve">, p.100858. </w:t>
      </w:r>
      <w:hyperlink r:id="rId98" w:history="1">
        <w:r w:rsidRPr="001B3ED4">
          <w:rPr>
            <w:rStyle w:val="Hyperlink"/>
            <w:rFonts w:ascii="Arial" w:hAnsi="Arial" w:cs="Arial"/>
          </w:rPr>
          <w:t>https://www.sciencedirect.com/science/article/pii/S2211335519300439</w:t>
        </w:r>
      </w:hyperlink>
    </w:p>
    <w:p w14:paraId="07BC5654" w14:textId="45D95018" w:rsidR="001377BA" w:rsidRPr="001B3ED4" w:rsidRDefault="001377BA" w:rsidP="0046084C">
      <w:pPr>
        <w:spacing w:before="240" w:line="360" w:lineRule="auto"/>
        <w:jc w:val="both"/>
        <w:rPr>
          <w:rFonts w:ascii="Arial" w:hAnsi="Arial" w:cs="Arial"/>
        </w:rPr>
      </w:pPr>
      <w:r w:rsidRPr="001B3ED4">
        <w:rPr>
          <w:rFonts w:ascii="Arial" w:hAnsi="Arial" w:cs="Arial"/>
        </w:rPr>
        <w:t xml:space="preserve">Shimeles, E., </w:t>
      </w:r>
      <w:proofErr w:type="spellStart"/>
      <w:r w:rsidRPr="001B3ED4">
        <w:rPr>
          <w:rFonts w:ascii="Arial" w:hAnsi="Arial" w:cs="Arial"/>
        </w:rPr>
        <w:t>Enquselassie</w:t>
      </w:r>
      <w:proofErr w:type="spellEnd"/>
      <w:r w:rsidRPr="001B3ED4">
        <w:rPr>
          <w:rFonts w:ascii="Arial" w:hAnsi="Arial" w:cs="Arial"/>
        </w:rPr>
        <w:t xml:space="preserve">, F., </w:t>
      </w:r>
      <w:proofErr w:type="spellStart"/>
      <w:r w:rsidRPr="001B3ED4">
        <w:rPr>
          <w:rFonts w:ascii="Arial" w:hAnsi="Arial" w:cs="Arial"/>
        </w:rPr>
        <w:t>Aseffa</w:t>
      </w:r>
      <w:proofErr w:type="spellEnd"/>
      <w:r w:rsidRPr="001B3ED4">
        <w:rPr>
          <w:rFonts w:ascii="Arial" w:hAnsi="Arial" w:cs="Arial"/>
        </w:rPr>
        <w:t xml:space="preserve">, A., Tilahun, M., Mekonen, A., </w:t>
      </w:r>
      <w:proofErr w:type="spellStart"/>
      <w:r w:rsidRPr="001B3ED4">
        <w:rPr>
          <w:rFonts w:ascii="Arial" w:hAnsi="Arial" w:cs="Arial"/>
        </w:rPr>
        <w:t>Wondimagegn</w:t>
      </w:r>
      <w:proofErr w:type="spellEnd"/>
      <w:r w:rsidRPr="001B3ED4">
        <w:rPr>
          <w:rFonts w:ascii="Arial" w:hAnsi="Arial" w:cs="Arial"/>
        </w:rPr>
        <w:t xml:space="preserve">, G. and Hailu, T., </w:t>
      </w:r>
      <w:r w:rsidR="00F96501" w:rsidRPr="001B3ED4">
        <w:rPr>
          <w:rFonts w:ascii="Arial" w:hAnsi="Arial" w:cs="Arial"/>
        </w:rPr>
        <w:t>(</w:t>
      </w:r>
      <w:r w:rsidRPr="001B3ED4">
        <w:rPr>
          <w:rFonts w:ascii="Arial" w:hAnsi="Arial" w:cs="Arial"/>
        </w:rPr>
        <w:t>2019</w:t>
      </w:r>
      <w:r w:rsidR="00F96501" w:rsidRPr="001B3ED4">
        <w:rPr>
          <w:rFonts w:ascii="Arial" w:hAnsi="Arial" w:cs="Arial"/>
        </w:rPr>
        <w:t>)</w:t>
      </w:r>
      <w:r w:rsidRPr="001B3ED4">
        <w:rPr>
          <w:rFonts w:ascii="Arial" w:hAnsi="Arial" w:cs="Arial"/>
        </w:rPr>
        <w:t>. Risk factors for tuberculosis: A case–control study in Addis Ababa, Ethiopia. </w:t>
      </w:r>
      <w:proofErr w:type="spellStart"/>
      <w:r w:rsidRPr="001B3ED4">
        <w:rPr>
          <w:rFonts w:ascii="Arial" w:hAnsi="Arial" w:cs="Arial"/>
          <w:i/>
          <w:iCs/>
        </w:rPr>
        <w:t>PloS</w:t>
      </w:r>
      <w:proofErr w:type="spellEnd"/>
      <w:r w:rsidRPr="001B3ED4">
        <w:rPr>
          <w:rFonts w:ascii="Arial" w:hAnsi="Arial" w:cs="Arial"/>
          <w:i/>
          <w:iCs/>
        </w:rPr>
        <w:t xml:space="preserve"> one</w:t>
      </w:r>
      <w:r w:rsidRPr="001B3ED4">
        <w:rPr>
          <w:rFonts w:ascii="Arial" w:hAnsi="Arial" w:cs="Arial"/>
        </w:rPr>
        <w:t>, </w:t>
      </w:r>
      <w:r w:rsidRPr="001B3ED4">
        <w:rPr>
          <w:rFonts w:ascii="Arial" w:hAnsi="Arial" w:cs="Arial"/>
          <w:i/>
          <w:iCs/>
        </w:rPr>
        <w:t>14</w:t>
      </w:r>
      <w:r w:rsidRPr="001B3ED4">
        <w:rPr>
          <w:rFonts w:ascii="Arial" w:hAnsi="Arial" w:cs="Arial"/>
        </w:rPr>
        <w:t xml:space="preserve">(4), p.e0214235. </w:t>
      </w:r>
      <w:hyperlink r:id="rId99" w:history="1">
        <w:r w:rsidRPr="001B3ED4">
          <w:rPr>
            <w:rStyle w:val="Hyperlink"/>
            <w:rFonts w:ascii="Arial" w:hAnsi="Arial" w:cs="Arial"/>
          </w:rPr>
          <w:t>https://journals.plos.org/plosone/article?id=10.1371/journal.pone.0214235</w:t>
        </w:r>
      </w:hyperlink>
    </w:p>
    <w:p w14:paraId="13CA96CA" w14:textId="55FCF90C" w:rsidR="00081D9E" w:rsidRPr="001B3ED4" w:rsidRDefault="00081D9E" w:rsidP="0046084C">
      <w:pPr>
        <w:spacing w:before="240" w:line="360" w:lineRule="auto"/>
        <w:jc w:val="both"/>
        <w:rPr>
          <w:rFonts w:ascii="Arial" w:hAnsi="Arial" w:cs="Arial"/>
        </w:rPr>
      </w:pPr>
      <w:r w:rsidRPr="001B3ED4">
        <w:rPr>
          <w:rFonts w:ascii="Arial" w:hAnsi="Arial" w:cs="Arial"/>
        </w:rPr>
        <w:t xml:space="preserve">Singh, S.K., Kashyap, G.C. and Puri, P., </w:t>
      </w:r>
      <w:r w:rsidR="00F96501" w:rsidRPr="001B3ED4">
        <w:rPr>
          <w:rFonts w:ascii="Arial" w:hAnsi="Arial" w:cs="Arial"/>
        </w:rPr>
        <w:t>(</w:t>
      </w:r>
      <w:r w:rsidRPr="001B3ED4">
        <w:rPr>
          <w:rFonts w:ascii="Arial" w:hAnsi="Arial" w:cs="Arial"/>
        </w:rPr>
        <w:t>2018</w:t>
      </w:r>
      <w:r w:rsidR="00F96501" w:rsidRPr="001B3ED4">
        <w:rPr>
          <w:rFonts w:ascii="Arial" w:hAnsi="Arial" w:cs="Arial"/>
        </w:rPr>
        <w:t>)</w:t>
      </w:r>
      <w:r w:rsidRPr="001B3ED4">
        <w:rPr>
          <w:rFonts w:ascii="Arial" w:hAnsi="Arial" w:cs="Arial"/>
        </w:rPr>
        <w:t>. Potential effect of household environment on prevalence of tuberculosis in India: evidence from the recent round of a cross-sectional survey. </w:t>
      </w:r>
      <w:r w:rsidRPr="001B3ED4">
        <w:rPr>
          <w:rFonts w:ascii="Arial" w:hAnsi="Arial" w:cs="Arial"/>
          <w:i/>
          <w:iCs/>
        </w:rPr>
        <w:t>BMC pulmonary medicine</w:t>
      </w:r>
      <w:r w:rsidRPr="001B3ED4">
        <w:rPr>
          <w:rFonts w:ascii="Arial" w:hAnsi="Arial" w:cs="Arial"/>
        </w:rPr>
        <w:t>, </w:t>
      </w:r>
      <w:r w:rsidRPr="001B3ED4">
        <w:rPr>
          <w:rFonts w:ascii="Arial" w:hAnsi="Arial" w:cs="Arial"/>
          <w:i/>
          <w:iCs/>
        </w:rPr>
        <w:t>18</w:t>
      </w:r>
      <w:r w:rsidRPr="001B3ED4">
        <w:rPr>
          <w:rFonts w:ascii="Arial" w:hAnsi="Arial" w:cs="Arial"/>
        </w:rPr>
        <w:t xml:space="preserve">(1), p.66. </w:t>
      </w:r>
      <w:hyperlink r:id="rId100" w:history="1">
        <w:r w:rsidRPr="001B3ED4">
          <w:rPr>
            <w:rStyle w:val="Hyperlink"/>
            <w:rFonts w:ascii="Arial" w:hAnsi="Arial" w:cs="Arial"/>
          </w:rPr>
          <w:t>https://link.springer.com/article/10.1186/s12890-018-0627-3</w:t>
        </w:r>
      </w:hyperlink>
    </w:p>
    <w:p w14:paraId="372D0ADA" w14:textId="77777777" w:rsidR="002E018A" w:rsidRPr="001B3ED4" w:rsidRDefault="002E018A" w:rsidP="002E018A">
      <w:pPr>
        <w:spacing w:before="240" w:line="360" w:lineRule="auto"/>
        <w:jc w:val="both"/>
        <w:rPr>
          <w:rFonts w:ascii="Arial" w:hAnsi="Arial" w:cs="Arial"/>
        </w:rPr>
      </w:pPr>
      <w:r w:rsidRPr="001B3ED4">
        <w:rPr>
          <w:rFonts w:ascii="Arial" w:hAnsi="Arial" w:cs="Arial"/>
        </w:rPr>
        <w:t xml:space="preserve">Singh, U.B., Rade, K., Rao, R., Kumar, N., Mattoo, S.K., Nair, S., Zumla, A. and Sahu, S., (2025). Lessons and updates from India's National Tuberculosis Elimination </w:t>
      </w:r>
      <w:r w:rsidRPr="001B3ED4">
        <w:rPr>
          <w:rFonts w:ascii="Arial" w:hAnsi="Arial" w:cs="Arial"/>
        </w:rPr>
        <w:lastRenderedPageBreak/>
        <w:t>Program–bold decisions and innovative ways of fast-tracking progress toward ending tuberculosis. </w:t>
      </w:r>
      <w:r w:rsidRPr="001B3ED4">
        <w:rPr>
          <w:rFonts w:ascii="Arial" w:hAnsi="Arial" w:cs="Arial"/>
          <w:i/>
          <w:iCs/>
        </w:rPr>
        <w:t>IJID regions</w:t>
      </w:r>
      <w:r w:rsidRPr="001B3ED4">
        <w:rPr>
          <w:rFonts w:ascii="Arial" w:hAnsi="Arial" w:cs="Arial"/>
        </w:rPr>
        <w:t>, </w:t>
      </w:r>
      <w:r w:rsidRPr="001B3ED4">
        <w:rPr>
          <w:rFonts w:ascii="Arial" w:hAnsi="Arial" w:cs="Arial"/>
          <w:i/>
          <w:iCs/>
        </w:rPr>
        <w:t>14</w:t>
      </w:r>
      <w:r w:rsidRPr="001B3ED4">
        <w:rPr>
          <w:rFonts w:ascii="Arial" w:hAnsi="Arial" w:cs="Arial"/>
        </w:rPr>
        <w:t xml:space="preserve">, p.100599. </w:t>
      </w:r>
      <w:hyperlink r:id="rId101" w:history="1">
        <w:r w:rsidRPr="001B3ED4">
          <w:rPr>
            <w:rStyle w:val="Hyperlink"/>
            <w:rFonts w:ascii="Arial" w:hAnsi="Arial" w:cs="Arial"/>
          </w:rPr>
          <w:t>https://www.sciencedirect.com/science/article/pii/S2772707625000347</w:t>
        </w:r>
      </w:hyperlink>
    </w:p>
    <w:p w14:paraId="76CDF570" w14:textId="6659EE3B" w:rsidR="000C0736" w:rsidRPr="001B3ED4" w:rsidRDefault="000C0736" w:rsidP="002E018A">
      <w:pPr>
        <w:spacing w:before="240" w:line="360" w:lineRule="auto"/>
        <w:jc w:val="both"/>
        <w:rPr>
          <w:rFonts w:ascii="Arial" w:hAnsi="Arial" w:cs="Arial"/>
        </w:rPr>
      </w:pPr>
      <w:r w:rsidRPr="001B3ED4">
        <w:rPr>
          <w:rFonts w:ascii="Arial" w:hAnsi="Arial" w:cs="Arial"/>
        </w:rPr>
        <w:t xml:space="preserve">Singh, M., Dutta, M., Kodan, P. and Tripathy, S., </w:t>
      </w:r>
      <w:r w:rsidR="00AE04CF" w:rsidRPr="001B3ED4">
        <w:rPr>
          <w:rFonts w:ascii="Arial" w:hAnsi="Arial" w:cs="Arial"/>
        </w:rPr>
        <w:t>(</w:t>
      </w:r>
      <w:r w:rsidRPr="001B3ED4">
        <w:rPr>
          <w:rFonts w:ascii="Arial" w:hAnsi="Arial" w:cs="Arial"/>
        </w:rPr>
        <w:t>2020</w:t>
      </w:r>
      <w:r w:rsidR="00AE04CF" w:rsidRPr="001B3ED4">
        <w:rPr>
          <w:rFonts w:ascii="Arial" w:hAnsi="Arial" w:cs="Arial"/>
        </w:rPr>
        <w:t>)</w:t>
      </w:r>
      <w:r w:rsidRPr="001B3ED4">
        <w:rPr>
          <w:rFonts w:ascii="Arial" w:hAnsi="Arial" w:cs="Arial"/>
        </w:rPr>
        <w:t>. Vaccination against Tuberculosis: Beyond BCG. </w:t>
      </w:r>
      <w:r w:rsidRPr="001B3ED4">
        <w:rPr>
          <w:rFonts w:ascii="Arial" w:hAnsi="Arial" w:cs="Arial"/>
          <w:i/>
          <w:iCs/>
        </w:rPr>
        <w:t>J Respir Dis Med</w:t>
      </w:r>
      <w:r w:rsidRPr="001B3ED4">
        <w:rPr>
          <w:rFonts w:ascii="Arial" w:hAnsi="Arial" w:cs="Arial"/>
        </w:rPr>
        <w:t>, </w:t>
      </w:r>
      <w:r w:rsidRPr="001B3ED4">
        <w:rPr>
          <w:rFonts w:ascii="Arial" w:hAnsi="Arial" w:cs="Arial"/>
          <w:i/>
          <w:iCs/>
        </w:rPr>
        <w:t>2</w:t>
      </w:r>
      <w:r w:rsidRPr="001B3ED4">
        <w:rPr>
          <w:rFonts w:ascii="Arial" w:hAnsi="Arial" w:cs="Arial"/>
        </w:rPr>
        <w:t xml:space="preserve">, pp.1-6. </w:t>
      </w:r>
      <w:hyperlink r:id="rId102" w:history="1">
        <w:r w:rsidRPr="001B3ED4">
          <w:rPr>
            <w:rStyle w:val="Hyperlink"/>
            <w:rFonts w:ascii="Arial" w:hAnsi="Arial" w:cs="Arial"/>
          </w:rPr>
          <w:t>https://www.academia.edu/download/108822625/JRDM-2-117.pdf</w:t>
        </w:r>
      </w:hyperlink>
    </w:p>
    <w:p w14:paraId="56061919" w14:textId="54164E7D" w:rsidR="002E018A" w:rsidRPr="001B3ED4" w:rsidRDefault="002E018A" w:rsidP="002E018A">
      <w:pPr>
        <w:spacing w:before="240" w:line="360" w:lineRule="auto"/>
        <w:jc w:val="both"/>
        <w:rPr>
          <w:rFonts w:ascii="Arial" w:hAnsi="Arial" w:cs="Arial"/>
        </w:rPr>
      </w:pPr>
      <w:r w:rsidRPr="001B3ED4">
        <w:rPr>
          <w:rFonts w:ascii="Arial" w:hAnsi="Arial" w:cs="Arial"/>
        </w:rPr>
        <w:t xml:space="preserve">Sinha, S., </w:t>
      </w:r>
      <w:proofErr w:type="spellStart"/>
      <w:r w:rsidRPr="001B3ED4">
        <w:rPr>
          <w:rFonts w:ascii="Arial" w:hAnsi="Arial" w:cs="Arial"/>
        </w:rPr>
        <w:t>Ajayababu</w:t>
      </w:r>
      <w:proofErr w:type="spellEnd"/>
      <w:r w:rsidRPr="001B3ED4">
        <w:rPr>
          <w:rFonts w:ascii="Arial" w:hAnsi="Arial" w:cs="Arial"/>
        </w:rPr>
        <w:t>, A., Thukral, H., Gupta, S., Guha, S.K., Basu, A., Gupta, G., Thakur, P., Lingaiah, R., Das, B.K. and Singh, U.B., (2022). Efficacy of Bacillus Calmette–Guérin (BCG) vaccination in reducing the incidence and severity of COVID-19 in high-risk population (BRIC): a phase III, multi-centre, quadruple-blind randomised control trial. </w:t>
      </w:r>
      <w:r w:rsidRPr="001B3ED4">
        <w:rPr>
          <w:rFonts w:ascii="Arial" w:hAnsi="Arial" w:cs="Arial"/>
          <w:i/>
          <w:iCs/>
        </w:rPr>
        <w:t>Infectious Diseases and Therapy</w:t>
      </w:r>
      <w:r w:rsidRPr="001B3ED4">
        <w:rPr>
          <w:rFonts w:ascii="Arial" w:hAnsi="Arial" w:cs="Arial"/>
        </w:rPr>
        <w:t>, </w:t>
      </w:r>
      <w:r w:rsidRPr="001B3ED4">
        <w:rPr>
          <w:rFonts w:ascii="Arial" w:hAnsi="Arial" w:cs="Arial"/>
          <w:i/>
          <w:iCs/>
        </w:rPr>
        <w:t>11</w:t>
      </w:r>
      <w:r w:rsidRPr="001B3ED4">
        <w:rPr>
          <w:rFonts w:ascii="Arial" w:hAnsi="Arial" w:cs="Arial"/>
        </w:rPr>
        <w:t xml:space="preserve">(6), pp.2205-2217. </w:t>
      </w:r>
      <w:hyperlink r:id="rId103" w:history="1">
        <w:r w:rsidRPr="001B3ED4">
          <w:rPr>
            <w:rStyle w:val="Hyperlink"/>
            <w:rFonts w:ascii="Arial" w:hAnsi="Arial" w:cs="Arial"/>
          </w:rPr>
          <w:t>https://link.springer.com/article/10.1007/s40121-022-00703-y</w:t>
        </w:r>
      </w:hyperlink>
    </w:p>
    <w:p w14:paraId="42FDADFF" w14:textId="77777777" w:rsidR="002E018A" w:rsidRPr="001B3ED4" w:rsidRDefault="002E018A" w:rsidP="002E018A">
      <w:pPr>
        <w:spacing w:before="240" w:line="360" w:lineRule="auto"/>
        <w:jc w:val="both"/>
        <w:rPr>
          <w:rFonts w:ascii="Arial" w:hAnsi="Arial" w:cs="Arial"/>
        </w:rPr>
      </w:pPr>
      <w:r w:rsidRPr="001B3ED4">
        <w:rPr>
          <w:rFonts w:ascii="Arial" w:hAnsi="Arial" w:cs="Arial"/>
        </w:rPr>
        <w:t>Summan, A., Nandi, A., Deo, S. and Laxminarayan, R., (2021). Improving vaccination coverage and timeliness through periodic intensification of routine immunization: evidence from Mission Indradhanush. </w:t>
      </w:r>
      <w:r w:rsidRPr="001B3ED4">
        <w:rPr>
          <w:rFonts w:ascii="Arial" w:hAnsi="Arial" w:cs="Arial"/>
          <w:i/>
          <w:iCs/>
        </w:rPr>
        <w:t>Annals of the New York Academy of Sciences</w:t>
      </w:r>
      <w:r w:rsidRPr="001B3ED4">
        <w:rPr>
          <w:rFonts w:ascii="Arial" w:hAnsi="Arial" w:cs="Arial"/>
        </w:rPr>
        <w:t>, </w:t>
      </w:r>
      <w:r w:rsidRPr="001B3ED4">
        <w:rPr>
          <w:rFonts w:ascii="Arial" w:hAnsi="Arial" w:cs="Arial"/>
          <w:i/>
          <w:iCs/>
        </w:rPr>
        <w:t>1502</w:t>
      </w:r>
      <w:r w:rsidRPr="001B3ED4">
        <w:rPr>
          <w:rFonts w:ascii="Arial" w:hAnsi="Arial" w:cs="Arial"/>
        </w:rPr>
        <w:t xml:space="preserve">(1), pp.110-120. </w:t>
      </w:r>
      <w:hyperlink r:id="rId104" w:history="1">
        <w:r w:rsidRPr="001B3ED4">
          <w:rPr>
            <w:rStyle w:val="Hyperlink"/>
            <w:rFonts w:ascii="Arial" w:hAnsi="Arial" w:cs="Arial"/>
          </w:rPr>
          <w:t>https://nyaspubs.onlinelibrary.wiley.com/doi/abs/10.1111/nyas.14657</w:t>
        </w:r>
      </w:hyperlink>
    </w:p>
    <w:p w14:paraId="55B76FD8" w14:textId="2B065F1F" w:rsidR="001377BA" w:rsidRPr="001B3ED4" w:rsidRDefault="001377BA" w:rsidP="0046084C">
      <w:pPr>
        <w:spacing w:before="240" w:line="360" w:lineRule="auto"/>
        <w:jc w:val="both"/>
        <w:rPr>
          <w:rFonts w:ascii="Arial" w:hAnsi="Arial" w:cs="Arial"/>
        </w:rPr>
      </w:pPr>
      <w:r w:rsidRPr="001B3ED4">
        <w:rPr>
          <w:rFonts w:ascii="Arial" w:hAnsi="Arial" w:cs="Arial"/>
        </w:rPr>
        <w:t xml:space="preserve">Silva, D.R., Muñoz-Torrico, M., Duarte, R., Galvão, T., Bonini, E.H., </w:t>
      </w:r>
      <w:proofErr w:type="spellStart"/>
      <w:r w:rsidRPr="001B3ED4">
        <w:rPr>
          <w:rFonts w:ascii="Arial" w:hAnsi="Arial" w:cs="Arial"/>
        </w:rPr>
        <w:t>Arbex</w:t>
      </w:r>
      <w:proofErr w:type="spellEnd"/>
      <w:r w:rsidRPr="001B3ED4">
        <w:rPr>
          <w:rFonts w:ascii="Arial" w:hAnsi="Arial" w:cs="Arial"/>
        </w:rPr>
        <w:t xml:space="preserve">, F.F., </w:t>
      </w:r>
      <w:proofErr w:type="spellStart"/>
      <w:r w:rsidRPr="001B3ED4">
        <w:rPr>
          <w:rFonts w:ascii="Arial" w:hAnsi="Arial" w:cs="Arial"/>
        </w:rPr>
        <w:t>Arbex</w:t>
      </w:r>
      <w:proofErr w:type="spellEnd"/>
      <w:r w:rsidRPr="001B3ED4">
        <w:rPr>
          <w:rFonts w:ascii="Arial" w:hAnsi="Arial" w:cs="Arial"/>
        </w:rPr>
        <w:t xml:space="preserve">, M.A., Augusto, V.M., Rabahi, M.F. and Mello, F.C.D.Q., </w:t>
      </w:r>
      <w:r w:rsidR="00F96501" w:rsidRPr="001B3ED4">
        <w:rPr>
          <w:rFonts w:ascii="Arial" w:hAnsi="Arial" w:cs="Arial"/>
        </w:rPr>
        <w:t>(</w:t>
      </w:r>
      <w:r w:rsidRPr="001B3ED4">
        <w:rPr>
          <w:rFonts w:ascii="Arial" w:hAnsi="Arial" w:cs="Arial"/>
        </w:rPr>
        <w:t>2018</w:t>
      </w:r>
      <w:r w:rsidR="00F96501" w:rsidRPr="001B3ED4">
        <w:rPr>
          <w:rFonts w:ascii="Arial" w:hAnsi="Arial" w:cs="Arial"/>
        </w:rPr>
        <w:t>)</w:t>
      </w:r>
      <w:r w:rsidRPr="001B3ED4">
        <w:rPr>
          <w:rFonts w:ascii="Arial" w:hAnsi="Arial" w:cs="Arial"/>
        </w:rPr>
        <w:t>. Risk factors for tuberculosis: diabetes, smoking, alcohol use, and the use of other drugs. </w:t>
      </w:r>
      <w:r w:rsidRPr="001B3ED4">
        <w:rPr>
          <w:rFonts w:ascii="Arial" w:hAnsi="Arial" w:cs="Arial"/>
          <w:i/>
          <w:iCs/>
        </w:rPr>
        <w:t xml:space="preserve">Jornal Brasileiro de </w:t>
      </w:r>
      <w:proofErr w:type="spellStart"/>
      <w:r w:rsidRPr="001B3ED4">
        <w:rPr>
          <w:rFonts w:ascii="Arial" w:hAnsi="Arial" w:cs="Arial"/>
          <w:i/>
          <w:iCs/>
        </w:rPr>
        <w:t>Pneumologia</w:t>
      </w:r>
      <w:proofErr w:type="spellEnd"/>
      <w:r w:rsidRPr="001B3ED4">
        <w:rPr>
          <w:rFonts w:ascii="Arial" w:hAnsi="Arial" w:cs="Arial"/>
        </w:rPr>
        <w:t>, </w:t>
      </w:r>
      <w:r w:rsidRPr="001B3ED4">
        <w:rPr>
          <w:rFonts w:ascii="Arial" w:hAnsi="Arial" w:cs="Arial"/>
          <w:i/>
          <w:iCs/>
        </w:rPr>
        <w:t>44</w:t>
      </w:r>
      <w:r w:rsidRPr="001B3ED4">
        <w:rPr>
          <w:rFonts w:ascii="Arial" w:hAnsi="Arial" w:cs="Arial"/>
        </w:rPr>
        <w:t xml:space="preserve">(02), pp.145-152. </w:t>
      </w:r>
      <w:hyperlink r:id="rId105" w:history="1">
        <w:r w:rsidRPr="001B3ED4">
          <w:rPr>
            <w:rStyle w:val="Hyperlink"/>
            <w:rFonts w:ascii="Arial" w:hAnsi="Arial" w:cs="Arial"/>
          </w:rPr>
          <w:t>https://www.scielo.br/j/jbpneu/a/7YmvXDNKGPq39XHRnsRcf9b/?lang=en</w:t>
        </w:r>
      </w:hyperlink>
    </w:p>
    <w:p w14:paraId="0888CAC2" w14:textId="66105520" w:rsidR="00C75AEF" w:rsidRPr="001B3ED4" w:rsidRDefault="00C75AEF" w:rsidP="0046084C">
      <w:pPr>
        <w:spacing w:before="240" w:line="360" w:lineRule="auto"/>
        <w:jc w:val="both"/>
        <w:rPr>
          <w:rFonts w:ascii="Arial" w:hAnsi="Arial" w:cs="Arial"/>
        </w:rPr>
      </w:pPr>
      <w:proofErr w:type="spellStart"/>
      <w:r w:rsidRPr="001B3ED4">
        <w:rPr>
          <w:rFonts w:ascii="Arial" w:hAnsi="Arial" w:cs="Arial"/>
        </w:rPr>
        <w:t>Starshinova</w:t>
      </w:r>
      <w:proofErr w:type="spellEnd"/>
      <w:r w:rsidRPr="001B3ED4">
        <w:rPr>
          <w:rFonts w:ascii="Arial" w:hAnsi="Arial" w:cs="Arial"/>
        </w:rPr>
        <w:t xml:space="preserve">, A., Kudryavtsev, I.V., Rubinstein, A., </w:t>
      </w:r>
      <w:proofErr w:type="spellStart"/>
      <w:r w:rsidRPr="001B3ED4">
        <w:rPr>
          <w:rFonts w:ascii="Arial" w:hAnsi="Arial" w:cs="Arial"/>
        </w:rPr>
        <w:t>Dovgalyuk</w:t>
      </w:r>
      <w:proofErr w:type="spellEnd"/>
      <w:r w:rsidRPr="001B3ED4">
        <w:rPr>
          <w:rFonts w:ascii="Arial" w:hAnsi="Arial" w:cs="Arial"/>
        </w:rPr>
        <w:t xml:space="preserve">, I., </w:t>
      </w:r>
      <w:proofErr w:type="spellStart"/>
      <w:r w:rsidRPr="001B3ED4">
        <w:rPr>
          <w:rFonts w:ascii="Arial" w:hAnsi="Arial" w:cs="Arial"/>
        </w:rPr>
        <w:t>Kulpina</w:t>
      </w:r>
      <w:proofErr w:type="spellEnd"/>
      <w:r w:rsidRPr="001B3ED4">
        <w:rPr>
          <w:rFonts w:ascii="Arial" w:hAnsi="Arial" w:cs="Arial"/>
        </w:rPr>
        <w:t xml:space="preserve">, A., Churilov, L.P. and </w:t>
      </w:r>
      <w:proofErr w:type="spellStart"/>
      <w:r w:rsidRPr="001B3ED4">
        <w:rPr>
          <w:rFonts w:ascii="Arial" w:hAnsi="Arial" w:cs="Arial"/>
        </w:rPr>
        <w:t>Kudlay</w:t>
      </w:r>
      <w:proofErr w:type="spellEnd"/>
      <w:r w:rsidRPr="001B3ED4">
        <w:rPr>
          <w:rFonts w:ascii="Arial" w:hAnsi="Arial" w:cs="Arial"/>
        </w:rPr>
        <w:t xml:space="preserve">, D., </w:t>
      </w:r>
      <w:r w:rsidR="00F96501" w:rsidRPr="001B3ED4">
        <w:rPr>
          <w:rFonts w:ascii="Arial" w:hAnsi="Arial" w:cs="Arial"/>
        </w:rPr>
        <w:t>(</w:t>
      </w:r>
      <w:r w:rsidRPr="001B3ED4">
        <w:rPr>
          <w:rFonts w:ascii="Arial" w:hAnsi="Arial" w:cs="Arial"/>
        </w:rPr>
        <w:t>2025</w:t>
      </w:r>
      <w:r w:rsidR="00F96501" w:rsidRPr="001B3ED4">
        <w:rPr>
          <w:rFonts w:ascii="Arial" w:hAnsi="Arial" w:cs="Arial"/>
        </w:rPr>
        <w:t>)</w:t>
      </w:r>
      <w:r w:rsidRPr="001B3ED4">
        <w:rPr>
          <w:rFonts w:ascii="Arial" w:hAnsi="Arial" w:cs="Arial"/>
        </w:rPr>
        <w:t>. BCG vaccination: historical role, modern applications, and future perspectives in tuberculosis and beyond. </w:t>
      </w:r>
      <w:r w:rsidRPr="001B3ED4">
        <w:rPr>
          <w:rFonts w:ascii="Arial" w:hAnsi="Arial" w:cs="Arial"/>
          <w:i/>
          <w:iCs/>
        </w:rPr>
        <w:t xml:space="preserve">Frontiers in </w:t>
      </w:r>
      <w:proofErr w:type="spellStart"/>
      <w:r w:rsidRPr="001B3ED4">
        <w:rPr>
          <w:rFonts w:ascii="Arial" w:hAnsi="Arial" w:cs="Arial"/>
          <w:i/>
          <w:iCs/>
        </w:rPr>
        <w:t>Pediatrics</w:t>
      </w:r>
      <w:proofErr w:type="spellEnd"/>
      <w:r w:rsidRPr="001B3ED4">
        <w:rPr>
          <w:rFonts w:ascii="Arial" w:hAnsi="Arial" w:cs="Arial"/>
        </w:rPr>
        <w:t>, </w:t>
      </w:r>
      <w:r w:rsidRPr="001B3ED4">
        <w:rPr>
          <w:rFonts w:ascii="Arial" w:hAnsi="Arial" w:cs="Arial"/>
          <w:i/>
          <w:iCs/>
        </w:rPr>
        <w:t>13</w:t>
      </w:r>
      <w:r w:rsidRPr="001B3ED4">
        <w:rPr>
          <w:rFonts w:ascii="Arial" w:hAnsi="Arial" w:cs="Arial"/>
        </w:rPr>
        <w:t xml:space="preserve">, p.1603732. </w:t>
      </w:r>
      <w:hyperlink r:id="rId106" w:history="1">
        <w:r w:rsidRPr="001B3ED4">
          <w:rPr>
            <w:rStyle w:val="Hyperlink"/>
            <w:rFonts w:ascii="Arial" w:hAnsi="Arial" w:cs="Arial"/>
          </w:rPr>
          <w:t>https://www.frontiersin.org/journals/pediatrics/articles/10.3389/fped.2025.1603732/abstract</w:t>
        </w:r>
      </w:hyperlink>
    </w:p>
    <w:p w14:paraId="7417D07A" w14:textId="2D6DDFD3" w:rsidR="00963E45" w:rsidRPr="001B3ED4" w:rsidRDefault="003E6686" w:rsidP="0046084C">
      <w:pPr>
        <w:spacing w:before="240" w:line="360" w:lineRule="auto"/>
        <w:jc w:val="both"/>
        <w:rPr>
          <w:rFonts w:ascii="Arial" w:hAnsi="Arial" w:cs="Arial"/>
        </w:rPr>
      </w:pPr>
      <w:proofErr w:type="spellStart"/>
      <w:r w:rsidRPr="001B3ED4">
        <w:rPr>
          <w:rFonts w:ascii="Arial" w:hAnsi="Arial" w:cs="Arial"/>
        </w:rPr>
        <w:t>Swalehe</w:t>
      </w:r>
      <w:proofErr w:type="spellEnd"/>
      <w:r w:rsidRPr="001B3ED4">
        <w:rPr>
          <w:rFonts w:ascii="Arial" w:hAnsi="Arial" w:cs="Arial"/>
        </w:rPr>
        <w:t xml:space="preserve">, H.M. and </w:t>
      </w:r>
      <w:proofErr w:type="spellStart"/>
      <w:r w:rsidRPr="001B3ED4">
        <w:rPr>
          <w:rFonts w:ascii="Arial" w:hAnsi="Arial" w:cs="Arial"/>
        </w:rPr>
        <w:t>Obeagu</w:t>
      </w:r>
      <w:proofErr w:type="spellEnd"/>
      <w:r w:rsidRPr="001B3ED4">
        <w:rPr>
          <w:rFonts w:ascii="Arial" w:hAnsi="Arial" w:cs="Arial"/>
        </w:rPr>
        <w:t xml:space="preserve">, E.I., </w:t>
      </w:r>
      <w:r w:rsidR="00F96501" w:rsidRPr="001B3ED4">
        <w:rPr>
          <w:rFonts w:ascii="Arial" w:hAnsi="Arial" w:cs="Arial"/>
        </w:rPr>
        <w:t>(</w:t>
      </w:r>
      <w:r w:rsidRPr="001B3ED4">
        <w:rPr>
          <w:rFonts w:ascii="Arial" w:hAnsi="Arial" w:cs="Arial"/>
        </w:rPr>
        <w:t>2024</w:t>
      </w:r>
      <w:r w:rsidR="00F96501" w:rsidRPr="001B3ED4">
        <w:rPr>
          <w:rFonts w:ascii="Arial" w:hAnsi="Arial" w:cs="Arial"/>
        </w:rPr>
        <w:t>)</w:t>
      </w:r>
      <w:r w:rsidRPr="001B3ED4">
        <w:rPr>
          <w:rFonts w:ascii="Arial" w:hAnsi="Arial" w:cs="Arial"/>
        </w:rPr>
        <w:t>. Tuberculosis: Current diagnosis and management. </w:t>
      </w:r>
      <w:r w:rsidRPr="001B3ED4">
        <w:rPr>
          <w:rFonts w:ascii="Arial" w:hAnsi="Arial" w:cs="Arial"/>
          <w:i/>
          <w:iCs/>
        </w:rPr>
        <w:t>Elite Journal of Public Health</w:t>
      </w:r>
      <w:r w:rsidRPr="001B3ED4">
        <w:rPr>
          <w:rFonts w:ascii="Arial" w:hAnsi="Arial" w:cs="Arial"/>
        </w:rPr>
        <w:t>, </w:t>
      </w:r>
      <w:r w:rsidRPr="001B3ED4">
        <w:rPr>
          <w:rFonts w:ascii="Arial" w:hAnsi="Arial" w:cs="Arial"/>
          <w:i/>
          <w:iCs/>
        </w:rPr>
        <w:t>2</w:t>
      </w:r>
      <w:r w:rsidRPr="001B3ED4">
        <w:rPr>
          <w:rFonts w:ascii="Arial" w:hAnsi="Arial" w:cs="Arial"/>
        </w:rPr>
        <w:t xml:space="preserve">(1), pp.23-33. </w:t>
      </w:r>
      <w:hyperlink r:id="rId107" w:history="1">
        <w:r w:rsidRPr="001B3ED4">
          <w:rPr>
            <w:rStyle w:val="Hyperlink"/>
            <w:rFonts w:ascii="Arial" w:hAnsi="Arial" w:cs="Arial"/>
          </w:rPr>
          <w:t>https://www.academia.edu/download/111527042/Tuberculosis.pdf</w:t>
        </w:r>
      </w:hyperlink>
    </w:p>
    <w:p w14:paraId="78693A0F" w14:textId="7DAA58EF" w:rsidR="00DD5ADC" w:rsidRPr="001B3ED4" w:rsidRDefault="00DD5ADC" w:rsidP="00DD5ADC">
      <w:pPr>
        <w:spacing w:line="360" w:lineRule="auto"/>
        <w:jc w:val="both"/>
        <w:rPr>
          <w:rFonts w:ascii="Arial" w:hAnsi="Arial" w:cs="Arial"/>
        </w:rPr>
      </w:pPr>
      <w:r w:rsidRPr="001B3ED4">
        <w:rPr>
          <w:rFonts w:ascii="Arial" w:hAnsi="Arial" w:cs="Arial"/>
        </w:rPr>
        <w:lastRenderedPageBreak/>
        <w:t xml:space="preserve">Sweeney, E., </w:t>
      </w:r>
      <w:proofErr w:type="spellStart"/>
      <w:r w:rsidRPr="001B3ED4">
        <w:rPr>
          <w:rFonts w:ascii="Arial" w:hAnsi="Arial" w:cs="Arial"/>
        </w:rPr>
        <w:t>Dahly</w:t>
      </w:r>
      <w:proofErr w:type="spellEnd"/>
      <w:r w:rsidRPr="001B3ED4">
        <w:rPr>
          <w:rFonts w:ascii="Arial" w:hAnsi="Arial" w:cs="Arial"/>
        </w:rPr>
        <w:t xml:space="preserve">, D., Seddiq, N., Corcoran, G., Horgan, M. and Sadlier, C., </w:t>
      </w:r>
      <w:r w:rsidR="00AE04CF" w:rsidRPr="001B3ED4">
        <w:rPr>
          <w:rFonts w:ascii="Arial" w:hAnsi="Arial" w:cs="Arial"/>
        </w:rPr>
        <w:t>(</w:t>
      </w:r>
      <w:r w:rsidRPr="001B3ED4">
        <w:rPr>
          <w:rFonts w:ascii="Arial" w:hAnsi="Arial" w:cs="Arial"/>
        </w:rPr>
        <w:t>2019</w:t>
      </w:r>
      <w:r w:rsidR="00AE04CF" w:rsidRPr="001B3ED4">
        <w:rPr>
          <w:rFonts w:ascii="Arial" w:hAnsi="Arial" w:cs="Arial"/>
        </w:rPr>
        <w:t>)</w:t>
      </w:r>
      <w:r w:rsidRPr="001B3ED4">
        <w:rPr>
          <w:rFonts w:ascii="Arial" w:hAnsi="Arial" w:cs="Arial"/>
        </w:rPr>
        <w:t>. Impact of BCG vaccination on incidence of tuberculosis disease in southern Ireland. </w:t>
      </w:r>
      <w:r w:rsidRPr="001B3ED4">
        <w:rPr>
          <w:rFonts w:ascii="Arial" w:hAnsi="Arial" w:cs="Arial"/>
          <w:i/>
          <w:iCs/>
        </w:rPr>
        <w:t>BMC Infectious Diseases</w:t>
      </w:r>
      <w:r w:rsidRPr="001B3ED4">
        <w:rPr>
          <w:rFonts w:ascii="Arial" w:hAnsi="Arial" w:cs="Arial"/>
        </w:rPr>
        <w:t>, </w:t>
      </w:r>
      <w:r w:rsidRPr="001B3ED4">
        <w:rPr>
          <w:rFonts w:ascii="Arial" w:hAnsi="Arial" w:cs="Arial"/>
          <w:i/>
          <w:iCs/>
        </w:rPr>
        <w:t>19</w:t>
      </w:r>
      <w:r w:rsidRPr="001B3ED4">
        <w:rPr>
          <w:rFonts w:ascii="Arial" w:hAnsi="Arial" w:cs="Arial"/>
        </w:rPr>
        <w:t xml:space="preserve">(1), p.397. </w:t>
      </w:r>
      <w:hyperlink r:id="rId108" w:history="1">
        <w:r w:rsidRPr="001B3ED4">
          <w:rPr>
            <w:rStyle w:val="Hyperlink"/>
            <w:rFonts w:ascii="Arial" w:hAnsi="Arial" w:cs="Arial"/>
          </w:rPr>
          <w:t>https://link.springer.com/article/10.1186/s12879-019-4026-z</w:t>
        </w:r>
      </w:hyperlink>
    </w:p>
    <w:p w14:paraId="3EB0F8BD" w14:textId="77777777" w:rsidR="003F75FD" w:rsidRPr="001B3ED4" w:rsidRDefault="003F75FD" w:rsidP="003F75FD">
      <w:pPr>
        <w:spacing w:before="240" w:line="360" w:lineRule="auto"/>
        <w:jc w:val="both"/>
      </w:pPr>
      <w:r w:rsidRPr="001B3ED4">
        <w:rPr>
          <w:rFonts w:ascii="Arial" w:hAnsi="Arial" w:cs="Arial"/>
        </w:rPr>
        <w:t xml:space="preserve">Taljaard, M., Hemming, K., Shah, L., Giraudeau, B., Grimshaw, J.M. and </w:t>
      </w:r>
      <w:proofErr w:type="spellStart"/>
      <w:r w:rsidRPr="001B3ED4">
        <w:rPr>
          <w:rFonts w:ascii="Arial" w:hAnsi="Arial" w:cs="Arial"/>
        </w:rPr>
        <w:t>Weijer</w:t>
      </w:r>
      <w:proofErr w:type="spellEnd"/>
      <w:r w:rsidRPr="001B3ED4">
        <w:rPr>
          <w:rFonts w:ascii="Arial" w:hAnsi="Arial" w:cs="Arial"/>
        </w:rPr>
        <w:t>, C., (2017). Inadequacy of ethical conduct and reporting of stepped wedge cluster randomized trials: Results from a systematic review. </w:t>
      </w:r>
      <w:r w:rsidRPr="001B3ED4">
        <w:rPr>
          <w:rFonts w:ascii="Arial" w:hAnsi="Arial" w:cs="Arial"/>
          <w:i/>
          <w:iCs/>
        </w:rPr>
        <w:t>Clinical Trials</w:t>
      </w:r>
      <w:r w:rsidRPr="001B3ED4">
        <w:rPr>
          <w:rFonts w:ascii="Arial" w:hAnsi="Arial" w:cs="Arial"/>
        </w:rPr>
        <w:t>, </w:t>
      </w:r>
      <w:r w:rsidRPr="001B3ED4">
        <w:rPr>
          <w:rFonts w:ascii="Arial" w:hAnsi="Arial" w:cs="Arial"/>
          <w:i/>
          <w:iCs/>
        </w:rPr>
        <w:t>14</w:t>
      </w:r>
      <w:r w:rsidRPr="001B3ED4">
        <w:rPr>
          <w:rFonts w:ascii="Arial" w:hAnsi="Arial" w:cs="Arial"/>
        </w:rPr>
        <w:t xml:space="preserve">(4), pp.333-341. </w:t>
      </w:r>
      <w:hyperlink r:id="rId109" w:history="1">
        <w:r w:rsidRPr="001B3ED4">
          <w:rPr>
            <w:rStyle w:val="Hyperlink"/>
            <w:rFonts w:ascii="Arial" w:hAnsi="Arial" w:cs="Arial"/>
          </w:rPr>
          <w:t>https://journals.sagepub.com/doi/abs/10.1177/1740774517703057</w:t>
        </w:r>
      </w:hyperlink>
    </w:p>
    <w:p w14:paraId="5F63106D" w14:textId="77777777" w:rsidR="002E018A" w:rsidRPr="001B3ED4" w:rsidRDefault="002E018A" w:rsidP="002E018A">
      <w:pPr>
        <w:spacing w:line="360" w:lineRule="auto"/>
        <w:jc w:val="both"/>
        <w:rPr>
          <w:rFonts w:ascii="Arial" w:hAnsi="Arial" w:cs="Arial"/>
        </w:rPr>
      </w:pPr>
      <w:r w:rsidRPr="001B3ED4">
        <w:rPr>
          <w:rFonts w:ascii="Arial" w:hAnsi="Arial" w:cs="Arial"/>
        </w:rPr>
        <w:t xml:space="preserve">Times of India (2025), </w:t>
      </w:r>
      <w:hyperlink r:id="rId110" w:history="1">
        <w:r w:rsidRPr="001B3ED4">
          <w:rPr>
            <w:rStyle w:val="Hyperlink"/>
            <w:rFonts w:ascii="Arial" w:hAnsi="Arial" w:cs="Arial"/>
          </w:rPr>
          <w:t>https://timesofindia.indiatimes.com/city/delhi/tb-screening-finds-37-cases-in-urban-slums/articleshow/122455985.cms</w:t>
        </w:r>
      </w:hyperlink>
    </w:p>
    <w:p w14:paraId="38BE6B88" w14:textId="36415AC3" w:rsidR="00DD5ADC" w:rsidRPr="001B3ED4" w:rsidRDefault="00DD5ADC" w:rsidP="00DD5ADC">
      <w:pPr>
        <w:spacing w:line="360" w:lineRule="auto"/>
        <w:jc w:val="both"/>
        <w:rPr>
          <w:rFonts w:ascii="Arial" w:hAnsi="Arial" w:cs="Arial"/>
        </w:rPr>
      </w:pPr>
      <w:r w:rsidRPr="001B3ED4">
        <w:rPr>
          <w:rFonts w:ascii="Arial" w:hAnsi="Arial" w:cs="Arial"/>
        </w:rPr>
        <w:t xml:space="preserve">Vedel, J.O., </w:t>
      </w:r>
      <w:r w:rsidR="004E39E2" w:rsidRPr="001B3ED4">
        <w:rPr>
          <w:rFonts w:ascii="Arial" w:hAnsi="Arial" w:cs="Arial"/>
        </w:rPr>
        <w:t>(</w:t>
      </w:r>
      <w:r w:rsidRPr="001B3ED4">
        <w:rPr>
          <w:rFonts w:ascii="Arial" w:hAnsi="Arial" w:cs="Arial"/>
        </w:rPr>
        <w:t>2025</w:t>
      </w:r>
      <w:r w:rsidR="004E39E2" w:rsidRPr="001B3ED4">
        <w:rPr>
          <w:rFonts w:ascii="Arial" w:hAnsi="Arial" w:cs="Arial"/>
        </w:rPr>
        <w:t>)</w:t>
      </w:r>
      <w:r w:rsidRPr="001B3ED4">
        <w:rPr>
          <w:rFonts w:ascii="Arial" w:hAnsi="Arial" w:cs="Arial"/>
        </w:rPr>
        <w:t xml:space="preserve">. The gap between the planned and real-life implementation of the vaccination programme: Timely and effective BCG vaccination in Guinea-Bissau. </w:t>
      </w:r>
      <w:hyperlink r:id="rId111" w:history="1">
        <w:r w:rsidRPr="001B3ED4">
          <w:rPr>
            <w:rStyle w:val="Hyperlink"/>
            <w:rFonts w:ascii="Arial" w:hAnsi="Arial" w:cs="Arial"/>
          </w:rPr>
          <w:t>https://portal.findresearcher.sdu.dk/en/publications/the-gap-between-the-planned-and-real-life-implementation-of-the-v</w:t>
        </w:r>
      </w:hyperlink>
    </w:p>
    <w:p w14:paraId="1D8C2A5D" w14:textId="3AFEE4FA" w:rsidR="00556BBB" w:rsidRPr="001B3ED4" w:rsidRDefault="00556BBB" w:rsidP="0046084C">
      <w:pPr>
        <w:spacing w:before="240" w:line="360" w:lineRule="auto"/>
        <w:jc w:val="both"/>
        <w:rPr>
          <w:rFonts w:ascii="Arial" w:hAnsi="Arial" w:cs="Arial"/>
        </w:rPr>
      </w:pPr>
      <w:r w:rsidRPr="001B3ED4">
        <w:rPr>
          <w:rFonts w:ascii="Arial" w:hAnsi="Arial" w:cs="Arial"/>
        </w:rPr>
        <w:t xml:space="preserve">Verma, A., Singh, V., Singh Chouhan, A.P. and Dutt, P.K., </w:t>
      </w:r>
      <w:r w:rsidR="00F96501" w:rsidRPr="001B3ED4">
        <w:rPr>
          <w:rFonts w:ascii="Arial" w:hAnsi="Arial" w:cs="Arial"/>
        </w:rPr>
        <w:t>(</w:t>
      </w:r>
      <w:r w:rsidRPr="001B3ED4">
        <w:rPr>
          <w:rFonts w:ascii="Arial" w:hAnsi="Arial" w:cs="Arial"/>
        </w:rPr>
        <w:t>2024</w:t>
      </w:r>
      <w:r w:rsidR="00F96501" w:rsidRPr="001B3ED4">
        <w:rPr>
          <w:rFonts w:ascii="Arial" w:hAnsi="Arial" w:cs="Arial"/>
        </w:rPr>
        <w:t>)</w:t>
      </w:r>
      <w:r w:rsidRPr="001B3ED4">
        <w:rPr>
          <w:rFonts w:ascii="Arial" w:hAnsi="Arial" w:cs="Arial"/>
        </w:rPr>
        <w:t>. TUBERCULOSIS: SYMPTOMS, DIAGNOSIS AND THE FIGHT AGAINST DRUG RESISTANCE. </w:t>
      </w:r>
      <w:r w:rsidRPr="001B3ED4">
        <w:rPr>
          <w:rFonts w:ascii="Arial" w:hAnsi="Arial" w:cs="Arial"/>
          <w:i/>
          <w:iCs/>
        </w:rPr>
        <w:t>Biochemical &amp; Cellular Archives</w:t>
      </w:r>
      <w:r w:rsidRPr="001B3ED4">
        <w:rPr>
          <w:rFonts w:ascii="Arial" w:hAnsi="Arial" w:cs="Arial"/>
        </w:rPr>
        <w:t xml:space="preserve">. </w:t>
      </w:r>
      <w:hyperlink r:id="rId112" w:history="1">
        <w:r w:rsidRPr="001B3ED4">
          <w:rPr>
            <w:rStyle w:val="Hyperlink"/>
            <w:rFonts w:ascii="Arial" w:hAnsi="Arial" w:cs="Arial"/>
          </w:rPr>
          <w:t>https://search.ebscohost.com/login.aspx?direct=true&amp;profile=ehost&amp;scope=site&amp;authtype=crawler&amp;jrnl=09725075&amp;AN=182333334&amp;h=Wy7q1KPKzriL0LTCYp%2BtQ0oI8KgQ0SUK52RLmx7DE9aE6rbmB%2BVssHzuQLpnelgMTnfC4Tr3UnXchYesG35%2Bxw%3D%3D&amp;crl=c</w:t>
        </w:r>
      </w:hyperlink>
    </w:p>
    <w:p w14:paraId="0FE9C4B2" w14:textId="0EDF4ECC" w:rsidR="00E5504D" w:rsidRPr="001B3ED4" w:rsidRDefault="00E5504D" w:rsidP="0046084C">
      <w:pPr>
        <w:spacing w:before="240" w:line="360" w:lineRule="auto"/>
        <w:jc w:val="both"/>
      </w:pPr>
      <w:proofErr w:type="spellStart"/>
      <w:r w:rsidRPr="001B3ED4">
        <w:rPr>
          <w:rFonts w:ascii="Arial" w:hAnsi="Arial" w:cs="Arial"/>
        </w:rPr>
        <w:t>Weerasuriya</w:t>
      </w:r>
      <w:proofErr w:type="spellEnd"/>
      <w:r w:rsidRPr="001B3ED4">
        <w:rPr>
          <w:rFonts w:ascii="Arial" w:hAnsi="Arial" w:cs="Arial"/>
        </w:rPr>
        <w:t xml:space="preserve">, C.K., Harris, R.C., McQuaid, C.F., Bozzani, F., Ruan, Y., Li, R., Li, T., Rade, K., Rao, R., Ginsberg, A.M. and Gomez, G.B., </w:t>
      </w:r>
      <w:r w:rsidR="00F96501" w:rsidRPr="001B3ED4">
        <w:rPr>
          <w:rFonts w:ascii="Arial" w:hAnsi="Arial" w:cs="Arial"/>
        </w:rPr>
        <w:t>(</w:t>
      </w:r>
      <w:r w:rsidRPr="001B3ED4">
        <w:rPr>
          <w:rFonts w:ascii="Arial" w:hAnsi="Arial" w:cs="Arial"/>
        </w:rPr>
        <w:t>2021</w:t>
      </w:r>
      <w:r w:rsidR="00F96501" w:rsidRPr="001B3ED4">
        <w:rPr>
          <w:rFonts w:ascii="Arial" w:hAnsi="Arial" w:cs="Arial"/>
        </w:rPr>
        <w:t>)</w:t>
      </w:r>
      <w:r w:rsidRPr="001B3ED4">
        <w:rPr>
          <w:rFonts w:ascii="Arial" w:hAnsi="Arial" w:cs="Arial"/>
        </w:rPr>
        <w:t>. The epidemiologic impact and cost-effectiveness of new tuberculosis vaccines on multidrug-resistant tuberculosis in India and China. </w:t>
      </w:r>
      <w:r w:rsidRPr="001B3ED4">
        <w:rPr>
          <w:rFonts w:ascii="Arial" w:hAnsi="Arial" w:cs="Arial"/>
          <w:i/>
          <w:iCs/>
        </w:rPr>
        <w:t>BMC medicine</w:t>
      </w:r>
      <w:r w:rsidRPr="001B3ED4">
        <w:rPr>
          <w:rFonts w:ascii="Arial" w:hAnsi="Arial" w:cs="Arial"/>
        </w:rPr>
        <w:t>, </w:t>
      </w:r>
      <w:r w:rsidRPr="001B3ED4">
        <w:rPr>
          <w:rFonts w:ascii="Arial" w:hAnsi="Arial" w:cs="Arial"/>
          <w:i/>
          <w:iCs/>
        </w:rPr>
        <w:t>19</w:t>
      </w:r>
      <w:r w:rsidRPr="001B3ED4">
        <w:rPr>
          <w:rFonts w:ascii="Arial" w:hAnsi="Arial" w:cs="Arial"/>
        </w:rPr>
        <w:t xml:space="preserve">(1), p.60. </w:t>
      </w:r>
      <w:hyperlink r:id="rId113" w:history="1">
        <w:r w:rsidRPr="001B3ED4">
          <w:rPr>
            <w:rStyle w:val="Hyperlink"/>
            <w:rFonts w:ascii="Arial" w:hAnsi="Arial" w:cs="Arial"/>
          </w:rPr>
          <w:t>https://link.springer.com/article/10.1186/s12916-021-01932-7</w:t>
        </w:r>
      </w:hyperlink>
    </w:p>
    <w:p w14:paraId="74387953" w14:textId="77777777" w:rsidR="002E018A" w:rsidRPr="001B3ED4" w:rsidRDefault="002E018A" w:rsidP="002E018A">
      <w:pPr>
        <w:spacing w:line="360" w:lineRule="auto"/>
        <w:jc w:val="both"/>
        <w:rPr>
          <w:rFonts w:ascii="Arial" w:hAnsi="Arial" w:cs="Arial"/>
        </w:rPr>
      </w:pPr>
      <w:r w:rsidRPr="001B3ED4">
        <w:rPr>
          <w:rFonts w:ascii="Arial" w:hAnsi="Arial" w:cs="Arial"/>
        </w:rPr>
        <w:t xml:space="preserve">WHO (2024), Global Tuberculosis reports, </w:t>
      </w:r>
      <w:hyperlink r:id="rId114" w:history="1">
        <w:r w:rsidRPr="001B3ED4">
          <w:rPr>
            <w:rStyle w:val="Hyperlink"/>
            <w:rFonts w:ascii="Arial" w:hAnsi="Arial" w:cs="Arial"/>
          </w:rPr>
          <w:t>https://www.who.int/teams/global-programme-on-tuberculosis-and-lung-health/tb-reports/global-tuberculosis-report-2024</w:t>
        </w:r>
      </w:hyperlink>
    </w:p>
    <w:p w14:paraId="19CC61BD" w14:textId="6AB64F4C" w:rsidR="00D93E9D" w:rsidRPr="001B3ED4" w:rsidRDefault="00D93E9D" w:rsidP="0046084C">
      <w:pPr>
        <w:spacing w:before="240" w:line="360" w:lineRule="auto"/>
        <w:jc w:val="both"/>
        <w:rPr>
          <w:rFonts w:ascii="Arial" w:hAnsi="Arial" w:cs="Arial"/>
        </w:rPr>
      </w:pPr>
      <w:r w:rsidRPr="001B3ED4">
        <w:rPr>
          <w:rFonts w:ascii="Arial" w:hAnsi="Arial" w:cs="Arial"/>
        </w:rPr>
        <w:lastRenderedPageBreak/>
        <w:t xml:space="preserve">WHO (2023), </w:t>
      </w:r>
      <w:hyperlink r:id="rId115" w:history="1">
        <w:r w:rsidRPr="001B3ED4">
          <w:rPr>
            <w:rStyle w:val="Hyperlink"/>
            <w:rFonts w:ascii="Arial" w:hAnsi="Arial" w:cs="Arial"/>
          </w:rPr>
          <w:t>https://www.who.int/teams/global-programme-on-tuberculosis-and-lung-health/tb-reports/global-tuberculosis-report-2024/tb-disease-burden/1-1-tb-incidence</w:t>
        </w:r>
      </w:hyperlink>
    </w:p>
    <w:p w14:paraId="249575F7" w14:textId="223758D7" w:rsidR="000232B3" w:rsidRPr="001B3ED4" w:rsidRDefault="008D7C98" w:rsidP="0046084C">
      <w:pPr>
        <w:spacing w:before="240" w:line="360" w:lineRule="auto"/>
        <w:jc w:val="both"/>
        <w:rPr>
          <w:rFonts w:ascii="Arial" w:hAnsi="Arial" w:cs="Arial"/>
        </w:rPr>
      </w:pPr>
      <w:r w:rsidRPr="001B3ED4">
        <w:rPr>
          <w:rFonts w:ascii="Arial" w:hAnsi="Arial" w:cs="Arial"/>
        </w:rPr>
        <w:t xml:space="preserve">Yadav, K. and Prakash, S., </w:t>
      </w:r>
      <w:r w:rsidR="00F96501" w:rsidRPr="001B3ED4">
        <w:rPr>
          <w:rFonts w:ascii="Arial" w:hAnsi="Arial" w:cs="Arial"/>
        </w:rPr>
        <w:t>(</w:t>
      </w:r>
      <w:r w:rsidRPr="001B3ED4">
        <w:rPr>
          <w:rFonts w:ascii="Arial" w:hAnsi="Arial" w:cs="Arial"/>
        </w:rPr>
        <w:t>2017</w:t>
      </w:r>
      <w:r w:rsidR="00F96501" w:rsidRPr="001B3ED4">
        <w:rPr>
          <w:rFonts w:ascii="Arial" w:hAnsi="Arial" w:cs="Arial"/>
        </w:rPr>
        <w:t>)</w:t>
      </w:r>
      <w:r w:rsidRPr="001B3ED4">
        <w:rPr>
          <w:rFonts w:ascii="Arial" w:hAnsi="Arial" w:cs="Arial"/>
        </w:rPr>
        <w:t>. Tuberculosis: An airborne disease. </w:t>
      </w:r>
      <w:r w:rsidRPr="001B3ED4">
        <w:rPr>
          <w:rFonts w:ascii="Arial" w:hAnsi="Arial" w:cs="Arial"/>
          <w:i/>
          <w:iCs/>
        </w:rPr>
        <w:t>Global journal of Microbiology research</w:t>
      </w:r>
      <w:r w:rsidRPr="001B3ED4">
        <w:rPr>
          <w:rFonts w:ascii="Arial" w:hAnsi="Arial" w:cs="Arial"/>
        </w:rPr>
        <w:t>, </w:t>
      </w:r>
      <w:r w:rsidRPr="001B3ED4">
        <w:rPr>
          <w:rFonts w:ascii="Arial" w:hAnsi="Arial" w:cs="Arial"/>
          <w:i/>
          <w:iCs/>
        </w:rPr>
        <w:t>5</w:t>
      </w:r>
      <w:r w:rsidRPr="001B3ED4">
        <w:rPr>
          <w:rFonts w:ascii="Arial" w:hAnsi="Arial" w:cs="Arial"/>
        </w:rPr>
        <w:t xml:space="preserve">(5), pp.225-243. </w:t>
      </w:r>
      <w:hyperlink r:id="rId116" w:history="1">
        <w:r w:rsidRPr="001B3ED4">
          <w:rPr>
            <w:rStyle w:val="Hyperlink"/>
            <w:rFonts w:ascii="Arial" w:hAnsi="Arial" w:cs="Arial"/>
          </w:rPr>
          <w:t>https://www.academia.edu/download/82339609/250920177240.pdf</w:t>
        </w:r>
      </w:hyperlink>
    </w:p>
    <w:p w14:paraId="222E7C47" w14:textId="0713192F" w:rsidR="006A370E" w:rsidRPr="001B3ED4" w:rsidRDefault="006A370E" w:rsidP="0046084C">
      <w:pPr>
        <w:spacing w:before="240" w:line="360" w:lineRule="auto"/>
        <w:jc w:val="both"/>
        <w:rPr>
          <w:rFonts w:ascii="Arial" w:hAnsi="Arial" w:cs="Arial"/>
        </w:rPr>
      </w:pPr>
      <w:r w:rsidRPr="001B3ED4">
        <w:rPr>
          <w:rFonts w:ascii="Arial" w:hAnsi="Arial" w:cs="Arial"/>
        </w:rPr>
        <w:t xml:space="preserve">Zein, R.A., </w:t>
      </w:r>
      <w:proofErr w:type="spellStart"/>
      <w:r w:rsidRPr="001B3ED4">
        <w:rPr>
          <w:rFonts w:ascii="Arial" w:hAnsi="Arial" w:cs="Arial"/>
        </w:rPr>
        <w:t>Suhariadi</w:t>
      </w:r>
      <w:proofErr w:type="spellEnd"/>
      <w:r w:rsidRPr="001B3ED4">
        <w:rPr>
          <w:rFonts w:ascii="Arial" w:hAnsi="Arial" w:cs="Arial"/>
        </w:rPr>
        <w:t xml:space="preserve">, F. and </w:t>
      </w:r>
      <w:proofErr w:type="spellStart"/>
      <w:r w:rsidRPr="001B3ED4">
        <w:rPr>
          <w:rFonts w:ascii="Arial" w:hAnsi="Arial" w:cs="Arial"/>
        </w:rPr>
        <w:t>Hendriani</w:t>
      </w:r>
      <w:proofErr w:type="spellEnd"/>
      <w:r w:rsidRPr="001B3ED4">
        <w:rPr>
          <w:rFonts w:ascii="Arial" w:hAnsi="Arial" w:cs="Arial"/>
        </w:rPr>
        <w:t xml:space="preserve">, W., </w:t>
      </w:r>
      <w:r w:rsidR="00F96501" w:rsidRPr="001B3ED4">
        <w:rPr>
          <w:rFonts w:ascii="Arial" w:hAnsi="Arial" w:cs="Arial"/>
        </w:rPr>
        <w:t>(</w:t>
      </w:r>
      <w:r w:rsidRPr="001B3ED4">
        <w:rPr>
          <w:rFonts w:ascii="Arial" w:hAnsi="Arial" w:cs="Arial"/>
        </w:rPr>
        <w:t>2017</w:t>
      </w:r>
      <w:r w:rsidR="00F96501" w:rsidRPr="001B3ED4">
        <w:rPr>
          <w:rFonts w:ascii="Arial" w:hAnsi="Arial" w:cs="Arial"/>
        </w:rPr>
        <w:t>)</w:t>
      </w:r>
      <w:r w:rsidRPr="001B3ED4">
        <w:rPr>
          <w:rFonts w:ascii="Arial" w:hAnsi="Arial" w:cs="Arial"/>
        </w:rPr>
        <w:t>. Estimating the effect of lay knowledge and prior contact with pulmonary TB patients, on health-belief model in a high-risk pulmonary TB transmission population. </w:t>
      </w:r>
      <w:r w:rsidRPr="001B3ED4">
        <w:rPr>
          <w:rFonts w:ascii="Arial" w:hAnsi="Arial" w:cs="Arial"/>
          <w:i/>
          <w:iCs/>
        </w:rPr>
        <w:t xml:space="preserve">Psychology Research and </w:t>
      </w:r>
      <w:proofErr w:type="spellStart"/>
      <w:r w:rsidRPr="001B3ED4">
        <w:rPr>
          <w:rFonts w:ascii="Arial" w:hAnsi="Arial" w:cs="Arial"/>
          <w:i/>
          <w:iCs/>
        </w:rPr>
        <w:t>Behavior</w:t>
      </w:r>
      <w:proofErr w:type="spellEnd"/>
      <w:r w:rsidRPr="001B3ED4">
        <w:rPr>
          <w:rFonts w:ascii="Arial" w:hAnsi="Arial" w:cs="Arial"/>
          <w:i/>
          <w:iCs/>
        </w:rPr>
        <w:t xml:space="preserve"> Management</w:t>
      </w:r>
      <w:r w:rsidRPr="001B3ED4">
        <w:rPr>
          <w:rFonts w:ascii="Arial" w:hAnsi="Arial" w:cs="Arial"/>
        </w:rPr>
        <w:t xml:space="preserve">, pp.187-194. </w:t>
      </w:r>
      <w:hyperlink r:id="rId117" w:history="1">
        <w:r w:rsidRPr="001B3ED4">
          <w:rPr>
            <w:rStyle w:val="Hyperlink"/>
            <w:rFonts w:ascii="Arial" w:hAnsi="Arial" w:cs="Arial"/>
          </w:rPr>
          <w:t>https://www.tandfonline.com/doi/abs/10.2147/PRBM.S134034</w:t>
        </w:r>
      </w:hyperlink>
    </w:p>
    <w:p w14:paraId="66015A19" w14:textId="77777777" w:rsidR="003F75FD" w:rsidRPr="001B3ED4" w:rsidRDefault="003F75FD" w:rsidP="003F75FD">
      <w:pPr>
        <w:spacing w:before="240" w:line="360" w:lineRule="auto"/>
        <w:jc w:val="both"/>
        <w:rPr>
          <w:rFonts w:ascii="Arial" w:hAnsi="Arial" w:cs="Arial"/>
        </w:rPr>
      </w:pPr>
      <w:r w:rsidRPr="001B3ED4">
        <w:rPr>
          <w:rFonts w:ascii="Arial" w:hAnsi="Arial" w:cs="Arial"/>
        </w:rPr>
        <w:t>Zahle, J., (2021). Interpretivism and qualitative research. In </w:t>
      </w:r>
      <w:r w:rsidRPr="001B3ED4">
        <w:rPr>
          <w:rFonts w:ascii="Arial" w:hAnsi="Arial" w:cs="Arial"/>
          <w:i/>
          <w:iCs/>
        </w:rPr>
        <w:t>Stephen Turner and the Philosophy of the Social</w:t>
      </w:r>
      <w:r w:rsidRPr="001B3ED4">
        <w:rPr>
          <w:rFonts w:ascii="Arial" w:hAnsi="Arial" w:cs="Arial"/>
        </w:rPr>
        <w:t xml:space="preserve"> (pp. 202-220). Brill. </w:t>
      </w:r>
      <w:hyperlink r:id="rId118" w:anchor="page=212" w:history="1">
        <w:r w:rsidRPr="001B3ED4">
          <w:rPr>
            <w:rStyle w:val="Hyperlink"/>
            <w:rFonts w:ascii="Arial" w:hAnsi="Arial" w:cs="Arial"/>
          </w:rPr>
          <w:t>https://brill.com/downloadpdf/edcollbook/title/59707.pdf#page=212</w:t>
        </w:r>
      </w:hyperlink>
    </w:p>
    <w:p w14:paraId="78C80A8A" w14:textId="2DD8DB30" w:rsidR="004F0516" w:rsidRPr="001B3ED4" w:rsidRDefault="004F0516" w:rsidP="0046084C">
      <w:pPr>
        <w:spacing w:before="240" w:line="360" w:lineRule="auto"/>
        <w:jc w:val="both"/>
        <w:rPr>
          <w:rFonts w:ascii="Arial" w:hAnsi="Arial" w:cs="Arial"/>
        </w:rPr>
      </w:pPr>
      <w:r w:rsidRPr="001B3ED4">
        <w:rPr>
          <w:rFonts w:ascii="Arial" w:hAnsi="Arial" w:cs="Arial"/>
        </w:rPr>
        <w:t xml:space="preserve">Zimmermann, P., Finn, A. and Curtis, N., </w:t>
      </w:r>
      <w:r w:rsidR="00F96501" w:rsidRPr="001B3ED4">
        <w:rPr>
          <w:rFonts w:ascii="Arial" w:hAnsi="Arial" w:cs="Arial"/>
        </w:rPr>
        <w:t>(</w:t>
      </w:r>
      <w:r w:rsidRPr="001B3ED4">
        <w:rPr>
          <w:rFonts w:ascii="Arial" w:hAnsi="Arial" w:cs="Arial"/>
        </w:rPr>
        <w:t>2018</w:t>
      </w:r>
      <w:r w:rsidR="00F96501" w:rsidRPr="001B3ED4">
        <w:rPr>
          <w:rFonts w:ascii="Arial" w:hAnsi="Arial" w:cs="Arial"/>
        </w:rPr>
        <w:t>)</w:t>
      </w:r>
      <w:r w:rsidRPr="001B3ED4">
        <w:rPr>
          <w:rFonts w:ascii="Arial" w:hAnsi="Arial" w:cs="Arial"/>
        </w:rPr>
        <w:t>. Does BCG vaccination protect against nontuberculous mycobacterial infection? A systematic review and meta-analysis. </w:t>
      </w:r>
      <w:r w:rsidRPr="001B3ED4">
        <w:rPr>
          <w:rFonts w:ascii="Arial" w:hAnsi="Arial" w:cs="Arial"/>
          <w:i/>
          <w:iCs/>
        </w:rPr>
        <w:t>The Journal of infectious diseases</w:t>
      </w:r>
      <w:r w:rsidRPr="001B3ED4">
        <w:rPr>
          <w:rFonts w:ascii="Arial" w:hAnsi="Arial" w:cs="Arial"/>
        </w:rPr>
        <w:t>, </w:t>
      </w:r>
      <w:r w:rsidRPr="001B3ED4">
        <w:rPr>
          <w:rFonts w:ascii="Arial" w:hAnsi="Arial" w:cs="Arial"/>
          <w:i/>
          <w:iCs/>
        </w:rPr>
        <w:t>218</w:t>
      </w:r>
      <w:r w:rsidRPr="001B3ED4">
        <w:rPr>
          <w:rFonts w:ascii="Arial" w:hAnsi="Arial" w:cs="Arial"/>
        </w:rPr>
        <w:t xml:space="preserve">(5), pp.679-687. </w:t>
      </w:r>
      <w:hyperlink r:id="rId119" w:history="1">
        <w:r w:rsidRPr="001B3ED4">
          <w:rPr>
            <w:rStyle w:val="Hyperlink"/>
            <w:rFonts w:ascii="Arial" w:hAnsi="Arial" w:cs="Arial"/>
          </w:rPr>
          <w:t>https://academic.oup.com/jid/article-abstract/218/5/679/4964710</w:t>
        </w:r>
      </w:hyperlink>
    </w:p>
    <w:p w14:paraId="6D653002" w14:textId="77777777" w:rsidR="004F0516" w:rsidRPr="001B3ED4" w:rsidRDefault="004F0516" w:rsidP="0046084C">
      <w:pPr>
        <w:spacing w:before="240" w:line="360" w:lineRule="auto"/>
        <w:jc w:val="both"/>
        <w:rPr>
          <w:rFonts w:ascii="Arial" w:hAnsi="Arial" w:cs="Arial"/>
        </w:rPr>
      </w:pPr>
    </w:p>
    <w:p w14:paraId="491E9F6B" w14:textId="77777777" w:rsidR="006A370E" w:rsidRPr="001B3ED4" w:rsidRDefault="006A370E" w:rsidP="0046084C">
      <w:pPr>
        <w:spacing w:before="240" w:line="360" w:lineRule="auto"/>
        <w:jc w:val="both"/>
        <w:rPr>
          <w:rFonts w:ascii="Arial" w:hAnsi="Arial" w:cs="Arial"/>
        </w:rPr>
      </w:pPr>
    </w:p>
    <w:p w14:paraId="192BE03E" w14:textId="77777777" w:rsidR="008D7C98" w:rsidRPr="001B3ED4" w:rsidRDefault="008D7C98" w:rsidP="0046084C">
      <w:pPr>
        <w:spacing w:before="240" w:line="360" w:lineRule="auto"/>
        <w:jc w:val="both"/>
        <w:rPr>
          <w:rFonts w:ascii="Arial" w:hAnsi="Arial" w:cs="Arial"/>
        </w:rPr>
      </w:pPr>
    </w:p>
    <w:p w14:paraId="1C0E9884" w14:textId="77777777" w:rsidR="008D7C98" w:rsidRPr="0046084C" w:rsidRDefault="008D7C98" w:rsidP="0046084C">
      <w:pPr>
        <w:spacing w:before="240" w:line="360" w:lineRule="auto"/>
        <w:jc w:val="both"/>
        <w:rPr>
          <w:rFonts w:ascii="Arial" w:hAnsi="Arial" w:cs="Arial"/>
        </w:rPr>
      </w:pPr>
    </w:p>
    <w:sectPr w:rsidR="008D7C98" w:rsidRPr="0046084C">
      <w:footerReference w:type="default" r:id="rId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9A7A8" w14:textId="77777777" w:rsidR="00D912C0" w:rsidRPr="001B3ED4" w:rsidRDefault="00D912C0" w:rsidP="006C2D89">
      <w:pPr>
        <w:spacing w:after="0" w:line="240" w:lineRule="auto"/>
      </w:pPr>
      <w:r w:rsidRPr="001B3ED4">
        <w:separator/>
      </w:r>
    </w:p>
  </w:endnote>
  <w:endnote w:type="continuationSeparator" w:id="0">
    <w:p w14:paraId="1B3CC2B4" w14:textId="77777777" w:rsidR="00D912C0" w:rsidRPr="001B3ED4" w:rsidRDefault="00D912C0" w:rsidP="006C2D89">
      <w:pPr>
        <w:spacing w:after="0" w:line="240" w:lineRule="auto"/>
      </w:pPr>
      <w:r w:rsidRPr="001B3E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916857"/>
      <w:docPartObj>
        <w:docPartGallery w:val="Page Numbers (Bottom of Page)"/>
        <w:docPartUnique/>
      </w:docPartObj>
    </w:sdtPr>
    <w:sdtContent>
      <w:p w14:paraId="1C767370" w14:textId="2564F826" w:rsidR="006C2D89" w:rsidRPr="001B3ED4" w:rsidRDefault="006C2D89">
        <w:pPr>
          <w:pStyle w:val="Footer"/>
          <w:jc w:val="right"/>
        </w:pPr>
        <w:r w:rsidRPr="001B3ED4">
          <w:fldChar w:fldCharType="begin"/>
        </w:r>
        <w:r w:rsidRPr="001B3ED4">
          <w:instrText>PAGE   \* MERGEFORMAT</w:instrText>
        </w:r>
        <w:r w:rsidRPr="001B3ED4">
          <w:fldChar w:fldCharType="separate"/>
        </w:r>
        <w:r w:rsidRPr="001B3ED4">
          <w:t>2</w:t>
        </w:r>
        <w:r w:rsidRPr="001B3ED4">
          <w:fldChar w:fldCharType="end"/>
        </w:r>
      </w:p>
    </w:sdtContent>
  </w:sdt>
  <w:p w14:paraId="2BDB8164" w14:textId="4C4D8DA6" w:rsidR="006C2D89" w:rsidRPr="001B3ED4" w:rsidRDefault="006C2D89">
    <w:pPr>
      <w:pStyle w:val="Footer"/>
    </w:pPr>
    <w:r w:rsidRPr="001B3ED4">
      <w:t>Kruti Borad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C7D60" w14:textId="77777777" w:rsidR="00D912C0" w:rsidRPr="001B3ED4" w:rsidRDefault="00D912C0" w:rsidP="006C2D89">
      <w:pPr>
        <w:spacing w:after="0" w:line="240" w:lineRule="auto"/>
      </w:pPr>
      <w:r w:rsidRPr="001B3ED4">
        <w:separator/>
      </w:r>
    </w:p>
  </w:footnote>
  <w:footnote w:type="continuationSeparator" w:id="0">
    <w:p w14:paraId="08408610" w14:textId="77777777" w:rsidR="00D912C0" w:rsidRPr="001B3ED4" w:rsidRDefault="00D912C0" w:rsidP="006C2D89">
      <w:pPr>
        <w:spacing w:after="0" w:line="240" w:lineRule="auto"/>
      </w:pPr>
      <w:r w:rsidRPr="001B3E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B4F69"/>
    <w:multiLevelType w:val="hybridMultilevel"/>
    <w:tmpl w:val="65C0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B5598"/>
    <w:multiLevelType w:val="multilevel"/>
    <w:tmpl w:val="DA36CD68"/>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 w15:restartNumberingAfterBreak="0">
    <w:nsid w:val="51237ADF"/>
    <w:multiLevelType w:val="hybridMultilevel"/>
    <w:tmpl w:val="2168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48069D"/>
    <w:multiLevelType w:val="multilevel"/>
    <w:tmpl w:val="C5969E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594850728">
    <w:abstractNumId w:val="1"/>
  </w:num>
  <w:num w:numId="2" w16cid:durableId="1635210310">
    <w:abstractNumId w:val="2"/>
  </w:num>
  <w:num w:numId="3" w16cid:durableId="684523666">
    <w:abstractNumId w:val="0"/>
  </w:num>
  <w:num w:numId="4" w16cid:durableId="1860461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2C"/>
    <w:rsid w:val="00012C70"/>
    <w:rsid w:val="00013459"/>
    <w:rsid w:val="000232B3"/>
    <w:rsid w:val="00024F3C"/>
    <w:rsid w:val="00066F06"/>
    <w:rsid w:val="00081D9E"/>
    <w:rsid w:val="00084D07"/>
    <w:rsid w:val="000A64A5"/>
    <w:rsid w:val="000B613A"/>
    <w:rsid w:val="000C0736"/>
    <w:rsid w:val="000D09D7"/>
    <w:rsid w:val="000F523E"/>
    <w:rsid w:val="001159B9"/>
    <w:rsid w:val="001377BA"/>
    <w:rsid w:val="00154C19"/>
    <w:rsid w:val="0015714A"/>
    <w:rsid w:val="001901A5"/>
    <w:rsid w:val="00196C3A"/>
    <w:rsid w:val="001978D7"/>
    <w:rsid w:val="001B3ED4"/>
    <w:rsid w:val="001B5D32"/>
    <w:rsid w:val="001C44DE"/>
    <w:rsid w:val="001C579F"/>
    <w:rsid w:val="001E0D7E"/>
    <w:rsid w:val="00203CC5"/>
    <w:rsid w:val="002069A9"/>
    <w:rsid w:val="00206CF7"/>
    <w:rsid w:val="002202D1"/>
    <w:rsid w:val="00231826"/>
    <w:rsid w:val="002366B0"/>
    <w:rsid w:val="00244237"/>
    <w:rsid w:val="00253AFE"/>
    <w:rsid w:val="00254A7E"/>
    <w:rsid w:val="00280F11"/>
    <w:rsid w:val="002849A1"/>
    <w:rsid w:val="00284A84"/>
    <w:rsid w:val="00291941"/>
    <w:rsid w:val="002C01A5"/>
    <w:rsid w:val="002E018A"/>
    <w:rsid w:val="002F2E0D"/>
    <w:rsid w:val="00310980"/>
    <w:rsid w:val="00310E2A"/>
    <w:rsid w:val="00313518"/>
    <w:rsid w:val="003243A0"/>
    <w:rsid w:val="003254D4"/>
    <w:rsid w:val="00335536"/>
    <w:rsid w:val="00345B07"/>
    <w:rsid w:val="00361DEC"/>
    <w:rsid w:val="0038210D"/>
    <w:rsid w:val="00391C95"/>
    <w:rsid w:val="003A3A09"/>
    <w:rsid w:val="003B414A"/>
    <w:rsid w:val="003C4B90"/>
    <w:rsid w:val="003E6686"/>
    <w:rsid w:val="003F434E"/>
    <w:rsid w:val="003F75FD"/>
    <w:rsid w:val="00403C9B"/>
    <w:rsid w:val="0040603E"/>
    <w:rsid w:val="00412630"/>
    <w:rsid w:val="00417BB3"/>
    <w:rsid w:val="004474B4"/>
    <w:rsid w:val="004539BE"/>
    <w:rsid w:val="0046054C"/>
    <w:rsid w:val="0046084C"/>
    <w:rsid w:val="00490080"/>
    <w:rsid w:val="0049404D"/>
    <w:rsid w:val="00495ECE"/>
    <w:rsid w:val="004A071E"/>
    <w:rsid w:val="004A1B7F"/>
    <w:rsid w:val="004A56F1"/>
    <w:rsid w:val="004C6B26"/>
    <w:rsid w:val="004E39E2"/>
    <w:rsid w:val="004F0516"/>
    <w:rsid w:val="004F2450"/>
    <w:rsid w:val="0052700B"/>
    <w:rsid w:val="00532BC6"/>
    <w:rsid w:val="00542FED"/>
    <w:rsid w:val="00546C2B"/>
    <w:rsid w:val="0055509E"/>
    <w:rsid w:val="00556BBB"/>
    <w:rsid w:val="00570C95"/>
    <w:rsid w:val="00584C66"/>
    <w:rsid w:val="0058602F"/>
    <w:rsid w:val="005862A1"/>
    <w:rsid w:val="005C0572"/>
    <w:rsid w:val="005D133E"/>
    <w:rsid w:val="005D4CB7"/>
    <w:rsid w:val="005D7B99"/>
    <w:rsid w:val="006020CC"/>
    <w:rsid w:val="00607862"/>
    <w:rsid w:val="006166CC"/>
    <w:rsid w:val="00616D86"/>
    <w:rsid w:val="00632E4B"/>
    <w:rsid w:val="00636104"/>
    <w:rsid w:val="00641DE9"/>
    <w:rsid w:val="00666DA7"/>
    <w:rsid w:val="00672C39"/>
    <w:rsid w:val="00677E2C"/>
    <w:rsid w:val="006812D3"/>
    <w:rsid w:val="00690E36"/>
    <w:rsid w:val="006A30F2"/>
    <w:rsid w:val="006A370E"/>
    <w:rsid w:val="006C2D89"/>
    <w:rsid w:val="007147E2"/>
    <w:rsid w:val="00717B0F"/>
    <w:rsid w:val="00743A30"/>
    <w:rsid w:val="00753BDC"/>
    <w:rsid w:val="00776D8A"/>
    <w:rsid w:val="00797A13"/>
    <w:rsid w:val="007A0E41"/>
    <w:rsid w:val="007A74B9"/>
    <w:rsid w:val="007C0DE6"/>
    <w:rsid w:val="007E2859"/>
    <w:rsid w:val="00806EE1"/>
    <w:rsid w:val="008155A7"/>
    <w:rsid w:val="0082584A"/>
    <w:rsid w:val="00833B86"/>
    <w:rsid w:val="00834189"/>
    <w:rsid w:val="00850D98"/>
    <w:rsid w:val="00890189"/>
    <w:rsid w:val="00890B0E"/>
    <w:rsid w:val="008A4B38"/>
    <w:rsid w:val="008C2480"/>
    <w:rsid w:val="008D47EB"/>
    <w:rsid w:val="008D7C98"/>
    <w:rsid w:val="008E5228"/>
    <w:rsid w:val="008E7E58"/>
    <w:rsid w:val="00903671"/>
    <w:rsid w:val="0091359B"/>
    <w:rsid w:val="00925B53"/>
    <w:rsid w:val="00930128"/>
    <w:rsid w:val="0093658E"/>
    <w:rsid w:val="009535FE"/>
    <w:rsid w:val="00955ED1"/>
    <w:rsid w:val="00963E45"/>
    <w:rsid w:val="00983D64"/>
    <w:rsid w:val="00985641"/>
    <w:rsid w:val="009A0B1D"/>
    <w:rsid w:val="009A48E9"/>
    <w:rsid w:val="009C2C1D"/>
    <w:rsid w:val="009C3E8B"/>
    <w:rsid w:val="009C590D"/>
    <w:rsid w:val="009D6CCA"/>
    <w:rsid w:val="009F4010"/>
    <w:rsid w:val="00A20467"/>
    <w:rsid w:val="00A37261"/>
    <w:rsid w:val="00A4764F"/>
    <w:rsid w:val="00A5046A"/>
    <w:rsid w:val="00A526C7"/>
    <w:rsid w:val="00A5514D"/>
    <w:rsid w:val="00A66B7A"/>
    <w:rsid w:val="00A71981"/>
    <w:rsid w:val="00A85B59"/>
    <w:rsid w:val="00AB0BD3"/>
    <w:rsid w:val="00AC2EEA"/>
    <w:rsid w:val="00AE04CF"/>
    <w:rsid w:val="00AE32D6"/>
    <w:rsid w:val="00AE4137"/>
    <w:rsid w:val="00AE442C"/>
    <w:rsid w:val="00B26D9B"/>
    <w:rsid w:val="00B57C90"/>
    <w:rsid w:val="00BA558D"/>
    <w:rsid w:val="00BA5B6D"/>
    <w:rsid w:val="00BC415B"/>
    <w:rsid w:val="00BD2E7B"/>
    <w:rsid w:val="00BE2641"/>
    <w:rsid w:val="00BE3DAC"/>
    <w:rsid w:val="00BF5295"/>
    <w:rsid w:val="00C43955"/>
    <w:rsid w:val="00C5375B"/>
    <w:rsid w:val="00C541FE"/>
    <w:rsid w:val="00C75AEF"/>
    <w:rsid w:val="00C82724"/>
    <w:rsid w:val="00C83658"/>
    <w:rsid w:val="00C87D15"/>
    <w:rsid w:val="00C976A1"/>
    <w:rsid w:val="00CC4D22"/>
    <w:rsid w:val="00CE633C"/>
    <w:rsid w:val="00CF25D2"/>
    <w:rsid w:val="00D1277C"/>
    <w:rsid w:val="00D2543D"/>
    <w:rsid w:val="00D533EF"/>
    <w:rsid w:val="00D55F49"/>
    <w:rsid w:val="00D60FB2"/>
    <w:rsid w:val="00D9032F"/>
    <w:rsid w:val="00D912C0"/>
    <w:rsid w:val="00D93E9D"/>
    <w:rsid w:val="00DA12EC"/>
    <w:rsid w:val="00DA133C"/>
    <w:rsid w:val="00DA26EF"/>
    <w:rsid w:val="00DA41EB"/>
    <w:rsid w:val="00DB3A2C"/>
    <w:rsid w:val="00DD5ADC"/>
    <w:rsid w:val="00E16670"/>
    <w:rsid w:val="00E34877"/>
    <w:rsid w:val="00E5504D"/>
    <w:rsid w:val="00E977C4"/>
    <w:rsid w:val="00ED7BE7"/>
    <w:rsid w:val="00EF4080"/>
    <w:rsid w:val="00EF60E3"/>
    <w:rsid w:val="00EF61F1"/>
    <w:rsid w:val="00F0259C"/>
    <w:rsid w:val="00F1083B"/>
    <w:rsid w:val="00F26625"/>
    <w:rsid w:val="00F50BD3"/>
    <w:rsid w:val="00F522B9"/>
    <w:rsid w:val="00F67463"/>
    <w:rsid w:val="00F96501"/>
    <w:rsid w:val="00F965B2"/>
    <w:rsid w:val="00FB2514"/>
    <w:rsid w:val="00FB66E1"/>
    <w:rsid w:val="00FC131E"/>
    <w:rsid w:val="00FD417E"/>
    <w:rsid w:val="00FE2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F9D0B6"/>
  <w15:chartTrackingRefBased/>
  <w15:docId w15:val="{1284F7E4-7F9F-45EB-A9A3-B51E54947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F2450"/>
    <w:pPr>
      <w:keepNext/>
      <w:keepLines/>
      <w:spacing w:before="240" w:after="0" w:line="259" w:lineRule="auto"/>
      <w:outlineLvl w:val="0"/>
    </w:pPr>
    <w:rPr>
      <w:rFonts w:ascii="Arial" w:eastAsiaTheme="majorEastAsia" w:hAnsi="Arial" w:cstheme="majorBidi"/>
      <w:b/>
      <w:color w:val="000000" w:themeColor="text1"/>
      <w:kern w:val="0"/>
      <w:sz w:val="28"/>
      <w:szCs w:val="28"/>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DB3A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A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A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A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A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A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A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450"/>
    <w:rPr>
      <w:rFonts w:ascii="Arial" w:eastAsiaTheme="majorEastAsia" w:hAnsi="Arial" w:cstheme="majorBidi"/>
      <w:b/>
      <w:color w:val="000000" w:themeColor="text1"/>
      <w:kern w:val="0"/>
      <w:sz w:val="28"/>
      <w:szCs w:val="28"/>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DB3A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A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A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A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A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A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A2C"/>
    <w:rPr>
      <w:rFonts w:eastAsiaTheme="majorEastAsia" w:cstheme="majorBidi"/>
      <w:color w:val="272727" w:themeColor="text1" w:themeTint="D8"/>
    </w:rPr>
  </w:style>
  <w:style w:type="paragraph" w:styleId="Title">
    <w:name w:val="Title"/>
    <w:basedOn w:val="Normal"/>
    <w:next w:val="Normal"/>
    <w:link w:val="TitleChar"/>
    <w:uiPriority w:val="10"/>
    <w:qFormat/>
    <w:rsid w:val="00DB3A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A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A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A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A2C"/>
    <w:pPr>
      <w:spacing w:before="160"/>
      <w:jc w:val="center"/>
    </w:pPr>
    <w:rPr>
      <w:i/>
      <w:iCs/>
      <w:color w:val="404040" w:themeColor="text1" w:themeTint="BF"/>
    </w:rPr>
  </w:style>
  <w:style w:type="character" w:customStyle="1" w:styleId="QuoteChar">
    <w:name w:val="Quote Char"/>
    <w:basedOn w:val="DefaultParagraphFont"/>
    <w:link w:val="Quote"/>
    <w:uiPriority w:val="29"/>
    <w:rsid w:val="00DB3A2C"/>
    <w:rPr>
      <w:i/>
      <w:iCs/>
      <w:color w:val="404040" w:themeColor="text1" w:themeTint="BF"/>
    </w:rPr>
  </w:style>
  <w:style w:type="paragraph" w:styleId="ListParagraph">
    <w:name w:val="List Paragraph"/>
    <w:basedOn w:val="Normal"/>
    <w:uiPriority w:val="34"/>
    <w:qFormat/>
    <w:rsid w:val="00DB3A2C"/>
    <w:pPr>
      <w:ind w:left="720"/>
      <w:contextualSpacing/>
    </w:pPr>
  </w:style>
  <w:style w:type="character" w:styleId="IntenseEmphasis">
    <w:name w:val="Intense Emphasis"/>
    <w:basedOn w:val="DefaultParagraphFont"/>
    <w:uiPriority w:val="21"/>
    <w:qFormat/>
    <w:rsid w:val="00DB3A2C"/>
    <w:rPr>
      <w:i/>
      <w:iCs/>
      <w:color w:val="0F4761" w:themeColor="accent1" w:themeShade="BF"/>
    </w:rPr>
  </w:style>
  <w:style w:type="paragraph" w:styleId="IntenseQuote">
    <w:name w:val="Intense Quote"/>
    <w:basedOn w:val="Normal"/>
    <w:next w:val="Normal"/>
    <w:link w:val="IntenseQuoteChar"/>
    <w:uiPriority w:val="30"/>
    <w:qFormat/>
    <w:rsid w:val="00DB3A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A2C"/>
    <w:rPr>
      <w:i/>
      <w:iCs/>
      <w:color w:val="0F4761" w:themeColor="accent1" w:themeShade="BF"/>
    </w:rPr>
  </w:style>
  <w:style w:type="character" w:styleId="IntenseReference">
    <w:name w:val="Intense Reference"/>
    <w:basedOn w:val="DefaultParagraphFont"/>
    <w:uiPriority w:val="32"/>
    <w:qFormat/>
    <w:rsid w:val="00DB3A2C"/>
    <w:rPr>
      <w:b/>
      <w:bCs/>
      <w:smallCaps/>
      <w:color w:val="0F4761" w:themeColor="accent1" w:themeShade="BF"/>
      <w:spacing w:val="5"/>
    </w:rPr>
  </w:style>
  <w:style w:type="character" w:styleId="Hyperlink">
    <w:name w:val="Hyperlink"/>
    <w:basedOn w:val="DefaultParagraphFont"/>
    <w:uiPriority w:val="99"/>
    <w:unhideWhenUsed/>
    <w:rsid w:val="008D7C98"/>
    <w:rPr>
      <w:color w:val="467886" w:themeColor="hyperlink"/>
      <w:u w:val="single"/>
    </w:rPr>
  </w:style>
  <w:style w:type="character" w:styleId="UnresolvedMention">
    <w:name w:val="Unresolved Mention"/>
    <w:basedOn w:val="DefaultParagraphFont"/>
    <w:uiPriority w:val="99"/>
    <w:semiHidden/>
    <w:unhideWhenUsed/>
    <w:rsid w:val="008D7C98"/>
    <w:rPr>
      <w:color w:val="605E5C"/>
      <w:shd w:val="clear" w:color="auto" w:fill="E1DFDD"/>
    </w:rPr>
  </w:style>
  <w:style w:type="character" w:styleId="FollowedHyperlink">
    <w:name w:val="FollowedHyperlink"/>
    <w:basedOn w:val="DefaultParagraphFont"/>
    <w:uiPriority w:val="99"/>
    <w:semiHidden/>
    <w:unhideWhenUsed/>
    <w:rsid w:val="00D93E9D"/>
    <w:rPr>
      <w:color w:val="96607D" w:themeColor="followedHyperlink"/>
      <w:u w:val="single"/>
    </w:rPr>
  </w:style>
  <w:style w:type="table" w:styleId="TableGrid">
    <w:name w:val="Table Grid"/>
    <w:basedOn w:val="TableNormal"/>
    <w:uiPriority w:val="39"/>
    <w:rsid w:val="003F75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rsid w:val="00AB0BD3"/>
    <w:pPr>
      <w:widowControl w:val="0"/>
      <w:autoSpaceDE w:val="0"/>
      <w:autoSpaceDN w:val="0"/>
      <w:spacing w:before="100" w:beforeAutospacing="1" w:after="100" w:afterAutospacing="1" w:line="240" w:lineRule="auto"/>
      <w:ind w:left="108"/>
    </w:pPr>
    <w:rPr>
      <w:rFonts w:ascii="Arial" w:eastAsia="Times New Roman" w:hAnsi="Arial" w:cs="Arial"/>
      <w:kern w:val="0"/>
      <w:sz w:val="22"/>
      <w:szCs w:val="22"/>
      <w:lang w:eastAsia="en-GB" w:bidi="as-IN"/>
    </w:rPr>
  </w:style>
  <w:style w:type="paragraph" w:styleId="TOCHeading">
    <w:name w:val="TOC Heading"/>
    <w:basedOn w:val="Heading1"/>
    <w:next w:val="Normal"/>
    <w:uiPriority w:val="39"/>
    <w:unhideWhenUsed/>
    <w:qFormat/>
    <w:rsid w:val="00584C66"/>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584C66"/>
    <w:pPr>
      <w:spacing w:after="100"/>
    </w:pPr>
  </w:style>
  <w:style w:type="paragraph" w:styleId="TOC2">
    <w:name w:val="toc 2"/>
    <w:basedOn w:val="Normal"/>
    <w:next w:val="Normal"/>
    <w:autoRedefine/>
    <w:uiPriority w:val="39"/>
    <w:unhideWhenUsed/>
    <w:rsid w:val="00584C66"/>
    <w:pPr>
      <w:spacing w:after="100"/>
      <w:ind w:left="240"/>
    </w:pPr>
  </w:style>
  <w:style w:type="paragraph" w:styleId="Header">
    <w:name w:val="header"/>
    <w:basedOn w:val="Normal"/>
    <w:link w:val="HeaderChar"/>
    <w:uiPriority w:val="99"/>
    <w:unhideWhenUsed/>
    <w:rsid w:val="006C2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D89"/>
  </w:style>
  <w:style w:type="paragraph" w:styleId="Footer">
    <w:name w:val="footer"/>
    <w:basedOn w:val="Normal"/>
    <w:link w:val="FooterChar"/>
    <w:uiPriority w:val="99"/>
    <w:unhideWhenUsed/>
    <w:rsid w:val="006C2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D89"/>
  </w:style>
  <w:style w:type="paragraph" w:styleId="EndnoteText">
    <w:name w:val="endnote text"/>
    <w:basedOn w:val="Normal"/>
    <w:link w:val="EndnoteTextChar"/>
    <w:uiPriority w:val="99"/>
    <w:semiHidden/>
    <w:unhideWhenUsed/>
    <w:rsid w:val="001901A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901A5"/>
    <w:rPr>
      <w:sz w:val="20"/>
      <w:szCs w:val="20"/>
    </w:rPr>
  </w:style>
  <w:style w:type="character" w:styleId="EndnoteReference">
    <w:name w:val="endnote reference"/>
    <w:basedOn w:val="DefaultParagraphFont"/>
    <w:uiPriority w:val="99"/>
    <w:semiHidden/>
    <w:unhideWhenUsed/>
    <w:rsid w:val="001901A5"/>
    <w:rPr>
      <w:vertAlign w:val="superscript"/>
    </w:rPr>
  </w:style>
  <w:style w:type="paragraph" w:styleId="NormalWeb">
    <w:name w:val="Normal (Web)"/>
    <w:basedOn w:val="Normal"/>
    <w:uiPriority w:val="99"/>
    <w:semiHidden/>
    <w:unhideWhenUsed/>
    <w:rsid w:val="00012C7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jcdas.com/abstractArticleContentBrowse?paginateValue=30095&amp;abstractArticle=abstractArticle&amp;jpdAbstractArticle=&amp;documentType=Article&amp;jCode=IJCDAS&amp;jid=84&amp;art_volume=62&amp;art_issue=&amp;art_page=&amp;numberResult=10&amp;id=30096&amp;sortType=" TargetMode="External"/><Relationship Id="rId117" Type="http://schemas.openxmlformats.org/officeDocument/2006/relationships/hyperlink" Target="https://www.tandfonline.com/doi/abs/10.2147/PRBM.S134034" TargetMode="External"/><Relationship Id="rId21" Type="http://schemas.openxmlformats.org/officeDocument/2006/relationships/hyperlink" Target="https://synapse.koreamed.org/articles/1156645" TargetMode="External"/><Relationship Id="rId42" Type="http://schemas.openxmlformats.org/officeDocument/2006/relationships/hyperlink" Target="https://link.springer.com/article/10.1186/s12889-021-11881-8" TargetMode="External"/><Relationship Id="rId47" Type="http://schemas.openxmlformats.org/officeDocument/2006/relationships/hyperlink" Target="https://mentalhealth.bmj.com/content/20/2/46.abstract" TargetMode="External"/><Relationship Id="rId63" Type="http://schemas.openxmlformats.org/officeDocument/2006/relationships/hyperlink" Target="https://link.springer.com/article/10.1007/s11096-016-0288-3" TargetMode="External"/><Relationship Id="rId68" Type="http://schemas.openxmlformats.org/officeDocument/2006/relationships/hyperlink" Target="https://www.mdpi.com/1660-4601/16/20/3969" TargetMode="External"/><Relationship Id="rId84" Type="http://schemas.openxmlformats.org/officeDocument/2006/relationships/hyperlink" Target="https://academic.oup.com/trstmh/article-abstract/112/6/272/5040477" TargetMode="External"/><Relationship Id="rId89" Type="http://schemas.openxmlformats.org/officeDocument/2006/relationships/hyperlink" Target="https://www.taylorfrancis.com/chapters/edit/10.1201/9781003000532-6/published-literature-constitute-data-secondary-research-data-analysed-saad-sarhan-emmanuel-manu" TargetMode="External"/><Relationship Id="rId112" Type="http://schemas.openxmlformats.org/officeDocument/2006/relationships/hyperlink" Target="https://search.ebscohost.com/login.aspx?direct=true&amp;profile=ehost&amp;scope=site&amp;authtype=crawler&amp;jrnl=09725075&amp;AN=182333334&amp;h=Wy7q1KPKzriL0LTCYp%2BtQ0oI8KgQ0SUK52RLmx7DE9aE6rbmB%2BVssHzuQLpnelgMTnfC4Tr3UnXchYesG35%2Bxw%3D%3D&amp;crl=c" TargetMode="External"/><Relationship Id="rId16" Type="http://schemas.openxmlformats.org/officeDocument/2006/relationships/hyperlink" Target="https://www.bmj.com/content/390/bmj-2025-084745.abstract" TargetMode="External"/><Relationship Id="rId107" Type="http://schemas.openxmlformats.org/officeDocument/2006/relationships/hyperlink" Target="https://www.academia.edu/download/111527042/Tuberculosis.pdf" TargetMode="External"/><Relationship Id="rId11" Type="http://schemas.openxmlformats.org/officeDocument/2006/relationships/customXml" Target="ink/ink2.xml"/><Relationship Id="rId32" Type="http://schemas.openxmlformats.org/officeDocument/2006/relationships/hyperlink" Target="https://academic.oup.com/jid/article-abstract/230/1/e139/7639736" TargetMode="External"/><Relationship Id="rId37" Type="http://schemas.openxmlformats.org/officeDocument/2006/relationships/hyperlink" Target="https://bmjopen.bmj.com/content/6/8/e013015.short" TargetMode="External"/><Relationship Id="rId53" Type="http://schemas.openxmlformats.org/officeDocument/2006/relationships/hyperlink" Target="https://journals.lww.com/jfmpc/fulltext/2020/09080/Barriers_to_childhood_vaccination_as_perceived_by.53.aspx" TargetMode="External"/><Relationship Id="rId58" Type="http://schemas.openxmlformats.org/officeDocument/2006/relationships/hyperlink" Target="https://www.sciencedirect.com/science/article/pii/S0033350618300945" TargetMode="External"/><Relationship Id="rId74" Type="http://schemas.openxmlformats.org/officeDocument/2006/relationships/hyperlink" Target="https://publications.ersnet.org/content/erj/56/4/2001727.abstract" TargetMode="External"/><Relationship Id="rId79" Type="http://schemas.openxmlformats.org/officeDocument/2006/relationships/hyperlink" Target="https://elibrary.ru/item.asp?id=28275212" TargetMode="External"/><Relationship Id="rId102" Type="http://schemas.openxmlformats.org/officeDocument/2006/relationships/hyperlink" Target="https://www.academia.edu/download/108822625/JRDM-2-117.pdf" TargetMode="External"/><Relationship Id="rId5" Type="http://schemas.openxmlformats.org/officeDocument/2006/relationships/webSettings" Target="webSettings.xml"/><Relationship Id="rId90" Type="http://schemas.openxmlformats.org/officeDocument/2006/relationships/hyperlink" Target="https://pmc.ncbi.nlm.nih.gov/articles/PMC10073608/" TargetMode="External"/><Relationship Id="rId95" Type="http://schemas.openxmlformats.org/officeDocument/2006/relationships/hyperlink" Target="https://www.sciencedirect.com/science/article/pii/S277270762400225X" TargetMode="External"/><Relationship Id="rId22" Type="http://schemas.openxmlformats.org/officeDocument/2006/relationships/hyperlink" Target="https://journals.lww.com/ijmr/fulltext/2023/02000/The_potential_impact_of_vaccination_on.3.aspx" TargetMode="External"/><Relationship Id="rId27" Type="http://schemas.openxmlformats.org/officeDocument/2006/relationships/hyperlink" Target="https://www.tandfonline.com/doi/abs/10.1080/21645515.2025.2521190" TargetMode="External"/><Relationship Id="rId43" Type="http://schemas.openxmlformats.org/officeDocument/2006/relationships/hyperlink" Target="https://www.thieme-connect.com/products/ejournals/html/10.1055/s-0038-1651492" TargetMode="External"/><Relationship Id="rId48" Type="http://schemas.openxmlformats.org/officeDocument/2006/relationships/hyperlink" Target="https://www.science.org/doi/abs/10.1126/scitranslmed.aax4607" TargetMode="External"/><Relationship Id="rId64" Type="http://schemas.openxmlformats.org/officeDocument/2006/relationships/hyperlink" Target="https://search.proquest.com/openview/ce3ca3a181347367c86b1eea43d396a9/1?pq-origsite=gscholar&amp;cbl=37213" TargetMode="External"/><Relationship Id="rId69" Type="http://schemas.openxmlformats.org/officeDocument/2006/relationships/hyperlink" Target="https://gh.bmj.com/content/3/5/e001135.abstract" TargetMode="External"/><Relationship Id="rId113" Type="http://schemas.openxmlformats.org/officeDocument/2006/relationships/hyperlink" Target="https://link.springer.com/article/10.1186/s12916-021-01932-7" TargetMode="External"/><Relationship Id="rId118" Type="http://schemas.openxmlformats.org/officeDocument/2006/relationships/hyperlink" Target="https://brill.com/downloadpdf/edcollbook/title/59707.pdf" TargetMode="External"/><Relationship Id="rId80" Type="http://schemas.openxmlformats.org/officeDocument/2006/relationships/hyperlink" Target="https://www.healthlinejournal.org/index_pdf/269.pdf" TargetMode="External"/><Relationship Id="rId85" Type="http://schemas.openxmlformats.org/officeDocument/2006/relationships/hyperlink" Target="https://www.sciencedirect.com/science/article/pii/S0264410X24006972" TargetMode="External"/><Relationship Id="rId12" Type="http://schemas.openxmlformats.org/officeDocument/2006/relationships/image" Target="media/image3.png"/><Relationship Id="rId17" Type="http://schemas.openxmlformats.org/officeDocument/2006/relationships/hyperlink" Target="https://www.sciencedirect.com/science/article/pii/S0264410X19308187" TargetMode="External"/><Relationship Id="rId33" Type="http://schemas.openxmlformats.org/officeDocument/2006/relationships/hyperlink" Target="https://link.springer.com/article/10.1186/s12916-023-02992-7" TargetMode="External"/><Relationship Id="rId38" Type="http://schemas.openxmlformats.org/officeDocument/2006/relationships/hyperlink" Target="https://www.thelancet.com/journals/lansea/article/PIIS2772-3682(23)00111-7/fulltext" TargetMode="External"/><Relationship Id="rId59" Type="http://schemas.openxmlformats.org/officeDocument/2006/relationships/hyperlink" Target="https://www.frontiersin.org/journals/medicine/articles/10.3389/fmed.2023.1160289/full" TargetMode="External"/><Relationship Id="rId103" Type="http://schemas.openxmlformats.org/officeDocument/2006/relationships/hyperlink" Target="https://link.springer.com/article/10.1007/s40121-022-00703-y" TargetMode="External"/><Relationship Id="rId108" Type="http://schemas.openxmlformats.org/officeDocument/2006/relationships/hyperlink" Target="https://link.springer.com/article/10.1186/s12879-019-4026-z" TargetMode="External"/><Relationship Id="rId54" Type="http://schemas.openxmlformats.org/officeDocument/2006/relationships/hyperlink" Target="https://link.springer.com/article/10.1186/s12889-024-18586-8" TargetMode="External"/><Relationship Id="rId70" Type="http://schemas.openxmlformats.org/officeDocument/2006/relationships/hyperlink" Target="https://pmc.ncbi.nlm.nih.gov/articles/PMC5920540/" TargetMode="External"/><Relationship Id="rId75" Type="http://schemas.openxmlformats.org/officeDocument/2006/relationships/hyperlink" Target="https://link.springer.com/article/10.1186/s12889-024-20560-3" TargetMode="External"/><Relationship Id="rId91" Type="http://schemas.openxmlformats.org/officeDocument/2006/relationships/hyperlink" Target="https://www.cell.com/med/fulltext/S2666-6340(21)00380-9?twclid=25bu238e5vmdie2tieupfaktgl" TargetMode="External"/><Relationship Id="rId96" Type="http://schemas.openxmlformats.org/officeDocument/2006/relationships/hyperlink" Target="https://www.ghspjournal.org/content/10/4/e2100736.shor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search.proquest.com/openview/21b8de9a65315a8d00d10bbe0a8b062d/1?pq-origsite=gscholar&amp;cbl=55152" TargetMode="External"/><Relationship Id="rId28" Type="http://schemas.openxmlformats.org/officeDocument/2006/relationships/hyperlink" Target="https://www.thelancet.com/journals/langlo/article/PIIS2214-109X(23)00045-1/fulltext" TargetMode="External"/><Relationship Id="rId49" Type="http://schemas.openxmlformats.org/officeDocument/2006/relationships/hyperlink" Target="https://www.thelancet.com/journals/langlo/article/PIIS2214-109X(22)00325-4/fulltext" TargetMode="External"/><Relationship Id="rId114" Type="http://schemas.openxmlformats.org/officeDocument/2006/relationships/hyperlink" Target="https://www.who.int/teams/global-programme-on-tuberculosis-and-lung-health/tb-reports/global-tuberculosis-report-2024" TargetMode="External"/><Relationship Id="rId119" Type="http://schemas.openxmlformats.org/officeDocument/2006/relationships/hyperlink" Target="https://academic.oup.com/jid/article-abstract/218/5/679/4964710" TargetMode="External"/><Relationship Id="rId44" Type="http://schemas.openxmlformats.org/officeDocument/2006/relationships/hyperlink" Target="https://journals.sagepub.com/doi/abs/10.1177/30502225251388151" TargetMode="External"/><Relationship Id="rId60" Type="http://schemas.openxmlformats.org/officeDocument/2006/relationships/hyperlink" Target="https://www.cureus.com/articles/239876-bacillus-calmette-gurin-bcg-revaccination-and-protection-against-tuberculosis-a-systematic-review.pdf" TargetMode="External"/><Relationship Id="rId65" Type="http://schemas.openxmlformats.org/officeDocument/2006/relationships/hyperlink" Target="https://search.proquest.com/openview/cb6a75050a977e917d2bde0d91237f3c/1?pq-origsite=gscholar&amp;cbl=2035580" TargetMode="External"/><Relationship Id="rId81" Type="http://schemas.openxmlformats.org/officeDocument/2006/relationships/hyperlink" Target="https://journals.plos.org/globalpublichealth/article?id=10.1371/journal.pgph.0000076" TargetMode="External"/><Relationship Id="rId86" Type="http://schemas.openxmlformats.org/officeDocument/2006/relationships/hyperlink" Target="https://gh.bmj.com/content/7/1/e006824" TargetMode="Externa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hyperlink" Target="https://www.tandfonline.com/doi/full/10.1080/21645515.2023.2300158" TargetMode="External"/><Relationship Id="rId39" Type="http://schemas.openxmlformats.org/officeDocument/2006/relationships/hyperlink" Target="https://journals.plos.org/plosone/article?id=10.1371/journal.pone.0253318" TargetMode="External"/><Relationship Id="rId109" Type="http://schemas.openxmlformats.org/officeDocument/2006/relationships/hyperlink" Target="https://journals.sagepub.com/doi/abs/10.1177/1740774517703057" TargetMode="External"/><Relationship Id="rId34" Type="http://schemas.openxmlformats.org/officeDocument/2006/relationships/hyperlink" Target="https://academic.oup.com/heapol/article-abstract/36/4/454/6177596" TargetMode="External"/><Relationship Id="rId50" Type="http://schemas.openxmlformats.org/officeDocument/2006/relationships/hyperlink" Target="https://academic.oup.com/cid/article-abstract/62/suppl_3/S262/2566592" TargetMode="External"/><Relationship Id="rId55" Type="http://schemas.openxmlformats.org/officeDocument/2006/relationships/hyperlink" Target="https://academic.oup.com/jid/article-abstract/221/1/146/5556484" TargetMode="External"/><Relationship Id="rId76" Type="http://schemas.openxmlformats.org/officeDocument/2006/relationships/hyperlink" Target="https://journals.plos.org/plosone/article?id=10.1371/journal.pone.0301060" TargetMode="External"/><Relationship Id="rId97" Type="http://schemas.openxmlformats.org/officeDocument/2006/relationships/hyperlink" Target="https://www.academia.edu/download/94545713/20280-pdf.pdf" TargetMode="External"/><Relationship Id="rId104" Type="http://schemas.openxmlformats.org/officeDocument/2006/relationships/hyperlink" Target="https://nyaspubs.onlinelibrary.wiley.com/doi/abs/10.1111/nyas.14657" TargetMode="External"/><Relationship Id="rId120"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pdfs.semanticscholar.org/5ae2/0df5a115861b0fa29a670a57909b2e7dd102.pdf" TargetMode="External"/><Relationship Id="rId92" Type="http://schemas.openxmlformats.org/officeDocument/2006/relationships/hyperlink" Target="https://jidc.org/index.php/journal/article/view/14910" TargetMode="External"/><Relationship Id="rId2" Type="http://schemas.openxmlformats.org/officeDocument/2006/relationships/numbering" Target="numbering.xml"/><Relationship Id="rId29" Type="http://schemas.openxmlformats.org/officeDocument/2006/relationships/hyperlink" Target="https://www.thelancet.com/journals/lansea/article/PIIS2772-3682(24)00074-X/fulltext" TargetMode="External"/><Relationship Id="rId24" Type="http://schemas.openxmlformats.org/officeDocument/2006/relationships/hyperlink" Target="https://www.frontiersin.org/journals/immunology/articles/10.3389/fimmu.2024.1217098/full" TargetMode="External"/><Relationship Id="rId40" Type="http://schemas.openxmlformats.org/officeDocument/2006/relationships/hyperlink" Target="https://www.sciencedirect.com/science/article/pii/S0024320520303428" TargetMode="External"/><Relationship Id="rId45" Type="http://schemas.openxmlformats.org/officeDocument/2006/relationships/hyperlink" Target="https://journals.sagepub.com/doi/abs/10.1177/08903344211058374" TargetMode="External"/><Relationship Id="rId66" Type="http://schemas.openxmlformats.org/officeDocument/2006/relationships/hyperlink" Target="https://link.springer.com/article/10.1007/s10257-017-0362-y" TargetMode="External"/><Relationship Id="rId87" Type="http://schemas.openxmlformats.org/officeDocument/2006/relationships/hyperlink" Target="https://www.sciencedirect.com/science/article/pii/S0022399916303294" TargetMode="External"/><Relationship Id="rId110" Type="http://schemas.openxmlformats.org/officeDocument/2006/relationships/hyperlink" Target="https://timesofindia.indiatimes.com/city/delhi/tb-screening-finds-37-cases-in-urban-slums/articleshow/122455985.cms" TargetMode="External"/><Relationship Id="rId115" Type="http://schemas.openxmlformats.org/officeDocument/2006/relationships/hyperlink" Target="https://www.who.int/teams/global-programme-on-tuberculosis-and-lung-health/tb-reports/global-tuberculosis-report-2024/tb-disease-burden/1-1-tb-incidence" TargetMode="External"/><Relationship Id="rId61" Type="http://schemas.openxmlformats.org/officeDocument/2006/relationships/hyperlink" Target="https://gh.bmj.com/content/7/1/e007462.abstract" TargetMode="External"/><Relationship Id="rId82" Type="http://schemas.openxmlformats.org/officeDocument/2006/relationships/hyperlink" Target="https://www.sciencedirect.com/science/article/pii/S2590136225000075" TargetMode="External"/><Relationship Id="rId19" Type="http://schemas.openxmlformats.org/officeDocument/2006/relationships/hyperlink" Target="https://onlinelibrary.wiley.com/doi/abs/10.1111/imr.12968" TargetMode="External"/><Relationship Id="rId14" Type="http://schemas.openxmlformats.org/officeDocument/2006/relationships/customXml" Target="ink/ink4.xml"/><Relationship Id="rId30" Type="http://schemas.openxmlformats.org/officeDocument/2006/relationships/hyperlink" Target="https://www.sciencedirect.com/science/article/pii/S0264410X17317486" TargetMode="External"/><Relationship Id="rId35" Type="http://schemas.openxmlformats.org/officeDocument/2006/relationships/hyperlink" Target="https://www.sciencedirect.com/science/article/pii/S1201971221001934" TargetMode="External"/><Relationship Id="rId56" Type="http://schemas.openxmlformats.org/officeDocument/2006/relationships/hyperlink" Target="https://www.sciencedirect.com/science/article/pii/S0255085722002341" TargetMode="External"/><Relationship Id="rId77" Type="http://schemas.openxmlformats.org/officeDocument/2006/relationships/hyperlink" Target="https://journals.lww.com/ijmr/fulltext/2023/02000/tuberculosis__national_survey_in_india__.1.aspx" TargetMode="External"/><Relationship Id="rId100" Type="http://schemas.openxmlformats.org/officeDocument/2006/relationships/hyperlink" Target="https://link.springer.com/article/10.1186/s12890-018-0627-3" TargetMode="External"/><Relationship Id="rId105" Type="http://schemas.openxmlformats.org/officeDocument/2006/relationships/hyperlink" Target="https://www.scielo.br/j/jbpneu/a/7YmvXDNKGPq39XHRnsRcf9b/?lang=en" TargetMode="External"/><Relationship Id="rId8" Type="http://schemas.openxmlformats.org/officeDocument/2006/relationships/image" Target="media/image1.png"/><Relationship Id="rId51" Type="http://schemas.openxmlformats.org/officeDocument/2006/relationships/hyperlink" Target="https://www.bmj.com/content/355/bmj.i5170.short" TargetMode="External"/><Relationship Id="rId72" Type="http://schemas.openxmlformats.org/officeDocument/2006/relationships/hyperlink" Target="https://www.vfast.org/journals/index.php/VTCS/article/view/1407" TargetMode="External"/><Relationship Id="rId93" Type="http://schemas.openxmlformats.org/officeDocument/2006/relationships/hyperlink" Target="https://onlinelibrary.wiley.com/doi/abs/10.1111/tbed.12915" TargetMode="External"/><Relationship Id="rId98" Type="http://schemas.openxmlformats.org/officeDocument/2006/relationships/hyperlink" Target="https://www.sciencedirect.com/science/article/pii/S2211335519300439" TargetMode="External"/><Relationship Id="rId121"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www.tandfonline.com/doi/abs/10.1080/17476348.2021.1832469" TargetMode="External"/><Relationship Id="rId46" Type="http://schemas.openxmlformats.org/officeDocument/2006/relationships/hyperlink" Target="https://search.ebscohost.com/login.aspx?direct=true&amp;profile=ehost&amp;scope=site&amp;authtype=crawler&amp;jrnl=17086892&amp;asa=N&amp;AN=181687377&amp;h=qTN5mR8e4aMpcNz3JkGTvVE0377ZyOq2OX1NxIcNccQjEkYTSMQX%2F%2FdeKBBtex0i3Tkoz4ZgHM6mJDjBtwrWwg%3D%3D&amp;crl=c" TargetMode="External"/><Relationship Id="rId67" Type="http://schemas.openxmlformats.org/officeDocument/2006/relationships/hyperlink" Target="https://journals.plos.org/globalpublichealth/article?id=10.1371/journal.pgph.0004716" TargetMode="External"/><Relationship Id="rId116" Type="http://schemas.openxmlformats.org/officeDocument/2006/relationships/hyperlink" Target="https://www.academia.edu/download/82339609/250920177240.pdf" TargetMode="External"/><Relationship Id="rId20" Type="http://schemas.openxmlformats.org/officeDocument/2006/relationships/hyperlink" Target="https://journals.lww.com/ijmr/fulltext/2023/02000/The_potential_impact_of_vaccination_on.3.aspx" TargetMode="External"/><Relationship Id="rId41" Type="http://schemas.openxmlformats.org/officeDocument/2006/relationships/hyperlink" Target="https://eric.ed.gov/?id=EJ1196755" TargetMode="External"/><Relationship Id="rId62" Type="http://schemas.openxmlformats.org/officeDocument/2006/relationships/hyperlink" Target="https://www.mdpi.com/2076-393X/10/7/1157" TargetMode="External"/><Relationship Id="rId83" Type="http://schemas.openxmlformats.org/officeDocument/2006/relationships/hyperlink" Target="https://doi.org/10.1093/acrefore/9780190632366.013.223" TargetMode="External"/><Relationship Id="rId88" Type="http://schemas.openxmlformats.org/officeDocument/2006/relationships/hyperlink" Target="https://www.thelancet.com/journals/laninf/article/PIIS1473-3099(19)30309-3/abstract" TargetMode="External"/><Relationship Id="rId111" Type="http://schemas.openxmlformats.org/officeDocument/2006/relationships/hyperlink" Target="https://portal.findresearcher.sdu.dk/en/publications/the-gap-between-the-planned-and-real-life-implementation-of-the-v" TargetMode="External"/><Relationship Id="rId15" Type="http://schemas.openxmlformats.org/officeDocument/2006/relationships/image" Target="media/image2.jpeg"/><Relationship Id="rId36" Type="http://schemas.openxmlformats.org/officeDocument/2006/relationships/hyperlink" Target="https://www.thoracic.theclinics.com/article/S1547-4127(18)30137-3/abstract" TargetMode="External"/><Relationship Id="rId57" Type="http://schemas.openxmlformats.org/officeDocument/2006/relationships/hyperlink" Target="https://www.frontiersin.org/articles/10.3389/fimmu.2021.778028/full" TargetMode="External"/><Relationship Id="rId106" Type="http://schemas.openxmlformats.org/officeDocument/2006/relationships/hyperlink" Target="https://www.frontiersin.org/journals/pediatrics/articles/10.3389/fped.2025.1603732/abstract" TargetMode="External"/><Relationship Id="rId10" Type="http://schemas.openxmlformats.org/officeDocument/2006/relationships/image" Target="media/image2.png"/><Relationship Id="rId31" Type="http://schemas.openxmlformats.org/officeDocument/2006/relationships/hyperlink" Target="https://onlinelibrary.wiley.com/doi/abs/10.1111/resp.13346" TargetMode="External"/><Relationship Id="rId52"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73" Type="http://schemas.openxmlformats.org/officeDocument/2006/relationships/hyperlink" Target="https://www.sciencedirect.com/science/article/pii/S1201971223000735" TargetMode="External"/><Relationship Id="rId78" Type="http://schemas.openxmlformats.org/officeDocument/2006/relationships/hyperlink" Target="https://www.ingentaconnect.com/content/iuatld/ijtld/2017/00000021/00000009/art00005" TargetMode="External"/><Relationship Id="rId94" Type="http://schemas.openxmlformats.org/officeDocument/2006/relationships/hyperlink" Target="https://www.tandfonline.com/doi/abs/10.1080/17476348.2021.1927718" TargetMode="External"/><Relationship Id="rId99" Type="http://schemas.openxmlformats.org/officeDocument/2006/relationships/hyperlink" Target="https://journals.plos.org/plosone/article?id=10.1371/journal.pone.0214235" TargetMode="External"/><Relationship Id="rId101" Type="http://schemas.openxmlformats.org/officeDocument/2006/relationships/hyperlink" Target="https://www.sciencedirect.com/science/article/pii/S2772707625000347" TargetMode="External"/><Relationship Id="rId1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9E611-6832-4FAA-A862-D14370AEC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68</Pages>
  <Words>23268</Words>
  <Characters>132630</Characters>
  <DocSecurity>0</DocSecurity>
  <Lines>1105</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2025-11-19T11:03:00Z</dcterms:created>
  <dcterms:modified xsi:type="dcterms:W3CDTF">2026-01-21T15:54:00Z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ca9e3242-5e1f-4c1b-bf04-049f3b82e4c7</vt:lpwstr>
  </property>
</Properties>
</file>