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D1D94D" w14:textId="13D11971" w:rsidR="00C4566D" w:rsidRDefault="008C5642" w:rsidP="008C5642">
      <w:pPr>
        <w:rPr>
          <w:b/>
          <w:color w:val="000000"/>
          <w:sz w:val="32"/>
          <w:szCs w:val="32"/>
        </w:rPr>
      </w:pPr>
      <w:r w:rsidRPr="001C46F7">
        <w:rPr>
          <w:noProof/>
          <w:sz w:val="16"/>
          <w:szCs w:val="16"/>
          <w14:ligatures w14:val="standardContextual"/>
        </w:rPr>
        <w:drawing>
          <wp:inline distT="0" distB="0" distL="0" distR="0" wp14:anchorId="57C9C038" wp14:editId="230FBEC6">
            <wp:extent cx="1771650" cy="885825"/>
            <wp:effectExtent l="0" t="0" r="0" b="9525"/>
            <wp:docPr id="52761489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1" descr="Text&#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1771650" cy="885825"/>
                    </a:xfrm>
                    <a:prstGeom prst="rect">
                      <a:avLst/>
                    </a:prstGeom>
                  </pic:spPr>
                </pic:pic>
              </a:graphicData>
            </a:graphic>
          </wp:inline>
        </w:drawing>
      </w:r>
    </w:p>
    <w:p w14:paraId="598A2541" w14:textId="77777777" w:rsidR="00C4566D" w:rsidRDefault="00C4566D" w:rsidP="008C5642">
      <w:pPr>
        <w:pStyle w:val="Heading1"/>
        <w:rPr>
          <w:sz w:val="40"/>
          <w:szCs w:val="40"/>
        </w:rPr>
      </w:pPr>
    </w:p>
    <w:p w14:paraId="25459523" w14:textId="77777777" w:rsidR="008F5F78" w:rsidRDefault="008F5F78" w:rsidP="008F5F78"/>
    <w:p w14:paraId="6D919223" w14:textId="77777777" w:rsidR="008F5F78" w:rsidRDefault="008F5F78" w:rsidP="008F5F78"/>
    <w:p w14:paraId="0F90E55E" w14:textId="77777777" w:rsidR="008F5F78" w:rsidRPr="008F5F78" w:rsidRDefault="008F5F78" w:rsidP="008F5F78"/>
    <w:p w14:paraId="224F80E6" w14:textId="7DCF1829" w:rsidR="008C5642" w:rsidRPr="008F5F78" w:rsidRDefault="008C5642" w:rsidP="008C5642">
      <w:pPr>
        <w:pStyle w:val="Title"/>
        <w:rPr>
          <w:sz w:val="44"/>
          <w:szCs w:val="44"/>
          <w:lang w:val="en" w:eastAsia="en-IN" w:bidi="bn-IN"/>
        </w:rPr>
      </w:pPr>
      <w:r w:rsidRPr="008C5642">
        <w:rPr>
          <w:lang w:val="en" w:eastAsia="en-IN" w:bidi="bn-IN"/>
        </w:rPr>
        <w:t xml:space="preserve">           </w:t>
      </w:r>
      <w:r w:rsidR="008F5F78">
        <w:rPr>
          <w:lang w:val="en" w:eastAsia="en-IN" w:bidi="bn-IN"/>
        </w:rPr>
        <w:t xml:space="preserve"> </w:t>
      </w:r>
      <w:r w:rsidRPr="008C5642">
        <w:rPr>
          <w:lang w:val="en" w:eastAsia="en-IN" w:bidi="bn-IN"/>
        </w:rPr>
        <w:t xml:space="preserve"> </w:t>
      </w:r>
      <w:r w:rsidRPr="008F5F78">
        <w:rPr>
          <w:sz w:val="44"/>
          <w:szCs w:val="44"/>
          <w:lang w:val="en" w:eastAsia="en-IN" w:bidi="bn-IN"/>
        </w:rPr>
        <w:t>University of Wales Trinity</w:t>
      </w:r>
      <w:r w:rsidRPr="008F5F78">
        <w:rPr>
          <w:sz w:val="44"/>
          <w:szCs w:val="44"/>
          <w:lang w:val="en" w:eastAsia="en-IN" w:bidi="bn-IN"/>
        </w:rPr>
        <w:t xml:space="preserve"> </w:t>
      </w:r>
      <w:r w:rsidRPr="008F5F78">
        <w:rPr>
          <w:sz w:val="44"/>
          <w:szCs w:val="44"/>
          <w:lang w:val="en" w:eastAsia="en-IN" w:bidi="bn-IN"/>
        </w:rPr>
        <w:t>Saint Dav</w:t>
      </w:r>
      <w:r w:rsidRPr="008F5F78">
        <w:rPr>
          <w:sz w:val="44"/>
          <w:szCs w:val="44"/>
          <w:lang w:val="en" w:eastAsia="en-IN" w:bidi="bn-IN"/>
        </w:rPr>
        <w:t>id</w:t>
      </w:r>
    </w:p>
    <w:p w14:paraId="03A53DA7" w14:textId="753ADCD9" w:rsidR="008C5642" w:rsidRPr="008F5F78" w:rsidRDefault="008C5642" w:rsidP="008C5642">
      <w:pPr>
        <w:rPr>
          <w:color w:val="auto"/>
          <w:sz w:val="44"/>
          <w:szCs w:val="44"/>
          <w:lang w:val="en" w:eastAsia="en-IN" w:bidi="bn-IN"/>
        </w:rPr>
      </w:pPr>
      <w:r w:rsidRPr="008C5642">
        <w:rPr>
          <w:color w:val="auto"/>
          <w:sz w:val="40"/>
          <w:szCs w:val="40"/>
          <w:lang w:val="en" w:eastAsia="en-IN" w:bidi="bn-IN"/>
        </w:rPr>
        <w:t xml:space="preserve">                      </w:t>
      </w:r>
      <w:r w:rsidRPr="008C5642">
        <w:rPr>
          <w:color w:val="auto"/>
          <w:sz w:val="44"/>
          <w:szCs w:val="44"/>
          <w:lang w:val="en" w:eastAsia="en-IN" w:bidi="bn-IN"/>
        </w:rPr>
        <w:t>BA (Hons) Business Management</w:t>
      </w:r>
    </w:p>
    <w:p w14:paraId="5B454BBB" w14:textId="77777777" w:rsidR="008F5F78" w:rsidRPr="008C5642" w:rsidRDefault="008F5F78" w:rsidP="008C5642">
      <w:pPr>
        <w:rPr>
          <w:color w:val="auto"/>
          <w:sz w:val="40"/>
          <w:szCs w:val="40"/>
          <w:lang w:val="en" w:eastAsia="en-IN" w:bidi="bn-IN"/>
        </w:rPr>
      </w:pPr>
    </w:p>
    <w:p w14:paraId="612916FC" w14:textId="1ED62D98" w:rsidR="00C4566D" w:rsidRPr="008F5F78" w:rsidRDefault="008C5642" w:rsidP="008C5642">
      <w:pPr>
        <w:pStyle w:val="Heading1"/>
        <w:rPr>
          <w:sz w:val="32"/>
          <w:szCs w:val="32"/>
        </w:rPr>
      </w:pPr>
      <w:r>
        <w:t xml:space="preserve">                       </w:t>
      </w:r>
      <w:r w:rsidR="00A94E1A" w:rsidRPr="008F5F78">
        <w:rPr>
          <w:sz w:val="32"/>
          <w:szCs w:val="32"/>
        </w:rPr>
        <w:t xml:space="preserve">MODULE TITLE: INTERNATIONAL FINANCIAL </w:t>
      </w:r>
      <w:r w:rsidRPr="008F5F78">
        <w:rPr>
          <w:sz w:val="32"/>
          <w:szCs w:val="32"/>
        </w:rPr>
        <w:t xml:space="preserve">      </w:t>
      </w:r>
    </w:p>
    <w:p w14:paraId="0063AC40" w14:textId="27BB495F" w:rsidR="00C4566D" w:rsidRDefault="008C5642">
      <w:pPr>
        <w:jc w:val="center"/>
        <w:rPr>
          <w:b/>
          <w:color w:val="000000"/>
          <w:sz w:val="32"/>
          <w:szCs w:val="32"/>
        </w:rPr>
      </w:pPr>
      <w:r>
        <w:rPr>
          <w:b/>
          <w:color w:val="000000"/>
          <w:sz w:val="32"/>
          <w:szCs w:val="32"/>
        </w:rPr>
        <w:t xml:space="preserve">          </w:t>
      </w:r>
      <w:r w:rsidR="00A94E1A">
        <w:rPr>
          <w:b/>
          <w:color w:val="000000"/>
          <w:sz w:val="32"/>
          <w:szCs w:val="32"/>
        </w:rPr>
        <w:t>MODULE CODE: LCBB6002</w:t>
      </w:r>
    </w:p>
    <w:p w14:paraId="63DC6342" w14:textId="7E19138B" w:rsidR="008C5642" w:rsidRDefault="008C5642">
      <w:pPr>
        <w:jc w:val="center"/>
        <w:rPr>
          <w:b/>
          <w:color w:val="000000"/>
          <w:sz w:val="32"/>
          <w:szCs w:val="32"/>
        </w:rPr>
      </w:pPr>
      <w:r>
        <w:rPr>
          <w:b/>
          <w:color w:val="000000"/>
          <w:sz w:val="32"/>
          <w:szCs w:val="32"/>
        </w:rPr>
        <w:t xml:space="preserve">      </w:t>
      </w:r>
      <w:r w:rsidR="00A94E1A">
        <w:rPr>
          <w:b/>
          <w:color w:val="000000"/>
          <w:sz w:val="32"/>
          <w:szCs w:val="32"/>
        </w:rPr>
        <w:t xml:space="preserve">ASSIGNMENT TITLE: COMPONENT 1 </w:t>
      </w:r>
      <w:r>
        <w:rPr>
          <w:b/>
          <w:color w:val="000000"/>
          <w:sz w:val="32"/>
          <w:szCs w:val="32"/>
        </w:rPr>
        <w:t xml:space="preserve">                    </w:t>
      </w:r>
      <w:r w:rsidR="00A94E1A">
        <w:rPr>
          <w:b/>
          <w:color w:val="000000"/>
          <w:sz w:val="32"/>
          <w:szCs w:val="32"/>
        </w:rPr>
        <w:t xml:space="preserve"> WRITTEN REPORT</w:t>
      </w:r>
    </w:p>
    <w:p w14:paraId="0AD3B98B" w14:textId="344020A2" w:rsidR="00C4566D" w:rsidRDefault="008C5642">
      <w:pPr>
        <w:jc w:val="center"/>
        <w:rPr>
          <w:color w:val="000000"/>
        </w:rPr>
      </w:pPr>
      <w:r>
        <w:rPr>
          <w:b/>
          <w:color w:val="000000"/>
          <w:sz w:val="32"/>
          <w:szCs w:val="32"/>
        </w:rPr>
        <w:t>LECTURER: RIAZ BHATTI</w:t>
      </w:r>
      <w:r w:rsidR="00A94E1A">
        <w:rPr>
          <w:color w:val="000000"/>
        </w:rPr>
        <w:t xml:space="preserve"> </w:t>
      </w:r>
    </w:p>
    <w:p w14:paraId="7781B600" w14:textId="1841426B" w:rsidR="00C4566D" w:rsidRDefault="00A94E1A">
      <w:pPr>
        <w:jc w:val="center"/>
        <w:rPr>
          <w:b/>
          <w:color w:val="000000"/>
          <w:sz w:val="32"/>
          <w:szCs w:val="32"/>
        </w:rPr>
      </w:pPr>
      <w:r>
        <w:rPr>
          <w:b/>
          <w:color w:val="000000"/>
          <w:sz w:val="32"/>
          <w:szCs w:val="32"/>
        </w:rPr>
        <w:t xml:space="preserve">STUDENT </w:t>
      </w:r>
      <w:proofErr w:type="gramStart"/>
      <w:r>
        <w:rPr>
          <w:b/>
          <w:color w:val="000000"/>
          <w:sz w:val="32"/>
          <w:szCs w:val="32"/>
        </w:rPr>
        <w:t>NAME:</w:t>
      </w:r>
      <w:r w:rsidR="008C5642">
        <w:rPr>
          <w:b/>
          <w:color w:val="000000"/>
          <w:sz w:val="32"/>
          <w:szCs w:val="32"/>
        </w:rPr>
        <w:t>OVIDIU</w:t>
      </w:r>
      <w:proofErr w:type="gramEnd"/>
      <w:r w:rsidR="008C5642">
        <w:rPr>
          <w:b/>
          <w:color w:val="000000"/>
          <w:sz w:val="32"/>
          <w:szCs w:val="32"/>
        </w:rPr>
        <w:t xml:space="preserve"> MURESAN</w:t>
      </w:r>
    </w:p>
    <w:p w14:paraId="3424489A" w14:textId="77777777" w:rsidR="008C5642" w:rsidRDefault="00A94E1A">
      <w:pPr>
        <w:jc w:val="center"/>
        <w:rPr>
          <w:color w:val="000000"/>
          <w:sz w:val="32"/>
          <w:szCs w:val="32"/>
        </w:rPr>
      </w:pPr>
      <w:r>
        <w:rPr>
          <w:b/>
          <w:color w:val="000000"/>
          <w:sz w:val="32"/>
          <w:szCs w:val="32"/>
        </w:rPr>
        <w:t>STUDENT ID:</w:t>
      </w:r>
      <w:r w:rsidR="008C5642">
        <w:rPr>
          <w:b/>
          <w:color w:val="000000"/>
          <w:sz w:val="32"/>
          <w:szCs w:val="32"/>
        </w:rPr>
        <w:t>2131059</w:t>
      </w:r>
      <w:r>
        <w:rPr>
          <w:color w:val="000000"/>
          <w:sz w:val="32"/>
          <w:szCs w:val="32"/>
        </w:rPr>
        <w:t xml:space="preserve"> </w:t>
      </w:r>
    </w:p>
    <w:p w14:paraId="46302888" w14:textId="4B47271C" w:rsidR="00C4566D" w:rsidRPr="008C5642" w:rsidRDefault="008C5642">
      <w:pPr>
        <w:jc w:val="center"/>
        <w:rPr>
          <w:b/>
          <w:color w:val="000000"/>
          <w:sz w:val="40"/>
          <w:szCs w:val="40"/>
        </w:rPr>
      </w:pPr>
      <w:r>
        <w:rPr>
          <w:color w:val="000000"/>
          <w:sz w:val="32"/>
          <w:szCs w:val="32"/>
        </w:rPr>
        <w:t>DATA:25/08/2024</w:t>
      </w:r>
      <w:r w:rsidR="00A94E1A">
        <w:br w:type="page"/>
      </w:r>
    </w:p>
    <w:p w14:paraId="408FD4C7" w14:textId="77777777" w:rsidR="00C4566D" w:rsidRDefault="00A94E1A">
      <w:pPr>
        <w:keepNext/>
        <w:keepLines/>
        <w:pBdr>
          <w:top w:val="nil"/>
          <w:left w:val="nil"/>
          <w:bottom w:val="nil"/>
          <w:right w:val="nil"/>
          <w:between w:val="nil"/>
        </w:pBdr>
        <w:spacing w:before="240" w:line="259" w:lineRule="auto"/>
        <w:jc w:val="center"/>
        <w:rPr>
          <w:rFonts w:ascii="Calibri" w:eastAsia="Calibri" w:hAnsi="Calibri" w:cs="Calibri"/>
          <w:color w:val="000000"/>
          <w:sz w:val="32"/>
          <w:szCs w:val="32"/>
        </w:rPr>
      </w:pPr>
      <w:bookmarkStart w:id="0" w:name="_heading=h.gjdgxs" w:colFirst="0" w:colLast="0"/>
      <w:bookmarkEnd w:id="0"/>
      <w:r>
        <w:rPr>
          <w:b/>
          <w:color w:val="000000"/>
          <w:sz w:val="28"/>
          <w:szCs w:val="28"/>
        </w:rPr>
        <w:lastRenderedPageBreak/>
        <w:t>Table of Contents</w:t>
      </w:r>
    </w:p>
    <w:sdt>
      <w:sdtPr>
        <w:id w:val="-906770633"/>
        <w:docPartObj>
          <w:docPartGallery w:val="Table of Contents"/>
          <w:docPartUnique/>
        </w:docPartObj>
      </w:sdtPr>
      <w:sdtContent>
        <w:p w14:paraId="68E2BB4B" w14:textId="77777777" w:rsidR="00C4566D" w:rsidRDefault="00A94E1A">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r>
            <w:fldChar w:fldCharType="begin"/>
          </w:r>
          <w:r>
            <w:instrText xml:space="preserve"> TOC \h \u \z \t "Heading 1,1,Heading 2,2,Heading 3,3,"</w:instrText>
          </w:r>
          <w:r>
            <w:fldChar w:fldCharType="separate"/>
          </w:r>
          <w:hyperlink w:anchor="_heading=h.30j0zll">
            <w:r>
              <w:rPr>
                <w:color w:val="000000"/>
              </w:rPr>
              <w:t>Introduction</w:t>
            </w:r>
            <w:r>
              <w:rPr>
                <w:color w:val="000000"/>
              </w:rPr>
              <w:tab/>
              <w:t>2</w:t>
            </w:r>
          </w:hyperlink>
        </w:p>
        <w:p w14:paraId="5D3826C1" w14:textId="77777777" w:rsidR="00C4566D"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1fob9te">
            <w:r w:rsidR="00A94E1A">
              <w:rPr>
                <w:color w:val="000000"/>
              </w:rPr>
              <w:t>Analyse several IFM frameworks or models for evaluating fiscal management</w:t>
            </w:r>
            <w:r w:rsidR="00A94E1A">
              <w:rPr>
                <w:color w:val="000000"/>
              </w:rPr>
              <w:tab/>
              <w:t>2</w:t>
            </w:r>
          </w:hyperlink>
        </w:p>
        <w:p w14:paraId="4E339347" w14:textId="77777777" w:rsidR="00C4566D"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2et92p0">
            <w:r w:rsidR="00A94E1A">
              <w:rPr>
                <w:color w:val="000000"/>
              </w:rPr>
              <w:t xml:space="preserve">Evaluating several strategies in managing foreign exchange risk </w:t>
            </w:r>
          </w:hyperlink>
        </w:p>
        <w:p w14:paraId="2BA5EA7A" w14:textId="77777777" w:rsidR="00C4566D"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tyjcwt">
            <w:r w:rsidR="00A94E1A">
              <w:rPr>
                <w:color w:val="000000"/>
              </w:rPr>
              <w:t>Discussing several theoretical models connected to the corporate value, international cost capital and fiscal structure</w:t>
            </w:r>
            <w:r w:rsidR="00A94E1A">
              <w:rPr>
                <w:color w:val="000000"/>
              </w:rPr>
              <w:tab/>
              <w:t>3</w:t>
            </w:r>
          </w:hyperlink>
        </w:p>
        <w:p w14:paraId="17212270" w14:textId="77777777" w:rsidR="00C4566D"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3dy6vkm">
            <w:r w:rsidR="00A94E1A">
              <w:rPr>
                <w:color w:val="000000"/>
              </w:rPr>
              <w:t>Conclusion</w:t>
            </w:r>
            <w:r w:rsidR="00A94E1A">
              <w:rPr>
                <w:color w:val="000000"/>
              </w:rPr>
              <w:tab/>
              <w:t>4</w:t>
            </w:r>
          </w:hyperlink>
        </w:p>
        <w:p w14:paraId="6D32ED8A" w14:textId="77777777" w:rsidR="00C4566D"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1t3h5sf">
            <w:r w:rsidR="00A94E1A">
              <w:rPr>
                <w:color w:val="000000"/>
              </w:rPr>
              <w:t>References</w:t>
            </w:r>
            <w:r w:rsidR="00A94E1A">
              <w:rPr>
                <w:color w:val="000000"/>
              </w:rPr>
              <w:tab/>
              <w:t>5</w:t>
            </w:r>
          </w:hyperlink>
        </w:p>
        <w:p w14:paraId="55CFB294" w14:textId="77777777" w:rsidR="00C4566D" w:rsidRDefault="00A94E1A">
          <w:pPr>
            <w:rPr>
              <w:color w:val="000000"/>
            </w:rPr>
          </w:pPr>
          <w:r>
            <w:fldChar w:fldCharType="end"/>
          </w:r>
        </w:p>
      </w:sdtContent>
    </w:sdt>
    <w:p w14:paraId="1C02C3E4" w14:textId="77777777" w:rsidR="00C4566D" w:rsidRDefault="00A94E1A">
      <w:pPr>
        <w:pStyle w:val="Heading1"/>
        <w:rPr>
          <w:color w:val="000000"/>
        </w:rPr>
      </w:pPr>
      <w:r>
        <w:br w:type="page"/>
      </w:r>
    </w:p>
    <w:p w14:paraId="3121B96D" w14:textId="77777777" w:rsidR="00C4566D" w:rsidRDefault="00A94E1A">
      <w:pPr>
        <w:pStyle w:val="Heading1"/>
        <w:rPr>
          <w:color w:val="000000"/>
        </w:rPr>
      </w:pPr>
      <w:bookmarkStart w:id="1" w:name="_heading=h.30j0zll" w:colFirst="0" w:colLast="0"/>
      <w:bookmarkEnd w:id="1"/>
      <w:r>
        <w:rPr>
          <w:color w:val="000000"/>
        </w:rPr>
        <w:lastRenderedPageBreak/>
        <w:t xml:space="preserve">Introduction </w:t>
      </w:r>
    </w:p>
    <w:p w14:paraId="75D35BE4" w14:textId="77777777" w:rsidR="00C4566D" w:rsidRDefault="00A94E1A">
      <w:pPr>
        <w:rPr>
          <w:color w:val="000000"/>
        </w:rPr>
      </w:pPr>
      <w:r>
        <w:rPr>
          <w:color w:val="000000"/>
        </w:rPr>
        <w:t xml:space="preserve">International financial management is managing finance in a global business context. The frameworks of international financial management will be elaborated here. Various strategies to mitigate the foreign exchange risk will be evaluated in this specific context. This study will focus on the various models associated with the corporate value, cost capital and fiscal structure.   </w:t>
      </w:r>
    </w:p>
    <w:p w14:paraId="48793D1A" w14:textId="77777777" w:rsidR="00C4566D" w:rsidRDefault="00A94E1A">
      <w:pPr>
        <w:pStyle w:val="Heading1"/>
        <w:rPr>
          <w:color w:val="000000"/>
        </w:rPr>
      </w:pPr>
      <w:bookmarkStart w:id="2" w:name="_heading=h.1fob9te" w:colFirst="0" w:colLast="0"/>
      <w:bookmarkEnd w:id="2"/>
      <w:r>
        <w:rPr>
          <w:color w:val="000000"/>
        </w:rPr>
        <w:t>Analyse several IFM frameworks or models for evaluating fiscal management</w:t>
      </w:r>
    </w:p>
    <w:p w14:paraId="6E29F146" w14:textId="77777777" w:rsidR="00C4566D" w:rsidRDefault="00A94E1A">
      <w:pPr>
        <w:rPr>
          <w:b/>
          <w:color w:val="000000"/>
          <w:sz w:val="26"/>
          <w:szCs w:val="26"/>
        </w:rPr>
      </w:pPr>
      <w:r>
        <w:rPr>
          <w:b/>
          <w:color w:val="000000"/>
          <w:sz w:val="26"/>
          <w:szCs w:val="26"/>
        </w:rPr>
        <w:t xml:space="preserve">Cash flow model </w:t>
      </w:r>
    </w:p>
    <w:p w14:paraId="5A19FAAC" w14:textId="77777777" w:rsidR="00C4566D" w:rsidRDefault="00A94E1A">
      <w:pPr>
        <w:rPr>
          <w:color w:val="000000"/>
        </w:rPr>
      </w:pPr>
      <w:r>
        <w:rPr>
          <w:color w:val="000000"/>
          <w:highlight w:val="white"/>
        </w:rPr>
        <w:t xml:space="preserve">As opined by Abdullahi and Yelwa Abubakar (2020), </w:t>
      </w:r>
      <w:r>
        <w:rPr>
          <w:color w:val="000000"/>
        </w:rPr>
        <w:t xml:space="preserve">this is widely known as a IFM model and the pivotal purpose of this model is to make a valuation of business in a manner which is totally proper. This model is found to present the proper value of the cashflow and show the implementation of the cash flow while managing finance in a global business. This model is notches to help to determine the worth associated with investment by considering the basic time value associated with money. </w:t>
      </w:r>
    </w:p>
    <w:p w14:paraId="31B27639" w14:textId="77777777" w:rsidR="00C4566D" w:rsidRDefault="00A94E1A">
      <w:pPr>
        <w:rPr>
          <w:b/>
          <w:color w:val="000000"/>
          <w:sz w:val="26"/>
          <w:szCs w:val="26"/>
        </w:rPr>
      </w:pPr>
      <w:bookmarkStart w:id="3" w:name="_heading=h.3znysh7" w:colFirst="0" w:colLast="0"/>
      <w:bookmarkEnd w:id="3"/>
      <w:r>
        <w:rPr>
          <w:b/>
          <w:color w:val="000000"/>
          <w:sz w:val="26"/>
          <w:szCs w:val="26"/>
        </w:rPr>
        <w:t>IPO model</w:t>
      </w:r>
    </w:p>
    <w:p w14:paraId="266E251A" w14:textId="2CF71CAC" w:rsidR="00C4566D" w:rsidRDefault="00A94E1A">
      <w:pPr>
        <w:rPr>
          <w:color w:val="000000"/>
        </w:rPr>
      </w:pPr>
      <w:r>
        <w:rPr>
          <w:color w:val="000000"/>
        </w:rPr>
        <w:t xml:space="preserve">As acknowledged by </w:t>
      </w:r>
      <w:proofErr w:type="spellStart"/>
      <w:r>
        <w:rPr>
          <w:color w:val="000000"/>
          <w:highlight w:val="white"/>
        </w:rPr>
        <w:t>Mashud</w:t>
      </w:r>
      <w:proofErr w:type="spellEnd"/>
      <w:r>
        <w:rPr>
          <w:color w:val="000000"/>
          <w:highlight w:val="white"/>
        </w:rPr>
        <w:t xml:space="preserve">, </w:t>
      </w:r>
      <w:proofErr w:type="spellStart"/>
      <w:r>
        <w:rPr>
          <w:color w:val="000000"/>
          <w:highlight w:val="white"/>
        </w:rPr>
        <w:t>Mediaty</w:t>
      </w:r>
      <w:proofErr w:type="spellEnd"/>
      <w:r>
        <w:rPr>
          <w:color w:val="000000"/>
          <w:highlight w:val="white"/>
        </w:rPr>
        <w:t xml:space="preserve"> and </w:t>
      </w:r>
      <w:proofErr w:type="spellStart"/>
      <w:r>
        <w:rPr>
          <w:color w:val="000000"/>
          <w:highlight w:val="white"/>
        </w:rPr>
        <w:t>Pontoh</w:t>
      </w:r>
      <w:proofErr w:type="spellEnd"/>
      <w:r>
        <w:rPr>
          <w:color w:val="000000"/>
          <w:highlight w:val="white"/>
        </w:rPr>
        <w:t xml:space="preserve"> (2021), </w:t>
      </w:r>
      <w:r>
        <w:rPr>
          <w:color w:val="000000"/>
        </w:rPr>
        <w:t xml:space="preserve">IPO is found to stand for international public offering. This model is used to list the several processes of valuation and a company which is connected to the stock market and male its share available to the public. Before listing the stock market, the company </w:t>
      </w:r>
      <w:r w:rsidR="00E00A5B">
        <w:rPr>
          <w:color w:val="000000"/>
        </w:rPr>
        <w:t>must</w:t>
      </w:r>
      <w:r>
        <w:rPr>
          <w:color w:val="000000"/>
        </w:rPr>
        <w:t xml:space="preserve"> point out several things just as offer prices defending on the expenditure which is connected to the IPO. </w:t>
      </w:r>
    </w:p>
    <w:p w14:paraId="6A92195B" w14:textId="77777777" w:rsidR="00C4566D" w:rsidRDefault="00A94E1A">
      <w:pPr>
        <w:rPr>
          <w:b/>
          <w:color w:val="000000"/>
        </w:rPr>
      </w:pPr>
      <w:r>
        <w:rPr>
          <w:b/>
          <w:color w:val="000000"/>
        </w:rPr>
        <w:t xml:space="preserve">Three statement model </w:t>
      </w:r>
    </w:p>
    <w:p w14:paraId="01E399C5" w14:textId="423CA2D8" w:rsidR="00C4566D" w:rsidRDefault="00A94E1A">
      <w:pPr>
        <w:rPr>
          <w:color w:val="000000"/>
        </w:rPr>
      </w:pPr>
      <w:r>
        <w:rPr>
          <w:color w:val="000000"/>
        </w:rPr>
        <w:t xml:space="preserve">This model is composed of income statements, balance sheets and cash flow. The income statement is found to be prepared yearly or quarterly. It is known to display the net income, </w:t>
      </w:r>
      <w:r w:rsidR="00E00A5B">
        <w:rPr>
          <w:color w:val="000000"/>
        </w:rPr>
        <w:t>profit,</w:t>
      </w:r>
      <w:r>
        <w:rPr>
          <w:color w:val="000000"/>
        </w:rPr>
        <w:t xml:space="preserve"> and expenses of an international company. Cash flow statement is widely well introduced   as a statement of the inflows and outflows of cash which is completely comprehensive. Balance sheets in common are viewed to reflect the asset, liabilities and the sources of function associated with a business. </w:t>
      </w:r>
    </w:p>
    <w:p w14:paraId="138EC8A6" w14:textId="77777777" w:rsidR="00C4566D" w:rsidRDefault="00A94E1A">
      <w:pPr>
        <w:rPr>
          <w:b/>
          <w:color w:val="000000"/>
        </w:rPr>
      </w:pPr>
      <w:r>
        <w:rPr>
          <w:b/>
          <w:color w:val="000000"/>
        </w:rPr>
        <w:t xml:space="preserve">Budget model </w:t>
      </w:r>
    </w:p>
    <w:p w14:paraId="67B456FB" w14:textId="77777777" w:rsidR="00C4566D" w:rsidRDefault="00A94E1A">
      <w:pPr>
        <w:rPr>
          <w:color w:val="000000"/>
        </w:rPr>
      </w:pPr>
      <w:r>
        <w:rPr>
          <w:color w:val="000000"/>
        </w:rPr>
        <w:t xml:space="preserve">As stated by </w:t>
      </w:r>
      <w:r>
        <w:rPr>
          <w:color w:val="000000"/>
          <w:highlight w:val="white"/>
        </w:rPr>
        <w:t xml:space="preserve">Younas and </w:t>
      </w:r>
      <w:proofErr w:type="spellStart"/>
      <w:r>
        <w:rPr>
          <w:color w:val="000000"/>
          <w:highlight w:val="white"/>
        </w:rPr>
        <w:t>Turdialiev</w:t>
      </w:r>
      <w:proofErr w:type="spellEnd"/>
      <w:r>
        <w:rPr>
          <w:color w:val="000000"/>
          <w:highlight w:val="white"/>
        </w:rPr>
        <w:t xml:space="preserve"> (2021), </w:t>
      </w:r>
      <w:r>
        <w:rPr>
          <w:color w:val="000000"/>
        </w:rPr>
        <w:t xml:space="preserve">this is a fiscal management model of a business which is entirely international. This model is a framework which avails the financial manager of an international company to estimate the revenue and expenses of the future. This model is seen to provide a proper fiscal planning to collect or earn revenue. </w:t>
      </w:r>
    </w:p>
    <w:p w14:paraId="0C79C164" w14:textId="77777777" w:rsidR="00C4566D" w:rsidRDefault="00A94E1A">
      <w:pPr>
        <w:rPr>
          <w:b/>
          <w:color w:val="000000"/>
        </w:rPr>
      </w:pPr>
      <w:r>
        <w:rPr>
          <w:b/>
          <w:color w:val="000000"/>
        </w:rPr>
        <w:lastRenderedPageBreak/>
        <w:t>LBO model</w:t>
      </w:r>
    </w:p>
    <w:p w14:paraId="35FCC384" w14:textId="52572A16" w:rsidR="00C4566D" w:rsidRDefault="00A94E1A">
      <w:pPr>
        <w:rPr>
          <w:color w:val="000000"/>
        </w:rPr>
      </w:pPr>
      <w:r>
        <w:rPr>
          <w:color w:val="000000"/>
        </w:rPr>
        <w:t xml:space="preserve">This model stands for leverage buyout model. This model is used by an international organisation to estimate the return on the investment and assess the capability of the company to create a precise cash flow. This </w:t>
      </w:r>
      <w:r w:rsidR="00E00A5B">
        <w:rPr>
          <w:color w:val="000000"/>
        </w:rPr>
        <w:t>specific</w:t>
      </w:r>
      <w:r>
        <w:rPr>
          <w:color w:val="000000"/>
        </w:rPr>
        <w:t xml:space="preserve"> model is assessing the fiscal viability which is connected to the acquiring of a company in the international context. Using this model, the investors can estimate the return which is called the potential return. </w:t>
      </w:r>
    </w:p>
    <w:p w14:paraId="3CE55C8B" w14:textId="77777777" w:rsidR="00C4566D" w:rsidRDefault="00A94E1A">
      <w:pPr>
        <w:rPr>
          <w:b/>
          <w:color w:val="000000"/>
        </w:rPr>
      </w:pPr>
      <w:r>
        <w:rPr>
          <w:b/>
          <w:color w:val="000000"/>
        </w:rPr>
        <w:t xml:space="preserve">Option pricing model  </w:t>
      </w:r>
    </w:p>
    <w:p w14:paraId="461C262C" w14:textId="77777777" w:rsidR="00C4566D" w:rsidRDefault="00A94E1A">
      <w:pPr>
        <w:rPr>
          <w:color w:val="000000"/>
        </w:rPr>
      </w:pPr>
      <w:r>
        <w:rPr>
          <w:color w:val="000000"/>
        </w:rPr>
        <w:t xml:space="preserve">As reported by </w:t>
      </w:r>
      <w:r>
        <w:rPr>
          <w:color w:val="000000"/>
          <w:highlight w:val="white"/>
        </w:rPr>
        <w:t xml:space="preserve">Meier, Gonzalez and Kunze (2021), </w:t>
      </w:r>
      <w:r>
        <w:rPr>
          <w:color w:val="000000"/>
        </w:rPr>
        <w:t xml:space="preserve">being a crucial fiscal management model associated with the international businesses this model or framework is computing the value of a specific option. Black Scholes model and Binomial pricing model are the names of two option pricing models. Among them, the best model is Black </w:t>
      </w:r>
      <w:proofErr w:type="spellStart"/>
      <w:r>
        <w:rPr>
          <w:color w:val="000000"/>
        </w:rPr>
        <w:t>Schole</w:t>
      </w:r>
      <w:proofErr w:type="spellEnd"/>
      <w:r>
        <w:rPr>
          <w:color w:val="000000"/>
        </w:rPr>
        <w:t xml:space="preserve"> model.</w:t>
      </w:r>
    </w:p>
    <w:p w14:paraId="40F1527B" w14:textId="77777777" w:rsidR="00C4566D" w:rsidRDefault="00A94E1A">
      <w:pPr>
        <w:rPr>
          <w:color w:val="000000"/>
        </w:rPr>
      </w:pPr>
      <w:r>
        <w:rPr>
          <w:color w:val="000000"/>
        </w:rPr>
        <w:t xml:space="preserve">These are some models of IFM and these all models are completely inter associated with each other. </w:t>
      </w:r>
    </w:p>
    <w:p w14:paraId="04F61320" w14:textId="77777777" w:rsidR="00C4566D" w:rsidRDefault="00A94E1A">
      <w:pPr>
        <w:pStyle w:val="Heading1"/>
        <w:rPr>
          <w:color w:val="000000"/>
        </w:rPr>
      </w:pPr>
      <w:bookmarkStart w:id="4" w:name="_heading=h.2et92p0" w:colFirst="0" w:colLast="0"/>
      <w:bookmarkEnd w:id="4"/>
      <w:r>
        <w:rPr>
          <w:color w:val="000000"/>
        </w:rPr>
        <w:t>Evaluating several strategies in managing foreign exchange risk</w:t>
      </w:r>
    </w:p>
    <w:p w14:paraId="6F486F50" w14:textId="77777777" w:rsidR="00C4566D" w:rsidRDefault="00A94E1A">
      <w:r>
        <w:t xml:space="preserve">As stated by Fanelli and Straub (2020), within international trading, foreign exchange risk is a common aspect that can restrict the overall business from their potential business operation. Within this environment, there can be different types of exchange risks like transaction risks, translation risks and many more. </w:t>
      </w:r>
    </w:p>
    <w:p w14:paraId="48E35536" w14:textId="77777777" w:rsidR="00C4566D" w:rsidRDefault="00A94E1A">
      <w:pPr>
        <w:jc w:val="center"/>
        <w:rPr>
          <w:b/>
        </w:rPr>
      </w:pPr>
      <w:r>
        <w:rPr>
          <w:noProof/>
        </w:rPr>
        <w:drawing>
          <wp:inline distT="114300" distB="114300" distL="114300" distR="114300" wp14:anchorId="098830C5" wp14:editId="48C3AB11">
            <wp:extent cx="5058792" cy="2638639"/>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b="7515"/>
                    <a:stretch>
                      <a:fillRect/>
                    </a:stretch>
                  </pic:blipFill>
                  <pic:spPr>
                    <a:xfrm>
                      <a:off x="0" y="0"/>
                      <a:ext cx="5058792" cy="2638639"/>
                    </a:xfrm>
                    <a:prstGeom prst="rect">
                      <a:avLst/>
                    </a:prstGeom>
                    <a:ln w="12700">
                      <a:solidFill>
                        <a:srgbClr val="000000"/>
                      </a:solidFill>
                      <a:prstDash val="solid"/>
                    </a:ln>
                  </pic:spPr>
                </pic:pic>
              </a:graphicData>
            </a:graphic>
          </wp:inline>
        </w:drawing>
      </w:r>
      <w:r>
        <w:br/>
      </w:r>
      <w:r>
        <w:rPr>
          <w:b/>
        </w:rPr>
        <w:t>Figure 1: Foreign exchange risks</w:t>
      </w:r>
    </w:p>
    <w:p w14:paraId="5448C9EA" w14:textId="77777777" w:rsidR="00C4566D" w:rsidRDefault="00A94E1A">
      <w:pPr>
        <w:jc w:val="center"/>
        <w:rPr>
          <w:b/>
        </w:rPr>
      </w:pPr>
      <w:r>
        <w:rPr>
          <w:b/>
        </w:rPr>
        <w:t>(Source: Fanelli and Straub, 2020)</w:t>
      </w:r>
    </w:p>
    <w:p w14:paraId="0776F2EC" w14:textId="77777777" w:rsidR="00C4566D" w:rsidRDefault="00A94E1A">
      <w:r>
        <w:t>However, several ways or strategies are there to manage those foreign exchange risks that have been discussed below:</w:t>
      </w:r>
    </w:p>
    <w:p w14:paraId="79520433" w14:textId="77777777" w:rsidR="00C4566D" w:rsidRDefault="00A94E1A">
      <w:pPr>
        <w:rPr>
          <w:b/>
          <w:i/>
        </w:rPr>
      </w:pPr>
      <w:r>
        <w:rPr>
          <w:b/>
          <w:i/>
        </w:rPr>
        <w:t>Doing transaction in own currency</w:t>
      </w:r>
    </w:p>
    <w:p w14:paraId="5A7808C5" w14:textId="77777777" w:rsidR="00C4566D" w:rsidRDefault="00A94E1A">
      <w:r>
        <w:lastRenderedPageBreak/>
        <w:t xml:space="preserve">Organisations within a strong competitive advantage can do transactions with their own currency. However, this is only applicable if the organisations holding a brand value sell their products or services at a significant amount. Doing transactions in local currency provides a lot of facilities that can manage them to effectively manage foreign exchange risks. Doing that, the exchange rates can be increased and the discount in pricing can also happen (Saadah and </w:t>
      </w:r>
      <w:proofErr w:type="spellStart"/>
      <w:r>
        <w:t>Sitanggang</w:t>
      </w:r>
      <w:proofErr w:type="spellEnd"/>
      <w:r>
        <w:t xml:space="preserve">, 2020). This allows the global customers to access these types of facilities. Doing transactions in local currency also provides the facility of gaining payment speed. </w:t>
      </w:r>
    </w:p>
    <w:p w14:paraId="4C1B5A7B" w14:textId="77777777" w:rsidR="00E00A5B" w:rsidRDefault="00A94E1A">
      <w:r>
        <w:t xml:space="preserve">Not only that, when the payment is done in the local currency, the risk of international exchange conversions can be reduced. Another risk reducing approach of doing transactions in local currency is that the business does not need to face additional issues of transactions. Banks engaged in these transactions do not create complications. </w:t>
      </w:r>
    </w:p>
    <w:p w14:paraId="49F54B4D" w14:textId="74854AF7" w:rsidR="00C4566D" w:rsidRDefault="00A94E1A">
      <w:pPr>
        <w:rPr>
          <w:b/>
          <w:i/>
        </w:rPr>
      </w:pPr>
      <w:r>
        <w:rPr>
          <w:b/>
          <w:i/>
        </w:rPr>
        <w:t xml:space="preserve">Creating protection within the Commercial </w:t>
      </w:r>
      <w:r w:rsidR="00E00A5B">
        <w:rPr>
          <w:b/>
          <w:i/>
        </w:rPr>
        <w:t>bonding</w:t>
      </w:r>
    </w:p>
    <w:p w14:paraId="6256ABBA" w14:textId="77777777" w:rsidR="00C4566D" w:rsidRDefault="00A94E1A">
      <w:r>
        <w:t xml:space="preserve">Within an international payment scenario, businesses need to create a protection within the contracts that have been running for long. Managing the contracts is necessary to reduce the chances of risks especially for businesses with large projects. The contracts might run for long years and the exchange rates then can be changed. In this context, it will be better if the businesses ensure a protection to the contracts. In this regard, risks of foreign exchange risks can be effectively reduced. Legally, the private promises can be ensured too and this helps to make effective commercial decisions. </w:t>
      </w:r>
    </w:p>
    <w:p w14:paraId="3206E7D9" w14:textId="77777777" w:rsidR="00C4566D" w:rsidRDefault="00A94E1A">
      <w:pPr>
        <w:rPr>
          <w:b/>
          <w:i/>
        </w:rPr>
      </w:pPr>
      <w:r>
        <w:rPr>
          <w:b/>
          <w:i/>
        </w:rPr>
        <w:t>Exchange Hedging of general international payments</w:t>
      </w:r>
    </w:p>
    <w:p w14:paraId="4DF92B2D" w14:textId="684FCCD1" w:rsidR="00C4566D" w:rsidRDefault="00A94E1A">
      <w:r>
        <w:t xml:space="preserve">As opined by Opie and Riddiough (2020), a general international exchange happens when an organisation is </w:t>
      </w:r>
      <w:r w:rsidR="00E00A5B">
        <w:t>cap</w:t>
      </w:r>
      <w:r>
        <w:t xml:space="preserve">able to match its costs and revenues in the currency of a foreign land in a way that the final exposure can either be reduced or </w:t>
      </w:r>
      <w:r w:rsidR="00E00A5B">
        <w:t>eliminated</w:t>
      </w:r>
      <w:r>
        <w:t xml:space="preserve">. For instance, an US based corporate entity operational in Europe and generating revenue in the form of Euro can try to source their products domestically (in this case in Europe). This can help in spending their Euros with added advantage of garnering a local supply chain. </w:t>
      </w:r>
    </w:p>
    <w:p w14:paraId="6AFA31CA" w14:textId="77777777" w:rsidR="00C4566D" w:rsidRDefault="00A94E1A">
      <w:pPr>
        <w:jc w:val="center"/>
      </w:pPr>
      <w:r>
        <w:rPr>
          <w:noProof/>
        </w:rPr>
        <w:lastRenderedPageBreak/>
        <w:drawing>
          <wp:inline distT="114300" distB="114300" distL="114300" distR="114300" wp14:anchorId="1586792E" wp14:editId="62E3908F">
            <wp:extent cx="4976813" cy="2492574"/>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r="830" b="10746"/>
                    <a:stretch>
                      <a:fillRect/>
                    </a:stretch>
                  </pic:blipFill>
                  <pic:spPr>
                    <a:xfrm>
                      <a:off x="0" y="0"/>
                      <a:ext cx="4976813" cy="2492574"/>
                    </a:xfrm>
                    <a:prstGeom prst="rect">
                      <a:avLst/>
                    </a:prstGeom>
                    <a:ln w="12700">
                      <a:solidFill>
                        <a:srgbClr val="000000"/>
                      </a:solidFill>
                      <a:prstDash val="solid"/>
                    </a:ln>
                  </pic:spPr>
                </pic:pic>
              </a:graphicData>
            </a:graphic>
          </wp:inline>
        </w:drawing>
      </w:r>
    </w:p>
    <w:p w14:paraId="1B55076C" w14:textId="19AE339C" w:rsidR="00C4566D" w:rsidRDefault="00A94E1A">
      <w:pPr>
        <w:jc w:val="center"/>
        <w:rPr>
          <w:b/>
        </w:rPr>
      </w:pPr>
      <w:r>
        <w:rPr>
          <w:b/>
        </w:rPr>
        <w:t xml:space="preserve">Figure </w:t>
      </w:r>
      <w:r w:rsidR="00E00A5B">
        <w:rPr>
          <w:b/>
        </w:rPr>
        <w:t>2</w:t>
      </w:r>
      <w:r>
        <w:rPr>
          <w:b/>
        </w:rPr>
        <w:t>: Currency Hedging</w:t>
      </w:r>
    </w:p>
    <w:p w14:paraId="280A8996" w14:textId="77777777" w:rsidR="00C4566D" w:rsidRDefault="00A94E1A">
      <w:pPr>
        <w:jc w:val="center"/>
        <w:rPr>
          <w:b/>
        </w:rPr>
      </w:pPr>
      <w:r>
        <w:rPr>
          <w:b/>
        </w:rPr>
        <w:t xml:space="preserve">(Source: Aslam </w:t>
      </w:r>
      <w:r>
        <w:rPr>
          <w:b/>
          <w:i/>
        </w:rPr>
        <w:t>et al.,</w:t>
      </w:r>
      <w:r>
        <w:rPr>
          <w:b/>
        </w:rPr>
        <w:t xml:space="preserve"> 2020)</w:t>
      </w:r>
    </w:p>
    <w:p w14:paraId="374D00AE" w14:textId="77777777" w:rsidR="00C4566D" w:rsidRDefault="00A94E1A">
      <w:pPr>
        <w:rPr>
          <w:b/>
          <w:i/>
        </w:rPr>
      </w:pPr>
      <w:r>
        <w:rPr>
          <w:b/>
          <w:i/>
        </w:rPr>
        <w:t xml:space="preserve">Investing in nations with effective currencies </w:t>
      </w:r>
    </w:p>
    <w:p w14:paraId="201FEE1A" w14:textId="77777777" w:rsidR="00C4566D" w:rsidRDefault="00A94E1A">
      <w:r>
        <w:t xml:space="preserve">Another strategy to reduce the chances of foreign exchange risk is to invest in the nations where the currencies are strong. This can allow the business to get back the return with high profit considering the rising nature of the currency of that nation. This can allow businesses to take advantage of low levels of debt to reduce the scopes of inflation. </w:t>
      </w:r>
    </w:p>
    <w:p w14:paraId="03FE1B97" w14:textId="77777777" w:rsidR="00C4566D" w:rsidRDefault="00A94E1A">
      <w:pPr>
        <w:pStyle w:val="Heading1"/>
        <w:rPr>
          <w:color w:val="000000"/>
        </w:rPr>
      </w:pPr>
      <w:bookmarkStart w:id="5" w:name="_heading=h.tyjcwt" w:colFirst="0" w:colLast="0"/>
      <w:bookmarkEnd w:id="5"/>
      <w:r>
        <w:rPr>
          <w:color w:val="000000"/>
        </w:rPr>
        <w:t xml:space="preserve">Discussing several theoretical models connected to the corporate value, international cost capital and fiscal structure </w:t>
      </w:r>
    </w:p>
    <w:p w14:paraId="46750F8D" w14:textId="37625CA7" w:rsidR="00C4566D" w:rsidRDefault="00A94E1A">
      <w:pPr>
        <w:rPr>
          <w:color w:val="000000"/>
        </w:rPr>
      </w:pPr>
      <w:r>
        <w:rPr>
          <w:color w:val="000000"/>
        </w:rPr>
        <w:t xml:space="preserve">As acknowledged by </w:t>
      </w:r>
      <w:r>
        <w:rPr>
          <w:color w:val="000000"/>
          <w:highlight w:val="white"/>
        </w:rPr>
        <w:t xml:space="preserve">Bakr and Napier (2022), </w:t>
      </w:r>
      <w:r>
        <w:rPr>
          <w:color w:val="000000"/>
        </w:rPr>
        <w:t>the</w:t>
      </w:r>
      <w:r>
        <w:rPr>
          <w:b/>
          <w:color w:val="000000"/>
        </w:rPr>
        <w:t xml:space="preserve"> fiscal structure theory</w:t>
      </w:r>
      <w:r>
        <w:rPr>
          <w:color w:val="000000"/>
        </w:rPr>
        <w:t xml:space="preserve"> associated with international business is seen to be known as the </w:t>
      </w:r>
      <w:r>
        <w:rPr>
          <w:b/>
          <w:color w:val="000000"/>
        </w:rPr>
        <w:t>net income approach</w:t>
      </w:r>
      <w:r>
        <w:rPr>
          <w:color w:val="000000"/>
        </w:rPr>
        <w:t xml:space="preserve">. As per this approach there is a rapport which is direct between the structure of the capital and the value of the businesses. This theory is lessening the cost of capital and enhancing the corporate value of a specific company which is totally international. </w:t>
      </w:r>
      <w:r>
        <w:rPr>
          <w:b/>
          <w:color w:val="000000"/>
        </w:rPr>
        <w:t>Valuation model</w:t>
      </w:r>
      <w:r>
        <w:rPr>
          <w:color w:val="000000"/>
        </w:rPr>
        <w:t xml:space="preserve"> </w:t>
      </w:r>
      <w:r w:rsidR="00E00A5B">
        <w:rPr>
          <w:color w:val="000000"/>
        </w:rPr>
        <w:t>is</w:t>
      </w:r>
      <w:r>
        <w:rPr>
          <w:color w:val="000000"/>
        </w:rPr>
        <w:t xml:space="preserve"> a model which is associated with the value of the corporate in the context which is international. This model is seen to be used to analyse the current worth of a company which is an international company. This model basically paid attention to the valuation of the assets and investment. Some crucial theories which are called capital structure theories are: net operating income model, traditional model and model associated with </w:t>
      </w:r>
      <w:proofErr w:type="spellStart"/>
      <w:r>
        <w:rPr>
          <w:color w:val="000000"/>
        </w:rPr>
        <w:t>Modigilani</w:t>
      </w:r>
      <w:proofErr w:type="spellEnd"/>
      <w:r>
        <w:rPr>
          <w:color w:val="000000"/>
        </w:rPr>
        <w:t xml:space="preserve"> Miller. As opined by </w:t>
      </w:r>
      <w:r>
        <w:rPr>
          <w:color w:val="000000"/>
          <w:highlight w:val="white"/>
        </w:rPr>
        <w:t xml:space="preserve">Doszhan </w:t>
      </w:r>
      <w:r>
        <w:rPr>
          <w:i/>
          <w:color w:val="000000"/>
          <w:highlight w:val="white"/>
        </w:rPr>
        <w:t>et al</w:t>
      </w:r>
      <w:r>
        <w:rPr>
          <w:color w:val="000000"/>
          <w:highlight w:val="white"/>
        </w:rPr>
        <w:t xml:space="preserve">. (2020), </w:t>
      </w:r>
      <w:r>
        <w:rPr>
          <w:b/>
          <w:color w:val="000000"/>
        </w:rPr>
        <w:t>Modigliani Miller theory</w:t>
      </w:r>
      <w:r>
        <w:rPr>
          <w:color w:val="000000"/>
        </w:rPr>
        <w:t xml:space="preserve"> associated with the capital structure is in general composed of the presence of the taxes which are corporate taxes, absence of the taxes which are corporate taxes. </w:t>
      </w:r>
      <w:r>
        <w:rPr>
          <w:b/>
          <w:color w:val="000000"/>
        </w:rPr>
        <w:t>The traditional model</w:t>
      </w:r>
      <w:r>
        <w:rPr>
          <w:color w:val="000000"/>
        </w:rPr>
        <w:t xml:space="preserve"> is evoked or developed by Ezra Solomon. This basic assumption of the theory is certainly related or associated with the net income theory. The focal principle behind </w:t>
      </w:r>
      <w:r>
        <w:rPr>
          <w:color w:val="000000"/>
        </w:rPr>
        <w:lastRenderedPageBreak/>
        <w:t xml:space="preserve">this model was to enhance the basic proportion of debt to a limit which is quite certain to a structure which is capital structure. </w:t>
      </w:r>
      <w:r>
        <w:rPr>
          <w:b/>
          <w:color w:val="000000"/>
        </w:rPr>
        <w:t>Net operating income mode</w:t>
      </w:r>
      <w:r>
        <w:rPr>
          <w:color w:val="000000"/>
        </w:rPr>
        <w:t xml:space="preserve">l was developed by David Durand. This mode is viewed to show that the value of the market of an international company cannot be affected by the several alterations in the structure of capital. The entire cost of equity may remain fixed no matter the basic proportion associated with debt. As stated by </w:t>
      </w:r>
      <w:r>
        <w:rPr>
          <w:color w:val="000000"/>
          <w:highlight w:val="white"/>
        </w:rPr>
        <w:t xml:space="preserve">Doszhan </w:t>
      </w:r>
      <w:r>
        <w:rPr>
          <w:i/>
          <w:color w:val="000000"/>
          <w:highlight w:val="white"/>
        </w:rPr>
        <w:t>et al</w:t>
      </w:r>
      <w:r>
        <w:rPr>
          <w:color w:val="000000"/>
          <w:highlight w:val="white"/>
        </w:rPr>
        <w:t xml:space="preserve">. (2020), </w:t>
      </w:r>
      <w:r>
        <w:rPr>
          <w:color w:val="000000"/>
        </w:rPr>
        <w:t xml:space="preserve">the investment method model is a significant model which helps an international company to increase the corporate value by investing properly. This model is associated with the ROI closely. Market valuation model is a model which is used to conduct the market research in order to know the amount of revenue, the growth rate of the market and others. Profit methods associated with valuation is a model of increasing the corporate value. These all models have been interrelated to each other. In fact, these models have been connected to the financial management of the business in the global </w:t>
      </w:r>
      <w:r w:rsidR="00E00A5B">
        <w:rPr>
          <w:color w:val="000000"/>
        </w:rPr>
        <w:t>context</w:t>
      </w:r>
      <w:r>
        <w:rPr>
          <w:color w:val="000000"/>
        </w:rPr>
        <w:t xml:space="preserve">. These all models are completely effective. </w:t>
      </w:r>
    </w:p>
    <w:p w14:paraId="13E267B2" w14:textId="77777777" w:rsidR="00C4566D" w:rsidRDefault="00A94E1A">
      <w:pPr>
        <w:pStyle w:val="Heading1"/>
        <w:rPr>
          <w:color w:val="000000"/>
        </w:rPr>
      </w:pPr>
      <w:bookmarkStart w:id="6" w:name="_heading=h.3dy6vkm" w:colFirst="0" w:colLast="0"/>
      <w:bookmarkEnd w:id="6"/>
      <w:r>
        <w:rPr>
          <w:color w:val="000000"/>
        </w:rPr>
        <w:t xml:space="preserve">Conclusion </w:t>
      </w:r>
    </w:p>
    <w:p w14:paraId="6FB0D879" w14:textId="56377E2A" w:rsidR="00C4566D" w:rsidRDefault="00A94E1A">
      <w:pPr>
        <w:rPr>
          <w:color w:val="000000"/>
        </w:rPr>
      </w:pPr>
      <w:r>
        <w:rPr>
          <w:color w:val="000000"/>
        </w:rPr>
        <w:t xml:space="preserve">Analysing this entire study, it has been concluded that several models have used focus on the fiscal management of an international business. LBO model, three statement model, net income model, discounted cash flow model and others have </w:t>
      </w:r>
      <w:r w:rsidR="00E00A5B">
        <w:rPr>
          <w:color w:val="000000"/>
        </w:rPr>
        <w:t>been</w:t>
      </w:r>
      <w:r>
        <w:rPr>
          <w:color w:val="000000"/>
        </w:rPr>
        <w:t xml:space="preserve"> these models associated with fiscal management. Some strategies used to mitigate the risk of international finance management has helped in proper planning, using balanced statements, income statements and cash flow statements and others. </w:t>
      </w:r>
      <w:r>
        <w:br w:type="page"/>
      </w:r>
    </w:p>
    <w:p w14:paraId="6E6D9EBA" w14:textId="77777777" w:rsidR="00C4566D" w:rsidRDefault="00A94E1A">
      <w:pPr>
        <w:pStyle w:val="Heading1"/>
        <w:rPr>
          <w:color w:val="000000"/>
        </w:rPr>
      </w:pPr>
      <w:bookmarkStart w:id="7" w:name="_heading=h.1t3h5sf" w:colFirst="0" w:colLast="0"/>
      <w:bookmarkEnd w:id="7"/>
      <w:r>
        <w:rPr>
          <w:color w:val="000000"/>
        </w:rPr>
        <w:lastRenderedPageBreak/>
        <w:t xml:space="preserve">References </w:t>
      </w:r>
    </w:p>
    <w:p w14:paraId="2824D66F" w14:textId="77777777" w:rsidR="00E00A5B" w:rsidRDefault="00E00A5B">
      <w:pPr>
        <w:rPr>
          <w:color w:val="000000"/>
          <w:highlight w:val="white"/>
        </w:rPr>
      </w:pPr>
      <w:r>
        <w:rPr>
          <w:color w:val="000000"/>
          <w:highlight w:val="white"/>
        </w:rPr>
        <w:t>Abdullahi, A. and Yelwa Abubakar, M., (2020). International financial reporting standards (IFRS) and reporting quality in Nigeria: An assessment of selected quoted firms.</w:t>
      </w:r>
    </w:p>
    <w:p w14:paraId="28432C74" w14:textId="77777777" w:rsidR="00E00A5B" w:rsidRDefault="00E00A5B">
      <w:r>
        <w:t>Aslam, F., Aziz, S., Nguyen, D.K., Mughal, K.S. and Khan, M., (2020). On the efficiency of foreign exchange markets in times of the COVID-19 pandemic. Technological forecasting and social change, 161, p.120261.</w:t>
      </w:r>
    </w:p>
    <w:p w14:paraId="340D2699" w14:textId="77777777" w:rsidR="00E00A5B" w:rsidRDefault="00E00A5B">
      <w:pPr>
        <w:rPr>
          <w:color w:val="000000"/>
          <w:highlight w:val="white"/>
        </w:rPr>
      </w:pPr>
      <w:r>
        <w:rPr>
          <w:color w:val="000000"/>
          <w:highlight w:val="white"/>
        </w:rPr>
        <w:t xml:space="preserve">Bakr, S.A. and Napier, C.J., (2022). Adopting the international financial reporting standard for small and medium-sized entities in Saudi Arabia. </w:t>
      </w:r>
      <w:r>
        <w:rPr>
          <w:i/>
          <w:color w:val="000000"/>
          <w:highlight w:val="white"/>
        </w:rPr>
        <w:t>Journal of Economic and Administrative Sciences</w:t>
      </w:r>
      <w:r>
        <w:rPr>
          <w:color w:val="000000"/>
          <w:highlight w:val="white"/>
        </w:rPr>
        <w:t xml:space="preserve">, </w:t>
      </w:r>
      <w:r>
        <w:rPr>
          <w:i/>
          <w:color w:val="000000"/>
          <w:highlight w:val="white"/>
        </w:rPr>
        <w:t>38</w:t>
      </w:r>
      <w:r>
        <w:rPr>
          <w:color w:val="000000"/>
          <w:highlight w:val="white"/>
        </w:rPr>
        <w:t>(1), pp.18-40.</w:t>
      </w:r>
    </w:p>
    <w:p w14:paraId="778E87DB" w14:textId="77777777" w:rsidR="00E00A5B" w:rsidRDefault="00E00A5B">
      <w:pPr>
        <w:rPr>
          <w:color w:val="000000"/>
          <w:highlight w:val="white"/>
        </w:rPr>
      </w:pPr>
      <w:r>
        <w:rPr>
          <w:color w:val="000000"/>
          <w:highlight w:val="white"/>
        </w:rPr>
        <w:t xml:space="preserve">Doszhan, R., </w:t>
      </w:r>
      <w:proofErr w:type="spellStart"/>
      <w:r>
        <w:rPr>
          <w:color w:val="000000"/>
          <w:highlight w:val="white"/>
        </w:rPr>
        <w:t>Nurmaganbetova</w:t>
      </w:r>
      <w:proofErr w:type="spellEnd"/>
      <w:r>
        <w:rPr>
          <w:color w:val="000000"/>
          <w:highlight w:val="white"/>
        </w:rPr>
        <w:t xml:space="preserve">, A., </w:t>
      </w:r>
      <w:proofErr w:type="spellStart"/>
      <w:r>
        <w:rPr>
          <w:color w:val="000000"/>
          <w:highlight w:val="white"/>
        </w:rPr>
        <w:t>Pukala</w:t>
      </w:r>
      <w:proofErr w:type="spellEnd"/>
      <w:r>
        <w:rPr>
          <w:color w:val="000000"/>
          <w:highlight w:val="white"/>
        </w:rPr>
        <w:t xml:space="preserve">, R., </w:t>
      </w:r>
      <w:proofErr w:type="spellStart"/>
      <w:r>
        <w:rPr>
          <w:color w:val="000000"/>
          <w:highlight w:val="white"/>
        </w:rPr>
        <w:t>Yessenova</w:t>
      </w:r>
      <w:proofErr w:type="spellEnd"/>
      <w:r>
        <w:rPr>
          <w:color w:val="000000"/>
          <w:highlight w:val="white"/>
        </w:rPr>
        <w:t xml:space="preserve">, G., Omar, S. and Sabidullina, A., (2020). New challenges in the financial management under the influence of financial technology. In </w:t>
      </w:r>
      <w:r>
        <w:rPr>
          <w:i/>
          <w:color w:val="000000"/>
          <w:highlight w:val="white"/>
        </w:rPr>
        <w:t>E3S Web of Conferences</w:t>
      </w:r>
      <w:r>
        <w:rPr>
          <w:color w:val="000000"/>
          <w:highlight w:val="white"/>
        </w:rPr>
        <w:t xml:space="preserve"> (Vol. 159, p. 04015). EDP Sciences.</w:t>
      </w:r>
    </w:p>
    <w:p w14:paraId="18E3BC8A" w14:textId="77777777" w:rsidR="00E00A5B" w:rsidRDefault="00E00A5B">
      <w:r>
        <w:t>Fanelli, S. and Straub, L., (2020). A theory of foreign exchange interventions (No. w27872). National Bureau of Economic Research.</w:t>
      </w:r>
    </w:p>
    <w:p w14:paraId="73C4B1E0" w14:textId="77777777" w:rsidR="00E00A5B" w:rsidRDefault="00E00A5B">
      <w:pPr>
        <w:rPr>
          <w:color w:val="000000"/>
          <w:highlight w:val="white"/>
        </w:rPr>
      </w:pPr>
      <w:proofErr w:type="spellStart"/>
      <w:r>
        <w:rPr>
          <w:color w:val="000000"/>
          <w:highlight w:val="white"/>
        </w:rPr>
        <w:t>Mashud</w:t>
      </w:r>
      <w:proofErr w:type="spellEnd"/>
      <w:r>
        <w:rPr>
          <w:color w:val="000000"/>
          <w:highlight w:val="white"/>
        </w:rPr>
        <w:t xml:space="preserve">, M., </w:t>
      </w:r>
      <w:proofErr w:type="spellStart"/>
      <w:r>
        <w:rPr>
          <w:color w:val="000000"/>
          <w:highlight w:val="white"/>
        </w:rPr>
        <w:t>Mediaty</w:t>
      </w:r>
      <w:proofErr w:type="spellEnd"/>
      <w:r>
        <w:rPr>
          <w:color w:val="000000"/>
          <w:highlight w:val="white"/>
        </w:rPr>
        <w:t xml:space="preserve">, M. and </w:t>
      </w:r>
      <w:proofErr w:type="spellStart"/>
      <w:r>
        <w:rPr>
          <w:color w:val="000000"/>
          <w:highlight w:val="white"/>
        </w:rPr>
        <w:t>Pontoh</w:t>
      </w:r>
      <w:proofErr w:type="spellEnd"/>
      <w:r>
        <w:rPr>
          <w:color w:val="000000"/>
          <w:highlight w:val="white"/>
        </w:rPr>
        <w:t xml:space="preserve">, G.T., (2021), December. The effect of financial literature, lifestyle and income of parents on student financial management </w:t>
      </w:r>
      <w:proofErr w:type="spellStart"/>
      <w:r>
        <w:rPr>
          <w:color w:val="000000"/>
          <w:highlight w:val="white"/>
        </w:rPr>
        <w:t>behavior</w:t>
      </w:r>
      <w:proofErr w:type="spellEnd"/>
      <w:r>
        <w:rPr>
          <w:color w:val="000000"/>
          <w:highlight w:val="white"/>
        </w:rPr>
        <w:t xml:space="preserve">. In </w:t>
      </w:r>
      <w:r>
        <w:rPr>
          <w:i/>
          <w:color w:val="000000"/>
          <w:highlight w:val="white"/>
        </w:rPr>
        <w:t>Journal of International Conference Proceedings</w:t>
      </w:r>
      <w:r>
        <w:rPr>
          <w:color w:val="000000"/>
          <w:highlight w:val="white"/>
        </w:rPr>
        <w:t xml:space="preserve"> (Vol. 4, No. 3, pp. 256-264).</w:t>
      </w:r>
    </w:p>
    <w:p w14:paraId="5BE8E3F9" w14:textId="77777777" w:rsidR="00E00A5B" w:rsidRDefault="00E00A5B">
      <w:pPr>
        <w:rPr>
          <w:color w:val="000000"/>
          <w:highlight w:val="white"/>
        </w:rPr>
      </w:pPr>
      <w:r>
        <w:rPr>
          <w:color w:val="000000"/>
          <w:highlight w:val="white"/>
        </w:rPr>
        <w:t xml:space="preserve">Meier, S., Gonzalez, M.R. and Kunze, F., (2021). The global financial crisis, the EMU sovereign debt crisis and international financial regulation: lessons from a systematic literature review. </w:t>
      </w:r>
      <w:r>
        <w:rPr>
          <w:i/>
          <w:color w:val="000000"/>
          <w:highlight w:val="white"/>
        </w:rPr>
        <w:t>International Review of Law and Economics</w:t>
      </w:r>
      <w:r>
        <w:rPr>
          <w:color w:val="000000"/>
          <w:highlight w:val="white"/>
        </w:rPr>
        <w:t xml:space="preserve">, </w:t>
      </w:r>
      <w:r>
        <w:rPr>
          <w:i/>
          <w:color w:val="000000"/>
          <w:highlight w:val="white"/>
        </w:rPr>
        <w:t>65</w:t>
      </w:r>
      <w:r>
        <w:rPr>
          <w:color w:val="000000"/>
          <w:highlight w:val="white"/>
        </w:rPr>
        <w:t>, p.105945.</w:t>
      </w:r>
    </w:p>
    <w:p w14:paraId="107E9C34" w14:textId="77777777" w:rsidR="00E00A5B" w:rsidRDefault="00E00A5B">
      <w:r>
        <w:t>Opie, W. and Riddiough, S.J., (2020). Global currency hedging with common risk factors. Journal of Financial Economics, 136(3), pp.780-805.</w:t>
      </w:r>
    </w:p>
    <w:p w14:paraId="643B3B13" w14:textId="77777777" w:rsidR="00E00A5B" w:rsidRDefault="00E00A5B">
      <w:r>
        <w:t xml:space="preserve">Saadah, S. and </w:t>
      </w:r>
      <w:proofErr w:type="spellStart"/>
      <w:r>
        <w:t>Sitanggang</w:t>
      </w:r>
      <w:proofErr w:type="spellEnd"/>
      <w:r>
        <w:t xml:space="preserve">, M.L., (2020). Value at risk estimation of exchange rate in banking industry. </w:t>
      </w:r>
      <w:proofErr w:type="spellStart"/>
      <w:r>
        <w:t>Jurnal</w:t>
      </w:r>
      <w:proofErr w:type="spellEnd"/>
      <w:r>
        <w:t xml:space="preserve"> </w:t>
      </w:r>
      <w:proofErr w:type="spellStart"/>
      <w:r>
        <w:t>Keuangan</w:t>
      </w:r>
      <w:proofErr w:type="spellEnd"/>
      <w:r>
        <w:t xml:space="preserve"> dan </w:t>
      </w:r>
      <w:proofErr w:type="spellStart"/>
      <w:r>
        <w:t>Perbankan</w:t>
      </w:r>
      <w:proofErr w:type="spellEnd"/>
      <w:r>
        <w:t>, 24(4), pp.474-484.</w:t>
      </w:r>
    </w:p>
    <w:p w14:paraId="4F562CFB" w14:textId="77777777" w:rsidR="00E00A5B" w:rsidRDefault="00E00A5B">
      <w:pPr>
        <w:rPr>
          <w:color w:val="000000"/>
          <w:highlight w:val="white"/>
        </w:rPr>
      </w:pPr>
      <w:r>
        <w:rPr>
          <w:color w:val="000000"/>
          <w:highlight w:val="white"/>
        </w:rPr>
        <w:t xml:space="preserve">Younas, A. and </w:t>
      </w:r>
      <w:proofErr w:type="spellStart"/>
      <w:r>
        <w:rPr>
          <w:color w:val="000000"/>
          <w:highlight w:val="white"/>
        </w:rPr>
        <w:t>Turdialiev</w:t>
      </w:r>
      <w:proofErr w:type="spellEnd"/>
      <w:r>
        <w:rPr>
          <w:color w:val="000000"/>
          <w:highlight w:val="white"/>
        </w:rPr>
        <w:t xml:space="preserve">, M.A., (2021). Special Features </w:t>
      </w:r>
      <w:proofErr w:type="gramStart"/>
      <w:r>
        <w:rPr>
          <w:color w:val="000000"/>
          <w:highlight w:val="white"/>
        </w:rPr>
        <w:t>Of</w:t>
      </w:r>
      <w:proofErr w:type="gramEnd"/>
      <w:r>
        <w:rPr>
          <w:color w:val="000000"/>
          <w:highlight w:val="white"/>
        </w:rPr>
        <w:t xml:space="preserve"> International Financial Centres And Its Establishment In Uzbekistan. </w:t>
      </w:r>
      <w:r>
        <w:rPr>
          <w:i/>
          <w:color w:val="000000"/>
          <w:highlight w:val="white"/>
        </w:rPr>
        <w:t>The American Journal of Political Science Law and Criminology</w:t>
      </w:r>
      <w:r>
        <w:rPr>
          <w:color w:val="000000"/>
          <w:highlight w:val="white"/>
        </w:rPr>
        <w:t xml:space="preserve">, </w:t>
      </w:r>
      <w:r>
        <w:rPr>
          <w:i/>
          <w:color w:val="000000"/>
          <w:highlight w:val="white"/>
        </w:rPr>
        <w:t>3</w:t>
      </w:r>
      <w:r>
        <w:rPr>
          <w:color w:val="000000"/>
          <w:highlight w:val="white"/>
        </w:rPr>
        <w:t>(08), pp.17-21.</w:t>
      </w:r>
    </w:p>
    <w:sectPr w:rsidR="00E00A5B">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93888B" w14:textId="77777777" w:rsidR="00C67647" w:rsidRDefault="00C67647">
      <w:pPr>
        <w:spacing w:line="240" w:lineRule="auto"/>
      </w:pPr>
      <w:r>
        <w:separator/>
      </w:r>
    </w:p>
  </w:endnote>
  <w:endnote w:type="continuationSeparator" w:id="0">
    <w:p w14:paraId="75C357D4" w14:textId="77777777" w:rsidR="00C67647" w:rsidRDefault="00C676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C49662" w14:textId="77777777" w:rsidR="00C4566D" w:rsidRDefault="00A94E1A">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E00A5B">
      <w:rPr>
        <w:noProof/>
        <w:color w:val="000000"/>
      </w:rPr>
      <w:t>1</w:t>
    </w:r>
    <w:r>
      <w:rPr>
        <w:color w:val="000000"/>
      </w:rPr>
      <w:fldChar w:fldCharType="end"/>
    </w:r>
  </w:p>
  <w:p w14:paraId="61C9D2B0" w14:textId="77777777" w:rsidR="00C4566D" w:rsidRDefault="00C4566D">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705E8F" w14:textId="77777777" w:rsidR="00C67647" w:rsidRDefault="00C67647">
      <w:pPr>
        <w:spacing w:line="240" w:lineRule="auto"/>
      </w:pPr>
      <w:r>
        <w:separator/>
      </w:r>
    </w:p>
  </w:footnote>
  <w:footnote w:type="continuationSeparator" w:id="0">
    <w:p w14:paraId="4C954967" w14:textId="77777777" w:rsidR="00C67647" w:rsidRDefault="00C6764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566D"/>
    <w:rsid w:val="00053CE1"/>
    <w:rsid w:val="000D4228"/>
    <w:rsid w:val="00352EC1"/>
    <w:rsid w:val="007E66DC"/>
    <w:rsid w:val="008C5642"/>
    <w:rsid w:val="008F5F78"/>
    <w:rsid w:val="00A94E1A"/>
    <w:rsid w:val="00B65BD7"/>
    <w:rsid w:val="00C2683B"/>
    <w:rsid w:val="00C4566D"/>
    <w:rsid w:val="00C67647"/>
    <w:rsid w:val="00CF55F6"/>
    <w:rsid w:val="00E00A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2952E"/>
  <w15:docId w15:val="{2E66452F-AFFD-4CF5-AD32-055A8DD51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color w:val="262D3D"/>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9452C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452C3"/>
    <w:pPr>
      <w:spacing w:after="100"/>
    </w:pPr>
  </w:style>
  <w:style w:type="paragraph" w:styleId="TOC2">
    <w:name w:val="toc 2"/>
    <w:basedOn w:val="Normal"/>
    <w:next w:val="Normal"/>
    <w:autoRedefine/>
    <w:uiPriority w:val="39"/>
    <w:unhideWhenUsed/>
    <w:rsid w:val="009452C3"/>
    <w:pPr>
      <w:spacing w:after="100"/>
      <w:ind w:left="240"/>
    </w:pPr>
  </w:style>
  <w:style w:type="character" w:styleId="Hyperlink">
    <w:name w:val="Hyperlink"/>
    <w:basedOn w:val="DefaultParagraphFont"/>
    <w:uiPriority w:val="99"/>
    <w:unhideWhenUsed/>
    <w:rsid w:val="009452C3"/>
    <w:rPr>
      <w:color w:val="0000FF" w:themeColor="hyperlink"/>
      <w:u w:val="single"/>
    </w:rPr>
  </w:style>
  <w:style w:type="paragraph" w:styleId="Header">
    <w:name w:val="header"/>
    <w:basedOn w:val="Normal"/>
    <w:link w:val="HeaderChar"/>
    <w:uiPriority w:val="99"/>
    <w:unhideWhenUsed/>
    <w:rsid w:val="009452C3"/>
    <w:pPr>
      <w:tabs>
        <w:tab w:val="center" w:pos="4513"/>
        <w:tab w:val="right" w:pos="9026"/>
      </w:tabs>
      <w:spacing w:line="240" w:lineRule="auto"/>
    </w:pPr>
  </w:style>
  <w:style w:type="character" w:customStyle="1" w:styleId="HeaderChar">
    <w:name w:val="Header Char"/>
    <w:basedOn w:val="DefaultParagraphFont"/>
    <w:link w:val="Header"/>
    <w:uiPriority w:val="99"/>
    <w:rsid w:val="009452C3"/>
  </w:style>
  <w:style w:type="paragraph" w:styleId="Footer">
    <w:name w:val="footer"/>
    <w:basedOn w:val="Normal"/>
    <w:link w:val="FooterChar"/>
    <w:uiPriority w:val="99"/>
    <w:unhideWhenUsed/>
    <w:rsid w:val="009452C3"/>
    <w:pPr>
      <w:tabs>
        <w:tab w:val="center" w:pos="4513"/>
        <w:tab w:val="right" w:pos="9026"/>
      </w:tabs>
      <w:spacing w:line="240" w:lineRule="auto"/>
    </w:pPr>
  </w:style>
  <w:style w:type="character" w:customStyle="1" w:styleId="FooterChar">
    <w:name w:val="Footer Char"/>
    <w:basedOn w:val="DefaultParagraphFont"/>
    <w:link w:val="Footer"/>
    <w:uiPriority w:val="99"/>
    <w:rsid w:val="009452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K/5HDrHUtWgZnySmV30P2eccCDw==">CgMxLjAyCGguZ2pkZ3hzMgloLjMwajB6bGwyCWguMWZvYjl0ZTIJaC4zem55c2g3MgloLjJldDkycDAyCGgudHlqY3d0MgloLjNkeTZ2a20yCWguMXQzaDVzZjgAciExbThsdDctOGZ4YWJGLWJFYVY3UlZlaWo2M3JXbm85Um8=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8</Pages>
  <Words>1869</Words>
  <Characters>10655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Muresan Ovidiu</cp:lastModifiedBy>
  <cp:revision>6</cp:revision>
  <dcterms:created xsi:type="dcterms:W3CDTF">2024-07-15T12:34:00Z</dcterms:created>
  <dcterms:modified xsi:type="dcterms:W3CDTF">2024-08-18T18:50:00Z</dcterms:modified>
</cp:coreProperties>
</file>