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025ACA" w14:textId="1D33095B" w:rsidR="001339C9" w:rsidRPr="00927D15" w:rsidRDefault="001339C9">
      <w:pPr>
        <w:rPr>
          <w:b/>
          <w:bCs/>
          <w:sz w:val="28"/>
          <w:szCs w:val="28"/>
          <w:u w:val="single"/>
        </w:rPr>
      </w:pPr>
      <w:r w:rsidRPr="00927D15">
        <w:rPr>
          <w:b/>
          <w:bCs/>
          <w:sz w:val="28"/>
          <w:szCs w:val="28"/>
          <w:u w:val="single"/>
        </w:rPr>
        <w:t>ECAD6009: Part A</w:t>
      </w:r>
    </w:p>
    <w:p w14:paraId="49FA96AA" w14:textId="591FF018" w:rsidR="001339C9" w:rsidRPr="00927D15" w:rsidRDefault="001339C9">
      <w:pPr>
        <w:rPr>
          <w:b/>
          <w:bCs/>
          <w:sz w:val="28"/>
          <w:szCs w:val="28"/>
          <w:u w:val="single"/>
        </w:rPr>
      </w:pPr>
    </w:p>
    <w:p w14:paraId="394AB990" w14:textId="1906B782" w:rsidR="001339C9" w:rsidRPr="00927D15" w:rsidRDefault="001339C9">
      <w:pPr>
        <w:rPr>
          <w:b/>
          <w:bCs/>
          <w:sz w:val="28"/>
          <w:szCs w:val="28"/>
          <w:u w:val="single"/>
        </w:rPr>
      </w:pPr>
      <w:r w:rsidRPr="00927D15">
        <w:rPr>
          <w:b/>
          <w:bCs/>
          <w:sz w:val="28"/>
          <w:szCs w:val="28"/>
          <w:u w:val="single"/>
        </w:rPr>
        <w:t>Reference List</w:t>
      </w:r>
    </w:p>
    <w:p w14:paraId="31BABD56" w14:textId="63FE4E2D" w:rsidR="001339C9" w:rsidRPr="00927D15" w:rsidRDefault="001339C9">
      <w:pPr>
        <w:rPr>
          <w:sz w:val="28"/>
          <w:szCs w:val="28"/>
        </w:rPr>
      </w:pPr>
    </w:p>
    <w:p w14:paraId="1FFAFDA1" w14:textId="4361AC24" w:rsidR="00927D15" w:rsidRPr="00927D15" w:rsidRDefault="00927D15" w:rsidP="00927D15">
      <w:pPr>
        <w:pStyle w:val="ListParagraph"/>
        <w:numPr>
          <w:ilvl w:val="0"/>
          <w:numId w:val="2"/>
        </w:numPr>
        <w:spacing w:line="360" w:lineRule="auto"/>
        <w:rPr>
          <w:rFonts w:cstheme="minorHAnsi"/>
          <w:color w:val="000000"/>
          <w:sz w:val="28"/>
          <w:szCs w:val="28"/>
          <w:shd w:val="clear" w:color="auto" w:fill="FFFFFF"/>
        </w:rPr>
      </w:pPr>
      <w:r w:rsidRPr="00927D15">
        <w:rPr>
          <w:rFonts w:cstheme="minorHAnsi"/>
          <w:color w:val="000000"/>
          <w:sz w:val="28"/>
          <w:szCs w:val="28"/>
          <w:shd w:val="clear" w:color="auto" w:fill="FFFFFF"/>
        </w:rPr>
        <w:t xml:space="preserve">Donaldson CB, G, (2015), </w:t>
      </w:r>
      <w:r w:rsidRPr="00927D15">
        <w:rPr>
          <w:rFonts w:cstheme="minorHAnsi"/>
          <w:i/>
          <w:iCs/>
          <w:color w:val="000000"/>
          <w:sz w:val="28"/>
          <w:szCs w:val="28"/>
        </w:rPr>
        <w:t>Successful Futures</w:t>
      </w:r>
      <w:r w:rsidRPr="00927D15">
        <w:rPr>
          <w:rFonts w:cstheme="minorHAnsi"/>
          <w:color w:val="000000"/>
          <w:sz w:val="28"/>
          <w:szCs w:val="28"/>
          <w:shd w:val="clear" w:color="auto" w:fill="FFFFFF"/>
        </w:rPr>
        <w:t>. Independent Review of Curriculum and Assessment Arrangements in Wales</w:t>
      </w:r>
    </w:p>
    <w:p w14:paraId="7AE0C966" w14:textId="77777777" w:rsidR="00927D15" w:rsidRPr="00927D15" w:rsidRDefault="00927D15" w:rsidP="00927D15">
      <w:pPr>
        <w:pStyle w:val="ListParagraph"/>
        <w:numPr>
          <w:ilvl w:val="0"/>
          <w:numId w:val="2"/>
        </w:numPr>
        <w:spacing w:line="360" w:lineRule="auto"/>
        <w:rPr>
          <w:sz w:val="28"/>
          <w:szCs w:val="28"/>
        </w:rPr>
      </w:pPr>
      <w:r w:rsidRPr="00927D15">
        <w:rPr>
          <w:sz w:val="28"/>
          <w:szCs w:val="28"/>
        </w:rPr>
        <w:t>Iqbal, K. (</w:t>
      </w:r>
      <w:r w:rsidRPr="00927D15">
        <w:rPr>
          <w:sz w:val="28"/>
          <w:szCs w:val="28"/>
        </w:rPr>
        <w:t xml:space="preserve">2019), </w:t>
      </w:r>
      <w:r w:rsidRPr="00927D15">
        <w:rPr>
          <w:i/>
          <w:iCs/>
          <w:sz w:val="28"/>
          <w:szCs w:val="28"/>
        </w:rPr>
        <w:t>Major Theories and Models of Learning</w:t>
      </w:r>
      <w:r w:rsidRPr="00927D15">
        <w:rPr>
          <w:sz w:val="28"/>
          <w:szCs w:val="28"/>
        </w:rPr>
        <w:t xml:space="preserve">, Unit 4: Theories (Part I), </w:t>
      </w:r>
      <w:r w:rsidRPr="00927D15">
        <w:rPr>
          <w:sz w:val="28"/>
          <w:szCs w:val="28"/>
        </w:rPr>
        <w:t>Lumen Learning, Child Development</w:t>
      </w:r>
      <w:r w:rsidRPr="00927D15">
        <w:rPr>
          <w:sz w:val="28"/>
          <w:szCs w:val="28"/>
        </w:rPr>
        <w:t xml:space="preserve">. Available at: </w:t>
      </w:r>
      <w:hyperlink r:id="rId5" w:history="1">
        <w:r w:rsidRPr="00927D15">
          <w:rPr>
            <w:rStyle w:val="Hyperlink"/>
            <w:sz w:val="28"/>
            <w:szCs w:val="28"/>
          </w:rPr>
          <w:t>https://courses.lumenlearning.com/atd-hostos-childdevelopment/chapter/major-theories-and-models-of-learning/</w:t>
        </w:r>
      </w:hyperlink>
      <w:r w:rsidRPr="00927D15">
        <w:rPr>
          <w:sz w:val="28"/>
          <w:szCs w:val="28"/>
        </w:rPr>
        <w:t xml:space="preserve"> </w:t>
      </w:r>
    </w:p>
    <w:p w14:paraId="1C9B4BF0" w14:textId="77777777" w:rsidR="00927D15" w:rsidRPr="00927D15" w:rsidRDefault="00927D15" w:rsidP="00927D15">
      <w:pPr>
        <w:pStyle w:val="Body"/>
        <w:numPr>
          <w:ilvl w:val="0"/>
          <w:numId w:val="2"/>
        </w:numPr>
        <w:spacing w:line="360" w:lineRule="auto"/>
        <w:rPr>
          <w:rFonts w:asciiTheme="minorHAnsi" w:eastAsia="Arial" w:hAnsiTheme="minorHAnsi" w:cstheme="minorHAnsi"/>
          <w:sz w:val="28"/>
          <w:szCs w:val="28"/>
        </w:rPr>
      </w:pPr>
      <w:proofErr w:type="spellStart"/>
      <w:r w:rsidRPr="00927D15">
        <w:rPr>
          <w:rFonts w:asciiTheme="minorHAnsi" w:eastAsia="Arial" w:hAnsiTheme="minorHAnsi" w:cstheme="minorHAnsi"/>
          <w:sz w:val="28"/>
          <w:szCs w:val="28"/>
          <w:highlight w:val="black"/>
          <w:lang w:val="en-US"/>
        </w:rPr>
        <w:t>Knelston</w:t>
      </w:r>
      <w:proofErr w:type="spellEnd"/>
      <w:r w:rsidRPr="00927D15">
        <w:rPr>
          <w:rFonts w:asciiTheme="minorHAnsi" w:eastAsia="Arial" w:hAnsiTheme="minorHAnsi" w:cstheme="minorHAnsi"/>
          <w:sz w:val="28"/>
          <w:szCs w:val="28"/>
          <w:lang w:val="en-US"/>
        </w:rPr>
        <w:t xml:space="preserve"> Primary, </w:t>
      </w:r>
      <w:r w:rsidRPr="00927D15">
        <w:rPr>
          <w:rFonts w:asciiTheme="minorHAnsi" w:eastAsia="Arial" w:hAnsiTheme="minorHAnsi" w:cstheme="minorHAnsi"/>
          <w:sz w:val="28"/>
          <w:szCs w:val="28"/>
        </w:rPr>
        <w:t>(2019</w:t>
      </w:r>
      <w:proofErr w:type="gramStart"/>
      <w:r w:rsidRPr="00927D15">
        <w:rPr>
          <w:rFonts w:asciiTheme="minorHAnsi" w:eastAsia="Arial" w:hAnsiTheme="minorHAnsi" w:cstheme="minorHAnsi"/>
          <w:sz w:val="28"/>
          <w:szCs w:val="28"/>
        </w:rPr>
        <w:t>)</w:t>
      </w:r>
      <w:r w:rsidRPr="00927D15">
        <w:rPr>
          <w:rFonts w:asciiTheme="minorHAnsi" w:eastAsia="Arial" w:hAnsiTheme="minorHAnsi" w:cstheme="minorHAnsi"/>
          <w:sz w:val="28"/>
          <w:szCs w:val="28"/>
        </w:rPr>
        <w:t xml:space="preserve">, </w:t>
      </w:r>
      <w:r w:rsidRPr="00927D15">
        <w:rPr>
          <w:rFonts w:asciiTheme="minorHAnsi" w:eastAsia="Arial" w:hAnsiTheme="minorHAnsi" w:cstheme="minorHAnsi"/>
          <w:sz w:val="28"/>
          <w:szCs w:val="28"/>
          <w:lang w:val="en-US"/>
        </w:rPr>
        <w:t xml:space="preserve"> </w:t>
      </w:r>
      <w:proofErr w:type="spellStart"/>
      <w:r w:rsidRPr="00927D15">
        <w:rPr>
          <w:rFonts w:asciiTheme="minorHAnsi" w:eastAsia="Arial" w:hAnsiTheme="minorHAnsi" w:cstheme="minorHAnsi"/>
          <w:i/>
          <w:iCs/>
          <w:sz w:val="28"/>
          <w:szCs w:val="28"/>
          <w:lang w:val="en-US"/>
        </w:rPr>
        <w:t>Knelston</w:t>
      </w:r>
      <w:proofErr w:type="spellEnd"/>
      <w:proofErr w:type="gramEnd"/>
      <w:r w:rsidRPr="00927D15">
        <w:rPr>
          <w:rFonts w:asciiTheme="minorHAnsi" w:eastAsia="Arial" w:hAnsiTheme="minorHAnsi" w:cstheme="minorHAnsi"/>
          <w:i/>
          <w:iCs/>
          <w:sz w:val="28"/>
          <w:szCs w:val="28"/>
          <w:lang w:val="en-US"/>
        </w:rPr>
        <w:t xml:space="preserve"> Primary School Development Plan</w:t>
      </w:r>
      <w:r w:rsidRPr="00927D15">
        <w:rPr>
          <w:rFonts w:asciiTheme="minorHAnsi" w:eastAsia="Arial" w:hAnsiTheme="minorHAnsi" w:cstheme="minorHAnsi"/>
          <w:sz w:val="28"/>
          <w:szCs w:val="28"/>
        </w:rPr>
        <w:t xml:space="preserve">. </w:t>
      </w:r>
    </w:p>
    <w:p w14:paraId="0CBCEFA9" w14:textId="77777777" w:rsidR="00927D15" w:rsidRPr="00927D15" w:rsidRDefault="00927D15" w:rsidP="00927D15">
      <w:pPr>
        <w:pStyle w:val="Body"/>
        <w:numPr>
          <w:ilvl w:val="0"/>
          <w:numId w:val="2"/>
        </w:numPr>
        <w:spacing w:line="360" w:lineRule="auto"/>
        <w:rPr>
          <w:rFonts w:asciiTheme="minorHAnsi" w:eastAsia="Arial" w:hAnsiTheme="minorHAnsi" w:cstheme="minorHAnsi"/>
          <w:sz w:val="28"/>
          <w:szCs w:val="28"/>
        </w:rPr>
      </w:pPr>
      <w:proofErr w:type="spellStart"/>
      <w:r w:rsidRPr="00927D15">
        <w:rPr>
          <w:rFonts w:asciiTheme="minorHAnsi" w:eastAsia="Arial" w:hAnsiTheme="minorHAnsi" w:cstheme="minorHAnsi"/>
          <w:sz w:val="28"/>
          <w:szCs w:val="28"/>
          <w:highlight w:val="black"/>
          <w:lang w:val="en-US"/>
        </w:rPr>
        <w:t>Knelston</w:t>
      </w:r>
      <w:proofErr w:type="spellEnd"/>
      <w:r w:rsidRPr="00927D15">
        <w:rPr>
          <w:rFonts w:asciiTheme="minorHAnsi" w:eastAsia="Arial" w:hAnsiTheme="minorHAnsi" w:cstheme="minorHAnsi"/>
          <w:sz w:val="28"/>
          <w:szCs w:val="28"/>
          <w:lang w:val="en-US"/>
        </w:rPr>
        <w:t xml:space="preserve"> Primary, </w:t>
      </w:r>
      <w:r w:rsidRPr="00927D15">
        <w:rPr>
          <w:rFonts w:asciiTheme="minorHAnsi" w:eastAsia="Arial" w:hAnsiTheme="minorHAnsi" w:cstheme="minorHAnsi"/>
          <w:sz w:val="28"/>
          <w:szCs w:val="28"/>
        </w:rPr>
        <w:t>(20</w:t>
      </w:r>
      <w:r w:rsidRPr="00927D15">
        <w:rPr>
          <w:rFonts w:asciiTheme="minorHAnsi" w:eastAsia="Arial" w:hAnsiTheme="minorHAnsi" w:cstheme="minorHAnsi"/>
          <w:sz w:val="28"/>
          <w:szCs w:val="28"/>
        </w:rPr>
        <w:t>20</w:t>
      </w:r>
      <w:r w:rsidRPr="00927D15">
        <w:rPr>
          <w:rFonts w:asciiTheme="minorHAnsi" w:eastAsia="Arial" w:hAnsiTheme="minorHAnsi" w:cstheme="minorHAnsi"/>
          <w:sz w:val="28"/>
          <w:szCs w:val="28"/>
          <w:lang w:val="en-US"/>
        </w:rPr>
        <w:t xml:space="preserve">– </w:t>
      </w:r>
      <w:r w:rsidRPr="00927D15">
        <w:rPr>
          <w:rFonts w:asciiTheme="minorHAnsi" w:eastAsia="Arial" w:hAnsiTheme="minorHAnsi" w:cstheme="minorHAnsi"/>
          <w:sz w:val="28"/>
          <w:szCs w:val="28"/>
        </w:rPr>
        <w:t>202</w:t>
      </w:r>
      <w:r w:rsidRPr="00927D15">
        <w:rPr>
          <w:rFonts w:asciiTheme="minorHAnsi" w:eastAsia="Arial" w:hAnsiTheme="minorHAnsi" w:cstheme="minorHAnsi"/>
          <w:sz w:val="28"/>
          <w:szCs w:val="28"/>
        </w:rPr>
        <w:t>1</w:t>
      </w:r>
      <w:proofErr w:type="gramStart"/>
      <w:r w:rsidRPr="00927D15">
        <w:rPr>
          <w:rFonts w:asciiTheme="minorHAnsi" w:eastAsia="Arial" w:hAnsiTheme="minorHAnsi" w:cstheme="minorHAnsi"/>
          <w:sz w:val="28"/>
          <w:szCs w:val="28"/>
        </w:rPr>
        <w:t xml:space="preserve">), </w:t>
      </w:r>
      <w:r w:rsidRPr="00927D15">
        <w:rPr>
          <w:rFonts w:asciiTheme="minorHAnsi" w:eastAsia="Arial" w:hAnsiTheme="minorHAnsi" w:cstheme="minorHAnsi"/>
          <w:sz w:val="28"/>
          <w:szCs w:val="28"/>
          <w:lang w:val="en-US"/>
        </w:rPr>
        <w:t xml:space="preserve"> </w:t>
      </w:r>
      <w:proofErr w:type="spellStart"/>
      <w:r w:rsidRPr="00927D15">
        <w:rPr>
          <w:rFonts w:asciiTheme="minorHAnsi" w:eastAsia="Arial" w:hAnsiTheme="minorHAnsi" w:cstheme="minorHAnsi"/>
          <w:i/>
          <w:iCs/>
          <w:sz w:val="28"/>
          <w:szCs w:val="28"/>
          <w:lang w:val="en-US"/>
        </w:rPr>
        <w:t>Knelston</w:t>
      </w:r>
      <w:proofErr w:type="spellEnd"/>
      <w:proofErr w:type="gramEnd"/>
      <w:r w:rsidRPr="00927D15">
        <w:rPr>
          <w:rFonts w:asciiTheme="minorHAnsi" w:eastAsia="Arial" w:hAnsiTheme="minorHAnsi" w:cstheme="minorHAnsi"/>
          <w:i/>
          <w:iCs/>
          <w:sz w:val="28"/>
          <w:szCs w:val="28"/>
          <w:lang w:val="en-US"/>
        </w:rPr>
        <w:t xml:space="preserve"> Primary School Development Plan</w:t>
      </w:r>
      <w:r w:rsidRPr="00927D15">
        <w:rPr>
          <w:rFonts w:asciiTheme="minorHAnsi" w:eastAsia="Arial" w:hAnsiTheme="minorHAnsi" w:cstheme="minorHAnsi"/>
          <w:sz w:val="28"/>
          <w:szCs w:val="28"/>
        </w:rPr>
        <w:t xml:space="preserve">. </w:t>
      </w:r>
    </w:p>
    <w:p w14:paraId="4742E615" w14:textId="77777777" w:rsidR="00927D15" w:rsidRPr="00927D15" w:rsidRDefault="00927D15" w:rsidP="00927D15">
      <w:pPr>
        <w:pStyle w:val="ListParagraph"/>
        <w:numPr>
          <w:ilvl w:val="0"/>
          <w:numId w:val="2"/>
        </w:numPr>
        <w:spacing w:line="360" w:lineRule="auto"/>
        <w:rPr>
          <w:sz w:val="28"/>
          <w:szCs w:val="28"/>
        </w:rPr>
      </w:pPr>
      <w:r w:rsidRPr="00927D15">
        <w:rPr>
          <w:sz w:val="28"/>
          <w:szCs w:val="28"/>
        </w:rPr>
        <w:t xml:space="preserve">Optimus Education, (2018), Community in school and school in the community, Shaw Trust. Available at: </w:t>
      </w:r>
      <w:hyperlink r:id="rId6" w:history="1">
        <w:r w:rsidRPr="00927D15">
          <w:rPr>
            <w:rStyle w:val="Hyperlink"/>
            <w:sz w:val="28"/>
            <w:szCs w:val="28"/>
          </w:rPr>
          <w:t>https://blog.optimus-education.com/community-school-and-school-community</w:t>
        </w:r>
      </w:hyperlink>
      <w:r w:rsidRPr="00927D15">
        <w:rPr>
          <w:sz w:val="28"/>
          <w:szCs w:val="28"/>
        </w:rPr>
        <w:t xml:space="preserve"> </w:t>
      </w:r>
    </w:p>
    <w:p w14:paraId="217CE064" w14:textId="77777777" w:rsidR="001339C9" w:rsidRDefault="001339C9" w:rsidP="00927D15">
      <w:pPr>
        <w:pStyle w:val="ListParagraph"/>
      </w:pPr>
    </w:p>
    <w:sectPr w:rsidR="001339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4D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B45928"/>
    <w:multiLevelType w:val="hybridMultilevel"/>
    <w:tmpl w:val="484E70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6F088A"/>
    <w:multiLevelType w:val="hybridMultilevel"/>
    <w:tmpl w:val="9E4C39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2DC0D1C"/>
    <w:multiLevelType w:val="hybridMultilevel"/>
    <w:tmpl w:val="4196855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39C9"/>
    <w:rsid w:val="001339C9"/>
    <w:rsid w:val="00927D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4070A0C"/>
  <w15:chartTrackingRefBased/>
  <w15:docId w15:val="{5B3E1DF0-9AD6-C941-93D2-D249589FBC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339C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339C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39C9"/>
    <w:rPr>
      <w:color w:val="605E5C"/>
      <w:shd w:val="clear" w:color="auto" w:fill="E1DFDD"/>
    </w:rPr>
  </w:style>
  <w:style w:type="paragraph" w:customStyle="1" w:styleId="Body">
    <w:name w:val="Body"/>
    <w:rsid w:val="00927D15"/>
    <w:pPr>
      <w:pBdr>
        <w:top w:val="nil"/>
        <w:left w:val="nil"/>
        <w:bottom w:val="nil"/>
        <w:right w:val="nil"/>
        <w:between w:val="nil"/>
        <w:bar w:val="nil"/>
      </w:pBdr>
      <w:spacing w:after="160" w:line="259" w:lineRule="auto"/>
    </w:pPr>
    <w:rPr>
      <w:rFonts w:ascii="Calibri" w:eastAsia="Calibri" w:hAnsi="Calibri" w:cs="Calibri"/>
      <w:color w:val="000000"/>
      <w:sz w:val="22"/>
      <w:szCs w:val="22"/>
      <w:u w:color="000000"/>
      <w:bdr w:val="nil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blog.optimus-education.com/community-school-and-school-community" TargetMode="External"/><Relationship Id="rId5" Type="http://schemas.openxmlformats.org/officeDocument/2006/relationships/hyperlink" Target="https://courses.lumenlearning.com/atd-hostos-childdevelopment/chapter/major-theories-and-models-of-learning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138</Words>
  <Characters>791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randell</dc:creator>
  <cp:keywords/>
  <dc:description/>
  <cp:lastModifiedBy>joshua randell</cp:lastModifiedBy>
  <cp:revision>1</cp:revision>
  <dcterms:created xsi:type="dcterms:W3CDTF">2021-05-10T14:11:00Z</dcterms:created>
  <dcterms:modified xsi:type="dcterms:W3CDTF">2021-05-10T14:35:00Z</dcterms:modified>
</cp:coreProperties>
</file>