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9F5EC0A">
      <w:pPr>
        <w:spacing w:line="360" w:lineRule="auto"/>
        <w:jc w:val="both"/>
        <w:rPr>
          <w:rFonts w:hint="default" w:ascii="Arial" w:hAnsi="Arial" w:cs="Arial"/>
          <w:b/>
          <w:bCs/>
          <w:sz w:val="24"/>
          <w:szCs w:val="24"/>
          <w:u w:val="single"/>
          <w:lang w:val="en-IN"/>
        </w:rPr>
      </w:pPr>
    </w:p>
    <w:p w14:paraId="5A6CF8EC">
      <w:pPr>
        <w:spacing w:line="360" w:lineRule="auto"/>
        <w:jc w:val="both"/>
        <w:rPr>
          <w:rFonts w:hint="default" w:ascii="Arial" w:hAnsi="Arial" w:cs="Arial"/>
          <w:b/>
          <w:bCs/>
          <w:sz w:val="24"/>
          <w:szCs w:val="24"/>
          <w:u w:val="single"/>
          <w:lang w:val="en-GB"/>
        </w:rPr>
      </w:pPr>
      <w:r>
        <w:rPr>
          <w:rFonts w:hint="default" w:ascii="Arial" w:hAnsi="Arial" w:cs="Arial"/>
          <w:sz w:val="24"/>
          <w:szCs w:val="24"/>
          <w:lang w:val="en-IN" w:eastAsia="en-IN" w:bidi="ar-SA"/>
        </w:rPr>
        <w:drawing>
          <wp:anchor distT="0" distB="0" distL="114300" distR="114300" simplePos="0" relativeHeight="251659264" behindDoc="0" locked="0" layoutInCell="1" allowOverlap="1">
            <wp:simplePos x="0" y="0"/>
            <wp:positionH relativeFrom="column">
              <wp:posOffset>2447925</wp:posOffset>
            </wp:positionH>
            <wp:positionV relativeFrom="paragraph">
              <wp:posOffset>40640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hint="default" w:ascii="Arial" w:hAnsi="Arial" w:cs="Arial"/>
          <w:b/>
          <w:bCs/>
          <w:sz w:val="24"/>
          <w:szCs w:val="24"/>
          <w:u w:val="single"/>
          <w:lang w:val="en-GB"/>
        </w:rPr>
        <w:t xml:space="preserve"> </w:t>
      </w:r>
    </w:p>
    <w:p w14:paraId="219665E7">
      <w:pPr>
        <w:spacing w:line="360" w:lineRule="auto"/>
        <w:jc w:val="both"/>
        <w:rPr>
          <w:rFonts w:hint="default" w:ascii="Arial" w:hAnsi="Arial" w:cs="Arial"/>
          <w:b/>
          <w:bCs/>
          <w:sz w:val="24"/>
          <w:szCs w:val="24"/>
          <w:u w:val="single"/>
          <w:lang w:val="en-GB"/>
        </w:rPr>
      </w:pPr>
    </w:p>
    <w:p w14:paraId="21D0258A">
      <w:pPr>
        <w:spacing w:line="360" w:lineRule="auto"/>
        <w:jc w:val="both"/>
        <w:rPr>
          <w:rFonts w:hint="default" w:ascii="Arial" w:hAnsi="Arial" w:cs="Arial"/>
          <w:b/>
          <w:bCs/>
          <w:sz w:val="24"/>
          <w:szCs w:val="24"/>
          <w:u w:val="single"/>
          <w:lang w:val="en-GB"/>
        </w:rPr>
      </w:pPr>
    </w:p>
    <w:p w14:paraId="493CD1B6">
      <w:pPr>
        <w:spacing w:line="360" w:lineRule="auto"/>
        <w:jc w:val="both"/>
        <w:rPr>
          <w:rFonts w:hint="default" w:ascii="Arial" w:hAnsi="Arial" w:cs="Arial"/>
          <w:b/>
          <w:bCs/>
          <w:sz w:val="24"/>
          <w:szCs w:val="24"/>
          <w:u w:val="single"/>
          <w:lang w:val="en-GB"/>
        </w:rPr>
      </w:pPr>
      <w:r>
        <w:rPr>
          <w:rFonts w:hint="default" w:ascii="Arial" w:hAnsi="Arial" w:cs="Arial"/>
          <w:b/>
          <w:bCs/>
          <w:sz w:val="24"/>
          <w:szCs w:val="24"/>
          <w:u w:val="single"/>
          <w:lang w:val="en-GB"/>
        </w:rPr>
        <w:t>Innovating New Working Practices and Breeding an Environment Where Talent May Grow</w:t>
      </w:r>
    </w:p>
    <w:p w14:paraId="3D45FDE5">
      <w:pPr>
        <w:spacing w:line="360" w:lineRule="auto"/>
        <w:jc w:val="both"/>
        <w:rPr>
          <w:rFonts w:hint="default" w:ascii="Arial" w:hAnsi="Arial" w:cs="Arial"/>
          <w:b/>
          <w:bCs/>
          <w:sz w:val="24"/>
          <w:szCs w:val="24"/>
          <w:u w:val="single"/>
          <w:lang w:val="en-GB"/>
        </w:rPr>
      </w:pPr>
    </w:p>
    <w:p w14:paraId="412A1EAC">
      <w:pPr>
        <w:pStyle w:val="3"/>
        <w:spacing w:before="240" w:after="240" w:line="360" w:lineRule="auto"/>
        <w:ind w:left="660" w:right="660"/>
        <w:jc w:val="both"/>
        <w:rPr>
          <w:rFonts w:hint="default" w:ascii="Arial" w:hAnsi="Arial" w:cs="Arial"/>
          <w:b/>
          <w:bCs/>
          <w:color w:val="0F1115"/>
          <w:sz w:val="24"/>
          <w:szCs w:val="24"/>
          <w:u w:val="single"/>
          <w:shd w:val="clear" w:color="auto" w:fill="FFFFFF"/>
        </w:rPr>
      </w:pPr>
      <w:r>
        <w:rPr>
          <w:rFonts w:hint="default" w:ascii="Arial" w:hAnsi="Arial" w:cs="Arial"/>
          <w:b/>
          <w:bCs/>
          <w:sz w:val="24"/>
          <w:szCs w:val="24"/>
          <w:u w:val="single"/>
          <w:lang w:val="en-GB"/>
        </w:rPr>
        <w:t xml:space="preserve">A strategic Marketing Analysis of </w:t>
      </w:r>
      <w:r>
        <w:rPr>
          <w:rFonts w:hint="default" w:ascii="Arial" w:hAnsi="Arial" w:cs="Arial"/>
          <w:b/>
          <w:bCs/>
          <w:color w:val="0F1115"/>
          <w:sz w:val="24"/>
          <w:szCs w:val="24"/>
          <w:u w:val="single"/>
          <w:shd w:val="clear" w:color="auto" w:fill="FFFFFF"/>
        </w:rPr>
        <w:t>Tata Steel's Transition to Near-Zero Emission Steelmaking</w:t>
      </w:r>
    </w:p>
    <w:p w14:paraId="07E77638">
      <w:pPr>
        <w:spacing w:line="360" w:lineRule="auto"/>
        <w:jc w:val="both"/>
        <w:rPr>
          <w:rFonts w:hint="default" w:ascii="Arial" w:hAnsi="Arial" w:cs="Arial"/>
          <w:b/>
          <w:bCs/>
          <w:sz w:val="24"/>
          <w:szCs w:val="24"/>
          <w:u w:val="single"/>
          <w:lang w:val="en-GB"/>
        </w:rPr>
      </w:pPr>
    </w:p>
    <w:p w14:paraId="55AEEBA1">
      <w:pPr>
        <w:spacing w:line="360" w:lineRule="auto"/>
        <w:jc w:val="both"/>
        <w:rPr>
          <w:rFonts w:hint="default" w:ascii="Arial" w:hAnsi="Arial" w:cs="Arial"/>
          <w:b/>
          <w:bCs/>
          <w:sz w:val="24"/>
          <w:szCs w:val="24"/>
          <w:u w:val="single"/>
          <w:lang w:val="en-GB"/>
        </w:rPr>
      </w:pPr>
    </w:p>
    <w:p w14:paraId="32925C8D">
      <w:pPr>
        <w:spacing w:line="360" w:lineRule="auto"/>
        <w:jc w:val="both"/>
        <w:rPr>
          <w:rFonts w:hint="default" w:ascii="Arial" w:hAnsi="Arial" w:cs="Arial"/>
          <w:sz w:val="24"/>
          <w:szCs w:val="24"/>
          <w:lang w:val="en-GB"/>
        </w:rPr>
      </w:pPr>
    </w:p>
    <w:tbl>
      <w:tblPr>
        <w:tblStyle w:val="5"/>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0"/>
        <w:gridCol w:w="3656"/>
        <w:gridCol w:w="2268"/>
        <w:gridCol w:w="2268"/>
      </w:tblGrid>
      <w:tr w14:paraId="5CB794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0" w:type="dxa"/>
          </w:tcPr>
          <w:p w14:paraId="33F557A1">
            <w:pPr>
              <w:spacing w:before="120" w:after="120" w:line="360" w:lineRule="auto"/>
              <w:jc w:val="both"/>
              <w:rPr>
                <w:rFonts w:hint="default" w:ascii="Arial" w:hAnsi="Arial" w:cs="Arial"/>
                <w:b/>
                <w:sz w:val="24"/>
                <w:szCs w:val="24"/>
              </w:rPr>
            </w:pPr>
            <w:r>
              <w:rPr>
                <w:rFonts w:hint="default" w:ascii="Arial" w:hAnsi="Arial" w:cs="Arial"/>
                <w:b/>
                <w:sz w:val="24"/>
                <w:szCs w:val="24"/>
              </w:rPr>
              <w:t>Student name:</w:t>
            </w:r>
          </w:p>
        </w:tc>
        <w:tc>
          <w:tcPr>
            <w:tcW w:w="3656" w:type="dxa"/>
          </w:tcPr>
          <w:p w14:paraId="662F7D20">
            <w:pPr>
              <w:spacing w:before="120" w:after="120" w:line="360" w:lineRule="auto"/>
              <w:jc w:val="both"/>
              <w:rPr>
                <w:rFonts w:hint="default" w:ascii="Arial" w:hAnsi="Arial" w:cs="Arial"/>
                <w:b/>
                <w:sz w:val="24"/>
                <w:szCs w:val="24"/>
              </w:rPr>
            </w:pPr>
            <w:r>
              <w:rPr>
                <w:rFonts w:hint="default" w:ascii="Arial" w:hAnsi="Arial" w:cs="Arial"/>
                <w:b/>
                <w:sz w:val="24"/>
                <w:szCs w:val="24"/>
              </w:rPr>
              <w:t>Prashantbhai Vinodbhai Jod</w:t>
            </w:r>
          </w:p>
        </w:tc>
        <w:tc>
          <w:tcPr>
            <w:tcW w:w="2268" w:type="dxa"/>
            <w:shd w:val="clear" w:color="auto" w:fill="D8D8D8" w:themeFill="background1" w:themeFillShade="D9"/>
          </w:tcPr>
          <w:p w14:paraId="46E012F6">
            <w:pPr>
              <w:spacing w:before="120" w:after="120" w:line="360" w:lineRule="auto"/>
              <w:jc w:val="both"/>
              <w:rPr>
                <w:rFonts w:hint="default" w:ascii="Arial" w:hAnsi="Arial" w:cs="Arial"/>
                <w:b/>
                <w:sz w:val="24"/>
                <w:szCs w:val="24"/>
              </w:rPr>
            </w:pPr>
            <w:r>
              <w:rPr>
                <w:rFonts w:hint="default" w:ascii="Arial" w:hAnsi="Arial" w:cs="Arial"/>
                <w:b/>
                <w:sz w:val="24"/>
                <w:szCs w:val="24"/>
              </w:rPr>
              <w:t>Student ID number:</w:t>
            </w:r>
          </w:p>
        </w:tc>
        <w:tc>
          <w:tcPr>
            <w:tcW w:w="2268" w:type="dxa"/>
          </w:tcPr>
          <w:p w14:paraId="1D443525">
            <w:pPr>
              <w:spacing w:before="120" w:after="120" w:line="360" w:lineRule="auto"/>
              <w:jc w:val="both"/>
              <w:rPr>
                <w:rFonts w:hint="default" w:ascii="Arial" w:hAnsi="Arial" w:cs="Arial"/>
                <w:b/>
                <w:sz w:val="24"/>
                <w:szCs w:val="24"/>
              </w:rPr>
            </w:pPr>
            <w:r>
              <w:rPr>
                <w:rFonts w:hint="default" w:ascii="Arial" w:hAnsi="Arial" w:cs="Arial"/>
                <w:b/>
                <w:sz w:val="24"/>
                <w:szCs w:val="24"/>
              </w:rPr>
              <w:t>2605310</w:t>
            </w:r>
          </w:p>
        </w:tc>
      </w:tr>
      <w:tr w14:paraId="09426B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0" w:type="dxa"/>
          </w:tcPr>
          <w:p w14:paraId="09D24818">
            <w:pPr>
              <w:spacing w:before="120" w:after="120" w:line="360" w:lineRule="auto"/>
              <w:jc w:val="both"/>
              <w:rPr>
                <w:rFonts w:hint="default" w:ascii="Arial" w:hAnsi="Arial" w:cs="Arial"/>
                <w:b/>
                <w:sz w:val="24"/>
                <w:szCs w:val="24"/>
              </w:rPr>
            </w:pPr>
            <w:r>
              <w:rPr>
                <w:rFonts w:hint="default" w:ascii="Arial" w:hAnsi="Arial" w:cs="Arial"/>
                <w:b/>
                <w:sz w:val="24"/>
                <w:szCs w:val="24"/>
              </w:rPr>
              <w:t>Programme:</w:t>
            </w:r>
          </w:p>
        </w:tc>
        <w:tc>
          <w:tcPr>
            <w:tcW w:w="8192" w:type="dxa"/>
            <w:gridSpan w:val="3"/>
          </w:tcPr>
          <w:p w14:paraId="632478FD">
            <w:pPr>
              <w:spacing w:before="120" w:after="120" w:line="360" w:lineRule="auto"/>
              <w:jc w:val="both"/>
              <w:rPr>
                <w:rFonts w:hint="default" w:ascii="Arial" w:hAnsi="Arial" w:cs="Arial"/>
                <w:b/>
                <w:sz w:val="24"/>
                <w:szCs w:val="24"/>
              </w:rPr>
            </w:pPr>
            <w:r>
              <w:rPr>
                <w:rFonts w:hint="default" w:ascii="Arial" w:hAnsi="Arial" w:cs="Arial"/>
                <w:b/>
                <w:sz w:val="24"/>
                <w:szCs w:val="24"/>
              </w:rPr>
              <w:t>Master of Business Administration</w:t>
            </w:r>
          </w:p>
        </w:tc>
      </w:tr>
      <w:tr w14:paraId="334D21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0" w:type="dxa"/>
          </w:tcPr>
          <w:p w14:paraId="54252B22">
            <w:pPr>
              <w:spacing w:before="120" w:after="120" w:line="360" w:lineRule="auto"/>
              <w:jc w:val="both"/>
              <w:rPr>
                <w:rFonts w:hint="default" w:ascii="Arial" w:hAnsi="Arial" w:cs="Arial"/>
                <w:b/>
                <w:sz w:val="24"/>
                <w:szCs w:val="24"/>
              </w:rPr>
            </w:pPr>
            <w:r>
              <w:rPr>
                <w:rFonts w:hint="default" w:ascii="Arial" w:hAnsi="Arial" w:cs="Arial"/>
                <w:b/>
                <w:sz w:val="24"/>
                <w:szCs w:val="24"/>
              </w:rPr>
              <w:t>Module:</w:t>
            </w:r>
          </w:p>
        </w:tc>
        <w:tc>
          <w:tcPr>
            <w:tcW w:w="8192" w:type="dxa"/>
            <w:gridSpan w:val="3"/>
          </w:tcPr>
          <w:p w14:paraId="30F49D8E">
            <w:pPr>
              <w:spacing w:before="120" w:after="120" w:line="360" w:lineRule="auto"/>
              <w:jc w:val="both"/>
              <w:rPr>
                <w:rFonts w:hint="default" w:ascii="Arial" w:hAnsi="Arial" w:cs="Arial"/>
                <w:b/>
                <w:sz w:val="24"/>
                <w:szCs w:val="24"/>
              </w:rPr>
            </w:pPr>
            <w:r>
              <w:rPr>
                <w:rFonts w:hint="default" w:ascii="Arial" w:hAnsi="Arial" w:cs="Arial"/>
                <w:b/>
                <w:sz w:val="24"/>
                <w:szCs w:val="24"/>
              </w:rPr>
              <w:t>Marketing Management</w:t>
            </w:r>
          </w:p>
        </w:tc>
      </w:tr>
      <w:tr w14:paraId="7881DF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0" w:type="dxa"/>
          </w:tcPr>
          <w:p w14:paraId="30FCF94F">
            <w:pPr>
              <w:spacing w:before="120" w:after="120" w:line="360" w:lineRule="auto"/>
              <w:jc w:val="both"/>
              <w:rPr>
                <w:rFonts w:hint="default" w:ascii="Arial" w:hAnsi="Arial" w:cs="Arial"/>
                <w:b/>
                <w:sz w:val="24"/>
                <w:szCs w:val="24"/>
              </w:rPr>
            </w:pPr>
            <w:r>
              <w:rPr>
                <w:rFonts w:hint="default" w:ascii="Arial" w:hAnsi="Arial" w:cs="Arial"/>
                <w:b/>
                <w:sz w:val="24"/>
                <w:szCs w:val="24"/>
              </w:rPr>
              <w:t>Module code:</w:t>
            </w:r>
          </w:p>
        </w:tc>
        <w:tc>
          <w:tcPr>
            <w:tcW w:w="3656" w:type="dxa"/>
          </w:tcPr>
          <w:p w14:paraId="73F50B03">
            <w:pPr>
              <w:spacing w:before="120" w:after="120" w:line="360" w:lineRule="auto"/>
              <w:jc w:val="both"/>
              <w:rPr>
                <w:rFonts w:hint="default" w:ascii="Arial" w:hAnsi="Arial" w:cs="Arial"/>
                <w:b/>
                <w:sz w:val="24"/>
                <w:szCs w:val="24"/>
              </w:rPr>
            </w:pPr>
            <w:r>
              <w:rPr>
                <w:rFonts w:hint="default" w:ascii="Arial" w:hAnsi="Arial" w:cs="Arial"/>
                <w:b/>
                <w:bCs/>
                <w:sz w:val="24"/>
                <w:szCs w:val="24"/>
              </w:rPr>
              <w:t>LCMB7024</w:t>
            </w:r>
          </w:p>
        </w:tc>
        <w:tc>
          <w:tcPr>
            <w:tcW w:w="2268" w:type="dxa"/>
            <w:shd w:val="clear" w:color="auto" w:fill="D8D8D8" w:themeFill="background1" w:themeFillShade="D9"/>
          </w:tcPr>
          <w:p w14:paraId="1AB45E97">
            <w:pPr>
              <w:pStyle w:val="2"/>
              <w:spacing w:line="360" w:lineRule="auto"/>
              <w:jc w:val="both"/>
              <w:rPr>
                <w:rFonts w:hint="default" w:ascii="Arial" w:hAnsi="Arial" w:cs="Arial"/>
                <w:sz w:val="24"/>
                <w:szCs w:val="24"/>
              </w:rPr>
            </w:pPr>
            <w:r>
              <w:rPr>
                <w:rFonts w:hint="default" w:ascii="Arial" w:hAnsi="Arial" w:cs="Arial"/>
                <w:sz w:val="24"/>
                <w:szCs w:val="24"/>
              </w:rPr>
              <w:t>Lecturer:</w:t>
            </w:r>
          </w:p>
        </w:tc>
        <w:tc>
          <w:tcPr>
            <w:tcW w:w="2268" w:type="dxa"/>
          </w:tcPr>
          <w:p w14:paraId="149D7AEF">
            <w:pPr>
              <w:spacing w:before="120" w:after="120" w:line="360" w:lineRule="auto"/>
              <w:jc w:val="both"/>
              <w:rPr>
                <w:rFonts w:hint="default" w:ascii="Arial" w:hAnsi="Arial" w:cs="Arial"/>
                <w:b/>
                <w:sz w:val="24"/>
                <w:szCs w:val="24"/>
              </w:rPr>
            </w:pPr>
            <w:r>
              <w:rPr>
                <w:rFonts w:hint="default" w:ascii="Arial" w:hAnsi="Arial" w:cs="Arial"/>
                <w:b/>
                <w:bCs/>
                <w:sz w:val="24"/>
                <w:szCs w:val="24"/>
              </w:rPr>
              <w:t>Taonga KaongaSobere-Snithers (Birmingham)</w:t>
            </w:r>
            <w:r>
              <w:rPr>
                <w:rFonts w:hint="default" w:ascii="Arial" w:hAnsi="Arial" w:cs="Arial"/>
                <w:b/>
                <w:bCs/>
                <w:sz w:val="24"/>
                <w:szCs w:val="24"/>
              </w:rPr>
              <w:tab/>
            </w:r>
          </w:p>
        </w:tc>
      </w:tr>
      <w:tr w14:paraId="48B45C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0" w:type="dxa"/>
          </w:tcPr>
          <w:p w14:paraId="2968A9BD">
            <w:pPr>
              <w:spacing w:before="120" w:after="120" w:line="360" w:lineRule="auto"/>
              <w:jc w:val="both"/>
              <w:rPr>
                <w:rFonts w:hint="default" w:ascii="Arial" w:hAnsi="Arial" w:cs="Arial"/>
                <w:b/>
                <w:sz w:val="24"/>
                <w:szCs w:val="24"/>
              </w:rPr>
            </w:pPr>
            <w:r>
              <w:rPr>
                <w:rFonts w:hint="default" w:ascii="Arial" w:hAnsi="Arial" w:cs="Arial"/>
                <w:b/>
                <w:sz w:val="24"/>
                <w:szCs w:val="24"/>
              </w:rPr>
              <w:t xml:space="preserve">`Assignment Title </w:t>
            </w:r>
          </w:p>
        </w:tc>
        <w:tc>
          <w:tcPr>
            <w:tcW w:w="3656" w:type="dxa"/>
          </w:tcPr>
          <w:p w14:paraId="2F4488F5">
            <w:pPr>
              <w:spacing w:before="120" w:after="120" w:line="360" w:lineRule="auto"/>
              <w:jc w:val="both"/>
              <w:rPr>
                <w:rFonts w:hint="default" w:ascii="Arial" w:hAnsi="Arial" w:cs="Arial"/>
                <w:b/>
                <w:bCs/>
                <w:sz w:val="24"/>
                <w:szCs w:val="24"/>
              </w:rPr>
            </w:pPr>
            <w:r>
              <w:rPr>
                <w:rFonts w:hint="default" w:ascii="Arial" w:hAnsi="Arial" w:cs="Arial"/>
                <w:b/>
                <w:bCs/>
                <w:sz w:val="24"/>
                <w:szCs w:val="24"/>
              </w:rPr>
              <w:t xml:space="preserve">Marketing Environment Analysis </w:t>
            </w:r>
          </w:p>
        </w:tc>
        <w:tc>
          <w:tcPr>
            <w:tcW w:w="2268" w:type="dxa"/>
            <w:shd w:val="clear" w:color="auto" w:fill="D8D8D8" w:themeFill="background1" w:themeFillShade="D9"/>
          </w:tcPr>
          <w:p w14:paraId="7346FBEA">
            <w:pPr>
              <w:pStyle w:val="2"/>
              <w:spacing w:line="360" w:lineRule="auto"/>
              <w:jc w:val="both"/>
              <w:rPr>
                <w:rFonts w:hint="default" w:ascii="Arial" w:hAnsi="Arial" w:cs="Arial"/>
                <w:sz w:val="24"/>
                <w:szCs w:val="24"/>
              </w:rPr>
            </w:pPr>
            <w:r>
              <w:rPr>
                <w:rFonts w:hint="default" w:ascii="Arial" w:hAnsi="Arial" w:cs="Arial"/>
                <w:sz w:val="24"/>
                <w:szCs w:val="24"/>
              </w:rPr>
              <w:t>Submission</w:t>
            </w:r>
          </w:p>
        </w:tc>
        <w:tc>
          <w:tcPr>
            <w:tcW w:w="2268" w:type="dxa"/>
          </w:tcPr>
          <w:p w14:paraId="053B22D8">
            <w:pPr>
              <w:spacing w:before="120" w:after="120" w:line="360" w:lineRule="auto"/>
              <w:jc w:val="both"/>
              <w:rPr>
                <w:rFonts w:hint="default" w:ascii="Arial" w:hAnsi="Arial" w:cs="Arial"/>
                <w:b/>
                <w:bCs/>
                <w:sz w:val="24"/>
                <w:szCs w:val="24"/>
              </w:rPr>
            </w:pPr>
            <w:r>
              <w:rPr>
                <w:rFonts w:hint="default" w:ascii="Arial" w:hAnsi="Arial" w:cs="Arial"/>
                <w:b/>
                <w:bCs/>
                <w:sz w:val="24"/>
                <w:szCs w:val="24"/>
              </w:rPr>
              <w:t>22/10/2026</w:t>
            </w:r>
          </w:p>
        </w:tc>
      </w:tr>
    </w:tbl>
    <w:p w14:paraId="4A3C9001">
      <w:pPr>
        <w:spacing w:line="360" w:lineRule="auto"/>
        <w:jc w:val="both"/>
        <w:rPr>
          <w:rFonts w:hint="default" w:ascii="Arial" w:hAnsi="Arial" w:cs="Arial"/>
          <w:sz w:val="24"/>
          <w:szCs w:val="24"/>
          <w:lang w:val="en-GB"/>
        </w:rPr>
      </w:pPr>
    </w:p>
    <w:p w14:paraId="106D4710">
      <w:pPr>
        <w:spacing w:line="360" w:lineRule="auto"/>
        <w:jc w:val="both"/>
        <w:rPr>
          <w:rFonts w:hint="default" w:ascii="Arial" w:hAnsi="Arial" w:cs="Arial"/>
          <w:sz w:val="24"/>
          <w:szCs w:val="24"/>
          <w:lang w:val="en-GB"/>
        </w:rPr>
      </w:pPr>
    </w:p>
    <w:p w14:paraId="4B4BFC57">
      <w:pPr>
        <w:pStyle w:val="3"/>
        <w:spacing w:before="240" w:after="240" w:line="360" w:lineRule="auto"/>
        <w:ind w:left="660" w:right="660"/>
        <w:jc w:val="both"/>
        <w:rPr>
          <w:rFonts w:hint="default" w:ascii="Arial" w:hAnsi="Arial" w:cs="Arial"/>
          <w:b/>
          <w:bCs/>
          <w:color w:val="0F1115"/>
          <w:sz w:val="24"/>
          <w:szCs w:val="24"/>
          <w:shd w:val="clear" w:color="auto" w:fill="FFFFFF"/>
        </w:rPr>
      </w:pPr>
    </w:p>
    <w:p w14:paraId="3D1C730B">
      <w:pPr>
        <w:pStyle w:val="3"/>
        <w:spacing w:before="240" w:after="240" w:line="360" w:lineRule="auto"/>
        <w:ind w:left="660" w:right="660"/>
        <w:jc w:val="both"/>
        <w:rPr>
          <w:rFonts w:hint="default" w:ascii="Arial" w:hAnsi="Arial" w:cs="Arial"/>
          <w:b/>
          <w:bCs/>
          <w:color w:val="0F1115"/>
          <w:sz w:val="24"/>
          <w:szCs w:val="24"/>
          <w:shd w:val="clear" w:color="auto" w:fill="FFFFFF"/>
        </w:rPr>
      </w:pPr>
    </w:p>
    <w:p w14:paraId="077633E2">
      <w:pPr>
        <w:pStyle w:val="3"/>
        <w:spacing w:before="240" w:after="240" w:line="360" w:lineRule="auto"/>
        <w:ind w:right="660"/>
        <w:jc w:val="both"/>
        <w:rPr>
          <w:rFonts w:hint="default" w:ascii="Arial" w:hAnsi="Arial" w:cs="Arial"/>
          <w:b/>
          <w:bCs/>
          <w:color w:val="0F1115"/>
          <w:sz w:val="24"/>
          <w:szCs w:val="24"/>
          <w:shd w:val="clear" w:color="auto" w:fill="FFFFFF"/>
        </w:rPr>
      </w:pPr>
    </w:p>
    <w:p w14:paraId="5CB11222">
      <w:pPr>
        <w:pStyle w:val="3"/>
        <w:spacing w:before="240" w:after="240" w:line="360" w:lineRule="auto"/>
        <w:ind w:left="660" w:right="660"/>
        <w:jc w:val="both"/>
        <w:rPr>
          <w:rStyle w:val="12"/>
          <w:rFonts w:hint="default" w:ascii="Arial" w:hAnsi="Arial" w:cs="Arial"/>
          <w:color w:val="0F1115"/>
          <w:sz w:val="24"/>
          <w:szCs w:val="24"/>
          <w:shd w:val="clear" w:color="auto" w:fill="FFFFFF"/>
        </w:rPr>
      </w:pPr>
      <w:r>
        <w:rPr>
          <w:rFonts w:hint="default" w:ascii="Arial" w:hAnsi="Arial" w:cs="Arial"/>
          <w:b/>
          <w:bCs/>
          <w:color w:val="0F1115"/>
          <w:sz w:val="24"/>
          <w:szCs w:val="24"/>
          <w:shd w:val="clear" w:color="auto" w:fill="FFFFFF"/>
        </w:rPr>
        <w:t>The Execution Gap: Assessing Tata Steel's Transition to Near-Zero Emission Steelmaking</w:t>
      </w:r>
    </w:p>
    <w:p w14:paraId="10118290">
      <w:pPr>
        <w:pStyle w:val="3"/>
        <w:spacing w:before="240" w:after="240" w:line="360" w:lineRule="auto"/>
        <w:ind w:left="660" w:right="660"/>
        <w:jc w:val="both"/>
        <w:rPr>
          <w:rStyle w:val="12"/>
          <w:rFonts w:hint="default" w:ascii="Arial" w:hAnsi="Arial" w:cs="Arial"/>
          <w:color w:val="0F1115"/>
          <w:sz w:val="24"/>
          <w:szCs w:val="24"/>
          <w:shd w:val="clear" w:color="auto" w:fill="FFFFFF"/>
        </w:rPr>
      </w:pPr>
      <w:r>
        <w:rPr>
          <w:rStyle w:val="12"/>
          <w:rFonts w:hint="default" w:ascii="Arial" w:hAnsi="Arial" w:cs="Arial"/>
          <w:color w:val="0F1115"/>
          <w:sz w:val="24"/>
          <w:szCs w:val="24"/>
          <w:shd w:val="clear" w:color="auto" w:fill="FFFFFF"/>
        </w:rPr>
        <w:t>LIST OF CONTENT</w:t>
      </w:r>
    </w:p>
    <w:p w14:paraId="0ACA8A7C">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172F650E">
      <w:pPr>
        <w:pStyle w:val="3"/>
        <w:numPr>
          <w:ilvl w:val="0"/>
          <w:numId w:val="1"/>
        </w:numPr>
        <w:spacing w:before="240" w:after="240" w:line="360" w:lineRule="auto"/>
        <w:ind w:right="660"/>
        <w:jc w:val="both"/>
        <w:rPr>
          <w:rStyle w:val="12"/>
          <w:rFonts w:hint="default" w:ascii="Arial" w:hAnsi="Arial" w:cs="Arial"/>
          <w:color w:val="0F1115"/>
          <w:sz w:val="24"/>
          <w:szCs w:val="24"/>
          <w:shd w:val="clear" w:color="auto" w:fill="FFFFFF"/>
        </w:rPr>
      </w:pPr>
      <w:r>
        <w:rPr>
          <w:rStyle w:val="12"/>
          <w:rFonts w:hint="default" w:ascii="Arial" w:hAnsi="Arial" w:cs="Arial"/>
          <w:color w:val="0F1115"/>
          <w:sz w:val="24"/>
          <w:szCs w:val="24"/>
          <w:shd w:val="clear" w:color="auto" w:fill="FFFFFF"/>
        </w:rPr>
        <w:t>Introduction</w:t>
      </w:r>
      <w:r>
        <w:rPr>
          <w:rStyle w:val="12"/>
          <w:rFonts w:hint="default" w:ascii="Arial" w:hAnsi="Arial" w:cs="Arial"/>
          <w:color w:val="0F1115"/>
          <w:sz w:val="24"/>
          <w:szCs w:val="24"/>
          <w:shd w:val="clear" w:color="auto" w:fill="FFFFFF"/>
          <w:lang w:val="en-IN"/>
        </w:rPr>
        <w:t>…………………………………………………………………………………3</w:t>
      </w:r>
    </w:p>
    <w:p w14:paraId="104491CC">
      <w:pPr>
        <w:pStyle w:val="3"/>
        <w:spacing w:before="240" w:after="240" w:line="360" w:lineRule="auto"/>
        <w:ind w:left="660" w:right="660"/>
        <w:jc w:val="both"/>
        <w:rPr>
          <w:rStyle w:val="12"/>
          <w:rFonts w:hint="default" w:ascii="Arial" w:hAnsi="Arial" w:cs="Arial"/>
          <w:color w:val="0F1115"/>
          <w:sz w:val="24"/>
          <w:szCs w:val="24"/>
          <w:shd w:val="clear" w:color="auto" w:fill="FFFFFF"/>
          <w:lang w:val="en-IN"/>
        </w:rPr>
      </w:pPr>
      <w:r>
        <w:rPr>
          <w:rStyle w:val="12"/>
          <w:rFonts w:hint="default" w:ascii="Arial" w:hAnsi="Arial" w:cs="Arial"/>
          <w:color w:val="0F1115"/>
          <w:sz w:val="24"/>
          <w:szCs w:val="24"/>
          <w:shd w:val="clear" w:color="auto" w:fill="FFFFFF"/>
        </w:rPr>
        <w:t>Task 1: Marketing Environment</w:t>
      </w:r>
      <w:r>
        <w:rPr>
          <w:rStyle w:val="12"/>
          <w:rFonts w:hint="default" w:ascii="Arial" w:hAnsi="Arial" w:cs="Arial"/>
          <w:color w:val="0F1115"/>
          <w:sz w:val="24"/>
          <w:szCs w:val="24"/>
          <w:shd w:val="clear" w:color="auto" w:fill="FFFFFF"/>
          <w:lang w:val="en-IN"/>
        </w:rPr>
        <w:t>…………………………………………………………….4</w:t>
      </w:r>
    </w:p>
    <w:p w14:paraId="3199EC11">
      <w:pPr>
        <w:pStyle w:val="3"/>
        <w:spacing w:before="240" w:after="240" w:line="360" w:lineRule="auto"/>
        <w:ind w:left="660" w:right="660"/>
        <w:jc w:val="both"/>
        <w:rPr>
          <w:rStyle w:val="12"/>
          <w:rFonts w:hint="default" w:ascii="Arial" w:hAnsi="Arial" w:cs="Arial"/>
          <w:color w:val="0F1115"/>
          <w:sz w:val="24"/>
          <w:szCs w:val="24"/>
          <w:shd w:val="clear" w:color="auto" w:fill="FFFFFF"/>
          <w:lang w:val="en-IN"/>
        </w:rPr>
      </w:pPr>
      <w:r>
        <w:rPr>
          <w:rStyle w:val="12"/>
          <w:rFonts w:hint="default" w:ascii="Arial" w:hAnsi="Arial" w:cs="Arial"/>
          <w:color w:val="0F1115"/>
          <w:sz w:val="24"/>
          <w:szCs w:val="24"/>
          <w:shd w:val="clear" w:color="auto" w:fill="FFFFFF"/>
        </w:rPr>
        <w:t>Task 2: Strategy &amp; Positioning</w:t>
      </w:r>
      <w:r>
        <w:rPr>
          <w:rStyle w:val="12"/>
          <w:rFonts w:hint="default" w:ascii="Arial" w:hAnsi="Arial" w:cs="Arial"/>
          <w:color w:val="0F1115"/>
          <w:sz w:val="24"/>
          <w:szCs w:val="24"/>
          <w:shd w:val="clear" w:color="auto" w:fill="FFFFFF"/>
          <w:lang w:val="en-IN"/>
        </w:rPr>
        <w:t>………………………………………………………………8</w:t>
      </w:r>
    </w:p>
    <w:p w14:paraId="681F0CFD">
      <w:pPr>
        <w:pStyle w:val="3"/>
        <w:spacing w:before="240" w:after="240" w:line="360" w:lineRule="auto"/>
        <w:ind w:right="660"/>
        <w:jc w:val="both"/>
        <w:rPr>
          <w:rStyle w:val="12"/>
          <w:rFonts w:hint="default" w:ascii="Arial" w:hAnsi="Arial" w:cs="Arial"/>
          <w:color w:val="0F1115"/>
          <w:sz w:val="24"/>
          <w:szCs w:val="24"/>
          <w:shd w:val="clear" w:color="auto" w:fill="FFFFFF"/>
          <w:lang w:val="en-IN"/>
        </w:rPr>
      </w:pPr>
      <w:r>
        <w:rPr>
          <w:rStyle w:val="12"/>
          <w:rFonts w:hint="default" w:ascii="Arial" w:hAnsi="Arial" w:cs="Arial"/>
          <w:color w:val="0F1115"/>
          <w:sz w:val="24"/>
          <w:szCs w:val="24"/>
          <w:shd w:val="clear" w:color="auto" w:fill="FFFFFF"/>
        </w:rPr>
        <w:t xml:space="preserve">         Task 3: Managerial Reflection</w:t>
      </w:r>
      <w:r>
        <w:rPr>
          <w:rStyle w:val="12"/>
          <w:rFonts w:hint="default" w:ascii="Arial" w:hAnsi="Arial" w:cs="Arial"/>
          <w:color w:val="0F1115"/>
          <w:sz w:val="24"/>
          <w:szCs w:val="24"/>
          <w:shd w:val="clear" w:color="auto" w:fill="FFFFFF"/>
          <w:lang w:val="en-IN"/>
        </w:rPr>
        <w:t>………………………………………………………………10</w:t>
      </w:r>
    </w:p>
    <w:p w14:paraId="61C8C628">
      <w:pPr>
        <w:pStyle w:val="3"/>
        <w:spacing w:before="240" w:after="240" w:line="360" w:lineRule="auto"/>
        <w:ind w:right="660"/>
        <w:jc w:val="both"/>
        <w:rPr>
          <w:rStyle w:val="12"/>
          <w:rFonts w:hint="default" w:ascii="Arial" w:hAnsi="Arial" w:cs="Arial"/>
          <w:color w:val="0F1115"/>
          <w:sz w:val="24"/>
          <w:szCs w:val="24"/>
          <w:shd w:val="clear" w:color="auto" w:fill="FFFFFF"/>
          <w:lang w:val="en-IN"/>
        </w:rPr>
      </w:pPr>
      <w:r>
        <w:rPr>
          <w:rStyle w:val="12"/>
          <w:rFonts w:hint="default" w:ascii="Arial" w:hAnsi="Arial" w:cs="Arial"/>
          <w:color w:val="0F1115"/>
          <w:sz w:val="24"/>
          <w:szCs w:val="24"/>
          <w:shd w:val="clear" w:color="auto" w:fill="FFFFFF"/>
          <w:lang w:val="en-IN"/>
        </w:rPr>
        <w:t xml:space="preserve">        </w:t>
      </w:r>
      <w:r>
        <w:rPr>
          <w:rFonts w:hint="default" w:ascii="Arial" w:hAnsi="Arial" w:cs="Arial"/>
          <w:b/>
          <w:bCs/>
          <w:sz w:val="24"/>
          <w:szCs w:val="24"/>
        </w:rPr>
        <w:t>References</w:t>
      </w:r>
      <w:r>
        <w:rPr>
          <w:rStyle w:val="12"/>
          <w:rFonts w:hint="default" w:ascii="Arial" w:hAnsi="Arial" w:cs="Arial"/>
          <w:color w:val="0F1115"/>
          <w:sz w:val="24"/>
          <w:szCs w:val="24"/>
          <w:shd w:val="clear" w:color="auto" w:fill="FFFFFF"/>
          <w:lang w:val="en-IN"/>
        </w:rPr>
        <w:t>……………………………………………………..……………………………….</w:t>
      </w:r>
      <w:bookmarkStart w:id="0" w:name="_GoBack"/>
      <w:bookmarkEnd w:id="0"/>
      <w:r>
        <w:rPr>
          <w:rStyle w:val="12"/>
          <w:rFonts w:hint="default" w:ascii="Arial" w:hAnsi="Arial" w:cs="Arial"/>
          <w:color w:val="0F1115"/>
          <w:sz w:val="24"/>
          <w:szCs w:val="24"/>
          <w:shd w:val="clear" w:color="auto" w:fill="FFFFFF"/>
          <w:lang w:val="en-IN"/>
        </w:rPr>
        <w:t>11</w:t>
      </w:r>
    </w:p>
    <w:p w14:paraId="6E66E709">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7CBA43CB">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10C7C8F2">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5B74ABAD">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25EAFBCB">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42CA5C75">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6849D9CE">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7435A3DA">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48DBD13D">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7E0A998F">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33F6F27E">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6D9203A5">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47AE480C">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23C1A3BE">
      <w:pPr>
        <w:pStyle w:val="3"/>
        <w:spacing w:before="240" w:after="240" w:line="360" w:lineRule="auto"/>
        <w:ind w:left="660" w:right="660"/>
        <w:jc w:val="both"/>
        <w:rPr>
          <w:rStyle w:val="12"/>
          <w:rFonts w:hint="default" w:ascii="Arial" w:hAnsi="Arial" w:cs="Arial"/>
          <w:b w:val="0"/>
          <w:bCs w:val="0"/>
          <w:sz w:val="24"/>
          <w:szCs w:val="24"/>
        </w:rPr>
      </w:pPr>
      <w:r>
        <w:rPr>
          <w:rStyle w:val="12"/>
          <w:rFonts w:hint="default" w:ascii="Arial" w:hAnsi="Arial" w:cs="Arial"/>
          <w:color w:val="0F1115"/>
          <w:sz w:val="24"/>
          <w:szCs w:val="24"/>
          <w:shd w:val="clear" w:color="auto" w:fill="FFFFFF"/>
        </w:rPr>
        <w:t>1. Introduction</w:t>
      </w:r>
    </w:p>
    <w:p w14:paraId="56B36CF0">
      <w:pPr>
        <w:pStyle w:val="3"/>
        <w:spacing w:before="240" w:after="240" w:line="360" w:lineRule="auto"/>
        <w:ind w:left="660" w:right="660"/>
        <w:jc w:val="both"/>
        <w:rPr>
          <w:rStyle w:val="12"/>
          <w:rFonts w:hint="default" w:ascii="Arial" w:hAnsi="Arial" w:cs="Arial"/>
          <w:b w:val="0"/>
          <w:bCs w:val="0"/>
          <w:color w:val="0F1115"/>
          <w:sz w:val="24"/>
          <w:szCs w:val="24"/>
          <w:shd w:val="clear" w:color="auto" w:fill="FFFFFF"/>
        </w:rPr>
      </w:pPr>
      <w:r>
        <w:rPr>
          <w:rStyle w:val="12"/>
          <w:rFonts w:hint="default" w:ascii="Arial" w:hAnsi="Arial" w:cs="Arial"/>
          <w:b w:val="0"/>
          <w:bCs w:val="0"/>
          <w:color w:val="0F1115"/>
          <w:sz w:val="24"/>
          <w:szCs w:val="24"/>
          <w:shd w:val="clear" w:color="auto" w:fill="FFFFFF"/>
        </w:rPr>
        <w:t>Steel production accounts for a significant amount of CO</w:t>
      </w:r>
      <w:r>
        <w:rPr>
          <w:rStyle w:val="12"/>
          <w:rFonts w:hint="default" w:ascii="Arial" w:hAnsi="Arial" w:cs="Arial"/>
          <w:b w:val="0"/>
          <w:bCs w:val="0"/>
          <w:color w:val="0F1115"/>
          <w:sz w:val="24"/>
          <w:szCs w:val="24"/>
          <w:shd w:val="clear" w:color="auto" w:fill="FFFFFF"/>
        </w:rPr>
        <w:t>₂</w:t>
      </w:r>
      <w:r>
        <w:rPr>
          <w:rStyle w:val="12"/>
          <w:rFonts w:hint="default" w:ascii="Arial" w:hAnsi="Arial" w:cs="Arial"/>
          <w:b w:val="0"/>
          <w:bCs w:val="0"/>
          <w:color w:val="0F1115"/>
          <w:sz w:val="24"/>
          <w:szCs w:val="24"/>
          <w:shd w:val="clear" w:color="auto" w:fill="FFFFFF"/>
        </w:rPr>
        <w:t xml:space="preserve"> emissions globally and switching to lower-carbon steel production has become not only a branding exercise, but a condition of the market. Tata Steel Limited Selected for analysis in this report. Tata Steel has a steel business which is integrated in India, United Kingdom and Netherlands and has pledged to become 'Net Zero' across the Group by 2045 (Tata Steel 2025a). It is to replace the blast furnaces with a £500m-supported, UK government, electric arc furnace (EAF) at Port Talbot in the UK that is undergoing a capital-intensive transition. It aims to phase out one of the blast furnaces by end of the decade by installing a direct reduced iron (DRI) furnace and an EAF at IJmuiden in the Netherlands (Energy Economic Times, 2025).</w:t>
      </w:r>
    </w:p>
    <w:p w14:paraId="3C6726E1">
      <w:pPr>
        <w:pStyle w:val="3"/>
        <w:spacing w:before="240" w:after="240" w:line="360" w:lineRule="auto"/>
        <w:ind w:left="660" w:right="660"/>
        <w:jc w:val="both"/>
        <w:rPr>
          <w:rFonts w:hint="default" w:ascii="Arial" w:hAnsi="Arial" w:cs="Arial"/>
          <w:sz w:val="24"/>
          <w:szCs w:val="24"/>
        </w:rPr>
      </w:pPr>
      <w:r>
        <w:rPr>
          <w:rStyle w:val="12"/>
          <w:rFonts w:hint="default" w:ascii="Arial" w:hAnsi="Arial" w:cs="Arial"/>
          <w:b w:val="0"/>
          <w:bCs w:val="0"/>
          <w:color w:val="0F1115"/>
          <w:sz w:val="24"/>
          <w:szCs w:val="24"/>
          <w:shd w:val="clear" w:color="auto" w:fill="FFFFFF"/>
        </w:rPr>
        <w:t xml:space="preserve">However, there is a </w:t>
      </w:r>
      <w:r>
        <w:rPr>
          <w:rStyle w:val="12"/>
          <w:rFonts w:hint="default" w:ascii="Arial" w:hAnsi="Arial" w:cs="Arial"/>
          <w:b w:val="0"/>
          <w:bCs w:val="0"/>
          <w:color w:val="0F1115"/>
          <w:sz w:val="24"/>
          <w:szCs w:val="24"/>
          <w:highlight w:val="none"/>
          <w:shd w:val="clear" w:color="auto" w:fill="FFFFFF"/>
        </w:rPr>
        <w:t>competitor</w:t>
      </w:r>
      <w:r>
        <w:rPr>
          <w:rStyle w:val="12"/>
          <w:rFonts w:hint="default" w:ascii="Arial" w:hAnsi="Arial" w:cs="Arial"/>
          <w:b w:val="0"/>
          <w:bCs w:val="0"/>
          <w:color w:val="0F1115"/>
          <w:sz w:val="24"/>
          <w:szCs w:val="24"/>
          <w:highlight w:val="none"/>
          <w:shd w:val="clear" w:color="auto" w:fill="FFFFFF"/>
          <w:lang w:val="en-IN"/>
        </w:rPr>
        <w:t>s</w:t>
      </w:r>
      <w:r>
        <w:rPr>
          <w:rStyle w:val="12"/>
          <w:rFonts w:hint="default" w:ascii="Arial" w:hAnsi="Arial" w:cs="Arial"/>
          <w:b w:val="0"/>
          <w:bCs w:val="0"/>
          <w:color w:val="0F1115"/>
          <w:sz w:val="24"/>
          <w:szCs w:val="24"/>
          <w:highlight w:val="none"/>
          <w:shd w:val="clear" w:color="auto" w:fill="FFFFFF"/>
        </w:rPr>
        <w:t xml:space="preserve">  </w:t>
      </w:r>
      <w:r>
        <w:rPr>
          <w:rStyle w:val="12"/>
          <w:rFonts w:hint="default" w:ascii="Arial" w:hAnsi="Arial" w:cs="Arial"/>
          <w:b w:val="0"/>
          <w:bCs w:val="0"/>
          <w:color w:val="0F1115"/>
          <w:sz w:val="24"/>
          <w:szCs w:val="24"/>
          <w:highlight w:val="none"/>
          <w:shd w:val="clear" w:color="auto" w:fill="FFFFFF"/>
          <w:lang w:val="en-IN"/>
        </w:rPr>
        <w:t>are</w:t>
      </w:r>
      <w:r>
        <w:rPr>
          <w:rStyle w:val="12"/>
          <w:rFonts w:hint="default" w:ascii="Arial" w:hAnsi="Arial" w:cs="Arial"/>
          <w:b w:val="0"/>
          <w:bCs w:val="0"/>
          <w:color w:val="0F1115"/>
          <w:sz w:val="24"/>
          <w:szCs w:val="24"/>
          <w:highlight w:val="none"/>
          <w:shd w:val="clear" w:color="auto" w:fill="FFFFFF"/>
        </w:rPr>
        <w:t xml:space="preserve"> playing catch-up</w:t>
      </w:r>
      <w:r>
        <w:rPr>
          <w:rStyle w:val="12"/>
          <w:rFonts w:hint="default" w:ascii="Arial" w:hAnsi="Arial" w:cs="Arial"/>
          <w:b w:val="0"/>
          <w:bCs w:val="0"/>
          <w:color w:val="0F1115"/>
          <w:sz w:val="24"/>
          <w:szCs w:val="24"/>
          <w:shd w:val="clear" w:color="auto" w:fill="FFFFFF"/>
        </w:rPr>
        <w:t xml:space="preserve"> with Tata Steel its actor commitments to full near-zero emission technologies have only ranged in the 4% to 1217% of projected additions. But Tata Steel also has to catch as about 4% of its capacity adds for full near-zero emission technologies are committed, compared to 1217% for ArcelorMittal and POSCO (IEEFA, 2026). The paradox of having a plausible strategy that fails to translate to a solid commitment to lower carbon products makes Tata Steel an interesting example of the determinants of the external actors in the marketing environment during post-carbon product transition.</w:t>
      </w:r>
    </w:p>
    <w:p w14:paraId="5C4B4A99">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4F79A6A6">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08FB0AB2">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21D600B8">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29E65335">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4FB275B2">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4A8AF487">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27413BFD">
      <w:pPr>
        <w:pStyle w:val="3"/>
        <w:spacing w:before="240" w:after="240" w:line="360" w:lineRule="auto"/>
        <w:ind w:left="660" w:right="660"/>
        <w:jc w:val="both"/>
        <w:rPr>
          <w:rStyle w:val="12"/>
          <w:rFonts w:hint="default" w:ascii="Arial" w:hAnsi="Arial" w:cs="Arial"/>
          <w:color w:val="0F1115"/>
          <w:sz w:val="24"/>
          <w:szCs w:val="24"/>
          <w:shd w:val="clear" w:color="auto" w:fill="FFFFFF"/>
        </w:rPr>
      </w:pPr>
    </w:p>
    <w:p w14:paraId="0412F339">
      <w:pPr>
        <w:pStyle w:val="3"/>
        <w:spacing w:before="240" w:after="240" w:line="360" w:lineRule="auto"/>
        <w:ind w:right="660"/>
        <w:jc w:val="both"/>
        <w:rPr>
          <w:rStyle w:val="12"/>
          <w:rFonts w:hint="default" w:ascii="Arial" w:hAnsi="Arial" w:cs="Arial"/>
          <w:color w:val="0F1115"/>
          <w:sz w:val="24"/>
          <w:szCs w:val="24"/>
          <w:shd w:val="clear" w:color="auto" w:fill="FFFFFF"/>
        </w:rPr>
      </w:pPr>
    </w:p>
    <w:p w14:paraId="66097273">
      <w:pPr>
        <w:pStyle w:val="3"/>
        <w:spacing w:before="240" w:after="240" w:line="360" w:lineRule="auto"/>
        <w:ind w:right="660"/>
        <w:jc w:val="both"/>
        <w:rPr>
          <w:rFonts w:hint="default" w:ascii="Arial" w:hAnsi="Arial" w:cs="Arial"/>
          <w:sz w:val="24"/>
          <w:szCs w:val="24"/>
        </w:rPr>
      </w:pPr>
      <w:r>
        <w:rPr>
          <w:rStyle w:val="12"/>
          <w:rFonts w:hint="default" w:ascii="Arial" w:hAnsi="Arial" w:cs="Arial"/>
          <w:color w:val="0F1115"/>
          <w:sz w:val="24"/>
          <w:szCs w:val="24"/>
          <w:shd w:val="clear" w:color="auto" w:fill="FFFFFF"/>
        </w:rPr>
        <w:t xml:space="preserve">        Task 1 - Elements of the Marketing Environment Analysis: </w:t>
      </w:r>
    </w:p>
    <w:p w14:paraId="13788E15">
      <w:pPr>
        <w:pStyle w:val="3"/>
        <w:spacing w:before="240" w:after="240" w:line="360" w:lineRule="auto"/>
        <w:ind w:left="660" w:right="660"/>
        <w:jc w:val="both"/>
        <w:rPr>
          <w:rFonts w:hint="default" w:ascii="Arial" w:hAnsi="Arial" w:cs="Arial"/>
          <w:sz w:val="24"/>
          <w:szCs w:val="24"/>
        </w:rPr>
      </w:pPr>
      <w:r>
        <w:rPr>
          <w:rStyle w:val="12"/>
          <w:rFonts w:hint="default" w:ascii="Arial" w:hAnsi="Arial" w:cs="Arial"/>
          <w:b w:val="0"/>
          <w:bCs w:val="0"/>
          <w:color w:val="0F1115"/>
          <w:sz w:val="24"/>
          <w:szCs w:val="24"/>
          <w:shd w:val="clear" w:color="auto" w:fill="FFFFFF"/>
        </w:rPr>
        <w:t>Houses and buildings are a transformative force in the natural environment, with a distinguished role as an actor in the Natural Environment as a key part of the central constraint, namely carbon pricing.</w:t>
      </w:r>
    </w:p>
    <w:p w14:paraId="12EF691D">
      <w:pPr>
        <w:pStyle w:val="3"/>
        <w:spacing w:before="240" w:after="240" w:line="360" w:lineRule="auto"/>
        <w:ind w:left="660" w:right="660"/>
        <w:jc w:val="both"/>
        <w:rPr>
          <w:rFonts w:hint="default" w:ascii="Arial" w:hAnsi="Arial" w:cs="Arial"/>
          <w:sz w:val="24"/>
          <w:szCs w:val="24"/>
        </w:rPr>
      </w:pPr>
      <w:r>
        <w:rPr>
          <w:rStyle w:val="12"/>
          <w:rFonts w:hint="default" w:ascii="Arial" w:hAnsi="Arial" w:cs="Arial"/>
          <w:b w:val="0"/>
          <w:bCs w:val="0"/>
          <w:color w:val="0F1115"/>
          <w:sz w:val="24"/>
          <w:szCs w:val="24"/>
          <w:shd w:val="clear" w:color="auto" w:fill="FFFFFF"/>
        </w:rPr>
        <w:t>The single-most significant player in Tata Steel's marketing environment is no longer a single regulator; it is the carbon-price transmission mechanism which now shapes the cost competitiveness of steel In Tata's three market operating geographies. Kotler et al. (</w:t>
      </w:r>
      <w:r>
        <w:rPr>
          <w:rStyle w:val="12"/>
          <w:rFonts w:hint="default" w:ascii="Arial" w:hAnsi="Arial" w:cs="Arial"/>
          <w:b w:val="0"/>
          <w:bCs w:val="0"/>
          <w:color w:val="0F1115"/>
          <w:sz w:val="24"/>
          <w:szCs w:val="24"/>
          <w:shd w:val="clear" w:color="auto" w:fill="FFFFFF"/>
          <w:lang w:val="en-IN"/>
        </w:rPr>
        <w:t xml:space="preserve">IEEFA  </w:t>
      </w:r>
      <w:r>
        <w:rPr>
          <w:rStyle w:val="12"/>
          <w:rFonts w:hint="default" w:ascii="Arial" w:hAnsi="Arial" w:cs="Arial"/>
          <w:b w:val="0"/>
          <w:bCs w:val="0"/>
          <w:color w:val="0F1115"/>
          <w:sz w:val="24"/>
          <w:szCs w:val="24"/>
          <w:shd w:val="clear" w:color="auto" w:fill="FFFFFF"/>
        </w:rPr>
        <w:t>2024, pp. 115, 117) confirm the natural environment as one of the main marketing actors as scarcity of resources and pollution issues directly affect opportunities and threats in the market. Tata Steel's natural-environment pressure is the fact that there's in truth no shortage of iron ore or scrapit's got captive mines and it's investing in scrap-based production.</w:t>
      </w:r>
    </w:p>
    <w:p w14:paraId="05A03AD5">
      <w:pPr>
        <w:pStyle w:val="3"/>
        <w:spacing w:before="240" w:after="240" w:line="360" w:lineRule="auto"/>
        <w:ind w:left="660" w:right="660"/>
        <w:jc w:val="both"/>
        <w:rPr>
          <w:rStyle w:val="12"/>
          <w:rFonts w:hint="default" w:ascii="Arial" w:hAnsi="Arial" w:cs="Arial"/>
          <w:b w:val="0"/>
          <w:bCs w:val="0"/>
          <w:color w:val="0F1115"/>
          <w:sz w:val="24"/>
          <w:szCs w:val="24"/>
          <w:shd w:val="clear" w:color="auto" w:fill="FFFFFF"/>
        </w:rPr>
      </w:pPr>
      <w:r>
        <w:rPr>
          <w:rStyle w:val="12"/>
          <w:rFonts w:hint="default" w:ascii="Arial" w:hAnsi="Arial" w:cs="Arial"/>
          <w:b w:val="0"/>
          <w:bCs w:val="0"/>
          <w:color w:val="0F1115"/>
          <w:sz w:val="24"/>
          <w:szCs w:val="24"/>
          <w:shd w:val="clear" w:color="auto" w:fill="FFFFFF"/>
        </w:rPr>
        <w:t xml:space="preserve">The most direct transmission channel is the European Union's Carbon Border Adjustment Mechanism </w:t>
      </w:r>
      <w:r>
        <w:rPr>
          <w:rStyle w:val="12"/>
          <w:rFonts w:hint="default" w:ascii="Arial" w:hAnsi="Arial" w:cs="Arial"/>
          <w:color w:val="0F1115"/>
          <w:sz w:val="24"/>
          <w:szCs w:val="24"/>
          <w:shd w:val="clear" w:color="auto" w:fill="FFFFFF"/>
        </w:rPr>
        <w:t>(CBAM)</w:t>
      </w:r>
      <w:r>
        <w:rPr>
          <w:rStyle w:val="12"/>
          <w:rFonts w:hint="default" w:ascii="Arial" w:hAnsi="Arial" w:cs="Arial"/>
          <w:b w:val="0"/>
          <w:bCs w:val="0"/>
          <w:color w:val="0F1115"/>
          <w:sz w:val="24"/>
          <w:szCs w:val="24"/>
          <w:shd w:val="clear" w:color="auto" w:fill="FFFFFF"/>
        </w:rPr>
        <w:t>, which kicks-in in January 2026. As CBAM internalizes the cost of the emissions originating from steel imports, this has coincided with EU steel prices seeing a steady rise, following a recent trend, by around $100 per tonne of steel, in the first quarter of the implementation (Business Standard, 2026, p. 4). Though the carbon-tax effect on Tata Steel's Indian operations is minimal, as the majority of their shipment volume is bound for the EU. The upside is obviously that the strategic asset positioning of Tata Steel in Europe is impacted: CBAM and other, more stringent import quotas, will definitely create a more parsimonious playing field for European producers in view of the carbon-intensive imports (Business Standard, 2026, pp. 46).</w:t>
      </w:r>
    </w:p>
    <w:p w14:paraId="6EFDA0D1">
      <w:pPr>
        <w:pStyle w:val="3"/>
        <w:spacing w:before="240" w:after="240" w:line="360" w:lineRule="auto"/>
        <w:ind w:left="660" w:right="660"/>
        <w:jc w:val="both"/>
        <w:rPr>
          <w:rFonts w:hint="default" w:ascii="Arial" w:hAnsi="Arial" w:cs="Arial"/>
          <w:sz w:val="24"/>
          <w:szCs w:val="24"/>
        </w:rPr>
      </w:pPr>
      <w:r>
        <w:rPr>
          <w:rStyle w:val="12"/>
          <w:rFonts w:hint="default" w:ascii="Arial" w:hAnsi="Arial" w:cs="Arial"/>
          <w:b w:val="0"/>
          <w:bCs w:val="0"/>
          <w:color w:val="0F1115"/>
          <w:sz w:val="24"/>
          <w:szCs w:val="24"/>
          <w:shd w:val="clear" w:color="auto" w:fill="FFFFFF"/>
        </w:rPr>
        <w:t xml:space="preserve"> The Economic Times reported (2026) that Tata Steel will make European steel prices "structurally higher" owing to the possibility of carbon emission prices and quotas-based import duty. The natural-environment actor isn't just to diffuse “greenness” but rather it is the type of pricing that reshapes the competitive landscape in Europe and will test Tata Steel's IJmuiden and Port Talbot assets to see if they can afford a return on their de-carbonization capital.</w:t>
      </w:r>
    </w:p>
    <w:p w14:paraId="130F6EE9">
      <w:pPr>
        <w:pStyle w:val="3"/>
        <w:spacing w:before="240" w:after="240" w:line="360" w:lineRule="auto"/>
        <w:ind w:left="660" w:right="660"/>
        <w:jc w:val="both"/>
        <w:rPr>
          <w:rStyle w:val="12"/>
          <w:rFonts w:hint="default" w:ascii="Arial" w:hAnsi="Arial" w:cs="Arial"/>
          <w:b w:val="0"/>
          <w:bCs w:val="0"/>
          <w:color w:val="0F1115"/>
          <w:sz w:val="24"/>
          <w:szCs w:val="24"/>
          <w:shd w:val="clear" w:color="auto" w:fill="FFFFFF"/>
        </w:rPr>
      </w:pPr>
      <w:r>
        <w:rPr>
          <w:rStyle w:val="12"/>
          <w:rFonts w:hint="default" w:ascii="Arial" w:hAnsi="Arial" w:cs="Arial"/>
          <w:b w:val="0"/>
          <w:bCs w:val="0"/>
          <w:color w:val="0F1115"/>
          <w:sz w:val="24"/>
          <w:szCs w:val="24"/>
          <w:shd w:val="clear" w:color="auto" w:fill="FFFFFF"/>
        </w:rPr>
        <w:t xml:space="preserve">The limitation is as critical in India as well. The Indian government's Green Steel taxonomy, which was set out in 2025, stipulates a rating of sorts that will be beneficial to lower-emission producers, to the extent it provides access to better markets at least and possibly better pricing (IIM Kashipur, 2025). Tata Steel's volumes in India make up the bulk of Group volumes and Tata's ambition for 40 MTPA capacity (Business Standard, 2026, p. 6) operate there. </w:t>
      </w:r>
    </w:p>
    <w:p w14:paraId="521E9338">
      <w:pPr>
        <w:pStyle w:val="3"/>
        <w:spacing w:before="240" w:after="240" w:line="360" w:lineRule="auto"/>
        <w:ind w:left="660" w:right="660"/>
        <w:jc w:val="both"/>
        <w:rPr>
          <w:rStyle w:val="12"/>
          <w:rFonts w:hint="default" w:ascii="Arial" w:hAnsi="Arial" w:cs="Arial"/>
          <w:b w:val="0"/>
          <w:bCs w:val="0"/>
          <w:color w:val="0F1115"/>
          <w:sz w:val="24"/>
          <w:szCs w:val="24"/>
          <w:shd w:val="clear" w:color="auto" w:fill="FFFFFF"/>
        </w:rPr>
      </w:pPr>
      <w:r>
        <w:rPr>
          <w:rStyle w:val="12"/>
          <w:rFonts w:hint="default" w:ascii="Arial" w:hAnsi="Arial" w:cs="Arial"/>
          <w:b w:val="0"/>
          <w:bCs w:val="0"/>
          <w:color w:val="0F1115"/>
          <w:sz w:val="24"/>
          <w:szCs w:val="24"/>
          <w:shd w:val="clear" w:color="auto" w:fill="FFFFFF"/>
        </w:rPr>
        <w:t>Unless the company is able to lower its emission intensity of the Indian steel plant (the Group has targeted a 1015% reduction in emission intensity by FY2030-31 [Tata Steel, 2025a] by FY2030-31), it could lose out on the premium markets that will allow it to finance the Group transition. When it comes to marketing environment aspects, the natural-environment actor decides about the price of market clearance: steel that is not qualified as low-carbon will no longer be criticized, but will get discounts and even be rejected. The Public Actor Government Partnership and Community Licence to Operate</w:t>
      </w:r>
    </w:p>
    <w:p w14:paraId="7A02BC7B">
      <w:pPr>
        <w:pStyle w:val="3"/>
        <w:spacing w:before="240" w:after="240" w:line="360" w:lineRule="auto"/>
        <w:ind w:left="660" w:right="660"/>
        <w:jc w:val="both"/>
        <w:rPr>
          <w:rFonts w:hint="default" w:ascii="Arial" w:hAnsi="Arial" w:cs="Arial"/>
          <w:sz w:val="24"/>
          <w:szCs w:val="24"/>
        </w:rPr>
      </w:pPr>
      <w:r>
        <w:rPr>
          <w:rStyle w:val="12"/>
          <w:rFonts w:hint="default" w:ascii="Arial" w:hAnsi="Arial" w:cs="Arial"/>
          <w:b w:val="0"/>
          <w:bCs w:val="0"/>
          <w:color w:val="0F1115"/>
          <w:sz w:val="24"/>
          <w:szCs w:val="24"/>
          <w:shd w:val="clear" w:color="auto" w:fill="FFFFFF"/>
        </w:rPr>
        <w:t xml:space="preserve">Social Actor </w:t>
      </w:r>
    </w:p>
    <w:p w14:paraId="5605C586">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The second critical actor is the customers, which means groups that have an invested interest in or influence on the organization's capacity to realize goals, be it actual or potential, Kotler et al. (2024). The public actor is particularly institutionalized in the case of Tata Steel a synergy with national and sub-national governments is being developed in co-financing and co-governance the transition. The UK contribution to the Port Talbot EAF is not a market process but a political process; it fosters expectations of local jobs, supply-chain growth and community regeneration in the UK, valued at £500 million contributed by the Government (Energy Economic Times, 2025).</w:t>
      </w:r>
    </w:p>
    <w:p w14:paraId="367795D9">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The UK government's Transition Board are collaborating with Tata Steel for the economic regeneration of South Wales (Tata Steel, 2025b). Tata Steel is in talks with the Dutch government regarding financial and policy backing for the de-carbonization plan in its IJmuiden location, under a non-binding Joint Letter of Intent signed by Tata Steel and the Dutch national government as well as by Tata and the Province of North Holland (Tata Steel, 2025a; Tata Steel, 2025c). These public actors do not play a role as outside commentator they play a role in what is achieved and therefore they back it only if they are getting something out of it.</w:t>
      </w:r>
    </w:p>
    <w:p w14:paraId="24BC7C73">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 xml:space="preserve">Political and Legal Actor </w:t>
      </w:r>
    </w:p>
    <w:p w14:paraId="6DFF20B7">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Political and Legal actor also works at the community level. The planning committee's approval was influenced partly by the success achieved in open consultations with Tata Steel UK and inclusive sports league and youth triathlons with local stakeholders (Tata Steel, 2025b; Tata Steel UK, 2025). It has signed up to decrease the particulate matter for the community living near the IJmuiden site by 35% under its Roadmap Plus programme in the Netherlands (Tata Steel, 2025a). These are not philanthropy commitments, but indeed the cost of social licence for a transition that will see construction sites disrupted, career adjustments made and a clear change in the industrial landscape. If the community doesn't get involved, it would mean not only the loss of reputation but it would stall or even halt the permits that rely on the transition. Therefore in this public actor, environment and social legitimacy become largely indistinguishable and are set forgoing as a condition of market access.</w:t>
      </w:r>
    </w:p>
    <w:p w14:paraId="6F96FD9F">
      <w:pPr>
        <w:pStyle w:val="3"/>
        <w:spacing w:before="240" w:after="240" w:line="360" w:lineRule="auto"/>
        <w:ind w:left="660" w:right="660"/>
        <w:jc w:val="both"/>
        <w:rPr>
          <w:rFonts w:hint="default" w:ascii="Arial" w:hAnsi="Arial" w:cs="Arial"/>
          <w:b/>
          <w:bCs/>
          <w:color w:val="0F1115"/>
          <w:sz w:val="24"/>
          <w:szCs w:val="24"/>
          <w:shd w:val="clear" w:color="auto" w:fill="FFFFFF"/>
        </w:rPr>
      </w:pPr>
    </w:p>
    <w:p w14:paraId="0E8CA165">
      <w:pPr>
        <w:pStyle w:val="3"/>
        <w:spacing w:before="240" w:after="240" w:line="360" w:lineRule="auto"/>
        <w:ind w:left="660" w:right="660"/>
        <w:jc w:val="both"/>
        <w:rPr>
          <w:rFonts w:hint="default" w:ascii="Arial" w:hAnsi="Arial" w:cs="Arial"/>
          <w:b/>
          <w:bCs/>
          <w:color w:val="0F1115"/>
          <w:sz w:val="24"/>
          <w:szCs w:val="24"/>
          <w:shd w:val="clear" w:color="auto" w:fill="FFFFFF"/>
        </w:rPr>
      </w:pPr>
      <w:r>
        <w:rPr>
          <w:rFonts w:hint="default" w:ascii="Arial" w:hAnsi="Arial" w:cs="Arial"/>
          <w:b/>
          <w:bCs/>
          <w:color w:val="0F1115"/>
          <w:sz w:val="24"/>
          <w:szCs w:val="24"/>
          <w:shd w:val="clear" w:color="auto" w:fill="FFFFFF"/>
        </w:rPr>
        <w:t>Problems encountered in near-zero steel production. The Competitor Actor: The Execution Gap in Near-Zero Steelmaking.</w:t>
      </w:r>
    </w:p>
    <w:p w14:paraId="12A4F4C6">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Competitor are another factor that  Tata Steel needs to consider, it shows up more sharply than their public rhetoric. In the global steel industry, ArcelorMittal and POSCO are the two companies with a pilot project that represents around 26% of their additional capacity plans, while the other companies signify between 12-17% commitment towards the use of full near zero emission technology (IEEFA, 2026, p. 6).</w:t>
      </w:r>
    </w:p>
    <w:p w14:paraId="44185112">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 xml:space="preserve"> Tata Steel's pilot coverage is similar, at about 20%, but only about 4% of the capacity it is adding are tied up in full emission reduction potential technologies (IEEFA, 2026, p. 67). Volume is not necessarily a gap, it's a quality of commitment gap. Although Tata Steel and JSW Steel are on par with top global steel companies in terms of ‘total pilot coverage', they ‘trail significantly on committed near-zero steelmaking capacity' according to the Institute for Energy Economics and Financial Analysis (IEEFA) (2026, pp.). 67).</w:t>
      </w:r>
    </w:p>
    <w:p w14:paraId="73EAEDE9">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In that respect the competitor is important for marketing considerations, as it turns into the new reference product. The “green steel” will not be dictated by the incremental improvements from Tata Steel; rather, this type of steel would be specified by the technical and commercial acceptance tests of its customers for the ArcelorMittal and the POSCO routes involving DRI-EAF and hydrogen. The use of scrap in Tata Steel's EAF, Port Talbot, will allow steel to be made from recycled materials, thereby reducing the direct emissions (90% less direct CO</w:t>
      </w:r>
      <w:r>
        <w:rPr>
          <w:rFonts w:hint="default" w:ascii="Arial" w:hAnsi="Arial" w:cs="Arial"/>
          <w:color w:val="0F1115"/>
          <w:sz w:val="24"/>
          <w:szCs w:val="24"/>
          <w:shd w:val="clear" w:color="auto" w:fill="FFFFFF"/>
        </w:rPr>
        <w:t>₂</w:t>
      </w:r>
      <w:r>
        <w:rPr>
          <w:rFonts w:hint="default" w:ascii="Arial" w:hAnsi="Arial" w:cs="Arial"/>
          <w:color w:val="0F1115"/>
          <w:sz w:val="24"/>
          <w:szCs w:val="24"/>
          <w:shd w:val="clear" w:color="auto" w:fill="FFFFFF"/>
        </w:rPr>
        <w:t xml:space="preserve"> than primary-iron BF making) but scrap-based EAF is a stepping-stone, not an easy route to near-zero direct emissions. </w:t>
      </w:r>
    </w:p>
    <w:p w14:paraId="16B603B3">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The company's IJmuiden DRI-EAE plan is also more towards the frontier, though is still at the planning and permitting phase (Energy Economic Times, 2025). The Green Steel taxonomy will signal to the customers in market that the competitor actor is more visible to customers: JSW Steel and ArcelorMittal are targeting the same high-end segments; and first movers to certify near zero steel will create the price premium, which later will be captured by competition (IIM Kashipur, 2025). The competitive competitor actor, therefore, does not just simply compete in terms of taking market share but also sets the certification standard and willingness to pay for the whole product category that is perceived as low carbon.</w:t>
      </w:r>
    </w:p>
    <w:p w14:paraId="2ECA2C4B">
      <w:pPr>
        <w:pStyle w:val="3"/>
        <w:spacing w:before="240" w:after="240" w:line="360" w:lineRule="auto"/>
        <w:ind w:left="660" w:right="660"/>
        <w:jc w:val="both"/>
        <w:rPr>
          <w:rFonts w:hint="default" w:ascii="Arial" w:hAnsi="Arial" w:cs="Arial"/>
          <w:color w:val="0F1115"/>
          <w:sz w:val="24"/>
          <w:szCs w:val="24"/>
          <w:shd w:val="clear" w:color="auto" w:fill="FFFFFF"/>
        </w:rPr>
      </w:pPr>
    </w:p>
    <w:p w14:paraId="04D6C7E1">
      <w:pPr>
        <w:pStyle w:val="3"/>
        <w:spacing w:before="240" w:after="240" w:line="360" w:lineRule="auto"/>
        <w:ind w:left="660" w:right="660"/>
        <w:jc w:val="both"/>
        <w:rPr>
          <w:rFonts w:hint="default" w:ascii="Arial" w:hAnsi="Arial" w:cs="Arial"/>
          <w:color w:val="0F1115"/>
          <w:sz w:val="24"/>
          <w:szCs w:val="24"/>
          <w:shd w:val="clear" w:color="auto" w:fill="FFFFFF"/>
        </w:rPr>
      </w:pPr>
    </w:p>
    <w:p w14:paraId="4FE23F9C">
      <w:pPr>
        <w:pStyle w:val="3"/>
        <w:spacing w:before="240" w:after="240" w:line="360" w:lineRule="auto"/>
        <w:ind w:left="660" w:right="660"/>
        <w:jc w:val="both"/>
        <w:rPr>
          <w:rFonts w:hint="default" w:ascii="Arial" w:hAnsi="Arial" w:cs="Arial"/>
          <w:color w:val="0F1115"/>
          <w:sz w:val="24"/>
          <w:szCs w:val="24"/>
          <w:shd w:val="clear" w:color="auto" w:fill="FFFFFF"/>
        </w:rPr>
      </w:pPr>
    </w:p>
    <w:p w14:paraId="6A6BEF10">
      <w:pPr>
        <w:pStyle w:val="3"/>
        <w:spacing w:before="240" w:after="240" w:line="360" w:lineRule="auto"/>
        <w:ind w:left="660" w:right="660"/>
        <w:jc w:val="both"/>
        <w:rPr>
          <w:rFonts w:hint="default" w:ascii="Arial" w:hAnsi="Arial" w:cs="Arial"/>
          <w:color w:val="0F1115"/>
          <w:sz w:val="24"/>
          <w:szCs w:val="24"/>
          <w:shd w:val="clear" w:color="auto" w:fill="FFFFFF"/>
        </w:rPr>
      </w:pPr>
    </w:p>
    <w:p w14:paraId="452AA1B8">
      <w:pPr>
        <w:pStyle w:val="3"/>
        <w:spacing w:before="240" w:after="240" w:line="360" w:lineRule="auto"/>
        <w:ind w:left="660" w:right="660"/>
        <w:jc w:val="both"/>
        <w:rPr>
          <w:rFonts w:hint="default" w:ascii="Arial" w:hAnsi="Arial" w:cs="Arial"/>
          <w:color w:val="0F1115"/>
          <w:sz w:val="24"/>
          <w:szCs w:val="24"/>
          <w:shd w:val="clear" w:color="auto" w:fill="FFFFFF"/>
        </w:rPr>
      </w:pPr>
    </w:p>
    <w:p w14:paraId="4178C3E5">
      <w:pPr>
        <w:pStyle w:val="3"/>
        <w:spacing w:before="240" w:after="240" w:line="360" w:lineRule="auto"/>
        <w:ind w:left="660" w:right="660"/>
        <w:jc w:val="both"/>
        <w:rPr>
          <w:rFonts w:hint="default" w:ascii="Arial" w:hAnsi="Arial" w:cs="Arial"/>
          <w:color w:val="0F1115"/>
          <w:sz w:val="24"/>
          <w:szCs w:val="24"/>
          <w:shd w:val="clear" w:color="auto" w:fill="FFFFFF"/>
        </w:rPr>
      </w:pPr>
    </w:p>
    <w:p w14:paraId="2E9774D3">
      <w:pPr>
        <w:pStyle w:val="3"/>
        <w:spacing w:before="240" w:after="240" w:line="360" w:lineRule="auto"/>
        <w:ind w:left="660" w:right="660"/>
        <w:jc w:val="both"/>
        <w:rPr>
          <w:rFonts w:hint="default" w:ascii="Arial" w:hAnsi="Arial" w:cs="Arial"/>
          <w:color w:val="0F1115"/>
          <w:sz w:val="24"/>
          <w:szCs w:val="24"/>
          <w:shd w:val="clear" w:color="auto" w:fill="FFFFFF"/>
        </w:rPr>
      </w:pPr>
    </w:p>
    <w:p w14:paraId="68B3A989">
      <w:pPr>
        <w:pStyle w:val="3"/>
        <w:spacing w:before="240" w:after="240" w:line="360" w:lineRule="auto"/>
        <w:ind w:left="660" w:right="660"/>
        <w:jc w:val="both"/>
        <w:rPr>
          <w:rFonts w:hint="default" w:ascii="Arial" w:hAnsi="Arial" w:cs="Arial"/>
          <w:color w:val="0F1115"/>
          <w:sz w:val="24"/>
          <w:szCs w:val="24"/>
          <w:shd w:val="clear" w:color="auto" w:fill="FFFFFF"/>
        </w:rPr>
      </w:pPr>
    </w:p>
    <w:p w14:paraId="1DA81939">
      <w:pPr>
        <w:pStyle w:val="3"/>
        <w:spacing w:before="240" w:after="240" w:line="360" w:lineRule="auto"/>
        <w:ind w:left="660" w:right="660"/>
        <w:jc w:val="both"/>
        <w:rPr>
          <w:rFonts w:hint="default" w:ascii="Arial" w:hAnsi="Arial" w:cs="Arial"/>
          <w:color w:val="0F1115"/>
          <w:sz w:val="24"/>
          <w:szCs w:val="24"/>
          <w:shd w:val="clear" w:color="auto" w:fill="FFFFFF"/>
        </w:rPr>
      </w:pPr>
    </w:p>
    <w:p w14:paraId="256E9084">
      <w:pPr>
        <w:pStyle w:val="3"/>
        <w:spacing w:before="240" w:after="240" w:line="360" w:lineRule="auto"/>
        <w:ind w:left="660" w:right="660"/>
        <w:jc w:val="both"/>
        <w:rPr>
          <w:rFonts w:hint="default" w:ascii="Arial" w:hAnsi="Arial" w:cs="Arial"/>
          <w:color w:val="0F1115"/>
          <w:sz w:val="24"/>
          <w:szCs w:val="24"/>
          <w:shd w:val="clear" w:color="auto" w:fill="FFFFFF"/>
        </w:rPr>
      </w:pPr>
    </w:p>
    <w:p w14:paraId="29A8E0DA">
      <w:pPr>
        <w:pStyle w:val="3"/>
        <w:spacing w:before="240" w:after="240" w:line="360" w:lineRule="auto"/>
        <w:ind w:left="660" w:right="660"/>
        <w:jc w:val="both"/>
        <w:rPr>
          <w:rFonts w:hint="default" w:ascii="Arial" w:hAnsi="Arial" w:cs="Arial"/>
          <w:color w:val="0F1115"/>
          <w:sz w:val="24"/>
          <w:szCs w:val="24"/>
          <w:shd w:val="clear" w:color="auto" w:fill="FFFFFF"/>
        </w:rPr>
      </w:pPr>
    </w:p>
    <w:p w14:paraId="5AFFB173">
      <w:pPr>
        <w:pStyle w:val="3"/>
        <w:spacing w:before="240" w:after="240" w:line="360" w:lineRule="auto"/>
        <w:ind w:left="660" w:right="660"/>
        <w:jc w:val="both"/>
        <w:rPr>
          <w:rFonts w:hint="default" w:ascii="Arial" w:hAnsi="Arial" w:cs="Arial"/>
          <w:color w:val="0F1115"/>
          <w:sz w:val="24"/>
          <w:szCs w:val="24"/>
          <w:shd w:val="clear" w:color="auto" w:fill="FFFFFF"/>
        </w:rPr>
      </w:pPr>
    </w:p>
    <w:p w14:paraId="79B8B2CC">
      <w:pPr>
        <w:pStyle w:val="3"/>
        <w:spacing w:before="240" w:after="240" w:line="360" w:lineRule="auto"/>
        <w:ind w:left="660" w:right="660"/>
        <w:jc w:val="both"/>
        <w:rPr>
          <w:rFonts w:hint="default" w:ascii="Arial" w:hAnsi="Arial" w:cs="Arial"/>
          <w:color w:val="0F1115"/>
          <w:sz w:val="24"/>
          <w:szCs w:val="24"/>
          <w:shd w:val="clear" w:color="auto" w:fill="FFFFFF"/>
        </w:rPr>
      </w:pPr>
    </w:p>
    <w:p w14:paraId="43870B38">
      <w:pPr>
        <w:pStyle w:val="3"/>
        <w:spacing w:before="240" w:after="240" w:line="360" w:lineRule="auto"/>
        <w:ind w:right="660"/>
        <w:jc w:val="both"/>
        <w:rPr>
          <w:rFonts w:hint="default" w:ascii="Arial" w:hAnsi="Arial" w:cs="Arial"/>
          <w:color w:val="0F1115"/>
          <w:sz w:val="24"/>
          <w:szCs w:val="24"/>
          <w:shd w:val="clear" w:color="auto" w:fill="FFFFFF"/>
        </w:rPr>
      </w:pPr>
    </w:p>
    <w:p w14:paraId="5FB8ADD6">
      <w:pPr>
        <w:pStyle w:val="3"/>
        <w:spacing w:before="240" w:after="240" w:line="360" w:lineRule="auto"/>
        <w:ind w:right="660"/>
        <w:jc w:val="both"/>
        <w:rPr>
          <w:rFonts w:hint="default" w:ascii="Arial" w:hAnsi="Arial" w:cs="Arial"/>
          <w:color w:val="0F1115"/>
          <w:sz w:val="24"/>
          <w:szCs w:val="24"/>
          <w:shd w:val="clear" w:color="auto" w:fill="FFFFFF"/>
        </w:rPr>
      </w:pPr>
      <w:r>
        <w:rPr>
          <w:rFonts w:hint="default" w:ascii="Arial" w:hAnsi="Arial" w:cs="Arial"/>
          <w:b/>
          <w:bCs/>
          <w:color w:val="0F1115"/>
          <w:sz w:val="24"/>
          <w:szCs w:val="24"/>
          <w:shd w:val="clear" w:color="auto" w:fill="FFFFFF"/>
        </w:rPr>
        <w:t xml:space="preserve">        Task 2: Strategic growth and positioning </w:t>
      </w:r>
    </w:p>
    <w:p w14:paraId="4AF1D357">
      <w:pPr>
        <w:pStyle w:val="3"/>
        <w:spacing w:before="240" w:after="240" w:line="360" w:lineRule="auto"/>
        <w:ind w:left="660" w:right="660"/>
        <w:jc w:val="both"/>
        <w:rPr>
          <w:rFonts w:hint="default" w:ascii="Arial" w:hAnsi="Arial" w:cs="Arial"/>
          <w:b/>
          <w:bCs/>
          <w:color w:val="0F1115"/>
          <w:sz w:val="24"/>
          <w:szCs w:val="24"/>
          <w:shd w:val="clear" w:color="auto" w:fill="FFFFFF"/>
        </w:rPr>
      </w:pPr>
      <w:r>
        <w:rPr>
          <w:rFonts w:hint="default" w:ascii="Arial" w:hAnsi="Arial" w:cs="Arial"/>
          <w:color w:val="0F1115"/>
          <w:sz w:val="24"/>
          <w:szCs w:val="24"/>
          <w:shd w:val="clear" w:color="auto" w:fill="FFFFFF"/>
        </w:rPr>
        <w:t>Describe the Product Development utilizing the EAF and DRI Transition. Propose the concept of Product Development using the EAF and DRI Transition.</w:t>
      </w:r>
    </w:p>
    <w:p w14:paraId="3A45A053">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b/>
          <w:bCs/>
          <w:color w:val="0F1115"/>
          <w:sz w:val="24"/>
          <w:szCs w:val="24"/>
          <w:shd w:val="clear" w:color="auto" w:fill="FFFFFF"/>
        </w:rPr>
        <w:t>Tata Metal is the most suitable of the four growth vectors outlined above for Tata Steel:</w:t>
      </w:r>
      <w:r>
        <w:rPr>
          <w:rFonts w:hint="default" w:ascii="Arial" w:hAnsi="Arial" w:cs="Arial"/>
          <w:color w:val="0F1115"/>
          <w:sz w:val="24"/>
          <w:szCs w:val="24"/>
          <w:shd w:val="clear" w:color="auto" w:fill="FFFFFF"/>
        </w:rPr>
        <w:t xml:space="preserve"> Product development bring new or modified products to existing markets/customer segments (Ansoff, 1957). Tata Steel already has customers in India and Europe across various industries like automotive, construction, </w:t>
      </w:r>
    </w:p>
    <w:p w14:paraId="1C246353">
      <w:pPr>
        <w:pStyle w:val="3"/>
        <w:spacing w:before="240" w:after="240" w:line="360" w:lineRule="auto"/>
        <w:ind w:left="660" w:right="660"/>
        <w:jc w:val="both"/>
        <w:rPr>
          <w:rFonts w:hint="default" w:ascii="Arial" w:hAnsi="Arial" w:cs="Arial"/>
          <w:color w:val="0F1115"/>
          <w:sz w:val="24"/>
          <w:szCs w:val="24"/>
          <w:shd w:val="clear" w:color="auto" w:fill="FFFFFF"/>
        </w:rPr>
      </w:pPr>
    </w:p>
    <w:p w14:paraId="3B033275">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packaging and engineering, for flat and long products. In the growth opportunity, it is not about bringing new customers to the blast-furnace steel industry, but about creating steel products with lower embodied carbon content that can meet new code and certification requirements for the same steel customers in the future as carbon pricing and green procurement standards become more stringent.</w:t>
      </w:r>
    </w:p>
    <w:p w14:paraId="04B37B0A">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This will involve focusing on three co-linear product-development streams.</w:t>
      </w:r>
    </w:p>
    <w:p w14:paraId="7483DB83">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b/>
          <w:bCs/>
          <w:color w:val="0F1115"/>
          <w:sz w:val="24"/>
          <w:szCs w:val="24"/>
          <w:shd w:val="clear" w:color="auto" w:fill="FFFFFF"/>
        </w:rPr>
        <w:t>First</w:t>
      </w:r>
      <w:r>
        <w:rPr>
          <w:rFonts w:hint="default" w:ascii="Arial" w:hAnsi="Arial" w:cs="Arial"/>
          <w:color w:val="0F1115"/>
          <w:sz w:val="24"/>
          <w:szCs w:val="24"/>
          <w:shd w:val="clear" w:color="auto" w:fill="FFFFFF"/>
        </w:rPr>
        <w:t xml:space="preserve">, 'scrap' based EAF products from Port Talbot where product range with reduced embodied carbon contents is available thanks to the use of third party EAF substrate while the new furnace is constructed (Tata Steel, 2025b). </w:t>
      </w:r>
    </w:p>
    <w:p w14:paraId="0189293B">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b/>
          <w:bCs/>
          <w:color w:val="0F1115"/>
          <w:sz w:val="24"/>
          <w:szCs w:val="24"/>
          <w:shd w:val="clear" w:color="auto" w:fill="FFFFFF"/>
        </w:rPr>
        <w:t>Secondly</w:t>
      </w:r>
      <w:r>
        <w:rPr>
          <w:rFonts w:hint="default" w:ascii="Arial" w:hAnsi="Arial" w:cs="Arial"/>
          <w:color w:val="0F1115"/>
          <w:sz w:val="24"/>
          <w:szCs w:val="24"/>
          <w:shd w:val="clear" w:color="auto" w:fill="FFFFFF"/>
        </w:rPr>
        <w:t xml:space="preserve">, if IJmuiden delivers its Primary Steel Capability Project, Tata Steel will have almost no primary steelmaking ability in Europe, and be able to produce a CBAM-adjusted premium (Energy Economic Times, 2025). </w:t>
      </w:r>
    </w:p>
    <w:p w14:paraId="05FF5AA2">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b/>
          <w:bCs/>
          <w:color w:val="0F1115"/>
          <w:sz w:val="24"/>
          <w:szCs w:val="24"/>
          <w:shd w:val="clear" w:color="auto" w:fill="FFFFFF"/>
        </w:rPr>
        <w:t>Third</w:t>
      </w:r>
      <w:r>
        <w:rPr>
          <w:rFonts w:hint="default" w:ascii="Arial" w:hAnsi="Arial" w:cs="Arial"/>
          <w:color w:val="0F1115"/>
          <w:sz w:val="24"/>
          <w:szCs w:val="24"/>
          <w:shd w:val="clear" w:color="auto" w:fill="FFFFFF"/>
        </w:rPr>
        <w:t>, certified as low carbon steel in the Indian taxonomy, which is backed by the company's efforts under its Tata Steel Shakhar25 programme for product quality and mix optimization, and its Life Cycle Assessment scope that covers over 80 percent of the company's finished products from FY2025-26 onward (Tata Steel, 2025a; Tata steel, 2025d). Market development (selling existing products to new geographies) is already happening via the India expansion of 40 MTPA but still doesn't mean dealing with the structural threat of Task 1.</w:t>
      </w:r>
    </w:p>
    <w:p w14:paraId="3044B40C">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The diversification of new materials or business would take finances away from the product that is becoming technologically obsolete. The response to the pressures generated by the competitors and from the natural environment is product development it sees how the Tata Steel market can be levered by changing what it sells to existing customers to ensure the product remains fit for the market as carbon costs increase.</w:t>
      </w:r>
    </w:p>
    <w:p w14:paraId="56BC025D">
      <w:pPr>
        <w:pStyle w:val="3"/>
        <w:spacing w:before="240" w:after="240" w:line="360" w:lineRule="auto"/>
        <w:ind w:left="660" w:right="660"/>
        <w:jc w:val="both"/>
        <w:rPr>
          <w:rFonts w:hint="default" w:ascii="Arial" w:hAnsi="Arial" w:cs="Arial"/>
          <w:sz w:val="24"/>
          <w:szCs w:val="24"/>
        </w:rPr>
      </w:pPr>
      <w:r>
        <w:rPr>
          <w:rStyle w:val="12"/>
          <w:rFonts w:hint="default" w:ascii="Arial" w:hAnsi="Arial" w:cs="Arial"/>
          <w:color w:val="0F1115"/>
          <w:sz w:val="24"/>
          <w:szCs w:val="24"/>
          <w:shd w:val="clear" w:color="auto" w:fill="FFFFFF"/>
        </w:rPr>
        <w:t>Porter’s Generic Strategies: Differentiated Green Steel within a Cost Discipline</w:t>
      </w:r>
    </w:p>
    <w:p w14:paraId="05B387B6">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The options that Tata should consider are cost leadership or differentiation and/or a focused version of either that is required by a firm in accordance with Porter's generic strategies (Porter, 1980). Historical legacy has bought Tata Steel the hybridity of the low-cost producer in India (raw materials self-provisioned, and scale benefits from Indian production) and its premium brand (European product innovation and innovation technology history). The right competitive positioning of the transition is differentiated green steel in a cost discipline: Tata Steel should aim to maximize the premium earned for the certified low-carbon steel products and at the same time maintain its cost position in traditional steel products during the transition period.</w:t>
      </w:r>
    </w:p>
    <w:p w14:paraId="536A0BB6">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 xml:space="preserve">It is far from the “stuck in the middle” Porter is known for as its differentiation is based on the attribute of the product (embodied carbon intensity verified by a Life Cycle Assessment) and not just the brand. This differentiation cost relief is made up by UK government co-investment and the Dutch Joint Letter of Intent which help Tata Steel implement the green premium without compromising its cost discipline if it chooses to go the green path in its Indian operations (Energy Economic Times, 2025, Tata Steel, 2025a). </w:t>
      </w:r>
    </w:p>
    <w:p w14:paraId="6D6FD5D4">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The business premise is that since LC steel would incur cost avoidance for the customer, they have to pay a premium for it and it will finance the subsequent phase of investment in the DRI and EAF system. The upside downside risk is that, even if the CBAM is implemented when some of the participating countries do not, potential buyers in the Indian Green Steel taxonomy might not be willing to pay premium. Therefore, Tata Steel should design offtake agreements and customer relationships (like its relationship with JCB in UK for its Green Steel supply) to differentiate against real commercial demand, and not assumed (FICCI, 2025). The business is using focused differentiation in the customer base it has, and it is cost leadership that is what's paying the bill, in Porter's terms.</w:t>
      </w:r>
    </w:p>
    <w:p w14:paraId="766B22EB">
      <w:pPr>
        <w:pStyle w:val="3"/>
        <w:spacing w:before="240" w:after="240" w:line="360" w:lineRule="auto"/>
        <w:ind w:left="660" w:right="660"/>
        <w:jc w:val="both"/>
        <w:rPr>
          <w:rFonts w:hint="default" w:ascii="Arial" w:hAnsi="Arial" w:cs="Arial"/>
          <w:color w:val="0F1115"/>
          <w:sz w:val="24"/>
          <w:szCs w:val="24"/>
          <w:shd w:val="clear" w:color="auto" w:fill="FFFFFF"/>
        </w:rPr>
      </w:pPr>
    </w:p>
    <w:p w14:paraId="072789C9">
      <w:pPr>
        <w:pStyle w:val="3"/>
        <w:spacing w:before="240" w:after="240" w:line="360" w:lineRule="auto"/>
        <w:ind w:left="660" w:right="660"/>
        <w:jc w:val="both"/>
        <w:rPr>
          <w:rFonts w:hint="default" w:ascii="Arial" w:hAnsi="Arial" w:cs="Arial"/>
          <w:color w:val="0F1115"/>
          <w:sz w:val="24"/>
          <w:szCs w:val="24"/>
          <w:shd w:val="clear" w:color="auto" w:fill="FFFFFF"/>
        </w:rPr>
      </w:pPr>
      <w:r>
        <w:rPr>
          <w:rStyle w:val="12"/>
          <w:rFonts w:hint="default" w:ascii="Arial" w:hAnsi="Arial" w:cs="Arial"/>
          <w:color w:val="0F1115"/>
          <w:sz w:val="24"/>
          <w:szCs w:val="24"/>
          <w:shd w:val="clear" w:color="auto" w:fill="FFFFFF"/>
        </w:rPr>
        <w:t> Task 3: Managerial and Professional Reflection</w:t>
      </w:r>
      <w:r>
        <w:rPr>
          <w:rFonts w:hint="default" w:ascii="Arial" w:hAnsi="Arial" w:cs="Arial"/>
          <w:color w:val="0F1115"/>
          <w:sz w:val="24"/>
          <w:szCs w:val="24"/>
          <w:shd w:val="clear" w:color="auto" w:fill="FFFFFF"/>
        </w:rPr>
        <w:t xml:space="preserve"> </w:t>
      </w:r>
    </w:p>
    <w:p w14:paraId="12DD939A">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 xml:space="preserve">The reason for Tata Steel being chosen is that they had shown a gap in execution. Rather than a company that has either overcome its transition challenges or abdicated its responsibilities, a firm that has announced its Net Zero targets for 2045 and received governmental funding for EAF and DRI projects, with approximately 4% of projected capacity additions full-fledged near-zero projects, is more instructive (IEEFA, 2026, p. 6; Tata Steel, 2025a). </w:t>
      </w:r>
    </w:p>
    <w:p w14:paraId="59743B88">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Tata Steel has multiple location from which it operates: India, the UK and the Netherlands the analysis is therefore more challenging and more realistic as each geography is based on a different carbon-price mechanism, and each market is based on different institutions for the public actor. The choice of such an environmental actor as ‘climate change’ would have yielded a sustainability report. The actor selection was due to the important point of politically co-producing the transition of Tata steel, as the overseeing governments of the UK and Holland are not just regulators but also investors as well as legitimising actors, and their money depends on results.</w:t>
      </w:r>
    </w:p>
    <w:p w14:paraId="5B1CC046">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A major drawback of the analysis is that it does not include assessment data from third parties or internal decision data. Tata Steel will not share the full assumptions for the use of the IJmuiden DRI-EAF project's IRR, the stage-gate criteria; nor will it reveal a customer-level offtake information for green steel price premiums.</w:t>
      </w:r>
    </w:p>
    <w:p w14:paraId="79091E89">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 xml:space="preserve"> A true consultant would try to get hold of those assumptions as well as into the scrap-quality and scrap-price sensitivities of the Port Talbot EAF; and into the company's carbon-price scenarios for India outside this current Green Steel taxonomy. Additionally, the analysis does not fully consider the intermediary actor shipping, ports and trading houses de-carbonization costs of which will impact the landed carbon intensity of the exports from Tata Steel. Lastly, the competitor analysis is based on projected capacity commitments which can be altered as technology costs and policy support change. The gaps, of course, do not detract from the advice about product development in a differentiated cost discipline, but require it to be interpreted in two ways:</w:t>
      </w:r>
    </w:p>
    <w:p w14:paraId="6DE55731">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color w:val="0F1115"/>
          <w:sz w:val="24"/>
          <w:szCs w:val="24"/>
          <w:shd w:val="clear" w:color="auto" w:fill="FFFFFF"/>
        </w:rPr>
        <w:t xml:space="preserve"> </w:t>
      </w:r>
      <w:r>
        <w:rPr>
          <w:rFonts w:hint="default" w:ascii="Arial" w:hAnsi="Arial" w:cs="Arial"/>
          <w:b/>
          <w:bCs/>
          <w:color w:val="0F1115"/>
          <w:sz w:val="24"/>
          <w:szCs w:val="24"/>
          <w:shd w:val="clear" w:color="auto" w:fill="FFFFFF"/>
        </w:rPr>
        <w:t>1)</w:t>
      </w:r>
      <w:r>
        <w:rPr>
          <w:rFonts w:hint="default" w:ascii="Arial" w:hAnsi="Arial" w:cs="Arial"/>
          <w:color w:val="0F1115"/>
          <w:sz w:val="24"/>
          <w:szCs w:val="24"/>
          <w:shd w:val="clear" w:color="auto" w:fill="FFFFFF"/>
        </w:rPr>
        <w:t>As a strategic path to be pursued, not a plan that is carved in stone</w:t>
      </w:r>
    </w:p>
    <w:p w14:paraId="6E04DB3B">
      <w:pPr>
        <w:pStyle w:val="3"/>
        <w:spacing w:before="240" w:after="240" w:line="360" w:lineRule="auto"/>
        <w:ind w:left="660" w:right="660"/>
        <w:jc w:val="both"/>
        <w:rPr>
          <w:rFonts w:hint="default" w:ascii="Arial" w:hAnsi="Arial" w:cs="Arial"/>
          <w:color w:val="0F1115"/>
          <w:sz w:val="24"/>
          <w:szCs w:val="24"/>
          <w:shd w:val="clear" w:color="auto" w:fill="FFFFFF"/>
        </w:rPr>
      </w:pPr>
      <w:r>
        <w:rPr>
          <w:rFonts w:hint="default" w:ascii="Arial" w:hAnsi="Arial" w:cs="Arial"/>
          <w:b/>
          <w:bCs/>
          <w:color w:val="0F1115"/>
          <w:sz w:val="24"/>
          <w:szCs w:val="24"/>
          <w:shd w:val="clear" w:color="auto" w:fill="FFFFFF"/>
        </w:rPr>
        <w:t>2)</w:t>
      </w:r>
      <w:r>
        <w:rPr>
          <w:rFonts w:hint="default" w:ascii="Arial" w:hAnsi="Arial" w:cs="Arial"/>
          <w:color w:val="0F1115"/>
          <w:sz w:val="24"/>
          <w:szCs w:val="24"/>
          <w:shd w:val="clear" w:color="auto" w:fill="FFFFFF"/>
        </w:rPr>
        <w:t>It should be presented at the customer engagement and staged investment decision gates for testing.</w:t>
      </w:r>
    </w:p>
    <w:p w14:paraId="21B8D2D5">
      <w:pPr>
        <w:pStyle w:val="3"/>
        <w:spacing w:before="240" w:after="240" w:line="360" w:lineRule="auto"/>
        <w:ind w:left="660" w:right="660"/>
        <w:jc w:val="both"/>
        <w:rPr>
          <w:rFonts w:hint="default" w:ascii="Arial" w:hAnsi="Arial" w:cs="Arial"/>
          <w:b/>
          <w:bCs/>
          <w:sz w:val="24"/>
          <w:szCs w:val="24"/>
        </w:rPr>
      </w:pPr>
      <w:r>
        <w:rPr>
          <w:rFonts w:hint="default" w:ascii="Arial" w:hAnsi="Arial" w:cs="Arial"/>
          <w:b/>
          <w:bCs/>
          <w:sz w:val="24"/>
          <w:szCs w:val="24"/>
        </w:rPr>
        <w:t xml:space="preserve">   References</w:t>
      </w:r>
    </w:p>
    <w:p w14:paraId="4A7CEC60">
      <w:pPr>
        <w:pStyle w:val="3"/>
        <w:spacing w:line="360" w:lineRule="auto"/>
        <w:ind w:right="480"/>
        <w:jc w:val="both"/>
        <w:rPr>
          <w:rFonts w:hint="default" w:ascii="Arial" w:hAnsi="Arial" w:cs="Arial"/>
          <w:b/>
          <w:bCs/>
          <w:sz w:val="24"/>
          <w:szCs w:val="24"/>
        </w:rPr>
      </w:pPr>
    </w:p>
    <w:p w14:paraId="35850527">
      <w:pPr>
        <w:spacing w:after="160" w:line="360" w:lineRule="auto"/>
        <w:ind w:left="360"/>
        <w:jc w:val="both"/>
        <w:rPr>
          <w:rFonts w:hint="default" w:ascii="Arial" w:hAnsi="Arial" w:cs="Arial"/>
          <w:sz w:val="24"/>
          <w:szCs w:val="24"/>
        </w:rPr>
      </w:pPr>
      <w:r>
        <w:rPr>
          <w:rFonts w:hint="default" w:ascii="Arial" w:hAnsi="Arial" w:cs="Arial"/>
          <w:b/>
          <w:bCs/>
          <w:sz w:val="24"/>
          <w:szCs w:val="24"/>
        </w:rPr>
        <w:t>Ansoff (1957)</w:t>
      </w:r>
      <w:r>
        <w:rPr>
          <w:rFonts w:hint="default" w:ascii="Arial" w:hAnsi="Arial" w:cs="Arial"/>
          <w:sz w:val="24"/>
          <w:szCs w:val="24"/>
        </w:rPr>
        <w:t xml:space="preserve">: Cited regarding product development and growth vectors. </w:t>
      </w:r>
    </w:p>
    <w:p w14:paraId="4B2380AF">
      <w:pPr>
        <w:spacing w:after="160" w:line="360" w:lineRule="auto"/>
        <w:ind w:left="360"/>
        <w:jc w:val="both"/>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"https://www.thestrategyinstitute.org/insights/the-ansoff-matrix-a-powerful-tool-for-business-strategy-and-growth" </w:instrText>
      </w:r>
      <w:r>
        <w:rPr>
          <w:rFonts w:hint="default" w:ascii="Arial" w:hAnsi="Arial" w:cs="Arial"/>
          <w:sz w:val="24"/>
          <w:szCs w:val="24"/>
        </w:rPr>
        <w:fldChar w:fldCharType="separate"/>
      </w:r>
      <w:r>
        <w:rPr>
          <w:rStyle w:val="11"/>
          <w:rFonts w:hint="default" w:ascii="Arial" w:hAnsi="Arial" w:cs="Arial"/>
          <w:sz w:val="24"/>
          <w:szCs w:val="24"/>
        </w:rPr>
        <w:t>https://www.thestrategyinstitute.org/insights/the-ansoff-matrix-a-powerful-tool-for-business-strategy-and-growth</w:t>
      </w:r>
      <w:r>
        <w:rPr>
          <w:rStyle w:val="11"/>
          <w:rFonts w:hint="default" w:ascii="Arial" w:hAnsi="Arial" w:cs="Arial"/>
          <w:sz w:val="24"/>
          <w:szCs w:val="24"/>
        </w:rPr>
        <w:fldChar w:fldCharType="end"/>
      </w:r>
    </w:p>
    <w:p w14:paraId="2C0C9969">
      <w:pPr>
        <w:spacing w:after="160" w:line="360" w:lineRule="auto"/>
        <w:jc w:val="both"/>
        <w:rPr>
          <w:rFonts w:hint="default" w:ascii="Arial" w:hAnsi="Arial" w:cs="Arial"/>
          <w:sz w:val="24"/>
          <w:szCs w:val="24"/>
        </w:rPr>
      </w:pPr>
    </w:p>
    <w:p w14:paraId="7A6610D5">
      <w:pPr>
        <w:spacing w:after="160" w:line="360" w:lineRule="auto"/>
        <w:ind w:left="360"/>
        <w:jc w:val="both"/>
        <w:rPr>
          <w:rFonts w:hint="default" w:ascii="Arial" w:hAnsi="Arial" w:cs="Arial"/>
          <w:sz w:val="24"/>
          <w:szCs w:val="24"/>
        </w:rPr>
      </w:pPr>
      <w:r>
        <w:rPr>
          <w:rFonts w:hint="default" w:ascii="Arial" w:hAnsi="Arial" w:cs="Arial"/>
          <w:b/>
          <w:bCs/>
          <w:sz w:val="24"/>
          <w:szCs w:val="24"/>
        </w:rPr>
        <w:t>Business Standard (2026)</w:t>
      </w:r>
      <w:r>
        <w:rPr>
          <w:rFonts w:hint="default" w:ascii="Arial" w:hAnsi="Arial" w:cs="Arial"/>
          <w:sz w:val="24"/>
          <w:szCs w:val="24"/>
        </w:rPr>
        <w:t xml:space="preserve">: Cited regarding EU steel price trends (p. 4), import quotas (pp. 46), and Tata Steel's 40 MTPA capacity ambition (p. 6). </w:t>
      </w:r>
    </w:p>
    <w:p w14:paraId="38A0A45B">
      <w:pPr>
        <w:spacing w:after="160" w:line="360" w:lineRule="auto"/>
        <w:ind w:left="360"/>
        <w:jc w:val="both"/>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"https://www.business-standard.com/economy/news/eu-steel-tariffs-quota-cut-impact-on-indian-steelmakers-2026-125101400660_1.html" </w:instrText>
      </w:r>
      <w:r>
        <w:rPr>
          <w:rFonts w:hint="default" w:ascii="Arial" w:hAnsi="Arial" w:cs="Arial"/>
          <w:sz w:val="24"/>
          <w:szCs w:val="24"/>
        </w:rPr>
        <w:fldChar w:fldCharType="separate"/>
      </w:r>
      <w:r>
        <w:rPr>
          <w:rStyle w:val="11"/>
          <w:rFonts w:hint="default" w:ascii="Arial" w:hAnsi="Arial" w:cs="Arial"/>
          <w:sz w:val="24"/>
          <w:szCs w:val="24"/>
        </w:rPr>
        <w:t>https://www.business-standard.com/economy/news/eu-steel-tariffs-quota-cut-impact-on-indian-steelmakers-2026-125101400660_1.html</w:t>
      </w:r>
      <w:r>
        <w:rPr>
          <w:rStyle w:val="11"/>
          <w:rFonts w:hint="default" w:ascii="Arial" w:hAnsi="Arial" w:cs="Arial"/>
          <w:sz w:val="24"/>
          <w:szCs w:val="24"/>
        </w:rPr>
        <w:fldChar w:fldCharType="end"/>
      </w:r>
    </w:p>
    <w:p w14:paraId="05CDFCF8">
      <w:pPr>
        <w:spacing w:after="160" w:line="360" w:lineRule="auto"/>
        <w:ind w:left="360"/>
        <w:jc w:val="both"/>
        <w:rPr>
          <w:rFonts w:hint="default" w:ascii="Arial" w:hAnsi="Arial" w:cs="Arial"/>
          <w:sz w:val="24"/>
          <w:szCs w:val="24"/>
        </w:rPr>
      </w:pPr>
    </w:p>
    <w:p w14:paraId="4A6E7BA0">
      <w:pPr>
        <w:spacing w:after="160" w:line="360" w:lineRule="auto"/>
        <w:jc w:val="both"/>
        <w:rPr>
          <w:rFonts w:hint="default" w:ascii="Arial" w:hAnsi="Arial" w:cs="Arial"/>
          <w:sz w:val="24"/>
          <w:szCs w:val="24"/>
        </w:rPr>
      </w:pPr>
    </w:p>
    <w:p w14:paraId="0B89988C">
      <w:pPr>
        <w:spacing w:after="160" w:line="360" w:lineRule="auto"/>
        <w:ind w:left="360"/>
        <w:jc w:val="both"/>
        <w:rPr>
          <w:rFonts w:hint="default" w:ascii="Arial" w:hAnsi="Arial" w:cs="Arial"/>
          <w:sz w:val="24"/>
          <w:szCs w:val="24"/>
        </w:rPr>
      </w:pPr>
      <w:r>
        <w:rPr>
          <w:rFonts w:hint="default" w:ascii="Arial" w:hAnsi="Arial" w:cs="Arial"/>
          <w:b/>
          <w:bCs/>
          <w:sz w:val="24"/>
          <w:szCs w:val="24"/>
        </w:rPr>
        <w:t>Economic Times (2026)</w:t>
      </w:r>
      <w:r>
        <w:rPr>
          <w:rFonts w:hint="default" w:ascii="Arial" w:hAnsi="Arial" w:cs="Arial"/>
          <w:sz w:val="24"/>
          <w:szCs w:val="24"/>
        </w:rPr>
        <w:t xml:space="preserve">: Cited regarding structurally higher European steel prices due to carbon emissions. </w:t>
      </w:r>
    </w:p>
    <w:p w14:paraId="38ADEA28">
      <w:pPr>
        <w:spacing w:after="160" w:line="360" w:lineRule="auto"/>
        <w:jc w:val="both"/>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"https://m.economictimes.com/news/economy/foreign-trade/eus-carbon-tax-kicks-in-from-%20%20%20%20jan-1-may-hit-indian-steel-and-aluminium-exports-gtri/articleshow/126264519.cms" </w:instrText>
      </w:r>
      <w:r>
        <w:rPr>
          <w:rFonts w:hint="default" w:ascii="Arial" w:hAnsi="Arial" w:cs="Arial"/>
          <w:sz w:val="24"/>
          <w:szCs w:val="24"/>
        </w:rPr>
        <w:fldChar w:fldCharType="separate"/>
      </w:r>
      <w:r>
        <w:rPr>
          <w:rStyle w:val="11"/>
          <w:rFonts w:hint="default" w:ascii="Arial" w:hAnsi="Arial" w:cs="Arial"/>
          <w:sz w:val="24"/>
          <w:szCs w:val="24"/>
        </w:rPr>
        <w:t>https://m.economictimes.com/news/economy/foreign-trade/eus-carbon-tax-kicks-in-from-    jan-1-may-hit-indian-steel-and-aluminium-exports-gtri/articleshow/126264519.cms</w:t>
      </w:r>
      <w:r>
        <w:rPr>
          <w:rStyle w:val="11"/>
          <w:rFonts w:hint="default" w:ascii="Arial" w:hAnsi="Arial" w:cs="Arial"/>
          <w:sz w:val="24"/>
          <w:szCs w:val="24"/>
        </w:rPr>
        <w:fldChar w:fldCharType="end"/>
      </w:r>
    </w:p>
    <w:p w14:paraId="02FCDC53">
      <w:pPr>
        <w:spacing w:after="160" w:line="360" w:lineRule="auto"/>
        <w:jc w:val="both"/>
        <w:rPr>
          <w:rFonts w:hint="default" w:ascii="Arial" w:hAnsi="Arial" w:cs="Arial"/>
          <w:sz w:val="24"/>
          <w:szCs w:val="24"/>
        </w:rPr>
      </w:pPr>
    </w:p>
    <w:p w14:paraId="399CFCD2">
      <w:pPr>
        <w:spacing w:after="160" w:line="360" w:lineRule="auto"/>
        <w:ind w:left="360"/>
        <w:jc w:val="both"/>
        <w:rPr>
          <w:rFonts w:hint="default" w:ascii="Arial" w:hAnsi="Arial" w:cs="Arial"/>
          <w:sz w:val="24"/>
          <w:szCs w:val="24"/>
        </w:rPr>
      </w:pPr>
      <w:r>
        <w:rPr>
          <w:rFonts w:hint="default" w:ascii="Arial" w:hAnsi="Arial" w:cs="Arial"/>
          <w:b/>
          <w:bCs/>
          <w:sz w:val="24"/>
          <w:szCs w:val="24"/>
        </w:rPr>
        <w:t>Energy Economic Times (2025)</w:t>
      </w:r>
      <w:r>
        <w:rPr>
          <w:rFonts w:hint="default" w:ascii="Arial" w:hAnsi="Arial" w:cs="Arial"/>
          <w:sz w:val="24"/>
          <w:szCs w:val="24"/>
        </w:rPr>
        <w:t xml:space="preserve">: Cited regarding the IJmuiden DRI-EAF plan, Port Talbot EAF funding, and CBAM-adjusted premiums. </w:t>
      </w:r>
    </w:p>
    <w:p w14:paraId="569BE59F">
      <w:pPr>
        <w:spacing w:after="160" w:line="360" w:lineRule="auto"/>
        <w:jc w:val="both"/>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"https://m.economictimes.com/industry/indl-goods/svs/steel/tata-steel-in-talks-with-dutch-govt-for-netherlands-project-amid-tightened-emission-norms/articleshow/132141857.cms" </w:instrText>
      </w:r>
      <w:r>
        <w:rPr>
          <w:rFonts w:hint="default" w:ascii="Arial" w:hAnsi="Arial" w:cs="Arial"/>
          <w:sz w:val="24"/>
          <w:szCs w:val="24"/>
        </w:rPr>
        <w:fldChar w:fldCharType="separate"/>
      </w:r>
      <w:r>
        <w:rPr>
          <w:rStyle w:val="11"/>
          <w:rFonts w:hint="default" w:ascii="Arial" w:hAnsi="Arial" w:cs="Arial"/>
          <w:sz w:val="24"/>
          <w:szCs w:val="24"/>
        </w:rPr>
        <w:t>https://m.economictimes.com/industry/indl-goods/svs/steel/tata-steel-in-talks-with-dutch-govt-for-netherlands-project-amid-tightened-emission-norms/articleshow/132141857.cms</w:t>
      </w:r>
      <w:r>
        <w:rPr>
          <w:rStyle w:val="11"/>
          <w:rFonts w:hint="default" w:ascii="Arial" w:hAnsi="Arial" w:cs="Arial"/>
          <w:sz w:val="24"/>
          <w:szCs w:val="24"/>
        </w:rPr>
        <w:fldChar w:fldCharType="end"/>
      </w:r>
    </w:p>
    <w:p w14:paraId="35C4F3BB">
      <w:pPr>
        <w:spacing w:after="160" w:line="360" w:lineRule="auto"/>
        <w:jc w:val="both"/>
        <w:rPr>
          <w:rFonts w:hint="default" w:ascii="Arial" w:hAnsi="Arial" w:cs="Arial"/>
          <w:sz w:val="24"/>
          <w:szCs w:val="24"/>
        </w:rPr>
      </w:pPr>
      <w:r>
        <w:rPr>
          <w:rFonts w:hint="default" w:ascii="Arial" w:hAnsi="Arial" w:cs="Arial"/>
          <w:sz w:val="24"/>
          <w:szCs w:val="24"/>
        </w:rPr>
        <w:t xml:space="preserve">     </w:t>
      </w:r>
    </w:p>
    <w:p w14:paraId="5FC72725">
      <w:pPr>
        <w:spacing w:after="160" w:line="360" w:lineRule="auto"/>
        <w:jc w:val="both"/>
        <w:rPr>
          <w:rFonts w:hint="default" w:ascii="Arial" w:hAnsi="Arial" w:cs="Arial"/>
          <w:sz w:val="24"/>
          <w:szCs w:val="24"/>
        </w:rPr>
      </w:pPr>
    </w:p>
    <w:p w14:paraId="7635AAF4">
      <w:pPr>
        <w:spacing w:after="160" w:line="360" w:lineRule="auto"/>
        <w:ind w:left="360"/>
        <w:jc w:val="both"/>
        <w:rPr>
          <w:rFonts w:hint="default" w:ascii="Arial" w:hAnsi="Arial" w:cs="Arial"/>
          <w:sz w:val="24"/>
          <w:szCs w:val="24"/>
        </w:rPr>
      </w:pPr>
      <w:r>
        <w:rPr>
          <w:rFonts w:hint="default" w:ascii="Arial" w:hAnsi="Arial" w:cs="Arial"/>
          <w:b/>
          <w:bCs/>
          <w:sz w:val="24"/>
          <w:szCs w:val="24"/>
        </w:rPr>
        <w:t>IEEFA (Institute for Energy Economics and Financial Analysis) (2026)</w:t>
      </w:r>
      <w:r>
        <w:rPr>
          <w:rFonts w:hint="default" w:ascii="Arial" w:hAnsi="Arial" w:cs="Arial"/>
          <w:sz w:val="24"/>
          <w:szCs w:val="24"/>
        </w:rPr>
        <w:t xml:space="preserve">: Cited regarding near-zero emission technology capacity commitments of Tata Steel vs. competitors (p. 6, 67). </w:t>
      </w:r>
    </w:p>
    <w:p w14:paraId="03EC3DCB">
      <w:pPr>
        <w:spacing w:after="160" w:line="360" w:lineRule="auto"/>
        <w:jc w:val="both"/>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"https://ieefa.org/resources/decarbonisation-readiness-indias-steel-sector" </w:instrText>
      </w:r>
      <w:r>
        <w:rPr>
          <w:rFonts w:hint="default" w:ascii="Arial" w:hAnsi="Arial" w:cs="Arial"/>
          <w:sz w:val="24"/>
          <w:szCs w:val="24"/>
        </w:rPr>
        <w:fldChar w:fldCharType="separate"/>
      </w:r>
      <w:r>
        <w:rPr>
          <w:rStyle w:val="11"/>
          <w:rFonts w:hint="default" w:ascii="Arial" w:hAnsi="Arial" w:cs="Arial"/>
          <w:sz w:val="24"/>
          <w:szCs w:val="24"/>
        </w:rPr>
        <w:t>https://ieefa.org/resources/decarbonisation-readiness-indias-steel-sector</w:t>
      </w:r>
      <w:r>
        <w:rPr>
          <w:rStyle w:val="11"/>
          <w:rFonts w:hint="default" w:ascii="Arial" w:hAnsi="Arial" w:cs="Arial"/>
          <w:sz w:val="24"/>
          <w:szCs w:val="24"/>
        </w:rPr>
        <w:fldChar w:fldCharType="end"/>
      </w:r>
    </w:p>
    <w:p w14:paraId="190B3EA2">
      <w:pPr>
        <w:spacing w:after="160" w:line="360" w:lineRule="auto"/>
        <w:jc w:val="both"/>
        <w:rPr>
          <w:rFonts w:hint="default" w:ascii="Arial" w:hAnsi="Arial" w:cs="Arial"/>
          <w:sz w:val="24"/>
          <w:szCs w:val="24"/>
        </w:rPr>
      </w:pPr>
    </w:p>
    <w:p w14:paraId="5F6E94EE">
      <w:pPr>
        <w:spacing w:after="160" w:line="360" w:lineRule="auto"/>
        <w:jc w:val="both"/>
        <w:rPr>
          <w:rFonts w:hint="default" w:ascii="Arial" w:hAnsi="Arial" w:cs="Arial"/>
          <w:sz w:val="24"/>
          <w:szCs w:val="24"/>
        </w:rPr>
      </w:pPr>
    </w:p>
    <w:p w14:paraId="305464A0">
      <w:pPr>
        <w:spacing w:after="160" w:line="360" w:lineRule="auto"/>
        <w:ind w:left="360"/>
        <w:jc w:val="both"/>
        <w:rPr>
          <w:rFonts w:hint="default" w:ascii="Arial" w:hAnsi="Arial" w:cs="Arial"/>
          <w:sz w:val="24"/>
          <w:szCs w:val="24"/>
        </w:rPr>
      </w:pPr>
      <w:r>
        <w:rPr>
          <w:rFonts w:hint="default" w:ascii="Arial" w:hAnsi="Arial" w:cs="Arial"/>
          <w:b/>
          <w:bCs/>
          <w:sz w:val="24"/>
          <w:szCs w:val="24"/>
        </w:rPr>
        <w:t>IIM Kashipur (2025)</w:t>
      </w:r>
      <w:r>
        <w:rPr>
          <w:rFonts w:hint="default" w:ascii="Arial" w:hAnsi="Arial" w:cs="Arial"/>
          <w:sz w:val="24"/>
          <w:szCs w:val="24"/>
        </w:rPr>
        <w:t xml:space="preserve">: Cited regarding the Indian government's Green Steel taxonomy and market premiums. </w:t>
      </w:r>
    </w:p>
    <w:p w14:paraId="30A512C3">
      <w:pPr>
        <w:spacing w:after="160" w:line="360" w:lineRule="auto"/>
        <w:ind w:left="360"/>
        <w:jc w:val="both"/>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"https://www.impriindia.com/insights/policy-update/green-steel-low-carbon-industrial/" </w:instrText>
      </w:r>
      <w:r>
        <w:rPr>
          <w:rFonts w:hint="default" w:ascii="Arial" w:hAnsi="Arial" w:cs="Arial"/>
          <w:sz w:val="24"/>
          <w:szCs w:val="24"/>
        </w:rPr>
        <w:fldChar w:fldCharType="separate"/>
      </w:r>
      <w:r>
        <w:rPr>
          <w:rStyle w:val="11"/>
          <w:rFonts w:hint="default" w:ascii="Arial" w:hAnsi="Arial" w:cs="Arial"/>
          <w:sz w:val="24"/>
          <w:szCs w:val="24"/>
        </w:rPr>
        <w:t>https://www.impriindia.com/insights/policy-update/green-steel-low-carbon-industrial/</w:t>
      </w:r>
      <w:r>
        <w:rPr>
          <w:rStyle w:val="11"/>
          <w:rFonts w:hint="default" w:ascii="Arial" w:hAnsi="Arial" w:cs="Arial"/>
          <w:sz w:val="24"/>
          <w:szCs w:val="24"/>
        </w:rPr>
        <w:fldChar w:fldCharType="end"/>
      </w:r>
    </w:p>
    <w:p w14:paraId="47CD8500">
      <w:pPr>
        <w:spacing w:after="160" w:line="360" w:lineRule="auto"/>
        <w:jc w:val="both"/>
        <w:rPr>
          <w:rFonts w:hint="default" w:ascii="Arial" w:hAnsi="Arial" w:cs="Arial"/>
          <w:sz w:val="24"/>
          <w:szCs w:val="24"/>
        </w:rPr>
      </w:pPr>
    </w:p>
    <w:p w14:paraId="327439C0">
      <w:pPr>
        <w:spacing w:after="160" w:line="360" w:lineRule="auto"/>
        <w:ind w:left="360"/>
        <w:jc w:val="both"/>
        <w:rPr>
          <w:rFonts w:hint="default" w:ascii="Arial" w:hAnsi="Arial" w:cs="Arial"/>
          <w:sz w:val="24"/>
          <w:szCs w:val="24"/>
        </w:rPr>
      </w:pPr>
      <w:r>
        <w:rPr>
          <w:rFonts w:hint="default" w:ascii="Arial" w:hAnsi="Arial" w:cs="Arial"/>
          <w:b/>
          <w:bCs/>
          <w:sz w:val="24"/>
          <w:szCs w:val="24"/>
        </w:rPr>
        <w:t>Kotler et al. (2024)</w:t>
      </w:r>
      <w:r>
        <w:rPr>
          <w:rFonts w:hint="default" w:ascii="Arial" w:hAnsi="Arial" w:cs="Arial"/>
          <w:sz w:val="24"/>
          <w:szCs w:val="24"/>
        </w:rPr>
        <w:t xml:space="preserve">: Cited regarding the natural environment as a key marketing actor (pp. 115, 117) and the definition of a public actor. </w:t>
      </w:r>
    </w:p>
    <w:p w14:paraId="2FD8520B">
      <w:pPr>
        <w:spacing w:after="160" w:line="360" w:lineRule="auto"/>
        <w:ind w:left="360"/>
        <w:jc w:val="both"/>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"https://commecsinstitute.edu.pk/wp-content/uploads/2024/08/Kotler-and-Armstrong-Principles-of-Marketing.pdf" </w:instrText>
      </w:r>
      <w:r>
        <w:rPr>
          <w:rFonts w:hint="default" w:ascii="Arial" w:hAnsi="Arial" w:cs="Arial"/>
          <w:sz w:val="24"/>
          <w:szCs w:val="24"/>
        </w:rPr>
        <w:fldChar w:fldCharType="separate"/>
      </w:r>
      <w:r>
        <w:rPr>
          <w:rStyle w:val="11"/>
          <w:rFonts w:hint="default" w:ascii="Arial" w:hAnsi="Arial" w:cs="Arial"/>
          <w:sz w:val="24"/>
          <w:szCs w:val="24"/>
        </w:rPr>
        <w:t>https://commecsinstitute.edu.pk/wp-content/uploads/2024/08/Kotler-and-Armstrong-Principles-of-Marketing.pdf</w:t>
      </w:r>
      <w:r>
        <w:rPr>
          <w:rStyle w:val="11"/>
          <w:rFonts w:hint="default" w:ascii="Arial" w:hAnsi="Arial" w:cs="Arial"/>
          <w:sz w:val="24"/>
          <w:szCs w:val="24"/>
        </w:rPr>
        <w:fldChar w:fldCharType="end"/>
      </w:r>
    </w:p>
    <w:p w14:paraId="18D03AED">
      <w:pPr>
        <w:spacing w:after="160" w:line="360" w:lineRule="auto"/>
        <w:ind w:left="360"/>
        <w:jc w:val="both"/>
        <w:rPr>
          <w:rFonts w:hint="default" w:ascii="Arial" w:hAnsi="Arial" w:cs="Arial"/>
          <w:sz w:val="24"/>
          <w:szCs w:val="24"/>
        </w:rPr>
      </w:pPr>
    </w:p>
    <w:p w14:paraId="07716227">
      <w:pPr>
        <w:spacing w:after="160" w:line="360" w:lineRule="auto"/>
        <w:jc w:val="both"/>
        <w:rPr>
          <w:rFonts w:hint="default" w:ascii="Arial" w:hAnsi="Arial" w:cs="Arial"/>
          <w:sz w:val="24"/>
          <w:szCs w:val="24"/>
        </w:rPr>
      </w:pPr>
    </w:p>
    <w:p w14:paraId="23CF33A8">
      <w:pPr>
        <w:spacing w:after="160" w:line="360" w:lineRule="auto"/>
        <w:ind w:left="360"/>
        <w:jc w:val="both"/>
        <w:rPr>
          <w:rFonts w:hint="default" w:ascii="Arial" w:hAnsi="Arial" w:cs="Arial"/>
          <w:sz w:val="24"/>
          <w:szCs w:val="24"/>
        </w:rPr>
      </w:pPr>
      <w:r>
        <w:rPr>
          <w:rFonts w:hint="default" w:ascii="Arial" w:hAnsi="Arial" w:cs="Arial"/>
          <w:b/>
          <w:bCs/>
          <w:sz w:val="24"/>
          <w:szCs w:val="24"/>
        </w:rPr>
        <w:t>Porter (1980)</w:t>
      </w:r>
      <w:r>
        <w:rPr>
          <w:rFonts w:hint="default" w:ascii="Arial" w:hAnsi="Arial" w:cs="Arial"/>
          <w:sz w:val="24"/>
          <w:szCs w:val="24"/>
        </w:rPr>
        <w:t xml:space="preserve">: Cited regarding generic strategies involving cost leadership and differentiation. </w:t>
      </w:r>
    </w:p>
    <w:p w14:paraId="5EFD846E">
      <w:pPr>
        <w:spacing w:after="160" w:line="360" w:lineRule="auto"/>
        <w:jc w:val="both"/>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"https://en.wikipedia.org/wiki/Porter%27s_generic_strategies" </w:instrText>
      </w:r>
      <w:r>
        <w:rPr>
          <w:rFonts w:hint="default" w:ascii="Arial" w:hAnsi="Arial" w:cs="Arial"/>
          <w:sz w:val="24"/>
          <w:szCs w:val="24"/>
        </w:rPr>
        <w:fldChar w:fldCharType="separate"/>
      </w:r>
      <w:r>
        <w:rPr>
          <w:rStyle w:val="11"/>
          <w:rFonts w:hint="default" w:ascii="Arial" w:hAnsi="Arial" w:cs="Arial"/>
          <w:sz w:val="24"/>
          <w:szCs w:val="24"/>
        </w:rPr>
        <w:t>https://en.wikipedia.org/wiki/Porter%27s_generic_strategies</w:t>
      </w:r>
      <w:r>
        <w:rPr>
          <w:rStyle w:val="11"/>
          <w:rFonts w:hint="default" w:ascii="Arial" w:hAnsi="Arial" w:cs="Arial"/>
          <w:sz w:val="24"/>
          <w:szCs w:val="24"/>
        </w:rPr>
        <w:fldChar w:fldCharType="end"/>
      </w:r>
    </w:p>
    <w:p w14:paraId="3ECE45FB">
      <w:pPr>
        <w:spacing w:after="160" w:line="360" w:lineRule="auto"/>
        <w:jc w:val="both"/>
        <w:rPr>
          <w:rFonts w:hint="default" w:ascii="Arial" w:hAnsi="Arial" w:cs="Arial"/>
          <w:sz w:val="24"/>
          <w:szCs w:val="24"/>
        </w:rPr>
      </w:pPr>
    </w:p>
    <w:p w14:paraId="0A5F75BE">
      <w:pPr>
        <w:spacing w:after="160" w:line="360" w:lineRule="auto"/>
        <w:ind w:left="360"/>
        <w:jc w:val="both"/>
        <w:rPr>
          <w:rFonts w:hint="default" w:ascii="Arial" w:hAnsi="Arial" w:cs="Arial"/>
          <w:sz w:val="24"/>
          <w:szCs w:val="24"/>
        </w:rPr>
      </w:pPr>
      <w:r>
        <w:rPr>
          <w:rFonts w:hint="default" w:ascii="Arial" w:hAnsi="Arial" w:cs="Arial"/>
          <w:b/>
          <w:bCs/>
          <w:sz w:val="24"/>
          <w:szCs w:val="24"/>
        </w:rPr>
        <w:t>Tata Steel (2025a)</w:t>
      </w:r>
      <w:r>
        <w:rPr>
          <w:rFonts w:hint="default" w:ascii="Arial" w:hAnsi="Arial" w:cs="Arial"/>
          <w:sz w:val="24"/>
          <w:szCs w:val="24"/>
        </w:rPr>
        <w:t xml:space="preserve">: Cited regarding the 2045 'Net Zero' pledge, emission intensity reduction targets, the Dutch Joint Letter of Intent, the Roadmap Plus programme, and Life Cycle Assessment scopes. </w:t>
      </w:r>
    </w:p>
    <w:p w14:paraId="0B34BF69">
      <w:pPr>
        <w:spacing w:after="160" w:line="360" w:lineRule="auto"/>
        <w:jc w:val="both"/>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"https://www.tatasteel.com/investors/integrated-report-2024-25/esg-goals.html" </w:instrText>
      </w:r>
      <w:r>
        <w:rPr>
          <w:rFonts w:hint="default" w:ascii="Arial" w:hAnsi="Arial" w:cs="Arial"/>
          <w:sz w:val="24"/>
          <w:szCs w:val="24"/>
        </w:rPr>
        <w:fldChar w:fldCharType="separate"/>
      </w:r>
      <w:r>
        <w:rPr>
          <w:rStyle w:val="11"/>
          <w:rFonts w:hint="default" w:ascii="Arial" w:hAnsi="Arial" w:cs="Arial"/>
          <w:sz w:val="24"/>
          <w:szCs w:val="24"/>
        </w:rPr>
        <w:t>https://www.tatasteel.com/investors/integrated-report-2024-25/esg-goals.html</w:t>
      </w:r>
      <w:r>
        <w:rPr>
          <w:rStyle w:val="11"/>
          <w:rFonts w:hint="default" w:ascii="Arial" w:hAnsi="Arial" w:cs="Arial"/>
          <w:sz w:val="24"/>
          <w:szCs w:val="24"/>
        </w:rPr>
        <w:fldChar w:fldCharType="end"/>
      </w:r>
    </w:p>
    <w:p w14:paraId="019FDA44">
      <w:pPr>
        <w:spacing w:after="160" w:line="360" w:lineRule="auto"/>
        <w:jc w:val="both"/>
        <w:rPr>
          <w:rFonts w:hint="default" w:ascii="Arial" w:hAnsi="Arial" w:cs="Arial"/>
          <w:sz w:val="24"/>
          <w:szCs w:val="24"/>
        </w:rPr>
      </w:pPr>
    </w:p>
    <w:p w14:paraId="6C85223D">
      <w:pPr>
        <w:spacing w:after="160" w:line="360" w:lineRule="auto"/>
        <w:ind w:left="360"/>
        <w:jc w:val="both"/>
        <w:rPr>
          <w:rFonts w:hint="default" w:ascii="Arial" w:hAnsi="Arial" w:cs="Arial"/>
          <w:sz w:val="24"/>
          <w:szCs w:val="24"/>
        </w:rPr>
      </w:pPr>
      <w:r>
        <w:rPr>
          <w:rFonts w:hint="default" w:ascii="Arial" w:hAnsi="Arial" w:cs="Arial"/>
          <w:b/>
          <w:bCs/>
          <w:sz w:val="24"/>
          <w:szCs w:val="24"/>
        </w:rPr>
        <w:t>Tata Steel (2025b)</w:t>
      </w:r>
      <w:r>
        <w:rPr>
          <w:rFonts w:hint="default" w:ascii="Arial" w:hAnsi="Arial" w:cs="Arial"/>
          <w:sz w:val="24"/>
          <w:szCs w:val="24"/>
        </w:rPr>
        <w:t xml:space="preserve">: Cited regarding collaboration with the UK government's Transition Board, community consultations, and scrap-based EAF products. </w:t>
      </w:r>
    </w:p>
    <w:p w14:paraId="4A7F7F90">
      <w:pPr>
        <w:spacing w:after="160" w:line="360" w:lineRule="auto"/>
        <w:jc w:val="both"/>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"https://www.tatasteel.com/investors/integrated-report-2024-25/steel-reimagined.html" </w:instrText>
      </w:r>
      <w:r>
        <w:rPr>
          <w:rFonts w:hint="default" w:ascii="Arial" w:hAnsi="Arial" w:cs="Arial"/>
          <w:sz w:val="24"/>
          <w:szCs w:val="24"/>
        </w:rPr>
        <w:fldChar w:fldCharType="separate"/>
      </w:r>
      <w:r>
        <w:rPr>
          <w:rStyle w:val="11"/>
          <w:rFonts w:hint="default" w:ascii="Arial" w:hAnsi="Arial" w:cs="Arial"/>
          <w:sz w:val="24"/>
          <w:szCs w:val="24"/>
        </w:rPr>
        <w:t>https://www.tatasteel.com/investors/integrated-report-2024-25/steel-reimagined.html</w:t>
      </w:r>
      <w:r>
        <w:rPr>
          <w:rStyle w:val="11"/>
          <w:rFonts w:hint="default" w:ascii="Arial" w:hAnsi="Arial" w:cs="Arial"/>
          <w:sz w:val="24"/>
          <w:szCs w:val="24"/>
        </w:rPr>
        <w:fldChar w:fldCharType="end"/>
      </w:r>
    </w:p>
    <w:p w14:paraId="184D9101">
      <w:pPr>
        <w:spacing w:after="160" w:line="360" w:lineRule="auto"/>
        <w:jc w:val="both"/>
        <w:rPr>
          <w:rFonts w:hint="default" w:ascii="Arial" w:hAnsi="Arial" w:cs="Arial"/>
          <w:sz w:val="24"/>
          <w:szCs w:val="24"/>
        </w:rPr>
      </w:pPr>
    </w:p>
    <w:p w14:paraId="72C09718">
      <w:pPr>
        <w:spacing w:after="160" w:line="360" w:lineRule="auto"/>
        <w:ind w:left="360"/>
        <w:jc w:val="both"/>
        <w:rPr>
          <w:rFonts w:hint="default" w:ascii="Arial" w:hAnsi="Arial" w:cs="Arial"/>
          <w:sz w:val="24"/>
          <w:szCs w:val="24"/>
        </w:rPr>
      </w:pPr>
      <w:r>
        <w:rPr>
          <w:rFonts w:hint="default" w:ascii="Arial" w:hAnsi="Arial" w:cs="Arial"/>
          <w:b/>
          <w:bCs/>
          <w:sz w:val="24"/>
          <w:szCs w:val="24"/>
        </w:rPr>
        <w:t>Tata Steel (2025c)</w:t>
      </w:r>
      <w:r>
        <w:rPr>
          <w:rFonts w:hint="default" w:ascii="Arial" w:hAnsi="Arial" w:cs="Arial"/>
          <w:sz w:val="24"/>
          <w:szCs w:val="24"/>
        </w:rPr>
        <w:t xml:space="preserve">: Cited regarding the Joint Letter of Intent with the Dutch government. </w:t>
      </w:r>
    </w:p>
    <w:p w14:paraId="61717BB6">
      <w:pPr>
        <w:spacing w:after="160" w:line="360" w:lineRule="auto"/>
        <w:jc w:val="both"/>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"https://www.tatasteel.com/newsroom/press-releases/india/2025/tata-steel-signs-the-non-binding-joint-letter-of-intent-with-the-government-of-the-netherlands-and-the-province-of-north-holland-on-integrated-decarbonisation-and-health-measures-project/" </w:instrText>
      </w:r>
      <w:r>
        <w:rPr>
          <w:rFonts w:hint="default" w:ascii="Arial" w:hAnsi="Arial" w:cs="Arial"/>
          <w:sz w:val="24"/>
          <w:szCs w:val="24"/>
        </w:rPr>
        <w:fldChar w:fldCharType="separate"/>
      </w:r>
      <w:r>
        <w:rPr>
          <w:rStyle w:val="11"/>
          <w:rFonts w:hint="default" w:ascii="Arial" w:hAnsi="Arial" w:cs="Arial"/>
          <w:sz w:val="24"/>
          <w:szCs w:val="24"/>
        </w:rPr>
        <w:t>https://www.tatasteel.com/newsroom/press-releases/india/2025/tata-steel-signs-the-non-binding-joint-letter-of-intent-with-the-government-of-the-netherlands-and-the-province-of-north-holland-on-integrated-decarbonisation-and-health-measures-project/</w:t>
      </w:r>
      <w:r>
        <w:rPr>
          <w:rStyle w:val="11"/>
          <w:rFonts w:hint="default" w:ascii="Arial" w:hAnsi="Arial" w:cs="Arial"/>
          <w:sz w:val="24"/>
          <w:szCs w:val="24"/>
        </w:rPr>
        <w:fldChar w:fldCharType="end"/>
      </w:r>
    </w:p>
    <w:p w14:paraId="59A3E908">
      <w:pPr>
        <w:spacing w:after="160" w:line="360" w:lineRule="auto"/>
        <w:jc w:val="both"/>
        <w:rPr>
          <w:rFonts w:hint="default" w:ascii="Arial" w:hAnsi="Arial" w:cs="Arial"/>
          <w:sz w:val="24"/>
          <w:szCs w:val="24"/>
        </w:rPr>
      </w:pPr>
    </w:p>
    <w:p w14:paraId="002FB1AD">
      <w:pPr>
        <w:spacing w:after="160" w:line="360" w:lineRule="auto"/>
        <w:ind w:left="360"/>
        <w:jc w:val="both"/>
        <w:rPr>
          <w:rFonts w:hint="default" w:ascii="Arial" w:hAnsi="Arial" w:cs="Arial"/>
          <w:sz w:val="24"/>
          <w:szCs w:val="24"/>
        </w:rPr>
      </w:pPr>
      <w:r>
        <w:rPr>
          <w:rFonts w:hint="default" w:ascii="Arial" w:hAnsi="Arial" w:cs="Arial"/>
          <w:b/>
          <w:bCs/>
          <w:sz w:val="24"/>
          <w:szCs w:val="24"/>
        </w:rPr>
        <w:t>Tata Steel UK (2025)</w:t>
      </w:r>
      <w:r>
        <w:rPr>
          <w:rFonts w:hint="default" w:ascii="Arial" w:hAnsi="Arial" w:cs="Arial"/>
          <w:sz w:val="24"/>
          <w:szCs w:val="24"/>
        </w:rPr>
        <w:t xml:space="preserve">: Cited regarding community engagement through inclusive sports leagues and triathlons. </w:t>
      </w:r>
    </w:p>
    <w:p w14:paraId="40BFDE30">
      <w:pPr>
        <w:pStyle w:val="3"/>
        <w:spacing w:line="360" w:lineRule="auto"/>
        <w:ind w:right="480"/>
        <w:jc w:val="both"/>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"https://www.tatasteel.com/investors/integrated-report-2024-25/social-relationship-capital.html" </w:instrText>
      </w:r>
      <w:r>
        <w:rPr>
          <w:rFonts w:hint="default" w:ascii="Arial" w:hAnsi="Arial" w:cs="Arial"/>
          <w:sz w:val="24"/>
          <w:szCs w:val="24"/>
        </w:rPr>
        <w:fldChar w:fldCharType="separate"/>
      </w:r>
      <w:r>
        <w:rPr>
          <w:rStyle w:val="11"/>
          <w:rFonts w:hint="default" w:ascii="Arial" w:hAnsi="Arial" w:cs="Arial"/>
          <w:sz w:val="24"/>
          <w:szCs w:val="24"/>
        </w:rPr>
        <w:t>https://www.tatasteel.com/investors/integrated-report-2024-25/social-relationship-capital.html</w:t>
      </w:r>
      <w:r>
        <w:rPr>
          <w:rStyle w:val="11"/>
          <w:rFonts w:hint="default" w:ascii="Arial" w:hAnsi="Arial" w:cs="Arial"/>
          <w:sz w:val="24"/>
          <w:szCs w:val="24"/>
        </w:rPr>
        <w:fldChar w:fldCharType="end"/>
      </w:r>
    </w:p>
    <w:p w14:paraId="1BBBB4F4">
      <w:pPr>
        <w:pStyle w:val="3"/>
        <w:spacing w:line="360" w:lineRule="auto"/>
        <w:ind w:right="480"/>
        <w:jc w:val="both"/>
        <w:rPr>
          <w:rFonts w:hint="default" w:ascii="Arial" w:hAnsi="Arial" w:cs="Arial"/>
          <w:sz w:val="24"/>
          <w:szCs w:val="24"/>
        </w:rPr>
      </w:pPr>
    </w:p>
    <w:p w14:paraId="0B19AA85">
      <w:pPr>
        <w:jc w:val="both"/>
        <w:rPr>
          <w:rFonts w:hint="default" w:ascii="Arial" w:hAnsi="Arial" w:cs="Arial"/>
          <w:sz w:val="24"/>
          <w:szCs w:val="24"/>
        </w:rPr>
      </w:pPr>
    </w:p>
    <w:sectPr>
      <w:footerReference r:id="rId5" w:type="default"/>
      <w:pgSz w:w="12240" w:h="15840"/>
      <w:pgMar w:top="720" w:right="720" w:bottom="720" w:left="720" w:header="0" w:footer="397" w:gutter="0"/>
      <w:pgBorders w:offsetFrom="page">
        <w:top w:val="single" w:color="auto" w:sz="6" w:space="24"/>
        <w:left w:val="single" w:color="auto" w:sz="6" w:space="24"/>
        <w:bottom w:val="single" w:color="auto" w:sz="6" w:space="24"/>
        <w:right w:val="single" w:color="auto" w:sz="6" w:space="24"/>
      </w:pgBorders>
      <w:cols w:space="720" w:num="1"/>
      <w:formProt w:val="0"/>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Liberation Serif">
    <w:altName w:val="Times New Roman"/>
    <w:panose1 w:val="00000000000000000000"/>
    <w:charset w:val="01"/>
    <w:family w:val="roman"/>
    <w:pitch w:val="default"/>
    <w:sig w:usb0="00000000" w:usb1="00000000" w:usb2="00000000" w:usb3="00000000" w:csb0="00000000" w:csb1="00000000"/>
  </w:font>
  <w:font w:name="NSimSun">
    <w:panose1 w:val="02010609030101010101"/>
    <w:charset w:val="86"/>
    <w:family w:val="modern"/>
    <w:pitch w:val="default"/>
    <w:sig w:usb0="00000203" w:usb1="288F0000" w:usb2="00000006" w:usb3="00000000" w:csb0="00040001" w:csb1="00000000"/>
  </w:font>
  <w:font w:name="Mangal">
    <w:altName w:val="Courier New"/>
    <w:panose1 w:val="00000400000000000000"/>
    <w:charset w:val="01"/>
    <w:family w:val="roman"/>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41453992"/>
      <w:docPartObj>
        <w:docPartGallery w:val="AutoText"/>
      </w:docPartObj>
    </w:sdtPr>
    <w:sdtEndPr>
      <w:rPr>
        <w:color w:val="808080" w:themeColor="background1" w:themeShade="80"/>
        <w:spacing w:val="60"/>
      </w:rPr>
    </w:sdtEndPr>
    <w:sdtContent>
      <w:p w14:paraId="328B2A71">
        <w:pPr>
          <w:pStyle w:val="10"/>
          <w:pBdr>
            <w:top w:val="single" w:color="D8D8D8" w:themeColor="background1" w:themeShade="D9" w:sz="4" w:space="1"/>
          </w:pBdr>
          <w:rPr>
            <w:rFonts w:hint="eastAsia"/>
            <w:b/>
            <w:bCs/>
          </w:rPr>
        </w:pPr>
        <w:r>
          <w:fldChar w:fldCharType="begin"/>
        </w:r>
        <w:r>
          <w:instrText xml:space="preserve"> PAGE   \* MERGEFORMAT </w:instrText>
        </w:r>
        <w:r>
          <w:fldChar w:fldCharType="separate"/>
        </w:r>
        <w:r>
          <w:rPr>
            <w:rFonts w:hint="eastAsia"/>
            <w:b/>
            <w:bCs/>
          </w:rPr>
          <w:t>13</w:t>
        </w:r>
        <w:r>
          <w:rPr>
            <w:b/>
            <w:bCs/>
          </w:rPr>
          <w:fldChar w:fldCharType="end"/>
        </w:r>
        <w:r>
          <w:rPr>
            <w:b/>
            <w:bCs/>
          </w:rPr>
          <w:t xml:space="preserve"> | </w:t>
        </w:r>
        <w:r>
          <w:rPr>
            <w:color w:val="808080" w:themeColor="background1" w:themeShade="80"/>
            <w:spacing w:val="60"/>
          </w:rPr>
          <w:t>Page</w:t>
        </w:r>
      </w:p>
    </w:sdtContent>
  </w:sdt>
  <w:p w14:paraId="1FE7F743">
    <w:pPr>
      <w:pStyle w:val="10"/>
      <w:rPr>
        <w:rFonts w:hint="eastAsia"/>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560B28"/>
    <w:multiLevelType w:val="multilevel"/>
    <w:tmpl w:val="4E560B28"/>
    <w:lvl w:ilvl="0" w:tentative="0">
      <w:start w:val="1"/>
      <w:numFmt w:val="decimal"/>
      <w:lvlText w:val="%1."/>
      <w:lvlJc w:val="left"/>
      <w:pPr>
        <w:ind w:left="1020" w:hanging="360"/>
      </w:pPr>
      <w:rPr>
        <w:rFonts w:hint="default"/>
      </w:rPr>
    </w:lvl>
    <w:lvl w:ilvl="1" w:tentative="0">
      <w:start w:val="1"/>
      <w:numFmt w:val="lowerLetter"/>
      <w:lvlText w:val="%2."/>
      <w:lvlJc w:val="left"/>
      <w:pPr>
        <w:ind w:left="1740" w:hanging="360"/>
      </w:pPr>
    </w:lvl>
    <w:lvl w:ilvl="2" w:tentative="0">
      <w:start w:val="1"/>
      <w:numFmt w:val="lowerRoman"/>
      <w:lvlText w:val="%3."/>
      <w:lvlJc w:val="right"/>
      <w:pPr>
        <w:ind w:left="2460" w:hanging="180"/>
      </w:pPr>
    </w:lvl>
    <w:lvl w:ilvl="3" w:tentative="0">
      <w:start w:val="1"/>
      <w:numFmt w:val="decimal"/>
      <w:lvlText w:val="%4."/>
      <w:lvlJc w:val="left"/>
      <w:pPr>
        <w:ind w:left="3180" w:hanging="360"/>
      </w:pPr>
    </w:lvl>
    <w:lvl w:ilvl="4" w:tentative="0">
      <w:start w:val="1"/>
      <w:numFmt w:val="lowerLetter"/>
      <w:lvlText w:val="%5."/>
      <w:lvlJc w:val="left"/>
      <w:pPr>
        <w:ind w:left="3900" w:hanging="360"/>
      </w:pPr>
    </w:lvl>
    <w:lvl w:ilvl="5" w:tentative="0">
      <w:start w:val="1"/>
      <w:numFmt w:val="lowerRoman"/>
      <w:lvlText w:val="%6."/>
      <w:lvlJc w:val="right"/>
      <w:pPr>
        <w:ind w:left="4620" w:hanging="180"/>
      </w:pPr>
    </w:lvl>
    <w:lvl w:ilvl="6" w:tentative="0">
      <w:start w:val="1"/>
      <w:numFmt w:val="decimal"/>
      <w:lvlText w:val="%7."/>
      <w:lvlJc w:val="left"/>
      <w:pPr>
        <w:ind w:left="5340" w:hanging="360"/>
      </w:pPr>
    </w:lvl>
    <w:lvl w:ilvl="7" w:tentative="0">
      <w:start w:val="1"/>
      <w:numFmt w:val="lowerLetter"/>
      <w:lvlText w:val="%8."/>
      <w:lvlJc w:val="left"/>
      <w:pPr>
        <w:ind w:left="6060" w:hanging="360"/>
      </w:pPr>
    </w:lvl>
    <w:lvl w:ilvl="8" w:tentative="0">
      <w:start w:val="1"/>
      <w:numFmt w:val="lowerRoman"/>
      <w:lvlText w:val="%9."/>
      <w:lvlJc w:val="right"/>
      <w:pPr>
        <w:ind w:left="67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13D"/>
    <w:rsid w:val="00041900"/>
    <w:rsid w:val="001B605F"/>
    <w:rsid w:val="003F11E6"/>
    <w:rsid w:val="00444F6C"/>
    <w:rsid w:val="004874A4"/>
    <w:rsid w:val="00556247"/>
    <w:rsid w:val="00665763"/>
    <w:rsid w:val="007A77E0"/>
    <w:rsid w:val="007F213D"/>
    <w:rsid w:val="00802D5C"/>
    <w:rsid w:val="009962F9"/>
    <w:rsid w:val="00E12507"/>
    <w:rsid w:val="1BE475CF"/>
    <w:rsid w:val="5A4E3B9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spacing w:after="0" w:line="240" w:lineRule="auto"/>
    </w:pPr>
    <w:rPr>
      <w:rFonts w:ascii="Liberation Serif" w:hAnsi="Liberation Serif" w:eastAsia="NSimSun" w:cs="Arial"/>
      <w:kern w:val="2"/>
      <w:sz w:val="24"/>
      <w:szCs w:val="24"/>
      <w:lang w:val="en-US" w:eastAsia="zh-CN" w:bidi="hi-IN"/>
    </w:rPr>
  </w:style>
  <w:style w:type="paragraph" w:styleId="2">
    <w:name w:val="heading 2"/>
    <w:basedOn w:val="1"/>
    <w:next w:val="3"/>
    <w:link w:val="15"/>
    <w:unhideWhenUsed/>
    <w:qFormat/>
    <w:uiPriority w:val="9"/>
    <w:pPr>
      <w:keepNext/>
      <w:spacing w:before="200" w:after="120"/>
      <w:outlineLvl w:val="1"/>
    </w:pPr>
    <w:rPr>
      <w:b/>
      <w:bCs/>
      <w:sz w:val="36"/>
      <w:szCs w:val="36"/>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3">
    <w:name w:val="Body Text"/>
    <w:basedOn w:val="1"/>
    <w:link w:val="13"/>
    <w:uiPriority w:val="0"/>
    <w:pPr>
      <w:spacing w:after="140" w:line="276" w:lineRule="auto"/>
    </w:pPr>
  </w:style>
  <w:style w:type="paragraph" w:styleId="6">
    <w:name w:val="Balloon Text"/>
    <w:basedOn w:val="1"/>
    <w:link w:val="18"/>
    <w:semiHidden/>
    <w:unhideWhenUsed/>
    <w:qFormat/>
    <w:uiPriority w:val="99"/>
    <w:rPr>
      <w:rFonts w:ascii="Segoe UI" w:hAnsi="Segoe UI" w:cs="Mangal"/>
      <w:sz w:val="18"/>
      <w:szCs w:val="16"/>
    </w:rPr>
  </w:style>
  <w:style w:type="character" w:styleId="7">
    <w:name w:val="annotation reference"/>
    <w:basedOn w:val="4"/>
    <w:semiHidden/>
    <w:unhideWhenUsed/>
    <w:qFormat/>
    <w:uiPriority w:val="99"/>
    <w:rPr>
      <w:sz w:val="16"/>
      <w:szCs w:val="16"/>
    </w:rPr>
  </w:style>
  <w:style w:type="paragraph" w:styleId="8">
    <w:name w:val="annotation text"/>
    <w:basedOn w:val="1"/>
    <w:link w:val="16"/>
    <w:semiHidden/>
    <w:unhideWhenUsed/>
    <w:uiPriority w:val="99"/>
    <w:rPr>
      <w:rFonts w:cs="Mangal"/>
      <w:sz w:val="20"/>
      <w:szCs w:val="18"/>
    </w:rPr>
  </w:style>
  <w:style w:type="paragraph" w:styleId="9">
    <w:name w:val="annotation subject"/>
    <w:basedOn w:val="8"/>
    <w:next w:val="8"/>
    <w:link w:val="17"/>
    <w:semiHidden/>
    <w:unhideWhenUsed/>
    <w:uiPriority w:val="99"/>
    <w:rPr>
      <w:b/>
      <w:bCs/>
    </w:rPr>
  </w:style>
  <w:style w:type="paragraph" w:styleId="10">
    <w:name w:val="footer"/>
    <w:basedOn w:val="1"/>
    <w:link w:val="14"/>
    <w:unhideWhenUsed/>
    <w:qFormat/>
    <w:uiPriority w:val="99"/>
    <w:pPr>
      <w:tabs>
        <w:tab w:val="center" w:pos="4513"/>
        <w:tab w:val="right" w:pos="9026"/>
      </w:tabs>
    </w:pPr>
    <w:rPr>
      <w:rFonts w:cs="Mangal"/>
      <w:szCs w:val="21"/>
    </w:rPr>
  </w:style>
  <w:style w:type="character" w:styleId="11">
    <w:name w:val="Hyperlink"/>
    <w:qFormat/>
    <w:uiPriority w:val="0"/>
    <w:rPr>
      <w:color w:val="000080"/>
      <w:u w:val="single"/>
    </w:rPr>
  </w:style>
  <w:style w:type="character" w:styleId="12">
    <w:name w:val="Strong"/>
    <w:qFormat/>
    <w:uiPriority w:val="0"/>
    <w:rPr>
      <w:b/>
      <w:bCs/>
    </w:rPr>
  </w:style>
  <w:style w:type="character" w:customStyle="1" w:styleId="13">
    <w:name w:val="Body Text Char"/>
    <w:basedOn w:val="4"/>
    <w:link w:val="3"/>
    <w:qFormat/>
    <w:uiPriority w:val="0"/>
    <w:rPr>
      <w:rFonts w:ascii="Liberation Serif" w:hAnsi="Liberation Serif" w:eastAsia="NSimSun" w:cs="Arial"/>
      <w:kern w:val="2"/>
      <w:sz w:val="24"/>
      <w:szCs w:val="24"/>
      <w:lang w:val="en-US" w:eastAsia="zh-CN" w:bidi="hi-IN"/>
    </w:rPr>
  </w:style>
  <w:style w:type="character" w:customStyle="1" w:styleId="14">
    <w:name w:val="Footer Char"/>
    <w:basedOn w:val="4"/>
    <w:link w:val="10"/>
    <w:uiPriority w:val="99"/>
    <w:rPr>
      <w:rFonts w:ascii="Liberation Serif" w:hAnsi="Liberation Serif" w:eastAsia="NSimSun" w:cs="Mangal"/>
      <w:kern w:val="2"/>
      <w:sz w:val="24"/>
      <w:szCs w:val="21"/>
      <w:lang w:val="en-US" w:eastAsia="zh-CN" w:bidi="hi-IN"/>
    </w:rPr>
  </w:style>
  <w:style w:type="character" w:customStyle="1" w:styleId="15">
    <w:name w:val="Heading 2 Char"/>
    <w:basedOn w:val="4"/>
    <w:link w:val="2"/>
    <w:qFormat/>
    <w:uiPriority w:val="9"/>
    <w:rPr>
      <w:rFonts w:ascii="Liberation Serif" w:hAnsi="Liberation Serif" w:eastAsia="NSimSun" w:cs="Arial"/>
      <w:b/>
      <w:bCs/>
      <w:kern w:val="2"/>
      <w:sz w:val="36"/>
      <w:szCs w:val="36"/>
      <w:lang w:val="en-US" w:eastAsia="zh-CN" w:bidi="hi-IN"/>
    </w:rPr>
  </w:style>
  <w:style w:type="character" w:customStyle="1" w:styleId="16">
    <w:name w:val="Comment Text Char"/>
    <w:basedOn w:val="4"/>
    <w:link w:val="8"/>
    <w:semiHidden/>
    <w:uiPriority w:val="99"/>
    <w:rPr>
      <w:rFonts w:ascii="Liberation Serif" w:hAnsi="Liberation Serif" w:eastAsia="NSimSun" w:cs="Mangal"/>
      <w:kern w:val="2"/>
      <w:sz w:val="20"/>
      <w:szCs w:val="18"/>
      <w:lang w:val="en-US" w:eastAsia="zh-CN" w:bidi="hi-IN"/>
    </w:rPr>
  </w:style>
  <w:style w:type="character" w:customStyle="1" w:styleId="17">
    <w:name w:val="Comment Subject Char"/>
    <w:basedOn w:val="16"/>
    <w:link w:val="9"/>
    <w:semiHidden/>
    <w:qFormat/>
    <w:uiPriority w:val="99"/>
    <w:rPr>
      <w:rFonts w:ascii="Liberation Serif" w:hAnsi="Liberation Serif" w:eastAsia="NSimSun" w:cs="Mangal"/>
      <w:b/>
      <w:bCs/>
      <w:kern w:val="2"/>
      <w:sz w:val="20"/>
      <w:szCs w:val="18"/>
      <w:lang w:val="en-US" w:eastAsia="zh-CN" w:bidi="hi-IN"/>
    </w:rPr>
  </w:style>
  <w:style w:type="character" w:customStyle="1" w:styleId="18">
    <w:name w:val="Balloon Text Char"/>
    <w:basedOn w:val="4"/>
    <w:link w:val="6"/>
    <w:semiHidden/>
    <w:uiPriority w:val="99"/>
    <w:rPr>
      <w:rFonts w:ascii="Segoe UI" w:hAnsi="Segoe UI" w:eastAsia="NSimSun" w:cs="Mangal"/>
      <w:kern w:val="2"/>
      <w:sz w:val="18"/>
      <w:szCs w:val="16"/>
      <w:lang w:val="en-US" w:eastAsia="zh-CN" w:bidi="hi-IN"/>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5B5F8-E02C-4D81-86B7-6C0BB63BAB0B}">
  <ds:schemaRefs/>
</ds:datastoreItem>
</file>

<file path=docProps/app.xml><?xml version="1.0" encoding="utf-8"?>
<Properties xmlns="http://schemas.openxmlformats.org/officeDocument/2006/extended-properties" xmlns:vt="http://schemas.openxmlformats.org/officeDocument/2006/docPropsVTypes">
  <Template>Normal</Template>
  <Pages>13</Pages>
  <Words>2912</Words>
  <Characters>17228</Characters>
  <Lines>155</Lines>
  <Paragraphs>43</Paragraphs>
  <TotalTime>3</TotalTime>
  <ScaleCrop>false</ScaleCrop>
  <LinksUpToDate>false</LinksUpToDate>
  <CharactersWithSpaces>20155</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2026-10-21T13:51:00Z</dcterms:created>
  <dc:creator>ADMIN</dc:creator>
  <cp:lastModifiedBy>Jaynil</cp:lastModifiedBy>
  <dcterms:modified xsi:type="dcterms:W3CDTF">2026-10-22T08:38:22Z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eyJoZGlkIjoiZTUzZTNhZDA5MWQ4OWIyNWEyY2ExYzllMWJmYzBjYTAiLCJ1c2VySWQiOiI1NjcxNzg5OTY0MTkifQ==</vt:lpwstr>
  </property>
  <property fmtid="{D5CDD505-2E9C-101B-9397-08002B2CF9AE}" pid="3" name="KSOProductBuildVer">
    <vt:lpwstr>1033-12.1.0.29162</vt:lpwstr>
  </property>
  <property fmtid="{D5CDD505-2E9C-101B-9397-08002B2CF9AE}" pid="4" name="ICV">
    <vt:lpwstr>FDD81258B1E04C2A8290AA74C7EA2A1D_13</vt:lpwstr>
  </property>
</Properties>
</file>