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D30504" w14:textId="77777777" w:rsidR="000B0BD9" w:rsidRDefault="000B0BD9" w:rsidP="000B0BD9">
      <w:pPr>
        <w:spacing w:line="480" w:lineRule="auto"/>
        <w:jc w:val="center"/>
        <w:rPr>
          <w:b/>
          <w:bCs/>
          <w:sz w:val="36"/>
          <w:szCs w:val="36"/>
        </w:rPr>
      </w:pPr>
      <w:r>
        <w:rPr>
          <w:noProof/>
        </w:rPr>
        <w:drawing>
          <wp:inline distT="0" distB="0" distL="0" distR="0" wp14:anchorId="0BA8F1F6" wp14:editId="6B572B54">
            <wp:extent cx="4552950" cy="1973580"/>
            <wp:effectExtent l="0" t="0" r="0" b="7620"/>
            <wp:docPr id="34" name="Picture 1"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34" name="Picture 1" descr="A black text on a white background&#10;&#10;Description automatically generated"/>
                    <pic:cNvPicPr/>
                  </pic:nvPicPr>
                  <pic:blipFill>
                    <a:blip r:embed="rId7"/>
                    <a:stretch>
                      <a:fillRect/>
                    </a:stretch>
                  </pic:blipFill>
                  <pic:spPr>
                    <a:xfrm>
                      <a:off x="0" y="0"/>
                      <a:ext cx="4552950" cy="1973580"/>
                    </a:xfrm>
                    <a:prstGeom prst="rect">
                      <a:avLst/>
                    </a:prstGeom>
                  </pic:spPr>
                </pic:pic>
              </a:graphicData>
            </a:graphic>
          </wp:inline>
        </w:drawing>
      </w:r>
    </w:p>
    <w:p w14:paraId="40745154" w14:textId="77777777" w:rsidR="000B0BD9" w:rsidRPr="00462B38" w:rsidRDefault="000B0BD9" w:rsidP="000B0BD9">
      <w:pPr>
        <w:jc w:val="center"/>
        <w:rPr>
          <w:b/>
          <w:bCs/>
          <w:sz w:val="40"/>
          <w:szCs w:val="40"/>
        </w:rPr>
      </w:pPr>
      <w:r w:rsidRPr="006D6CE8">
        <w:rPr>
          <w:b/>
          <w:bCs/>
          <w:sz w:val="40"/>
          <w:szCs w:val="40"/>
        </w:rPr>
        <w:t>BA (Hons) Leadership and Management Skills for the Workplace</w:t>
      </w:r>
    </w:p>
    <w:p w14:paraId="4960EC6A" w14:textId="4EEEA349" w:rsidR="000B0BD9" w:rsidRPr="006D6CE8" w:rsidRDefault="000B0BD9" w:rsidP="000B0BD9">
      <w:pPr>
        <w:jc w:val="center"/>
        <w:rPr>
          <w:sz w:val="40"/>
          <w:szCs w:val="40"/>
        </w:rPr>
      </w:pPr>
      <w:r w:rsidRPr="006D6CE8">
        <w:rPr>
          <w:sz w:val="40"/>
          <w:szCs w:val="40"/>
        </w:rPr>
        <w:t xml:space="preserve"> </w:t>
      </w:r>
      <w:r>
        <w:rPr>
          <w:b/>
          <w:bCs/>
          <w:sz w:val="40"/>
          <w:szCs w:val="40"/>
        </w:rPr>
        <w:t>STRATEGIC MANAGEMENT for BUSINESS</w:t>
      </w:r>
      <w:r w:rsidRPr="006D6CE8">
        <w:rPr>
          <w:b/>
          <w:bCs/>
          <w:sz w:val="40"/>
          <w:szCs w:val="40"/>
        </w:rPr>
        <w:t xml:space="preserve"> (</w:t>
      </w:r>
      <w:r>
        <w:rPr>
          <w:b/>
          <w:bCs/>
          <w:sz w:val="40"/>
          <w:szCs w:val="40"/>
        </w:rPr>
        <w:t>LCLM</w:t>
      </w:r>
      <w:r>
        <w:rPr>
          <w:b/>
          <w:bCs/>
          <w:sz w:val="40"/>
          <w:szCs w:val="40"/>
        </w:rPr>
        <w:t>6</w:t>
      </w:r>
      <w:r>
        <w:rPr>
          <w:b/>
          <w:bCs/>
          <w:sz w:val="40"/>
          <w:szCs w:val="40"/>
        </w:rPr>
        <w:t>00</w:t>
      </w:r>
      <w:r>
        <w:rPr>
          <w:b/>
          <w:bCs/>
          <w:sz w:val="40"/>
          <w:szCs w:val="40"/>
        </w:rPr>
        <w:t>1</w:t>
      </w:r>
      <w:r w:rsidRPr="006D6CE8">
        <w:rPr>
          <w:b/>
          <w:bCs/>
          <w:sz w:val="40"/>
          <w:szCs w:val="40"/>
        </w:rPr>
        <w:t>)</w:t>
      </w:r>
    </w:p>
    <w:p w14:paraId="265A83BD" w14:textId="77777777" w:rsidR="000B0BD9" w:rsidRPr="006D6CE8" w:rsidRDefault="000B0BD9" w:rsidP="000B0BD9">
      <w:pPr>
        <w:jc w:val="center"/>
        <w:rPr>
          <w:sz w:val="40"/>
          <w:szCs w:val="40"/>
        </w:rPr>
      </w:pPr>
      <w:r w:rsidRPr="006D6CE8">
        <w:rPr>
          <w:b/>
          <w:bCs/>
          <w:sz w:val="40"/>
          <w:szCs w:val="40"/>
        </w:rPr>
        <w:t>Student Name: Andrei Silviu Popina</w:t>
      </w:r>
    </w:p>
    <w:p w14:paraId="797CAC58" w14:textId="77777777" w:rsidR="000B0BD9" w:rsidRPr="006D6CE8" w:rsidRDefault="000B0BD9" w:rsidP="000B0BD9">
      <w:pPr>
        <w:jc w:val="center"/>
        <w:rPr>
          <w:b/>
          <w:bCs/>
          <w:sz w:val="40"/>
          <w:szCs w:val="40"/>
        </w:rPr>
      </w:pPr>
      <w:r w:rsidRPr="006D6CE8">
        <w:rPr>
          <w:b/>
          <w:bCs/>
          <w:sz w:val="40"/>
          <w:szCs w:val="40"/>
        </w:rPr>
        <w:t>Student number: 2332738</w:t>
      </w:r>
    </w:p>
    <w:p w14:paraId="3EEC9F22" w14:textId="45597963" w:rsidR="000B0BD9" w:rsidRDefault="000B0BD9" w:rsidP="000B0BD9">
      <w:pPr>
        <w:jc w:val="center"/>
        <w:rPr>
          <w:b/>
          <w:bCs/>
          <w:sz w:val="40"/>
          <w:szCs w:val="40"/>
        </w:rPr>
      </w:pPr>
      <w:r w:rsidRPr="006D6CE8">
        <w:rPr>
          <w:b/>
          <w:bCs/>
          <w:sz w:val="40"/>
          <w:szCs w:val="40"/>
        </w:rPr>
        <w:t xml:space="preserve">Lecturer Name: </w:t>
      </w:r>
      <w:r>
        <w:rPr>
          <w:b/>
          <w:bCs/>
          <w:sz w:val="40"/>
          <w:szCs w:val="40"/>
        </w:rPr>
        <w:t xml:space="preserve">Laila </w:t>
      </w:r>
      <w:proofErr w:type="spellStart"/>
      <w:r>
        <w:rPr>
          <w:b/>
          <w:bCs/>
          <w:sz w:val="40"/>
          <w:szCs w:val="40"/>
        </w:rPr>
        <w:t>Maazouz</w:t>
      </w:r>
      <w:proofErr w:type="spellEnd"/>
    </w:p>
    <w:p w14:paraId="764C809D" w14:textId="21B3E02B" w:rsidR="000B0BD9" w:rsidRPr="000B0BD9" w:rsidRDefault="000B0BD9" w:rsidP="000B0BD9">
      <w:pPr>
        <w:jc w:val="center"/>
        <w:rPr>
          <w:b/>
          <w:bCs/>
          <w:sz w:val="40"/>
          <w:szCs w:val="40"/>
        </w:rPr>
      </w:pPr>
      <w:r w:rsidRPr="006D6CE8">
        <w:rPr>
          <w:b/>
          <w:bCs/>
          <w:sz w:val="40"/>
          <w:szCs w:val="40"/>
        </w:rPr>
        <w:t xml:space="preserve">Submission Deadline: </w:t>
      </w:r>
      <w:r>
        <w:rPr>
          <w:b/>
          <w:bCs/>
          <w:sz w:val="40"/>
          <w:szCs w:val="40"/>
        </w:rPr>
        <w:t>12</w:t>
      </w:r>
      <w:r w:rsidRPr="006D6CE8">
        <w:rPr>
          <w:b/>
          <w:bCs/>
          <w:sz w:val="40"/>
          <w:szCs w:val="40"/>
        </w:rPr>
        <w:t>.</w:t>
      </w:r>
      <w:r>
        <w:rPr>
          <w:b/>
          <w:bCs/>
          <w:sz w:val="40"/>
          <w:szCs w:val="40"/>
        </w:rPr>
        <w:t>0</w:t>
      </w:r>
      <w:r>
        <w:rPr>
          <w:b/>
          <w:bCs/>
          <w:sz w:val="40"/>
          <w:szCs w:val="40"/>
        </w:rPr>
        <w:t>8</w:t>
      </w:r>
      <w:r w:rsidRPr="006D6CE8">
        <w:rPr>
          <w:b/>
          <w:bCs/>
          <w:sz w:val="40"/>
          <w:szCs w:val="40"/>
        </w:rPr>
        <w:t>.202</w:t>
      </w:r>
      <w:r>
        <w:rPr>
          <w:b/>
          <w:bCs/>
          <w:sz w:val="40"/>
          <w:szCs w:val="40"/>
        </w:rPr>
        <w:t>6</w:t>
      </w:r>
      <w:r w:rsidRPr="00462B38">
        <w:rPr>
          <w:b/>
          <w:bCs/>
          <w:sz w:val="32"/>
          <w:szCs w:val="32"/>
        </w:rPr>
        <w:t xml:space="preserve"> </w:t>
      </w:r>
    </w:p>
    <w:p w14:paraId="3FFB40A6" w14:textId="77777777" w:rsidR="000B0BD9" w:rsidRDefault="000B0BD9" w:rsidP="000B0BD9"/>
    <w:p w14:paraId="5452E97E" w14:textId="000CDF4C" w:rsidR="00E23E7B" w:rsidRPr="000B0BD9" w:rsidRDefault="00E23E7B" w:rsidP="000B0BD9">
      <w:pPr>
        <w:spacing w:after="240"/>
        <w:jc w:val="center"/>
        <w:rPr>
          <w:rFonts w:ascii="Times New Roman" w:hAnsi="Times New Roman" w:cs="Times New Roman"/>
          <w:sz w:val="32"/>
          <w:szCs w:val="32"/>
        </w:rPr>
      </w:pPr>
      <w:r w:rsidRPr="000B0BD9">
        <w:rPr>
          <w:rFonts w:ascii="Times New Roman" w:hAnsi="Times New Roman" w:cs="Times New Roman"/>
          <w:b/>
          <w:bCs/>
          <w:sz w:val="32"/>
          <w:szCs w:val="32"/>
        </w:rPr>
        <w:t>Assignment Title: Individual Report</w:t>
      </w:r>
    </w:p>
    <w:p w14:paraId="0BD47106" w14:textId="19FCB6F0" w:rsidR="00E23E7B" w:rsidRPr="000B0BD9" w:rsidRDefault="00E23E7B" w:rsidP="00E23E7B">
      <w:pPr>
        <w:spacing w:after="720"/>
        <w:jc w:val="center"/>
        <w:rPr>
          <w:rFonts w:ascii="Times New Roman" w:hAnsi="Times New Roman" w:cs="Times New Roman"/>
          <w:sz w:val="32"/>
          <w:szCs w:val="32"/>
        </w:rPr>
      </w:pPr>
      <w:r w:rsidRPr="000B0BD9">
        <w:rPr>
          <w:rFonts w:ascii="Times New Roman" w:hAnsi="Times New Roman" w:cs="Times New Roman"/>
          <w:b/>
          <w:bCs/>
          <w:sz w:val="32"/>
          <w:szCs w:val="32"/>
        </w:rPr>
        <w:t>Growth Strategies for Vodafone UK following the Vodafone Three Merger</w:t>
      </w:r>
    </w:p>
    <w:p w14:paraId="42D8A86C" w14:textId="77777777" w:rsidR="00F41A15" w:rsidRDefault="00F41A15">
      <w:pPr>
        <w:rPr>
          <w:rFonts w:ascii="Times New Roman" w:hAnsi="Times New Roman" w:cs="Times New Roman"/>
        </w:rPr>
      </w:pPr>
    </w:p>
    <w:p w14:paraId="5F66F14D" w14:textId="77777777" w:rsidR="00E23E7B" w:rsidRPr="00E23E7B" w:rsidRDefault="00E23E7B" w:rsidP="00E23E7B">
      <w:pPr>
        <w:rPr>
          <w:rFonts w:ascii="Times New Roman" w:hAnsi="Times New Roman" w:cs="Times New Roman"/>
        </w:rPr>
      </w:pPr>
    </w:p>
    <w:p w14:paraId="4C34824C" w14:textId="77777777" w:rsidR="00E23E7B" w:rsidRPr="00E23E7B" w:rsidRDefault="00E23E7B" w:rsidP="00E23E7B">
      <w:pPr>
        <w:rPr>
          <w:rFonts w:ascii="Times New Roman" w:hAnsi="Times New Roman" w:cs="Times New Roman"/>
        </w:rPr>
      </w:pPr>
    </w:p>
    <w:p w14:paraId="250B72FC" w14:textId="77777777" w:rsidR="00E23E7B" w:rsidRPr="00E23E7B" w:rsidRDefault="00E23E7B" w:rsidP="00E23E7B">
      <w:pPr>
        <w:rPr>
          <w:rFonts w:ascii="Times New Roman" w:hAnsi="Times New Roman" w:cs="Times New Roman"/>
        </w:rPr>
      </w:pPr>
    </w:p>
    <w:p w14:paraId="12196A82" w14:textId="77777777" w:rsidR="00E23E7B" w:rsidRPr="00E23E7B" w:rsidRDefault="00E23E7B" w:rsidP="00E23E7B">
      <w:pPr>
        <w:rPr>
          <w:rFonts w:ascii="Times New Roman" w:hAnsi="Times New Roman" w:cs="Times New Roman"/>
        </w:rPr>
      </w:pPr>
    </w:p>
    <w:p w14:paraId="4E2760F0" w14:textId="77777777" w:rsidR="00E23E7B" w:rsidRPr="00E23E7B" w:rsidRDefault="00E23E7B" w:rsidP="00E23E7B">
      <w:pPr>
        <w:rPr>
          <w:rFonts w:ascii="Times New Roman" w:hAnsi="Times New Roman" w:cs="Times New Roman"/>
        </w:rPr>
      </w:pPr>
    </w:p>
    <w:p w14:paraId="4B439813" w14:textId="77777777" w:rsidR="00E23E7B" w:rsidRPr="00E23E7B" w:rsidRDefault="00E23E7B" w:rsidP="00E23E7B">
      <w:pPr>
        <w:rPr>
          <w:rFonts w:ascii="Times New Roman" w:hAnsi="Times New Roman" w:cs="Times New Roman"/>
        </w:rPr>
      </w:pPr>
    </w:p>
    <w:p w14:paraId="2C1786BF" w14:textId="77777777" w:rsidR="00E23E7B" w:rsidRPr="00E23E7B" w:rsidRDefault="00E23E7B" w:rsidP="00E23E7B">
      <w:pPr>
        <w:rPr>
          <w:rFonts w:ascii="Times New Roman" w:hAnsi="Times New Roman" w:cs="Times New Roman"/>
        </w:rPr>
      </w:pPr>
    </w:p>
    <w:p w14:paraId="2CD461F2" w14:textId="77777777" w:rsidR="00E23E7B" w:rsidRDefault="00E23E7B" w:rsidP="00E23E7B">
      <w:pPr>
        <w:rPr>
          <w:rFonts w:ascii="Times New Roman" w:hAnsi="Times New Roman" w:cs="Times New Roman"/>
        </w:rPr>
      </w:pPr>
    </w:p>
    <w:p w14:paraId="2F3E7BD5" w14:textId="4F07970F" w:rsidR="00B918CD" w:rsidRDefault="00B918CD" w:rsidP="00B918CD">
      <w:pPr>
        <w:pStyle w:val="Heading1"/>
      </w:pPr>
      <w:r>
        <w:t>Word count: 29</w:t>
      </w:r>
      <w:r>
        <w:t>86</w:t>
      </w:r>
    </w:p>
    <w:p w14:paraId="2B34E0B9" w14:textId="72D36A23" w:rsidR="000B0BD9" w:rsidRDefault="000B0BD9" w:rsidP="00E23E7B">
      <w:pPr>
        <w:rPr>
          <w:rFonts w:ascii="Times New Roman" w:hAnsi="Times New Roman" w:cs="Times New Roman"/>
        </w:rPr>
      </w:pPr>
    </w:p>
    <w:p w14:paraId="416AD81B" w14:textId="77777777" w:rsidR="000B0BD9" w:rsidRDefault="000B0BD9" w:rsidP="00E23E7B">
      <w:pPr>
        <w:rPr>
          <w:rFonts w:ascii="Times New Roman" w:hAnsi="Times New Roman" w:cs="Times New Roman"/>
        </w:rPr>
      </w:pPr>
    </w:p>
    <w:p w14:paraId="6C1BF295" w14:textId="77777777" w:rsidR="000B0BD9" w:rsidRDefault="000B0BD9" w:rsidP="00E23E7B">
      <w:pPr>
        <w:rPr>
          <w:rFonts w:ascii="Times New Roman" w:hAnsi="Times New Roman" w:cs="Times New Roman"/>
        </w:rPr>
      </w:pPr>
    </w:p>
    <w:p w14:paraId="402041C5" w14:textId="77777777" w:rsidR="00E23E7B" w:rsidRPr="00700100" w:rsidRDefault="00E23E7B" w:rsidP="00E23E7B">
      <w:pPr>
        <w:pStyle w:val="Heading1"/>
        <w:rPr>
          <w:color w:val="auto"/>
        </w:rPr>
      </w:pPr>
      <w:bookmarkStart w:id="0" w:name="_Toc236867218"/>
      <w:r w:rsidRPr="00700100">
        <w:rPr>
          <w:color w:val="auto"/>
          <w:sz w:val="28"/>
          <w:szCs w:val="28"/>
        </w:rPr>
        <w:lastRenderedPageBreak/>
        <w:t>1. Executive Summary</w:t>
      </w:r>
      <w:bookmarkEnd w:id="0"/>
    </w:p>
    <w:p w14:paraId="6BD3DA41" w14:textId="77777777" w:rsid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 xml:space="preserve">This report will guide the Vodafone board on the pathways for strategic growth going forward </w:t>
      </w:r>
      <w:proofErr w:type="gramStart"/>
      <w:r w:rsidRPr="00E23E7B">
        <w:rPr>
          <w:rFonts w:ascii="Times New Roman" w:hAnsi="Times New Roman" w:cs="Times New Roman"/>
          <w:sz w:val="24"/>
          <w:szCs w:val="24"/>
        </w:rPr>
        <w:t>as a result of</w:t>
      </w:r>
      <w:proofErr w:type="gramEnd"/>
      <w:r w:rsidRPr="00E23E7B">
        <w:rPr>
          <w:rFonts w:ascii="Times New Roman" w:hAnsi="Times New Roman" w:cs="Times New Roman"/>
          <w:sz w:val="24"/>
          <w:szCs w:val="24"/>
        </w:rPr>
        <w:t xml:space="preserve"> the sixteen and a half </w:t>
      </w:r>
      <w:proofErr w:type="gramStart"/>
      <w:r w:rsidRPr="00E23E7B">
        <w:rPr>
          <w:rFonts w:ascii="Times New Roman" w:hAnsi="Times New Roman" w:cs="Times New Roman"/>
          <w:sz w:val="24"/>
          <w:szCs w:val="24"/>
        </w:rPr>
        <w:t>billion pound</w:t>
      </w:r>
      <w:proofErr w:type="gramEnd"/>
      <w:r w:rsidRPr="00E23E7B">
        <w:rPr>
          <w:rFonts w:ascii="Times New Roman" w:hAnsi="Times New Roman" w:cs="Times New Roman"/>
          <w:sz w:val="24"/>
          <w:szCs w:val="24"/>
        </w:rPr>
        <w:t xml:space="preserve"> mobile operator merger with Three UK, resulting in the creation of </w:t>
      </w:r>
      <w:proofErr w:type="spellStart"/>
      <w:r w:rsidRPr="00E23E7B">
        <w:rPr>
          <w:rFonts w:ascii="Times New Roman" w:hAnsi="Times New Roman" w:cs="Times New Roman"/>
          <w:sz w:val="24"/>
          <w:szCs w:val="24"/>
        </w:rPr>
        <w:t>VodafoneThree</w:t>
      </w:r>
      <w:proofErr w:type="spellEnd"/>
      <w:r w:rsidRPr="00E23E7B">
        <w:rPr>
          <w:rFonts w:ascii="Times New Roman" w:hAnsi="Times New Roman" w:cs="Times New Roman"/>
          <w:sz w:val="24"/>
          <w:szCs w:val="24"/>
        </w:rPr>
        <w:t xml:space="preserve"> as the UK's biggest mobile operator. External and internal analyses carried out using the PESTEL and Porter's Five Forces &amp; SWOT methodologies indicate that the market is </w:t>
      </w:r>
      <w:proofErr w:type="gramStart"/>
      <w:r w:rsidRPr="00E23E7B">
        <w:rPr>
          <w:rFonts w:ascii="Times New Roman" w:hAnsi="Times New Roman" w:cs="Times New Roman"/>
          <w:sz w:val="24"/>
          <w:szCs w:val="24"/>
        </w:rPr>
        <w:t>maturing</w:t>
      </w:r>
      <w:proofErr w:type="gramEnd"/>
      <w:r w:rsidRPr="00E23E7B">
        <w:rPr>
          <w:rFonts w:ascii="Times New Roman" w:hAnsi="Times New Roman" w:cs="Times New Roman"/>
          <w:sz w:val="24"/>
          <w:szCs w:val="24"/>
        </w:rPr>
        <w:t xml:space="preserve"> and consolidation is expected to be the key </w:t>
      </w:r>
      <w:proofErr w:type="gramStart"/>
      <w:r w:rsidRPr="00E23E7B">
        <w:rPr>
          <w:rFonts w:ascii="Times New Roman" w:hAnsi="Times New Roman" w:cs="Times New Roman"/>
          <w:sz w:val="24"/>
          <w:szCs w:val="24"/>
        </w:rPr>
        <w:t>in the near future</w:t>
      </w:r>
      <w:proofErr w:type="gramEnd"/>
      <w:r w:rsidRPr="00E23E7B">
        <w:rPr>
          <w:rFonts w:ascii="Times New Roman" w:hAnsi="Times New Roman" w:cs="Times New Roman"/>
          <w:sz w:val="24"/>
          <w:szCs w:val="24"/>
        </w:rPr>
        <w:t xml:space="preserve">, where scale, spectrum depth and standalone 5G capability has become the key levers for competitive advantage. Analysis of </w:t>
      </w:r>
      <w:proofErr w:type="spellStart"/>
      <w:r w:rsidRPr="00E23E7B">
        <w:rPr>
          <w:rFonts w:ascii="Times New Roman" w:hAnsi="Times New Roman" w:cs="Times New Roman"/>
          <w:sz w:val="24"/>
          <w:szCs w:val="24"/>
        </w:rPr>
        <w:t>Ansoft’s</w:t>
      </w:r>
      <w:proofErr w:type="spellEnd"/>
      <w:r w:rsidRPr="00E23E7B">
        <w:rPr>
          <w:rFonts w:ascii="Times New Roman" w:hAnsi="Times New Roman" w:cs="Times New Roman"/>
          <w:sz w:val="24"/>
          <w:szCs w:val="24"/>
        </w:rPr>
        <w:t xml:space="preserve"> matrix and Porter's generic strategies has shown that a differentiation-led market development strategy, defined by premium standalone 5G, enterprise IoT (Internet of Things) services and a focus on rural coverage expansion, is the best fit for the increased asset base, coupled with the firm commitment to </w:t>
      </w:r>
      <w:proofErr w:type="gramStart"/>
      <w:r w:rsidRPr="00E23E7B">
        <w:rPr>
          <w:rFonts w:ascii="Times New Roman" w:hAnsi="Times New Roman" w:cs="Times New Roman"/>
          <w:sz w:val="24"/>
          <w:szCs w:val="24"/>
        </w:rPr>
        <w:t>a</w:t>
      </w:r>
      <w:proofErr w:type="gramEnd"/>
      <w:r w:rsidRPr="00E23E7B">
        <w:rPr>
          <w:rFonts w:ascii="Times New Roman" w:hAnsi="Times New Roman" w:cs="Times New Roman"/>
          <w:sz w:val="24"/>
          <w:szCs w:val="24"/>
        </w:rPr>
        <w:t xml:space="preserve"> </w:t>
      </w:r>
      <w:proofErr w:type="gramStart"/>
      <w:r w:rsidRPr="00E23E7B">
        <w:rPr>
          <w:rFonts w:ascii="Times New Roman" w:hAnsi="Times New Roman" w:cs="Times New Roman"/>
          <w:sz w:val="24"/>
          <w:szCs w:val="24"/>
        </w:rPr>
        <w:t>11 billion pound</w:t>
      </w:r>
      <w:proofErr w:type="gramEnd"/>
      <w:r w:rsidRPr="00E23E7B">
        <w:rPr>
          <w:rFonts w:ascii="Times New Roman" w:hAnsi="Times New Roman" w:cs="Times New Roman"/>
          <w:sz w:val="24"/>
          <w:szCs w:val="24"/>
        </w:rPr>
        <w:t xml:space="preserve"> decadal financial investment plan. Strategic alignment with regulatory commitments, financial resources, and stakeholders is given endorsement by the Suitability, Feasibility and Acceptability evaluation; and a structured 3-year implementation plan with </w:t>
      </w:r>
      <w:proofErr w:type="gramStart"/>
      <w:r w:rsidRPr="00E23E7B">
        <w:rPr>
          <w:rFonts w:ascii="Times New Roman" w:hAnsi="Times New Roman" w:cs="Times New Roman"/>
          <w:sz w:val="24"/>
          <w:szCs w:val="24"/>
        </w:rPr>
        <w:t>clearly-defined</w:t>
      </w:r>
      <w:proofErr w:type="gramEnd"/>
      <w:r w:rsidRPr="00E23E7B">
        <w:rPr>
          <w:rFonts w:ascii="Times New Roman" w:hAnsi="Times New Roman" w:cs="Times New Roman"/>
          <w:sz w:val="24"/>
          <w:szCs w:val="24"/>
        </w:rPr>
        <w:t xml:space="preserve"> KPIs will help Vodafone turn scale into sustainable and inclusive growth.</w:t>
      </w:r>
    </w:p>
    <w:p w14:paraId="3D8D0CEE" w14:textId="77777777" w:rsidR="00E23E7B" w:rsidRDefault="00E23E7B" w:rsidP="00E23E7B">
      <w:pPr>
        <w:spacing w:line="360" w:lineRule="auto"/>
        <w:jc w:val="both"/>
        <w:rPr>
          <w:rFonts w:ascii="Times New Roman" w:hAnsi="Times New Roman" w:cs="Times New Roman"/>
          <w:sz w:val="24"/>
          <w:szCs w:val="24"/>
        </w:rPr>
      </w:pPr>
    </w:p>
    <w:p w14:paraId="1B0FC2F2" w14:textId="77777777" w:rsidR="00E23E7B" w:rsidRDefault="00E23E7B" w:rsidP="00E23E7B">
      <w:pPr>
        <w:spacing w:line="360" w:lineRule="auto"/>
        <w:jc w:val="both"/>
        <w:rPr>
          <w:rFonts w:ascii="Times New Roman" w:hAnsi="Times New Roman" w:cs="Times New Roman"/>
          <w:sz w:val="24"/>
          <w:szCs w:val="24"/>
        </w:rPr>
      </w:pPr>
    </w:p>
    <w:p w14:paraId="62DD9BD5" w14:textId="77777777" w:rsidR="00E23E7B" w:rsidRDefault="00E23E7B" w:rsidP="00E23E7B">
      <w:pPr>
        <w:spacing w:line="360" w:lineRule="auto"/>
        <w:jc w:val="both"/>
        <w:rPr>
          <w:rFonts w:ascii="Times New Roman" w:hAnsi="Times New Roman" w:cs="Times New Roman"/>
          <w:sz w:val="24"/>
          <w:szCs w:val="24"/>
        </w:rPr>
      </w:pPr>
    </w:p>
    <w:p w14:paraId="0097136D" w14:textId="77777777" w:rsidR="00E23E7B" w:rsidRDefault="00E23E7B" w:rsidP="00E23E7B">
      <w:pPr>
        <w:spacing w:line="360" w:lineRule="auto"/>
        <w:jc w:val="both"/>
        <w:rPr>
          <w:rFonts w:ascii="Times New Roman" w:hAnsi="Times New Roman" w:cs="Times New Roman"/>
          <w:sz w:val="24"/>
          <w:szCs w:val="24"/>
        </w:rPr>
      </w:pPr>
    </w:p>
    <w:p w14:paraId="6DC55B09" w14:textId="77777777" w:rsidR="00E23E7B" w:rsidRDefault="00E23E7B" w:rsidP="00E23E7B">
      <w:pPr>
        <w:spacing w:line="360" w:lineRule="auto"/>
        <w:jc w:val="both"/>
        <w:rPr>
          <w:rFonts w:ascii="Times New Roman" w:hAnsi="Times New Roman" w:cs="Times New Roman"/>
          <w:sz w:val="24"/>
          <w:szCs w:val="24"/>
        </w:rPr>
      </w:pPr>
    </w:p>
    <w:p w14:paraId="555EED5D" w14:textId="77777777" w:rsidR="00E23E7B" w:rsidRDefault="00E23E7B" w:rsidP="00E23E7B">
      <w:pPr>
        <w:spacing w:line="360" w:lineRule="auto"/>
        <w:jc w:val="both"/>
        <w:rPr>
          <w:rFonts w:ascii="Times New Roman" w:hAnsi="Times New Roman" w:cs="Times New Roman"/>
          <w:sz w:val="24"/>
          <w:szCs w:val="24"/>
        </w:rPr>
      </w:pPr>
    </w:p>
    <w:p w14:paraId="5FA0E9FD" w14:textId="77777777" w:rsidR="00E23E7B" w:rsidRDefault="00E23E7B" w:rsidP="00E23E7B">
      <w:pPr>
        <w:spacing w:line="360" w:lineRule="auto"/>
        <w:jc w:val="both"/>
        <w:rPr>
          <w:rFonts w:ascii="Times New Roman" w:hAnsi="Times New Roman" w:cs="Times New Roman"/>
          <w:sz w:val="24"/>
          <w:szCs w:val="24"/>
        </w:rPr>
      </w:pPr>
    </w:p>
    <w:p w14:paraId="430A0452" w14:textId="77777777" w:rsidR="00E23E7B" w:rsidRDefault="00E23E7B" w:rsidP="00E23E7B">
      <w:pPr>
        <w:spacing w:line="360" w:lineRule="auto"/>
        <w:jc w:val="both"/>
        <w:rPr>
          <w:rFonts w:ascii="Times New Roman" w:hAnsi="Times New Roman" w:cs="Times New Roman"/>
          <w:sz w:val="24"/>
          <w:szCs w:val="24"/>
        </w:rPr>
      </w:pPr>
    </w:p>
    <w:p w14:paraId="31B17404" w14:textId="77777777" w:rsidR="00E23E7B" w:rsidRDefault="00E23E7B" w:rsidP="00E23E7B">
      <w:pPr>
        <w:spacing w:line="360" w:lineRule="auto"/>
        <w:jc w:val="both"/>
        <w:rPr>
          <w:rFonts w:ascii="Times New Roman" w:hAnsi="Times New Roman" w:cs="Times New Roman"/>
          <w:sz w:val="24"/>
          <w:szCs w:val="24"/>
        </w:rPr>
      </w:pPr>
    </w:p>
    <w:p w14:paraId="7F333EDD" w14:textId="77777777" w:rsidR="00E23E7B" w:rsidRDefault="00E23E7B" w:rsidP="00E23E7B">
      <w:pPr>
        <w:spacing w:line="360" w:lineRule="auto"/>
        <w:jc w:val="both"/>
        <w:rPr>
          <w:rFonts w:ascii="Times New Roman" w:hAnsi="Times New Roman" w:cs="Times New Roman"/>
          <w:sz w:val="24"/>
          <w:szCs w:val="24"/>
        </w:rPr>
      </w:pPr>
    </w:p>
    <w:p w14:paraId="4B95074B" w14:textId="77777777" w:rsidR="00E23E7B" w:rsidRDefault="00E23E7B" w:rsidP="00E23E7B">
      <w:pPr>
        <w:spacing w:line="360" w:lineRule="auto"/>
        <w:jc w:val="both"/>
        <w:rPr>
          <w:rFonts w:ascii="Times New Roman" w:hAnsi="Times New Roman" w:cs="Times New Roman"/>
          <w:sz w:val="24"/>
          <w:szCs w:val="24"/>
        </w:rPr>
      </w:pPr>
    </w:p>
    <w:p w14:paraId="1B9C0C5C" w14:textId="77777777" w:rsidR="00E23E7B" w:rsidRDefault="00E23E7B" w:rsidP="00E23E7B">
      <w:pPr>
        <w:spacing w:line="360" w:lineRule="auto"/>
        <w:jc w:val="both"/>
        <w:rPr>
          <w:rFonts w:ascii="Times New Roman" w:hAnsi="Times New Roman" w:cs="Times New Roman"/>
          <w:sz w:val="24"/>
          <w:szCs w:val="24"/>
        </w:rPr>
      </w:pPr>
    </w:p>
    <w:p w14:paraId="399A7597" w14:textId="77777777" w:rsidR="00E23E7B" w:rsidRDefault="00E23E7B" w:rsidP="00E23E7B">
      <w:pPr>
        <w:spacing w:line="360" w:lineRule="auto"/>
        <w:jc w:val="both"/>
        <w:rPr>
          <w:rFonts w:ascii="Times New Roman" w:hAnsi="Times New Roman" w:cs="Times New Roman"/>
          <w:sz w:val="24"/>
          <w:szCs w:val="24"/>
        </w:rPr>
      </w:pPr>
    </w:p>
    <w:p w14:paraId="44E55A57" w14:textId="77777777" w:rsidR="00E23E7B" w:rsidRDefault="00E23E7B" w:rsidP="00E23E7B">
      <w:pPr>
        <w:spacing w:line="360" w:lineRule="auto"/>
        <w:jc w:val="both"/>
        <w:rPr>
          <w:rFonts w:ascii="Times New Roman" w:hAnsi="Times New Roman" w:cs="Times New Roman"/>
          <w:sz w:val="24"/>
          <w:szCs w:val="24"/>
        </w:rPr>
      </w:pPr>
    </w:p>
    <w:p w14:paraId="5EE4EF41" w14:textId="77777777" w:rsidR="00E23E7B" w:rsidRDefault="00E23E7B" w:rsidP="00E23E7B">
      <w:pPr>
        <w:spacing w:line="360" w:lineRule="auto"/>
        <w:jc w:val="both"/>
        <w:rPr>
          <w:rFonts w:ascii="Times New Roman" w:hAnsi="Times New Roman" w:cs="Times New Roman"/>
          <w:sz w:val="24"/>
          <w:szCs w:val="24"/>
        </w:rPr>
      </w:pPr>
    </w:p>
    <w:p w14:paraId="26065DC2" w14:textId="77777777" w:rsidR="00E23E7B" w:rsidRDefault="00E23E7B" w:rsidP="00E23E7B">
      <w:pPr>
        <w:spacing w:line="360" w:lineRule="auto"/>
        <w:jc w:val="both"/>
        <w:rPr>
          <w:rFonts w:ascii="Times New Roman" w:hAnsi="Times New Roman" w:cs="Times New Roman"/>
          <w:sz w:val="24"/>
          <w:szCs w:val="24"/>
        </w:rPr>
      </w:pPr>
    </w:p>
    <w:p w14:paraId="792F4EFD" w14:textId="77777777" w:rsidR="00E23E7B" w:rsidRDefault="00E23E7B" w:rsidP="00E23E7B">
      <w:pPr>
        <w:spacing w:line="360" w:lineRule="auto"/>
        <w:jc w:val="both"/>
        <w:rPr>
          <w:rFonts w:ascii="Times New Roman" w:hAnsi="Times New Roman" w:cs="Times New Roman"/>
          <w:sz w:val="24"/>
          <w:szCs w:val="24"/>
        </w:rPr>
      </w:pPr>
    </w:p>
    <w:sdt>
      <w:sdtPr>
        <w:rPr>
          <w:rFonts w:ascii="Arial" w:eastAsia="Arial" w:hAnsi="Arial" w:cs="Arial"/>
          <w:color w:val="auto"/>
          <w:sz w:val="22"/>
          <w:szCs w:val="22"/>
          <w:lang w:val="en-GB" w:eastAsia="en-GB"/>
        </w:rPr>
        <w:id w:val="1667056218"/>
        <w:docPartObj>
          <w:docPartGallery w:val="Table of Contents"/>
          <w:docPartUnique/>
        </w:docPartObj>
      </w:sdtPr>
      <w:sdtEndPr>
        <w:rPr>
          <w:b/>
          <w:bCs/>
          <w:noProof/>
        </w:rPr>
      </w:sdtEndPr>
      <w:sdtContent>
        <w:p w14:paraId="41C1A6EC" w14:textId="4131E1C4" w:rsidR="00E23E7B" w:rsidRDefault="00E23E7B">
          <w:pPr>
            <w:pStyle w:val="TOCHeading"/>
          </w:pPr>
          <w:r>
            <w:t>Contents</w:t>
          </w:r>
        </w:p>
        <w:p w14:paraId="1DAF8FF7" w14:textId="2BB1CF75" w:rsidR="00E23E7B" w:rsidRDefault="00E23E7B">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6867218" w:history="1">
            <w:r w:rsidRPr="00BF04E6">
              <w:rPr>
                <w:rStyle w:val="Hyperlink"/>
                <w:noProof/>
              </w:rPr>
              <w:t>1. Executive Summary</w:t>
            </w:r>
            <w:r>
              <w:rPr>
                <w:noProof/>
                <w:webHidden/>
              </w:rPr>
              <w:tab/>
            </w:r>
            <w:r>
              <w:rPr>
                <w:noProof/>
                <w:webHidden/>
              </w:rPr>
              <w:fldChar w:fldCharType="begin"/>
            </w:r>
            <w:r>
              <w:rPr>
                <w:noProof/>
                <w:webHidden/>
              </w:rPr>
              <w:instrText xml:space="preserve"> PAGEREF _Toc236867218 \h </w:instrText>
            </w:r>
            <w:r>
              <w:rPr>
                <w:noProof/>
                <w:webHidden/>
              </w:rPr>
            </w:r>
            <w:r>
              <w:rPr>
                <w:noProof/>
                <w:webHidden/>
              </w:rPr>
              <w:fldChar w:fldCharType="separate"/>
            </w:r>
            <w:r>
              <w:rPr>
                <w:noProof/>
                <w:webHidden/>
              </w:rPr>
              <w:t>2</w:t>
            </w:r>
            <w:r>
              <w:rPr>
                <w:noProof/>
                <w:webHidden/>
              </w:rPr>
              <w:fldChar w:fldCharType="end"/>
            </w:r>
          </w:hyperlink>
        </w:p>
        <w:p w14:paraId="7332B930" w14:textId="7B74B5C7" w:rsidR="00E23E7B" w:rsidRDefault="00E23E7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867219" w:history="1">
            <w:r w:rsidRPr="00BF04E6">
              <w:rPr>
                <w:rStyle w:val="Hyperlink"/>
                <w:noProof/>
              </w:rPr>
              <w:t>2. Introduction to Vodafone</w:t>
            </w:r>
            <w:r>
              <w:rPr>
                <w:noProof/>
                <w:webHidden/>
              </w:rPr>
              <w:tab/>
            </w:r>
            <w:r>
              <w:rPr>
                <w:noProof/>
                <w:webHidden/>
              </w:rPr>
              <w:fldChar w:fldCharType="begin"/>
            </w:r>
            <w:r>
              <w:rPr>
                <w:noProof/>
                <w:webHidden/>
              </w:rPr>
              <w:instrText xml:space="preserve"> PAGEREF _Toc236867219 \h </w:instrText>
            </w:r>
            <w:r>
              <w:rPr>
                <w:noProof/>
                <w:webHidden/>
              </w:rPr>
            </w:r>
            <w:r>
              <w:rPr>
                <w:noProof/>
                <w:webHidden/>
              </w:rPr>
              <w:fldChar w:fldCharType="separate"/>
            </w:r>
            <w:r>
              <w:rPr>
                <w:noProof/>
                <w:webHidden/>
              </w:rPr>
              <w:t>4</w:t>
            </w:r>
            <w:r>
              <w:rPr>
                <w:noProof/>
                <w:webHidden/>
              </w:rPr>
              <w:fldChar w:fldCharType="end"/>
            </w:r>
          </w:hyperlink>
        </w:p>
        <w:p w14:paraId="7BF76B0F" w14:textId="77768862" w:rsidR="00E23E7B" w:rsidRDefault="00E23E7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867220" w:history="1">
            <w:r w:rsidRPr="00BF04E6">
              <w:rPr>
                <w:rStyle w:val="Hyperlink"/>
                <w:noProof/>
              </w:rPr>
              <w:t>3. Evaluation of the Current Market Situation</w:t>
            </w:r>
            <w:r>
              <w:rPr>
                <w:noProof/>
                <w:webHidden/>
              </w:rPr>
              <w:tab/>
            </w:r>
            <w:r>
              <w:rPr>
                <w:noProof/>
                <w:webHidden/>
              </w:rPr>
              <w:fldChar w:fldCharType="begin"/>
            </w:r>
            <w:r>
              <w:rPr>
                <w:noProof/>
                <w:webHidden/>
              </w:rPr>
              <w:instrText xml:space="preserve"> PAGEREF _Toc236867220 \h </w:instrText>
            </w:r>
            <w:r>
              <w:rPr>
                <w:noProof/>
                <w:webHidden/>
              </w:rPr>
            </w:r>
            <w:r>
              <w:rPr>
                <w:noProof/>
                <w:webHidden/>
              </w:rPr>
              <w:fldChar w:fldCharType="separate"/>
            </w:r>
            <w:r>
              <w:rPr>
                <w:noProof/>
                <w:webHidden/>
              </w:rPr>
              <w:t>4</w:t>
            </w:r>
            <w:r>
              <w:rPr>
                <w:noProof/>
                <w:webHidden/>
              </w:rPr>
              <w:fldChar w:fldCharType="end"/>
            </w:r>
          </w:hyperlink>
        </w:p>
        <w:p w14:paraId="5DD30BC5" w14:textId="533A9336" w:rsidR="00E23E7B" w:rsidRDefault="00E23E7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867221" w:history="1">
            <w:r w:rsidRPr="00BF04E6">
              <w:rPr>
                <w:rStyle w:val="Hyperlink"/>
                <w:rFonts w:cs="Times New Roman"/>
                <w:bCs/>
                <w:noProof/>
              </w:rPr>
              <w:t>3.1 PESTEL Analysis</w:t>
            </w:r>
            <w:r>
              <w:rPr>
                <w:noProof/>
                <w:webHidden/>
              </w:rPr>
              <w:tab/>
            </w:r>
            <w:r>
              <w:rPr>
                <w:noProof/>
                <w:webHidden/>
              </w:rPr>
              <w:fldChar w:fldCharType="begin"/>
            </w:r>
            <w:r>
              <w:rPr>
                <w:noProof/>
                <w:webHidden/>
              </w:rPr>
              <w:instrText xml:space="preserve"> PAGEREF _Toc236867221 \h </w:instrText>
            </w:r>
            <w:r>
              <w:rPr>
                <w:noProof/>
                <w:webHidden/>
              </w:rPr>
            </w:r>
            <w:r>
              <w:rPr>
                <w:noProof/>
                <w:webHidden/>
              </w:rPr>
              <w:fldChar w:fldCharType="separate"/>
            </w:r>
            <w:r>
              <w:rPr>
                <w:noProof/>
                <w:webHidden/>
              </w:rPr>
              <w:t>4</w:t>
            </w:r>
            <w:r>
              <w:rPr>
                <w:noProof/>
                <w:webHidden/>
              </w:rPr>
              <w:fldChar w:fldCharType="end"/>
            </w:r>
          </w:hyperlink>
        </w:p>
        <w:p w14:paraId="04775F02" w14:textId="51D37460" w:rsidR="00E23E7B" w:rsidRDefault="00E23E7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867222" w:history="1">
            <w:r w:rsidRPr="00BF04E6">
              <w:rPr>
                <w:rStyle w:val="Hyperlink"/>
                <w:rFonts w:cs="Times New Roman"/>
                <w:bCs/>
                <w:noProof/>
              </w:rPr>
              <w:t>3.2 Porter’s Five Forces</w:t>
            </w:r>
            <w:r>
              <w:rPr>
                <w:noProof/>
                <w:webHidden/>
              </w:rPr>
              <w:tab/>
            </w:r>
            <w:r>
              <w:rPr>
                <w:noProof/>
                <w:webHidden/>
              </w:rPr>
              <w:fldChar w:fldCharType="begin"/>
            </w:r>
            <w:r>
              <w:rPr>
                <w:noProof/>
                <w:webHidden/>
              </w:rPr>
              <w:instrText xml:space="preserve"> PAGEREF _Toc236867222 \h </w:instrText>
            </w:r>
            <w:r>
              <w:rPr>
                <w:noProof/>
                <w:webHidden/>
              </w:rPr>
            </w:r>
            <w:r>
              <w:rPr>
                <w:noProof/>
                <w:webHidden/>
              </w:rPr>
              <w:fldChar w:fldCharType="separate"/>
            </w:r>
            <w:r>
              <w:rPr>
                <w:noProof/>
                <w:webHidden/>
              </w:rPr>
              <w:t>5</w:t>
            </w:r>
            <w:r>
              <w:rPr>
                <w:noProof/>
                <w:webHidden/>
              </w:rPr>
              <w:fldChar w:fldCharType="end"/>
            </w:r>
          </w:hyperlink>
        </w:p>
        <w:p w14:paraId="72848C6A" w14:textId="658E0A70" w:rsidR="00E23E7B" w:rsidRDefault="00E23E7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867223" w:history="1">
            <w:r w:rsidRPr="00BF04E6">
              <w:rPr>
                <w:rStyle w:val="Hyperlink"/>
                <w:rFonts w:cs="Times New Roman"/>
                <w:bCs/>
                <w:noProof/>
              </w:rPr>
              <w:t>3.3 SWOT Analysis</w:t>
            </w:r>
            <w:r>
              <w:rPr>
                <w:noProof/>
                <w:webHidden/>
              </w:rPr>
              <w:tab/>
            </w:r>
            <w:r>
              <w:rPr>
                <w:noProof/>
                <w:webHidden/>
              </w:rPr>
              <w:fldChar w:fldCharType="begin"/>
            </w:r>
            <w:r>
              <w:rPr>
                <w:noProof/>
                <w:webHidden/>
              </w:rPr>
              <w:instrText xml:space="preserve"> PAGEREF _Toc236867223 \h </w:instrText>
            </w:r>
            <w:r>
              <w:rPr>
                <w:noProof/>
                <w:webHidden/>
              </w:rPr>
            </w:r>
            <w:r>
              <w:rPr>
                <w:noProof/>
                <w:webHidden/>
              </w:rPr>
              <w:fldChar w:fldCharType="separate"/>
            </w:r>
            <w:r>
              <w:rPr>
                <w:noProof/>
                <w:webHidden/>
              </w:rPr>
              <w:t>6</w:t>
            </w:r>
            <w:r>
              <w:rPr>
                <w:noProof/>
                <w:webHidden/>
              </w:rPr>
              <w:fldChar w:fldCharType="end"/>
            </w:r>
          </w:hyperlink>
        </w:p>
        <w:p w14:paraId="620BC3A7" w14:textId="663CB29C" w:rsidR="00E23E7B" w:rsidRDefault="00E23E7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867224" w:history="1">
            <w:r w:rsidRPr="00BF04E6">
              <w:rPr>
                <w:rStyle w:val="Hyperlink"/>
                <w:noProof/>
              </w:rPr>
              <w:t>5. Strategy Evaluation</w:t>
            </w:r>
            <w:r w:rsidR="00FE0692">
              <w:rPr>
                <w:rStyle w:val="Hyperlink"/>
                <w:noProof/>
              </w:rPr>
              <w:t xml:space="preserve"> SFA</w:t>
            </w:r>
            <w:r>
              <w:rPr>
                <w:noProof/>
                <w:webHidden/>
              </w:rPr>
              <w:tab/>
            </w:r>
            <w:r>
              <w:rPr>
                <w:noProof/>
                <w:webHidden/>
              </w:rPr>
              <w:fldChar w:fldCharType="begin"/>
            </w:r>
            <w:r>
              <w:rPr>
                <w:noProof/>
                <w:webHidden/>
              </w:rPr>
              <w:instrText xml:space="preserve"> PAGEREF _Toc236867224 \h </w:instrText>
            </w:r>
            <w:r>
              <w:rPr>
                <w:noProof/>
                <w:webHidden/>
              </w:rPr>
            </w:r>
            <w:r>
              <w:rPr>
                <w:noProof/>
                <w:webHidden/>
              </w:rPr>
              <w:fldChar w:fldCharType="separate"/>
            </w:r>
            <w:r>
              <w:rPr>
                <w:noProof/>
                <w:webHidden/>
              </w:rPr>
              <w:t>9</w:t>
            </w:r>
            <w:r>
              <w:rPr>
                <w:noProof/>
                <w:webHidden/>
              </w:rPr>
              <w:fldChar w:fldCharType="end"/>
            </w:r>
          </w:hyperlink>
        </w:p>
        <w:p w14:paraId="785DD553" w14:textId="637F0E4F" w:rsidR="00E23E7B" w:rsidRDefault="00E23E7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867225" w:history="1">
            <w:r w:rsidRPr="00BF04E6">
              <w:rPr>
                <w:rStyle w:val="Hyperlink"/>
                <w:noProof/>
              </w:rPr>
              <w:t>6. Stakeholder Analysis</w:t>
            </w:r>
            <w:r>
              <w:rPr>
                <w:noProof/>
                <w:webHidden/>
              </w:rPr>
              <w:tab/>
            </w:r>
            <w:r>
              <w:rPr>
                <w:noProof/>
                <w:webHidden/>
              </w:rPr>
              <w:fldChar w:fldCharType="begin"/>
            </w:r>
            <w:r>
              <w:rPr>
                <w:noProof/>
                <w:webHidden/>
              </w:rPr>
              <w:instrText xml:space="preserve"> PAGEREF _Toc236867225 \h </w:instrText>
            </w:r>
            <w:r>
              <w:rPr>
                <w:noProof/>
                <w:webHidden/>
              </w:rPr>
            </w:r>
            <w:r>
              <w:rPr>
                <w:noProof/>
                <w:webHidden/>
              </w:rPr>
              <w:fldChar w:fldCharType="separate"/>
            </w:r>
            <w:r>
              <w:rPr>
                <w:noProof/>
                <w:webHidden/>
              </w:rPr>
              <w:t>10</w:t>
            </w:r>
            <w:r>
              <w:rPr>
                <w:noProof/>
                <w:webHidden/>
              </w:rPr>
              <w:fldChar w:fldCharType="end"/>
            </w:r>
          </w:hyperlink>
        </w:p>
        <w:p w14:paraId="42CDD46D" w14:textId="7E7369B8" w:rsidR="00E23E7B" w:rsidRDefault="00E23E7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867226" w:history="1">
            <w:r w:rsidRPr="00BF04E6">
              <w:rPr>
                <w:rStyle w:val="Hyperlink"/>
                <w:noProof/>
              </w:rPr>
              <w:t>7. Implementation and Monitoring</w:t>
            </w:r>
            <w:r>
              <w:rPr>
                <w:noProof/>
                <w:webHidden/>
              </w:rPr>
              <w:tab/>
            </w:r>
            <w:r>
              <w:rPr>
                <w:noProof/>
                <w:webHidden/>
              </w:rPr>
              <w:fldChar w:fldCharType="begin"/>
            </w:r>
            <w:r>
              <w:rPr>
                <w:noProof/>
                <w:webHidden/>
              </w:rPr>
              <w:instrText xml:space="preserve"> PAGEREF _Toc236867226 \h </w:instrText>
            </w:r>
            <w:r>
              <w:rPr>
                <w:noProof/>
                <w:webHidden/>
              </w:rPr>
            </w:r>
            <w:r>
              <w:rPr>
                <w:noProof/>
                <w:webHidden/>
              </w:rPr>
              <w:fldChar w:fldCharType="separate"/>
            </w:r>
            <w:r>
              <w:rPr>
                <w:noProof/>
                <w:webHidden/>
              </w:rPr>
              <w:t>11</w:t>
            </w:r>
            <w:r>
              <w:rPr>
                <w:noProof/>
                <w:webHidden/>
              </w:rPr>
              <w:fldChar w:fldCharType="end"/>
            </w:r>
          </w:hyperlink>
        </w:p>
        <w:p w14:paraId="6D5B3C6D" w14:textId="52DA54DE" w:rsidR="00E23E7B" w:rsidRDefault="00E23E7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867227" w:history="1">
            <w:r w:rsidRPr="00BF04E6">
              <w:rPr>
                <w:rStyle w:val="Hyperlink"/>
                <w:noProof/>
              </w:rPr>
              <w:t>8. Conclusion</w:t>
            </w:r>
            <w:r>
              <w:rPr>
                <w:noProof/>
                <w:webHidden/>
              </w:rPr>
              <w:tab/>
            </w:r>
            <w:r>
              <w:rPr>
                <w:noProof/>
                <w:webHidden/>
              </w:rPr>
              <w:fldChar w:fldCharType="begin"/>
            </w:r>
            <w:r>
              <w:rPr>
                <w:noProof/>
                <w:webHidden/>
              </w:rPr>
              <w:instrText xml:space="preserve"> PAGEREF _Toc236867227 \h </w:instrText>
            </w:r>
            <w:r>
              <w:rPr>
                <w:noProof/>
                <w:webHidden/>
              </w:rPr>
            </w:r>
            <w:r>
              <w:rPr>
                <w:noProof/>
                <w:webHidden/>
              </w:rPr>
              <w:fldChar w:fldCharType="separate"/>
            </w:r>
            <w:r>
              <w:rPr>
                <w:noProof/>
                <w:webHidden/>
              </w:rPr>
              <w:t>12</w:t>
            </w:r>
            <w:r>
              <w:rPr>
                <w:noProof/>
                <w:webHidden/>
              </w:rPr>
              <w:fldChar w:fldCharType="end"/>
            </w:r>
          </w:hyperlink>
        </w:p>
        <w:p w14:paraId="602A11D7" w14:textId="3CE405A9" w:rsidR="00E23E7B" w:rsidRDefault="00E23E7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867228" w:history="1">
            <w:r w:rsidRPr="00BF04E6">
              <w:rPr>
                <w:rStyle w:val="Hyperlink"/>
                <w:noProof/>
              </w:rPr>
              <w:t>References</w:t>
            </w:r>
            <w:r>
              <w:rPr>
                <w:noProof/>
                <w:webHidden/>
              </w:rPr>
              <w:tab/>
            </w:r>
            <w:r>
              <w:rPr>
                <w:noProof/>
                <w:webHidden/>
              </w:rPr>
              <w:fldChar w:fldCharType="begin"/>
            </w:r>
            <w:r>
              <w:rPr>
                <w:noProof/>
                <w:webHidden/>
              </w:rPr>
              <w:instrText xml:space="preserve"> PAGEREF _Toc236867228 \h </w:instrText>
            </w:r>
            <w:r>
              <w:rPr>
                <w:noProof/>
                <w:webHidden/>
              </w:rPr>
            </w:r>
            <w:r>
              <w:rPr>
                <w:noProof/>
                <w:webHidden/>
              </w:rPr>
              <w:fldChar w:fldCharType="separate"/>
            </w:r>
            <w:r>
              <w:rPr>
                <w:noProof/>
                <w:webHidden/>
              </w:rPr>
              <w:t>13</w:t>
            </w:r>
            <w:r>
              <w:rPr>
                <w:noProof/>
                <w:webHidden/>
              </w:rPr>
              <w:fldChar w:fldCharType="end"/>
            </w:r>
          </w:hyperlink>
        </w:p>
        <w:p w14:paraId="3D2D86B3" w14:textId="48FB42D7" w:rsidR="00E23E7B" w:rsidRDefault="00E23E7B">
          <w:r>
            <w:rPr>
              <w:b/>
              <w:bCs/>
              <w:noProof/>
            </w:rPr>
            <w:fldChar w:fldCharType="end"/>
          </w:r>
        </w:p>
      </w:sdtContent>
    </w:sdt>
    <w:p w14:paraId="518D58B1" w14:textId="77777777" w:rsidR="00E23E7B" w:rsidRDefault="00E23E7B" w:rsidP="00E23E7B">
      <w:pPr>
        <w:spacing w:line="360" w:lineRule="auto"/>
        <w:jc w:val="both"/>
        <w:rPr>
          <w:rFonts w:ascii="Times New Roman" w:hAnsi="Times New Roman" w:cs="Times New Roman"/>
          <w:sz w:val="24"/>
          <w:szCs w:val="24"/>
        </w:rPr>
      </w:pPr>
    </w:p>
    <w:p w14:paraId="009AC4AD" w14:textId="77777777" w:rsidR="00E23E7B" w:rsidRDefault="00E23E7B" w:rsidP="00E23E7B">
      <w:pPr>
        <w:spacing w:line="360" w:lineRule="auto"/>
        <w:jc w:val="both"/>
        <w:rPr>
          <w:rFonts w:ascii="Times New Roman" w:hAnsi="Times New Roman" w:cs="Times New Roman"/>
          <w:sz w:val="24"/>
          <w:szCs w:val="24"/>
        </w:rPr>
      </w:pPr>
    </w:p>
    <w:p w14:paraId="2CA61F7D" w14:textId="77777777" w:rsidR="00E23E7B" w:rsidRDefault="00E23E7B" w:rsidP="00E23E7B">
      <w:pPr>
        <w:spacing w:line="360" w:lineRule="auto"/>
        <w:jc w:val="both"/>
        <w:rPr>
          <w:rFonts w:ascii="Times New Roman" w:hAnsi="Times New Roman" w:cs="Times New Roman"/>
          <w:sz w:val="24"/>
          <w:szCs w:val="24"/>
        </w:rPr>
      </w:pPr>
    </w:p>
    <w:p w14:paraId="365FDE8A" w14:textId="77777777" w:rsidR="00E23E7B" w:rsidRDefault="00E23E7B" w:rsidP="00E23E7B">
      <w:pPr>
        <w:spacing w:line="360" w:lineRule="auto"/>
        <w:jc w:val="both"/>
        <w:rPr>
          <w:rFonts w:ascii="Times New Roman" w:hAnsi="Times New Roman" w:cs="Times New Roman"/>
          <w:sz w:val="24"/>
          <w:szCs w:val="24"/>
        </w:rPr>
      </w:pPr>
    </w:p>
    <w:p w14:paraId="0C4211C4" w14:textId="77777777" w:rsidR="00E23E7B" w:rsidRDefault="00E23E7B" w:rsidP="00E23E7B">
      <w:pPr>
        <w:spacing w:line="360" w:lineRule="auto"/>
        <w:jc w:val="both"/>
        <w:rPr>
          <w:rFonts w:ascii="Times New Roman" w:hAnsi="Times New Roman" w:cs="Times New Roman"/>
          <w:sz w:val="24"/>
          <w:szCs w:val="24"/>
        </w:rPr>
      </w:pPr>
    </w:p>
    <w:p w14:paraId="2BAF8149" w14:textId="77777777" w:rsidR="00E23E7B" w:rsidRDefault="00E23E7B" w:rsidP="00E23E7B">
      <w:pPr>
        <w:spacing w:line="360" w:lineRule="auto"/>
        <w:jc w:val="both"/>
        <w:rPr>
          <w:rFonts w:ascii="Times New Roman" w:hAnsi="Times New Roman" w:cs="Times New Roman"/>
          <w:sz w:val="24"/>
          <w:szCs w:val="24"/>
        </w:rPr>
      </w:pPr>
    </w:p>
    <w:p w14:paraId="18D0FFC8" w14:textId="77777777" w:rsidR="00E23E7B" w:rsidRDefault="00E23E7B" w:rsidP="00E23E7B">
      <w:pPr>
        <w:spacing w:line="360" w:lineRule="auto"/>
        <w:jc w:val="both"/>
        <w:rPr>
          <w:rFonts w:ascii="Times New Roman" w:hAnsi="Times New Roman" w:cs="Times New Roman"/>
          <w:sz w:val="24"/>
          <w:szCs w:val="24"/>
        </w:rPr>
      </w:pPr>
    </w:p>
    <w:p w14:paraId="1989B100" w14:textId="77777777" w:rsidR="00E23E7B" w:rsidRDefault="00E23E7B" w:rsidP="00E23E7B">
      <w:pPr>
        <w:spacing w:line="360" w:lineRule="auto"/>
        <w:jc w:val="both"/>
        <w:rPr>
          <w:rFonts w:ascii="Times New Roman" w:hAnsi="Times New Roman" w:cs="Times New Roman"/>
          <w:sz w:val="24"/>
          <w:szCs w:val="24"/>
        </w:rPr>
      </w:pPr>
    </w:p>
    <w:p w14:paraId="15C02AD7" w14:textId="77777777" w:rsidR="00E23E7B" w:rsidRDefault="00E23E7B" w:rsidP="00E23E7B">
      <w:pPr>
        <w:spacing w:line="360" w:lineRule="auto"/>
        <w:jc w:val="both"/>
        <w:rPr>
          <w:rFonts w:ascii="Times New Roman" w:hAnsi="Times New Roman" w:cs="Times New Roman"/>
          <w:sz w:val="24"/>
          <w:szCs w:val="24"/>
        </w:rPr>
      </w:pPr>
    </w:p>
    <w:p w14:paraId="6FAA50D0" w14:textId="77777777" w:rsidR="00E23E7B" w:rsidRDefault="00E23E7B" w:rsidP="00E23E7B">
      <w:pPr>
        <w:spacing w:line="360" w:lineRule="auto"/>
        <w:jc w:val="both"/>
        <w:rPr>
          <w:rFonts w:ascii="Times New Roman" w:hAnsi="Times New Roman" w:cs="Times New Roman"/>
          <w:sz w:val="24"/>
          <w:szCs w:val="24"/>
        </w:rPr>
      </w:pPr>
    </w:p>
    <w:p w14:paraId="05976828" w14:textId="77777777" w:rsidR="00E23E7B" w:rsidRDefault="00E23E7B" w:rsidP="00E23E7B">
      <w:pPr>
        <w:spacing w:line="360" w:lineRule="auto"/>
        <w:jc w:val="both"/>
        <w:rPr>
          <w:rFonts w:ascii="Times New Roman" w:hAnsi="Times New Roman" w:cs="Times New Roman"/>
          <w:sz w:val="24"/>
          <w:szCs w:val="24"/>
        </w:rPr>
      </w:pPr>
    </w:p>
    <w:p w14:paraId="6640680D" w14:textId="77777777" w:rsidR="00E23E7B" w:rsidRDefault="00E23E7B" w:rsidP="00E23E7B">
      <w:pPr>
        <w:spacing w:line="360" w:lineRule="auto"/>
        <w:jc w:val="both"/>
        <w:rPr>
          <w:rFonts w:ascii="Times New Roman" w:hAnsi="Times New Roman" w:cs="Times New Roman"/>
          <w:sz w:val="24"/>
          <w:szCs w:val="24"/>
        </w:rPr>
      </w:pPr>
    </w:p>
    <w:p w14:paraId="00ECEBC3" w14:textId="77777777" w:rsidR="00E23E7B" w:rsidRDefault="00E23E7B" w:rsidP="00E23E7B">
      <w:pPr>
        <w:spacing w:line="360" w:lineRule="auto"/>
        <w:jc w:val="both"/>
        <w:rPr>
          <w:rFonts w:ascii="Times New Roman" w:hAnsi="Times New Roman" w:cs="Times New Roman"/>
          <w:sz w:val="24"/>
          <w:szCs w:val="24"/>
        </w:rPr>
      </w:pPr>
    </w:p>
    <w:p w14:paraId="3BAB2DEC" w14:textId="77777777" w:rsidR="00E23E7B" w:rsidRDefault="00E23E7B" w:rsidP="00E23E7B">
      <w:pPr>
        <w:spacing w:line="360" w:lineRule="auto"/>
        <w:jc w:val="both"/>
        <w:rPr>
          <w:rFonts w:ascii="Times New Roman" w:hAnsi="Times New Roman" w:cs="Times New Roman"/>
          <w:sz w:val="24"/>
          <w:szCs w:val="24"/>
        </w:rPr>
      </w:pPr>
    </w:p>
    <w:p w14:paraId="1F1E8712" w14:textId="77777777" w:rsidR="00E23E7B" w:rsidRDefault="00E23E7B" w:rsidP="00E23E7B">
      <w:pPr>
        <w:spacing w:line="360" w:lineRule="auto"/>
        <w:jc w:val="both"/>
        <w:rPr>
          <w:rFonts w:ascii="Times New Roman" w:hAnsi="Times New Roman" w:cs="Times New Roman"/>
          <w:sz w:val="24"/>
          <w:szCs w:val="24"/>
        </w:rPr>
      </w:pPr>
    </w:p>
    <w:p w14:paraId="13077A15" w14:textId="77777777" w:rsidR="00E23E7B" w:rsidRDefault="00E23E7B" w:rsidP="00E23E7B">
      <w:pPr>
        <w:spacing w:line="360" w:lineRule="auto"/>
        <w:jc w:val="both"/>
        <w:rPr>
          <w:rFonts w:ascii="Times New Roman" w:hAnsi="Times New Roman" w:cs="Times New Roman"/>
          <w:sz w:val="24"/>
          <w:szCs w:val="24"/>
        </w:rPr>
      </w:pPr>
    </w:p>
    <w:p w14:paraId="2204BFFF" w14:textId="77777777" w:rsidR="00E23E7B" w:rsidRDefault="00E23E7B" w:rsidP="00E23E7B">
      <w:pPr>
        <w:spacing w:line="360" w:lineRule="auto"/>
        <w:jc w:val="both"/>
        <w:rPr>
          <w:rFonts w:ascii="Times New Roman" w:hAnsi="Times New Roman" w:cs="Times New Roman"/>
          <w:sz w:val="24"/>
          <w:szCs w:val="24"/>
        </w:rPr>
      </w:pPr>
    </w:p>
    <w:p w14:paraId="19F0A3C7" w14:textId="77777777" w:rsidR="00E23E7B" w:rsidRDefault="00E23E7B" w:rsidP="00E23E7B">
      <w:pPr>
        <w:spacing w:line="360" w:lineRule="auto"/>
        <w:jc w:val="both"/>
        <w:rPr>
          <w:rFonts w:ascii="Times New Roman" w:hAnsi="Times New Roman" w:cs="Times New Roman"/>
          <w:sz w:val="24"/>
          <w:szCs w:val="24"/>
        </w:rPr>
      </w:pPr>
    </w:p>
    <w:p w14:paraId="2DCC3E92" w14:textId="77777777" w:rsidR="00E23E7B" w:rsidRDefault="00E23E7B" w:rsidP="00E23E7B">
      <w:pPr>
        <w:spacing w:line="360" w:lineRule="auto"/>
        <w:jc w:val="both"/>
        <w:rPr>
          <w:rFonts w:ascii="Times New Roman" w:hAnsi="Times New Roman" w:cs="Times New Roman"/>
          <w:sz w:val="24"/>
          <w:szCs w:val="24"/>
        </w:rPr>
      </w:pPr>
    </w:p>
    <w:p w14:paraId="2E106F1B" w14:textId="77777777" w:rsidR="00E23E7B" w:rsidRPr="00E23E7B" w:rsidRDefault="00E23E7B" w:rsidP="00E23E7B">
      <w:pPr>
        <w:spacing w:line="360" w:lineRule="auto"/>
        <w:jc w:val="both"/>
        <w:rPr>
          <w:rFonts w:ascii="Times New Roman" w:hAnsi="Times New Roman" w:cs="Times New Roman"/>
          <w:sz w:val="24"/>
          <w:szCs w:val="24"/>
        </w:rPr>
      </w:pPr>
    </w:p>
    <w:p w14:paraId="221B3971" w14:textId="77777777" w:rsidR="00E23E7B" w:rsidRPr="00700100" w:rsidRDefault="00E23E7B" w:rsidP="00E23E7B">
      <w:pPr>
        <w:pStyle w:val="Heading1"/>
        <w:rPr>
          <w:color w:val="auto"/>
        </w:rPr>
      </w:pPr>
      <w:bookmarkStart w:id="1" w:name="_Toc236867219"/>
      <w:r w:rsidRPr="00700100">
        <w:rPr>
          <w:color w:val="auto"/>
          <w:sz w:val="28"/>
          <w:szCs w:val="28"/>
        </w:rPr>
        <w:lastRenderedPageBreak/>
        <w:t>2. Introduction to Vodafone</w:t>
      </w:r>
      <w:bookmarkEnd w:id="1"/>
    </w:p>
    <w:p w14:paraId="07A88EFD"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 xml:space="preserve">Vodafone Group Plc is a British multinational telecoms company headquartered in Newbury, the company offers mobile, fixed-line, broadband, cloud and Internet of Things services across markets in Europe and Africa (Vodafone Group Plc, 2025). Since completing the sixteen and a half </w:t>
      </w:r>
      <w:proofErr w:type="gramStart"/>
      <w:r w:rsidRPr="00E23E7B">
        <w:rPr>
          <w:rFonts w:ascii="Times New Roman" w:hAnsi="Times New Roman" w:cs="Times New Roman"/>
          <w:sz w:val="24"/>
          <w:szCs w:val="24"/>
        </w:rPr>
        <w:t>billion pound</w:t>
      </w:r>
      <w:proofErr w:type="gramEnd"/>
      <w:r w:rsidRPr="00E23E7B">
        <w:rPr>
          <w:rFonts w:ascii="Times New Roman" w:hAnsi="Times New Roman" w:cs="Times New Roman"/>
          <w:sz w:val="24"/>
          <w:szCs w:val="24"/>
        </w:rPr>
        <w:t xml:space="preserve"> merger with Three UK in 2025, its UK arm was known as </w:t>
      </w:r>
      <w:proofErr w:type="spellStart"/>
      <w:r w:rsidRPr="00E23E7B">
        <w:rPr>
          <w:rFonts w:ascii="Times New Roman" w:hAnsi="Times New Roman" w:cs="Times New Roman"/>
          <w:sz w:val="24"/>
          <w:szCs w:val="24"/>
        </w:rPr>
        <w:t>VodafoneThree</w:t>
      </w:r>
      <w:proofErr w:type="spellEnd"/>
      <w:r w:rsidRPr="00E23E7B">
        <w:rPr>
          <w:rFonts w:ascii="Times New Roman" w:hAnsi="Times New Roman" w:cs="Times New Roman"/>
          <w:sz w:val="24"/>
          <w:szCs w:val="24"/>
        </w:rPr>
        <w:t xml:space="preserve"> and had around twenty-seven million retail subscribers, making it the biggest mobile operator in the UK by subscriber base and unlocking a combined spectrum in UK to support standalone 5G deployment (</w:t>
      </w:r>
      <w:proofErr w:type="spellStart"/>
      <w:r w:rsidRPr="00E23E7B">
        <w:rPr>
          <w:rFonts w:ascii="Times New Roman" w:hAnsi="Times New Roman" w:cs="Times New Roman"/>
          <w:sz w:val="24"/>
          <w:szCs w:val="24"/>
        </w:rPr>
        <w:t>VodafoneThree</w:t>
      </w:r>
      <w:proofErr w:type="spellEnd"/>
      <w:r w:rsidRPr="00E23E7B">
        <w:rPr>
          <w:rFonts w:ascii="Times New Roman" w:hAnsi="Times New Roman" w:cs="Times New Roman"/>
          <w:sz w:val="24"/>
          <w:szCs w:val="24"/>
        </w:rPr>
        <w:t xml:space="preserve">, 2025). The corporate vision is to be the top digital-services company in Europe and to create the digital society of the future in an ecotoxic and inclusive way with advanced connectivity infrastructure. The mission focuses on linking up people and businesses, empowering communities and facilitating a fairer and greener economy with the help of digital technologies. The values that guide the behaviours of all commercial and operational decisions are stated as trust, ambition, empathy, innovation and inclusion. These commitments are delivered as part of the 5G leadership programme, the </w:t>
      </w:r>
      <w:proofErr w:type="gramStart"/>
      <w:r w:rsidRPr="00E23E7B">
        <w:rPr>
          <w:rFonts w:ascii="Times New Roman" w:hAnsi="Times New Roman" w:cs="Times New Roman"/>
          <w:sz w:val="24"/>
          <w:szCs w:val="24"/>
        </w:rPr>
        <w:t>eleven billion pound</w:t>
      </w:r>
      <w:proofErr w:type="gramEnd"/>
      <w:r w:rsidRPr="00E23E7B">
        <w:rPr>
          <w:rFonts w:ascii="Times New Roman" w:hAnsi="Times New Roman" w:cs="Times New Roman"/>
          <w:sz w:val="24"/>
          <w:szCs w:val="24"/>
        </w:rPr>
        <w:t xml:space="preserve"> decadal investment plan and the commitments for rural coverage that were conditions on the merger clearance by the Competition and Markets Authority (Competition and Markets Authority, 2024). Thus, Vodafone's strategic DNA combines technological leadership and the mission to connect society, that is, long-term shareholders value creation and the more general societal digital-inclusion aspirations of regulators and of institutional investors in the European telecom sector.</w:t>
      </w:r>
    </w:p>
    <w:p w14:paraId="3B80A3B6" w14:textId="77777777" w:rsidR="00E23E7B" w:rsidRPr="00700100" w:rsidRDefault="00E23E7B" w:rsidP="00E23E7B">
      <w:pPr>
        <w:pStyle w:val="Heading1"/>
        <w:rPr>
          <w:color w:val="auto"/>
        </w:rPr>
      </w:pPr>
      <w:bookmarkStart w:id="2" w:name="_Toc236867220"/>
      <w:r w:rsidRPr="00700100">
        <w:rPr>
          <w:color w:val="auto"/>
          <w:sz w:val="28"/>
          <w:szCs w:val="28"/>
        </w:rPr>
        <w:t>3. Evaluation of the Current Market Situation</w:t>
      </w:r>
      <w:bookmarkEnd w:id="2"/>
    </w:p>
    <w:p w14:paraId="51155A67" w14:textId="77777777" w:rsidR="00E23E7B" w:rsidRPr="00700100" w:rsidRDefault="00E23E7B" w:rsidP="00E23E7B">
      <w:pPr>
        <w:pStyle w:val="Heading2"/>
        <w:spacing w:before="240" w:after="140" w:line="360" w:lineRule="auto"/>
        <w:rPr>
          <w:rFonts w:cs="Times New Roman"/>
          <w:color w:val="auto"/>
        </w:rPr>
      </w:pPr>
      <w:bookmarkStart w:id="3" w:name="_Toc236867221"/>
      <w:r w:rsidRPr="00700100">
        <w:rPr>
          <w:rFonts w:eastAsia="Arial" w:cs="Times New Roman"/>
          <w:bCs/>
          <w:color w:val="auto"/>
          <w:szCs w:val="24"/>
        </w:rPr>
        <w:t>3.1 PESTEL Analysis</w:t>
      </w:r>
      <w:bookmarkEnd w:id="3"/>
    </w:p>
    <w:p w14:paraId="574B5628"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 xml:space="preserve">UK telecoms are at a crucial moment of transformation, with regulatory, technological and macro-economic forces all working on the competitive landscape. Politically, the commitments to support infrastructure investment through more ambitious spectrum roadmaps and coverage commitments (Ofcom, 2024) and to crack down on dominant platforms through government’s position on the Wireless Infrastructure Strategy and the Digital Markets, Competition and Consumers Act, have strengthened the oversight of these platforms. Economically, ongoing inflation overlaid with CPS has squeezed the average revenue per user (ARPUs) in the sector despite the growth in enterprise demand and the ability of operators to offset blended losses with enterprise growth (GSMA Intelligence, 2024). Sociocultural shifts and the specific </w:t>
      </w:r>
      <w:r w:rsidRPr="00E23E7B">
        <w:rPr>
          <w:rFonts w:ascii="Times New Roman" w:hAnsi="Times New Roman" w:cs="Times New Roman"/>
          <w:sz w:val="24"/>
          <w:szCs w:val="24"/>
        </w:rPr>
        <w:lastRenderedPageBreak/>
        <w:t>expectations of increased data throughput for urban and rural markets, as well as the newly emerging possibilities for verticals like manufacturing and healthcare which are redefining the network operation and monetisation with technological advances in standalone 5G, edge computing and network slicing, are driving up expectations for data throughput (Deloitte, 2024). Operators are under increasing environmental pressure to decarbonise energy-hungry network estates and are subject to ever more stringent legal requirements to reveal carbon footprints in the framework of the TCFD.</w:t>
      </w:r>
    </w:p>
    <w:p w14:paraId="15B2187C" w14:textId="77777777" w:rsidR="00E23E7B" w:rsidRPr="00E23E7B" w:rsidRDefault="00E23E7B" w:rsidP="00E23E7B">
      <w:pPr>
        <w:spacing w:before="80" w:after="240" w:line="300" w:lineRule="auto"/>
        <w:jc w:val="center"/>
        <w:rPr>
          <w:rFonts w:ascii="Times New Roman" w:hAnsi="Times New Roman" w:cs="Times New Roman"/>
        </w:rPr>
      </w:pPr>
      <w:r w:rsidRPr="00E23E7B">
        <w:rPr>
          <w:rFonts w:ascii="Times New Roman" w:hAnsi="Times New Roman" w:cs="Times New Roman"/>
          <w:i/>
          <w:iCs/>
        </w:rPr>
        <w:t>Table 1: PESTEL summary for the UK telecommunications market</w:t>
      </w:r>
    </w:p>
    <w:tbl>
      <w:tblPr>
        <w:tblStyle w:val="TableGrid"/>
        <w:tblW w:w="8600" w:type="dxa"/>
        <w:tblLook w:val="0000" w:firstRow="0" w:lastRow="0" w:firstColumn="0" w:lastColumn="0" w:noHBand="0" w:noVBand="0"/>
      </w:tblPr>
      <w:tblGrid>
        <w:gridCol w:w="1800"/>
        <w:gridCol w:w="3400"/>
        <w:gridCol w:w="3400"/>
      </w:tblGrid>
      <w:tr w:rsidR="00E23E7B" w:rsidRPr="00E23E7B" w14:paraId="30474CC8" w14:textId="77777777" w:rsidTr="00E23E7B">
        <w:tc>
          <w:tcPr>
            <w:tcW w:w="1800" w:type="dxa"/>
          </w:tcPr>
          <w:p w14:paraId="6C620BE9"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b/>
                <w:bCs/>
              </w:rPr>
              <w:t>Factor</w:t>
            </w:r>
          </w:p>
        </w:tc>
        <w:tc>
          <w:tcPr>
            <w:tcW w:w="3400" w:type="dxa"/>
          </w:tcPr>
          <w:p w14:paraId="086FD2B3"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b/>
                <w:bCs/>
              </w:rPr>
              <w:t>Key drivers</w:t>
            </w:r>
          </w:p>
        </w:tc>
        <w:tc>
          <w:tcPr>
            <w:tcW w:w="3400" w:type="dxa"/>
          </w:tcPr>
          <w:p w14:paraId="44F2C39E"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b/>
                <w:bCs/>
              </w:rPr>
              <w:t xml:space="preserve">Strategic implication for </w:t>
            </w:r>
            <w:proofErr w:type="spellStart"/>
            <w:r w:rsidRPr="00E23E7B">
              <w:rPr>
                <w:rFonts w:ascii="Times New Roman" w:hAnsi="Times New Roman" w:cs="Times New Roman"/>
                <w:b/>
                <w:bCs/>
              </w:rPr>
              <w:t>VodafoneThree</w:t>
            </w:r>
            <w:proofErr w:type="spellEnd"/>
          </w:p>
        </w:tc>
      </w:tr>
      <w:tr w:rsidR="00E23E7B" w:rsidRPr="00E23E7B" w14:paraId="573EC486" w14:textId="77777777" w:rsidTr="00E23E7B">
        <w:tc>
          <w:tcPr>
            <w:tcW w:w="1800" w:type="dxa"/>
          </w:tcPr>
          <w:p w14:paraId="3A5959F7"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Political</w:t>
            </w:r>
          </w:p>
        </w:tc>
        <w:tc>
          <w:tcPr>
            <w:tcW w:w="3400" w:type="dxa"/>
          </w:tcPr>
          <w:p w14:paraId="10DD333F"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Wireless Infrastructure Strategy, DMCC Act, merger conditionality</w:t>
            </w:r>
          </w:p>
        </w:tc>
        <w:tc>
          <w:tcPr>
            <w:tcW w:w="3400" w:type="dxa"/>
          </w:tcPr>
          <w:p w14:paraId="1103BB8D"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Coverage obligations become commercial differentiators</w:t>
            </w:r>
          </w:p>
        </w:tc>
      </w:tr>
      <w:tr w:rsidR="00E23E7B" w:rsidRPr="00E23E7B" w14:paraId="7C1859F7" w14:textId="77777777" w:rsidTr="00E23E7B">
        <w:tc>
          <w:tcPr>
            <w:tcW w:w="1800" w:type="dxa"/>
          </w:tcPr>
          <w:p w14:paraId="1E061A47"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Economic</w:t>
            </w:r>
          </w:p>
        </w:tc>
        <w:tc>
          <w:tcPr>
            <w:tcW w:w="3400" w:type="dxa"/>
          </w:tcPr>
          <w:p w14:paraId="6B2AE836"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Elevated interest rates, consumer ARPU pressure, enterprise capex growth</w:t>
            </w:r>
          </w:p>
        </w:tc>
        <w:tc>
          <w:tcPr>
            <w:tcW w:w="3400" w:type="dxa"/>
          </w:tcPr>
          <w:p w14:paraId="681B5853"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Shift monetisation towards business connectivity and IoT</w:t>
            </w:r>
          </w:p>
        </w:tc>
      </w:tr>
      <w:tr w:rsidR="00E23E7B" w:rsidRPr="00E23E7B" w14:paraId="67096AEC" w14:textId="77777777" w:rsidTr="00E23E7B">
        <w:tc>
          <w:tcPr>
            <w:tcW w:w="1800" w:type="dxa"/>
          </w:tcPr>
          <w:p w14:paraId="4D40558F"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Social</w:t>
            </w:r>
          </w:p>
        </w:tc>
        <w:tc>
          <w:tcPr>
            <w:tcW w:w="3400" w:type="dxa"/>
          </w:tcPr>
          <w:p w14:paraId="381F4077"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Hybrid working, streaming, digital inclusion agenda</w:t>
            </w:r>
          </w:p>
        </w:tc>
        <w:tc>
          <w:tcPr>
            <w:tcW w:w="3400" w:type="dxa"/>
          </w:tcPr>
          <w:p w14:paraId="21F8F631"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Rural network investment aligned with social expectations</w:t>
            </w:r>
          </w:p>
        </w:tc>
      </w:tr>
      <w:tr w:rsidR="00E23E7B" w:rsidRPr="00E23E7B" w14:paraId="0E9434A8" w14:textId="77777777" w:rsidTr="00E23E7B">
        <w:tc>
          <w:tcPr>
            <w:tcW w:w="1800" w:type="dxa"/>
          </w:tcPr>
          <w:p w14:paraId="6F57D79E"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Technological</w:t>
            </w:r>
          </w:p>
        </w:tc>
        <w:tc>
          <w:tcPr>
            <w:tcW w:w="3400" w:type="dxa"/>
          </w:tcPr>
          <w:p w14:paraId="17F7BA38"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Standalone 5G, Open RAN, edge computing, AI operations</w:t>
            </w:r>
          </w:p>
        </w:tc>
        <w:tc>
          <w:tcPr>
            <w:tcW w:w="3400" w:type="dxa"/>
          </w:tcPr>
          <w:p w14:paraId="15AFA687"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Standalone 5G leadership as core proposition</w:t>
            </w:r>
          </w:p>
        </w:tc>
      </w:tr>
      <w:tr w:rsidR="00E23E7B" w:rsidRPr="00E23E7B" w14:paraId="3EDAE489" w14:textId="77777777" w:rsidTr="00E23E7B">
        <w:tc>
          <w:tcPr>
            <w:tcW w:w="1800" w:type="dxa"/>
          </w:tcPr>
          <w:p w14:paraId="66B4B991"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Environmental</w:t>
            </w:r>
          </w:p>
        </w:tc>
        <w:tc>
          <w:tcPr>
            <w:tcW w:w="3400" w:type="dxa"/>
          </w:tcPr>
          <w:p w14:paraId="3E3FD3C8"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Net-zero mandates, TCFD disclosure, energy-intensive networks</w:t>
            </w:r>
          </w:p>
        </w:tc>
        <w:tc>
          <w:tcPr>
            <w:tcW w:w="3400" w:type="dxa"/>
          </w:tcPr>
          <w:p w14:paraId="31AC6CE9"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Green network programme reduces cost and reputational risk</w:t>
            </w:r>
          </w:p>
        </w:tc>
      </w:tr>
      <w:tr w:rsidR="00E23E7B" w:rsidRPr="00E23E7B" w14:paraId="5377CB5F" w14:textId="77777777" w:rsidTr="00E23E7B">
        <w:tc>
          <w:tcPr>
            <w:tcW w:w="1800" w:type="dxa"/>
          </w:tcPr>
          <w:p w14:paraId="6E7E36F4"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Legal</w:t>
            </w:r>
          </w:p>
        </w:tc>
        <w:tc>
          <w:tcPr>
            <w:tcW w:w="3400" w:type="dxa"/>
          </w:tcPr>
          <w:p w14:paraId="7B0F3103"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PSTI Act, GDPR, spectrum licence conditions</w:t>
            </w:r>
          </w:p>
        </w:tc>
        <w:tc>
          <w:tcPr>
            <w:tcW w:w="3400" w:type="dxa"/>
          </w:tcPr>
          <w:p w14:paraId="10D84265" w14:textId="77777777" w:rsidR="00E23E7B" w:rsidRPr="00E23E7B" w:rsidRDefault="00E23E7B" w:rsidP="00132B5B">
            <w:pPr>
              <w:spacing w:line="300" w:lineRule="auto"/>
              <w:rPr>
                <w:rFonts w:ascii="Times New Roman" w:hAnsi="Times New Roman" w:cs="Times New Roman"/>
              </w:rPr>
            </w:pPr>
            <w:r w:rsidRPr="00E23E7B">
              <w:rPr>
                <w:rFonts w:ascii="Times New Roman" w:hAnsi="Times New Roman" w:cs="Times New Roman"/>
              </w:rPr>
              <w:t>Compliance discipline embedded in procurement and product design</w:t>
            </w:r>
          </w:p>
        </w:tc>
      </w:tr>
    </w:tbl>
    <w:p w14:paraId="35C1DB92" w14:textId="77777777" w:rsidR="00E23E7B" w:rsidRPr="00700100" w:rsidRDefault="00E23E7B" w:rsidP="00E23E7B">
      <w:pPr>
        <w:rPr>
          <w:rFonts w:ascii="Times New Roman" w:hAnsi="Times New Roman" w:cs="Times New Roman"/>
        </w:rPr>
      </w:pPr>
    </w:p>
    <w:p w14:paraId="691144A2" w14:textId="77777777" w:rsidR="00E23E7B" w:rsidRPr="00700100" w:rsidRDefault="00E23E7B" w:rsidP="00E23E7B">
      <w:pPr>
        <w:pStyle w:val="Heading2"/>
        <w:spacing w:before="240" w:after="140" w:line="360" w:lineRule="auto"/>
        <w:rPr>
          <w:rFonts w:cs="Times New Roman"/>
          <w:color w:val="auto"/>
        </w:rPr>
      </w:pPr>
      <w:bookmarkStart w:id="4" w:name="_Toc236867222"/>
      <w:r w:rsidRPr="00700100">
        <w:rPr>
          <w:rFonts w:eastAsia="Arial" w:cs="Times New Roman"/>
          <w:bCs/>
          <w:color w:val="auto"/>
          <w:szCs w:val="24"/>
        </w:rPr>
        <w:t>3.2 Porter’s Five Forces</w:t>
      </w:r>
      <w:bookmarkEnd w:id="4"/>
    </w:p>
    <w:p w14:paraId="6CBF73A4"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 xml:space="preserve">Using Porter's Five Forces shows that the industry can be categorized as moderately attractive with some level of consolidation offsetting the pressure the four-player industry was subjected to in the past decade by what was a low profit. New entrants are not a great threat due to the size of the spectrum licence fees, high capital intensity of a radio access network, and regulatory approvals, but the mobile virtual network operators (MVNOs) offer competitive pressures in the form of wholesale access agreements where they are regulated by Ofcom (Ofcom, 2024). As Ericsson, Nokia and Samsung focus the supply of radio access network equipment globally, and Open RAN and the diversification of vendors is in its early stages of penetrating the industry, the bargaining power of suppliers is still high (EY, 2024). Buyer power has come to the fore with price-comparison websites and unbundled tariffs as they allow </w:t>
      </w:r>
      <w:r w:rsidRPr="00E23E7B">
        <w:rPr>
          <w:rFonts w:ascii="Times New Roman" w:hAnsi="Times New Roman" w:cs="Times New Roman"/>
          <w:sz w:val="24"/>
          <w:szCs w:val="24"/>
        </w:rPr>
        <w:lastRenderedPageBreak/>
        <w:t xml:space="preserve">consumers, especially younger segments, to switch, while enterprise buyers start to discuss and negotiate multi-year connectivity contracts with service level agreements. Technologies like substitutes, and in particular fixed wireless access, low-earth-orbit satellite services like Starlink and Wi-Fi calling, are filling in rural markets and home broadband market segments. Meanwhile, the competition is becoming fierce between BT/EE, Virgin Media O2 and </w:t>
      </w:r>
      <w:proofErr w:type="spellStart"/>
      <w:r w:rsidRPr="00E23E7B">
        <w:rPr>
          <w:rFonts w:ascii="Times New Roman" w:hAnsi="Times New Roman" w:cs="Times New Roman"/>
          <w:sz w:val="24"/>
          <w:szCs w:val="24"/>
        </w:rPr>
        <w:t>VodafoneThree</w:t>
      </w:r>
      <w:proofErr w:type="spellEnd"/>
      <w:r w:rsidRPr="00E23E7B">
        <w:rPr>
          <w:rFonts w:ascii="Times New Roman" w:hAnsi="Times New Roman" w:cs="Times New Roman"/>
          <w:sz w:val="24"/>
          <w:szCs w:val="24"/>
        </w:rPr>
        <w:t xml:space="preserve"> that is further exacerbated by the internal rivalry that exists between the service providers, as well as by 5G quality, bundled entertainment packages and business connectivity, rather than headline tariff price (Statista, 2025).</w:t>
      </w:r>
    </w:p>
    <w:p w14:paraId="4047F930" w14:textId="77777777" w:rsidR="00E23E7B" w:rsidRPr="00E23E7B" w:rsidRDefault="00E23E7B" w:rsidP="00E23E7B">
      <w:pPr>
        <w:spacing w:before="80" w:after="240" w:line="300" w:lineRule="auto"/>
        <w:jc w:val="center"/>
        <w:rPr>
          <w:rFonts w:ascii="Times New Roman" w:hAnsi="Times New Roman" w:cs="Times New Roman"/>
          <w:sz w:val="24"/>
          <w:szCs w:val="24"/>
        </w:rPr>
      </w:pPr>
      <w:r w:rsidRPr="00E23E7B">
        <w:rPr>
          <w:rFonts w:ascii="Times New Roman" w:hAnsi="Times New Roman" w:cs="Times New Roman"/>
          <w:i/>
          <w:iCs/>
          <w:sz w:val="24"/>
          <w:szCs w:val="24"/>
        </w:rPr>
        <w:t xml:space="preserve">Table 2: Porter’s Five Forces assessment for </w:t>
      </w:r>
      <w:proofErr w:type="spellStart"/>
      <w:r w:rsidRPr="00E23E7B">
        <w:rPr>
          <w:rFonts w:ascii="Times New Roman" w:hAnsi="Times New Roman" w:cs="Times New Roman"/>
          <w:i/>
          <w:iCs/>
          <w:sz w:val="24"/>
          <w:szCs w:val="24"/>
        </w:rPr>
        <w:t>VodafoneThree</w:t>
      </w:r>
      <w:proofErr w:type="spellEnd"/>
    </w:p>
    <w:tbl>
      <w:tblPr>
        <w:tblStyle w:val="TableGrid"/>
        <w:tblW w:w="8600" w:type="dxa"/>
        <w:tblLook w:val="0000" w:firstRow="0" w:lastRow="0" w:firstColumn="0" w:lastColumn="0" w:noHBand="0" w:noVBand="0"/>
      </w:tblPr>
      <w:tblGrid>
        <w:gridCol w:w="3126"/>
        <w:gridCol w:w="1576"/>
        <w:gridCol w:w="3898"/>
      </w:tblGrid>
      <w:tr w:rsidR="00E23E7B" w:rsidRPr="00E23E7B" w14:paraId="1968D2FB" w14:textId="77777777" w:rsidTr="00E23E7B">
        <w:tc>
          <w:tcPr>
            <w:tcW w:w="3200" w:type="dxa"/>
          </w:tcPr>
          <w:p w14:paraId="242F8573"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b/>
                <w:bCs/>
                <w:sz w:val="24"/>
                <w:szCs w:val="24"/>
              </w:rPr>
              <w:t>Force</w:t>
            </w:r>
          </w:p>
        </w:tc>
        <w:tc>
          <w:tcPr>
            <w:tcW w:w="1400" w:type="dxa"/>
          </w:tcPr>
          <w:p w14:paraId="4E1F4C8A" w14:textId="77777777" w:rsidR="00E23E7B" w:rsidRPr="00E23E7B" w:rsidRDefault="00E23E7B" w:rsidP="00132B5B">
            <w:pPr>
              <w:spacing w:line="300" w:lineRule="auto"/>
              <w:jc w:val="center"/>
              <w:rPr>
                <w:rFonts w:ascii="Times New Roman" w:hAnsi="Times New Roman" w:cs="Times New Roman"/>
                <w:sz w:val="24"/>
                <w:szCs w:val="24"/>
              </w:rPr>
            </w:pPr>
            <w:r w:rsidRPr="00E23E7B">
              <w:rPr>
                <w:rFonts w:ascii="Times New Roman" w:hAnsi="Times New Roman" w:cs="Times New Roman"/>
                <w:b/>
                <w:bCs/>
                <w:sz w:val="24"/>
                <w:szCs w:val="24"/>
              </w:rPr>
              <w:t>Intensity</w:t>
            </w:r>
          </w:p>
        </w:tc>
        <w:tc>
          <w:tcPr>
            <w:tcW w:w="4000" w:type="dxa"/>
          </w:tcPr>
          <w:p w14:paraId="21C83A14"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b/>
                <w:bCs/>
                <w:sz w:val="24"/>
                <w:szCs w:val="24"/>
              </w:rPr>
              <w:t>Rationale</w:t>
            </w:r>
          </w:p>
        </w:tc>
      </w:tr>
      <w:tr w:rsidR="00E23E7B" w:rsidRPr="00E23E7B" w14:paraId="38253813" w14:textId="77777777" w:rsidTr="00E23E7B">
        <w:tc>
          <w:tcPr>
            <w:tcW w:w="3200" w:type="dxa"/>
          </w:tcPr>
          <w:p w14:paraId="6572A61F"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Threat of new entrants</w:t>
            </w:r>
          </w:p>
        </w:tc>
        <w:tc>
          <w:tcPr>
            <w:tcW w:w="1400" w:type="dxa"/>
          </w:tcPr>
          <w:p w14:paraId="7A5BE347" w14:textId="77777777" w:rsidR="00E23E7B" w:rsidRPr="00E23E7B" w:rsidRDefault="00E23E7B" w:rsidP="00132B5B">
            <w:pPr>
              <w:spacing w:line="300" w:lineRule="auto"/>
              <w:jc w:val="center"/>
              <w:rPr>
                <w:rFonts w:ascii="Times New Roman" w:hAnsi="Times New Roman" w:cs="Times New Roman"/>
                <w:sz w:val="24"/>
                <w:szCs w:val="24"/>
              </w:rPr>
            </w:pPr>
            <w:r w:rsidRPr="00E23E7B">
              <w:rPr>
                <w:rFonts w:ascii="Times New Roman" w:hAnsi="Times New Roman" w:cs="Times New Roman"/>
                <w:sz w:val="24"/>
                <w:szCs w:val="24"/>
              </w:rPr>
              <w:t>Low</w:t>
            </w:r>
          </w:p>
        </w:tc>
        <w:tc>
          <w:tcPr>
            <w:tcW w:w="4000" w:type="dxa"/>
          </w:tcPr>
          <w:p w14:paraId="322B09D6"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High capital and spectrum barriers, licensing regime</w:t>
            </w:r>
          </w:p>
        </w:tc>
      </w:tr>
      <w:tr w:rsidR="00E23E7B" w:rsidRPr="00E23E7B" w14:paraId="59310C3E" w14:textId="77777777" w:rsidTr="00E23E7B">
        <w:tc>
          <w:tcPr>
            <w:tcW w:w="3200" w:type="dxa"/>
          </w:tcPr>
          <w:p w14:paraId="06E508DF"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Bargaining power of suppliers</w:t>
            </w:r>
          </w:p>
        </w:tc>
        <w:tc>
          <w:tcPr>
            <w:tcW w:w="1400" w:type="dxa"/>
          </w:tcPr>
          <w:p w14:paraId="1B920FEE" w14:textId="77777777" w:rsidR="00E23E7B" w:rsidRPr="00E23E7B" w:rsidRDefault="00E23E7B" w:rsidP="00132B5B">
            <w:pPr>
              <w:spacing w:line="300" w:lineRule="auto"/>
              <w:jc w:val="center"/>
              <w:rPr>
                <w:rFonts w:ascii="Times New Roman" w:hAnsi="Times New Roman" w:cs="Times New Roman"/>
                <w:sz w:val="24"/>
                <w:szCs w:val="24"/>
              </w:rPr>
            </w:pPr>
            <w:r w:rsidRPr="00E23E7B">
              <w:rPr>
                <w:rFonts w:ascii="Times New Roman" w:hAnsi="Times New Roman" w:cs="Times New Roman"/>
                <w:sz w:val="24"/>
                <w:szCs w:val="24"/>
              </w:rPr>
              <w:t>High</w:t>
            </w:r>
          </w:p>
        </w:tc>
        <w:tc>
          <w:tcPr>
            <w:tcW w:w="4000" w:type="dxa"/>
          </w:tcPr>
          <w:p w14:paraId="4D79EAC9"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Concentrated RAN vendors, dependency on chipsets and towers</w:t>
            </w:r>
          </w:p>
        </w:tc>
      </w:tr>
      <w:tr w:rsidR="00E23E7B" w:rsidRPr="00E23E7B" w14:paraId="1182CDEB" w14:textId="77777777" w:rsidTr="00E23E7B">
        <w:tc>
          <w:tcPr>
            <w:tcW w:w="3200" w:type="dxa"/>
          </w:tcPr>
          <w:p w14:paraId="49AF7D97"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Bargaining power of buyers</w:t>
            </w:r>
          </w:p>
        </w:tc>
        <w:tc>
          <w:tcPr>
            <w:tcW w:w="1400" w:type="dxa"/>
          </w:tcPr>
          <w:p w14:paraId="6C71E63D" w14:textId="77777777" w:rsidR="00E23E7B" w:rsidRPr="00E23E7B" w:rsidRDefault="00E23E7B" w:rsidP="00132B5B">
            <w:pPr>
              <w:spacing w:line="300" w:lineRule="auto"/>
              <w:jc w:val="center"/>
              <w:rPr>
                <w:rFonts w:ascii="Times New Roman" w:hAnsi="Times New Roman" w:cs="Times New Roman"/>
                <w:sz w:val="24"/>
                <w:szCs w:val="24"/>
              </w:rPr>
            </w:pPr>
            <w:r w:rsidRPr="00E23E7B">
              <w:rPr>
                <w:rFonts w:ascii="Times New Roman" w:hAnsi="Times New Roman" w:cs="Times New Roman"/>
                <w:sz w:val="24"/>
                <w:szCs w:val="24"/>
              </w:rPr>
              <w:t>Medium/High</w:t>
            </w:r>
          </w:p>
        </w:tc>
        <w:tc>
          <w:tcPr>
            <w:tcW w:w="4000" w:type="dxa"/>
          </w:tcPr>
          <w:p w14:paraId="689AB0F0"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Price transparency, low switching costs, enterprise leverage</w:t>
            </w:r>
          </w:p>
        </w:tc>
      </w:tr>
      <w:tr w:rsidR="00E23E7B" w:rsidRPr="00E23E7B" w14:paraId="482E69E1" w14:textId="77777777" w:rsidTr="00E23E7B">
        <w:tc>
          <w:tcPr>
            <w:tcW w:w="3200" w:type="dxa"/>
          </w:tcPr>
          <w:p w14:paraId="622264F8"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Threat of substitutes</w:t>
            </w:r>
          </w:p>
        </w:tc>
        <w:tc>
          <w:tcPr>
            <w:tcW w:w="1400" w:type="dxa"/>
          </w:tcPr>
          <w:p w14:paraId="5C886B90" w14:textId="77777777" w:rsidR="00E23E7B" w:rsidRPr="00E23E7B" w:rsidRDefault="00E23E7B" w:rsidP="00132B5B">
            <w:pPr>
              <w:spacing w:line="300" w:lineRule="auto"/>
              <w:jc w:val="center"/>
              <w:rPr>
                <w:rFonts w:ascii="Times New Roman" w:hAnsi="Times New Roman" w:cs="Times New Roman"/>
                <w:sz w:val="24"/>
                <w:szCs w:val="24"/>
              </w:rPr>
            </w:pPr>
            <w:r w:rsidRPr="00E23E7B">
              <w:rPr>
                <w:rFonts w:ascii="Times New Roman" w:hAnsi="Times New Roman" w:cs="Times New Roman"/>
                <w:sz w:val="24"/>
                <w:szCs w:val="24"/>
              </w:rPr>
              <w:t>Medium</w:t>
            </w:r>
          </w:p>
        </w:tc>
        <w:tc>
          <w:tcPr>
            <w:tcW w:w="4000" w:type="dxa"/>
          </w:tcPr>
          <w:p w14:paraId="78935B9C"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FWA, satellite broadband, Wi-Fi calling in rural markets</w:t>
            </w:r>
          </w:p>
        </w:tc>
      </w:tr>
      <w:tr w:rsidR="00E23E7B" w:rsidRPr="00E23E7B" w14:paraId="1A49C742" w14:textId="77777777" w:rsidTr="00E23E7B">
        <w:tc>
          <w:tcPr>
            <w:tcW w:w="3200" w:type="dxa"/>
          </w:tcPr>
          <w:p w14:paraId="37A0C078"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Competitive rivalry</w:t>
            </w:r>
          </w:p>
        </w:tc>
        <w:tc>
          <w:tcPr>
            <w:tcW w:w="1400" w:type="dxa"/>
          </w:tcPr>
          <w:p w14:paraId="2D048C5E" w14:textId="77777777" w:rsidR="00E23E7B" w:rsidRPr="00E23E7B" w:rsidRDefault="00E23E7B" w:rsidP="00132B5B">
            <w:pPr>
              <w:spacing w:line="300" w:lineRule="auto"/>
              <w:jc w:val="center"/>
              <w:rPr>
                <w:rFonts w:ascii="Times New Roman" w:hAnsi="Times New Roman" w:cs="Times New Roman"/>
                <w:sz w:val="24"/>
                <w:szCs w:val="24"/>
              </w:rPr>
            </w:pPr>
            <w:r w:rsidRPr="00E23E7B">
              <w:rPr>
                <w:rFonts w:ascii="Times New Roman" w:hAnsi="Times New Roman" w:cs="Times New Roman"/>
                <w:sz w:val="24"/>
                <w:szCs w:val="24"/>
              </w:rPr>
              <w:t>High</w:t>
            </w:r>
          </w:p>
        </w:tc>
        <w:tc>
          <w:tcPr>
            <w:tcW w:w="4000" w:type="dxa"/>
          </w:tcPr>
          <w:p w14:paraId="2289C4A6"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Three-player market, quality-led competition on 5G and bundles</w:t>
            </w:r>
          </w:p>
        </w:tc>
      </w:tr>
    </w:tbl>
    <w:p w14:paraId="1B6DF63C" w14:textId="77777777" w:rsidR="00E23E7B" w:rsidRPr="00700100" w:rsidRDefault="00E23E7B" w:rsidP="00E23E7B">
      <w:pPr>
        <w:rPr>
          <w:rFonts w:ascii="Times New Roman" w:hAnsi="Times New Roman" w:cs="Times New Roman"/>
        </w:rPr>
      </w:pPr>
    </w:p>
    <w:p w14:paraId="648C2BAB" w14:textId="77777777" w:rsidR="00E23E7B" w:rsidRPr="00700100" w:rsidRDefault="00E23E7B" w:rsidP="00E23E7B">
      <w:pPr>
        <w:pStyle w:val="Heading2"/>
        <w:spacing w:before="240" w:after="140" w:line="360" w:lineRule="auto"/>
        <w:rPr>
          <w:rFonts w:cs="Times New Roman"/>
          <w:color w:val="auto"/>
        </w:rPr>
      </w:pPr>
      <w:bookmarkStart w:id="5" w:name="_Toc236867223"/>
      <w:r w:rsidRPr="00700100">
        <w:rPr>
          <w:rFonts w:eastAsia="Arial" w:cs="Times New Roman"/>
          <w:bCs/>
          <w:color w:val="auto"/>
          <w:szCs w:val="24"/>
        </w:rPr>
        <w:t>3.3 SWOT Analysis</w:t>
      </w:r>
      <w:bookmarkEnd w:id="5"/>
    </w:p>
    <w:p w14:paraId="62BDBD22"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 xml:space="preserve">The SWOT synthesis helps to bring into sharp focus the strategic position of Vodafone following the merger and identifies the sources of future returns as being within Vodafone's enhanced capabilities. </w:t>
      </w:r>
      <w:proofErr w:type="spellStart"/>
      <w:r w:rsidRPr="00E23E7B">
        <w:rPr>
          <w:rFonts w:ascii="Times New Roman" w:hAnsi="Times New Roman" w:cs="Times New Roman"/>
          <w:sz w:val="24"/>
          <w:szCs w:val="24"/>
        </w:rPr>
        <w:t>VodafoneThree's</w:t>
      </w:r>
      <w:proofErr w:type="spellEnd"/>
      <w:r w:rsidRPr="00E23E7B">
        <w:rPr>
          <w:rFonts w:ascii="Times New Roman" w:hAnsi="Times New Roman" w:cs="Times New Roman"/>
          <w:sz w:val="24"/>
          <w:szCs w:val="24"/>
        </w:rPr>
        <w:t xml:space="preserve"> strengths are the unmatched twenty-seven-million customer base, the integrated fibre-mobile footprint, and enhanced spectrum holdings in the low, mid and high band spectrum assignments which will facilitate the standalone 5G deployment and enterprise slicing propositions (</w:t>
      </w:r>
      <w:proofErr w:type="spellStart"/>
      <w:r w:rsidRPr="00E23E7B">
        <w:rPr>
          <w:rFonts w:ascii="Times New Roman" w:hAnsi="Times New Roman" w:cs="Times New Roman"/>
          <w:sz w:val="24"/>
          <w:szCs w:val="24"/>
        </w:rPr>
        <w:t>VodafoneThree</w:t>
      </w:r>
      <w:proofErr w:type="spellEnd"/>
      <w:r w:rsidRPr="00E23E7B">
        <w:rPr>
          <w:rFonts w:ascii="Times New Roman" w:hAnsi="Times New Roman" w:cs="Times New Roman"/>
          <w:sz w:val="24"/>
          <w:szCs w:val="24"/>
        </w:rPr>
        <w:t xml:space="preserve">, 2025). Strengths are the existing business operations, the significant tax shield offered by investments in R&amp;D and acquisitions, the skilled management team, and the integration of the two large and complex IT and network </w:t>
      </w:r>
      <w:proofErr w:type="spellStart"/>
      <w:r w:rsidRPr="00E23E7B">
        <w:rPr>
          <w:rFonts w:ascii="Times New Roman" w:hAnsi="Times New Roman" w:cs="Times New Roman"/>
          <w:sz w:val="24"/>
          <w:szCs w:val="24"/>
        </w:rPr>
        <w:t>infrastructures.Weaknesses</w:t>
      </w:r>
      <w:proofErr w:type="spellEnd"/>
      <w:r w:rsidRPr="00E23E7B">
        <w:rPr>
          <w:rFonts w:ascii="Times New Roman" w:hAnsi="Times New Roman" w:cs="Times New Roman"/>
          <w:sz w:val="24"/>
          <w:szCs w:val="24"/>
        </w:rPr>
        <w:t xml:space="preserve"> are the complexity and burden of post-merger integration of two large complex IT and network infrastructure, the need for rationalising legacy operational support systems, and the potentially higher cost of capital given the increased amount of group debt in a persistent high-interest rate environment (PwC, 2024). The </w:t>
      </w:r>
      <w:r w:rsidRPr="00E23E7B">
        <w:rPr>
          <w:rFonts w:ascii="Times New Roman" w:hAnsi="Times New Roman" w:cs="Times New Roman"/>
          <w:sz w:val="24"/>
          <w:szCs w:val="24"/>
        </w:rPr>
        <w:lastRenderedPageBreak/>
        <w:t>risks stem from regulatory conditionality over the merger, cybersecurity risks to critical national infrastructure, and geopolitical risk of the equipment supply chain, while the opportunities come from the growth of Internet of Things (IoT) connections, private networks in enterprise sectors such as manufacturing and healthcare, and public sector digital-inclusion contracts tied to rural coverage guarantees (McKinsey and Company, 2024).</w:t>
      </w:r>
    </w:p>
    <w:p w14:paraId="5E1D4E5C" w14:textId="77777777" w:rsidR="00E23E7B" w:rsidRPr="00700100" w:rsidRDefault="00E23E7B" w:rsidP="00E23E7B">
      <w:pPr>
        <w:spacing w:before="80" w:after="240" w:line="300" w:lineRule="auto"/>
        <w:jc w:val="center"/>
        <w:rPr>
          <w:rFonts w:ascii="Times New Roman" w:hAnsi="Times New Roman" w:cs="Times New Roman"/>
        </w:rPr>
      </w:pPr>
      <w:r w:rsidRPr="00700100">
        <w:rPr>
          <w:rFonts w:ascii="Times New Roman" w:hAnsi="Times New Roman" w:cs="Times New Roman"/>
          <w:i/>
          <w:iCs/>
          <w:sz w:val="20"/>
          <w:szCs w:val="20"/>
        </w:rPr>
        <w:t xml:space="preserve">Table 3: SWOT summary for </w:t>
      </w:r>
      <w:proofErr w:type="spellStart"/>
      <w:r w:rsidRPr="00700100">
        <w:rPr>
          <w:rFonts w:ascii="Times New Roman" w:hAnsi="Times New Roman" w:cs="Times New Roman"/>
          <w:i/>
          <w:iCs/>
          <w:sz w:val="20"/>
          <w:szCs w:val="20"/>
        </w:rPr>
        <w:t>VodafoneThree</w:t>
      </w:r>
      <w:proofErr w:type="spellEnd"/>
    </w:p>
    <w:tbl>
      <w:tblPr>
        <w:tblStyle w:val="TableGrid"/>
        <w:tblW w:w="10200" w:type="dxa"/>
        <w:tblLook w:val="0000" w:firstRow="0" w:lastRow="0" w:firstColumn="0" w:lastColumn="0" w:noHBand="0" w:noVBand="0"/>
      </w:tblPr>
      <w:tblGrid>
        <w:gridCol w:w="5100"/>
        <w:gridCol w:w="5100"/>
      </w:tblGrid>
      <w:tr w:rsidR="00E23E7B" w:rsidRPr="00E23E7B" w14:paraId="45D117AA" w14:textId="77777777" w:rsidTr="00E23E7B">
        <w:tc>
          <w:tcPr>
            <w:tcW w:w="5100" w:type="dxa"/>
          </w:tcPr>
          <w:p w14:paraId="25540F11"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b/>
                <w:bCs/>
                <w:sz w:val="24"/>
                <w:szCs w:val="24"/>
              </w:rPr>
              <w:t>Strengths</w:t>
            </w:r>
          </w:p>
        </w:tc>
        <w:tc>
          <w:tcPr>
            <w:tcW w:w="5100" w:type="dxa"/>
          </w:tcPr>
          <w:p w14:paraId="24D2CB61"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b/>
                <w:bCs/>
                <w:sz w:val="24"/>
                <w:szCs w:val="24"/>
              </w:rPr>
              <w:t>Weaknesses</w:t>
            </w:r>
          </w:p>
        </w:tc>
      </w:tr>
      <w:tr w:rsidR="00E23E7B" w:rsidRPr="00E23E7B" w14:paraId="51EEF9CF" w14:textId="77777777" w:rsidTr="00E23E7B">
        <w:tc>
          <w:tcPr>
            <w:tcW w:w="5100" w:type="dxa"/>
          </w:tcPr>
          <w:p w14:paraId="01859CEB"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27 million retail customers, largest UK mobile base; combined spectrum depth; integrated fibre-mobile footprint; strong brand equity; established European group services shared function</w:t>
            </w:r>
          </w:p>
        </w:tc>
        <w:tc>
          <w:tcPr>
            <w:tcW w:w="5100" w:type="dxa"/>
          </w:tcPr>
          <w:p w14:paraId="7DE193C5"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Post-merger integration complexity; legacy OSS and BSS systems; elevated group debt; historic under-investment relative to BT/EE; churn exposure in prepaid segments</w:t>
            </w:r>
          </w:p>
        </w:tc>
      </w:tr>
      <w:tr w:rsidR="00E23E7B" w:rsidRPr="00E23E7B" w14:paraId="7DB163C7" w14:textId="77777777" w:rsidTr="00E23E7B">
        <w:tc>
          <w:tcPr>
            <w:tcW w:w="5100" w:type="dxa"/>
          </w:tcPr>
          <w:p w14:paraId="57F24859"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b/>
                <w:bCs/>
                <w:sz w:val="24"/>
                <w:szCs w:val="24"/>
              </w:rPr>
              <w:t>Opportunities</w:t>
            </w:r>
          </w:p>
        </w:tc>
        <w:tc>
          <w:tcPr>
            <w:tcW w:w="5100" w:type="dxa"/>
          </w:tcPr>
          <w:p w14:paraId="04CE697C"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b/>
                <w:bCs/>
                <w:sz w:val="24"/>
                <w:szCs w:val="24"/>
              </w:rPr>
              <w:t>Threats</w:t>
            </w:r>
          </w:p>
        </w:tc>
      </w:tr>
      <w:tr w:rsidR="00E23E7B" w:rsidRPr="00E23E7B" w14:paraId="48E654DC" w14:textId="77777777" w:rsidTr="00E23E7B">
        <w:tc>
          <w:tcPr>
            <w:tcW w:w="5100" w:type="dxa"/>
          </w:tcPr>
          <w:p w14:paraId="194DD02B"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Enterprise IoT and private 5G networks; rural coverage economic contribution; public-sector digital inclusion contracts; edge computing partnerships; energy efficiency savings</w:t>
            </w:r>
          </w:p>
        </w:tc>
        <w:tc>
          <w:tcPr>
            <w:tcW w:w="5100" w:type="dxa"/>
          </w:tcPr>
          <w:p w14:paraId="5937B34C"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CMA conditionality; cybersecurity threats to CNI; Open RAN transition risk; geopolitical exposure of supply chain; substitution by satellite broadband; further ARPU compression</w:t>
            </w:r>
          </w:p>
        </w:tc>
      </w:tr>
    </w:tbl>
    <w:p w14:paraId="47524520" w14:textId="77777777" w:rsidR="00E23E7B" w:rsidRPr="00700100" w:rsidRDefault="00E23E7B" w:rsidP="00E23E7B">
      <w:pPr>
        <w:rPr>
          <w:rFonts w:ascii="Times New Roman" w:hAnsi="Times New Roman" w:cs="Times New Roman"/>
        </w:rPr>
      </w:pPr>
    </w:p>
    <w:p w14:paraId="3A32C839" w14:textId="77777777" w:rsidR="00E23E7B" w:rsidRPr="00700100" w:rsidRDefault="00E23E7B" w:rsidP="00E23E7B">
      <w:pPr>
        <w:spacing w:before="120" w:after="100"/>
        <w:jc w:val="center"/>
        <w:rPr>
          <w:rFonts w:ascii="Times New Roman" w:hAnsi="Times New Roman" w:cs="Times New Roman"/>
        </w:rPr>
      </w:pPr>
      <w:r w:rsidRPr="00700100">
        <w:rPr>
          <w:rFonts w:ascii="Times New Roman" w:hAnsi="Times New Roman" w:cs="Times New Roman"/>
          <w:noProof/>
        </w:rPr>
        <w:drawing>
          <wp:inline distT="0" distB="0" distL="0" distR="0" wp14:anchorId="1D7303FC" wp14:editId="42BD0176">
            <wp:extent cx="4762500" cy="2571750"/>
            <wp:effectExtent l="0" t="0" r="0" b="0"/>
            <wp:docPr id="1" name="Picture 1" descr="The diagram illustrates the distribution of mobile operator customer bases in the UK, with VodafoneThree being the largest, followed by BT/EE, Virgin Media 02, Sky Mobile, and various MVNOs, as of the 2025 mer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diagram illustrates the distribution of mobile operator customer bases in the UK, with VodafoneThree being the largest, followed by BT/EE, Virgin Media 02, Sky Mobile, and various MVNOs, as of the 2025 merger.&#10;&#10;AI-generated content may be incorrect."/>
                    <pic:cNvPicPr>
                      <a:picLocks noChangeAspect="1" noChangeArrowheads="1"/>
                    </pic:cNvPicPr>
                  </pic:nvPicPr>
                  <pic:blipFill>
                    <a:blip r:embed="rId8"/>
                    <a:srcRect/>
                    <a:stretch>
                      <a:fillRect/>
                    </a:stretch>
                  </pic:blipFill>
                  <pic:spPr bwMode="auto">
                    <a:xfrm>
                      <a:off x="0" y="0"/>
                      <a:ext cx="4762500" cy="2571750"/>
                    </a:xfrm>
                    <a:prstGeom prst="rect">
                      <a:avLst/>
                    </a:prstGeom>
                  </pic:spPr>
                </pic:pic>
              </a:graphicData>
            </a:graphic>
          </wp:inline>
        </w:drawing>
      </w:r>
    </w:p>
    <w:p w14:paraId="49380640" w14:textId="77777777" w:rsidR="00E23E7B" w:rsidRPr="00700100" w:rsidRDefault="00E23E7B" w:rsidP="00E23E7B">
      <w:pPr>
        <w:spacing w:before="80" w:after="240" w:line="300" w:lineRule="auto"/>
        <w:jc w:val="center"/>
        <w:rPr>
          <w:rFonts w:ascii="Times New Roman" w:hAnsi="Times New Roman" w:cs="Times New Roman"/>
        </w:rPr>
      </w:pPr>
      <w:r w:rsidRPr="00700100">
        <w:rPr>
          <w:rFonts w:ascii="Times New Roman" w:hAnsi="Times New Roman" w:cs="Times New Roman"/>
          <w:i/>
          <w:iCs/>
          <w:sz w:val="20"/>
          <w:szCs w:val="20"/>
        </w:rPr>
        <w:t xml:space="preserve">Figure 1: UK mobile operator customer base after the 2025 </w:t>
      </w:r>
      <w:proofErr w:type="spellStart"/>
      <w:r w:rsidRPr="00700100">
        <w:rPr>
          <w:rFonts w:ascii="Times New Roman" w:hAnsi="Times New Roman" w:cs="Times New Roman"/>
          <w:i/>
          <w:iCs/>
          <w:sz w:val="20"/>
          <w:szCs w:val="20"/>
        </w:rPr>
        <w:t>VodafoneThree</w:t>
      </w:r>
      <w:proofErr w:type="spellEnd"/>
      <w:r w:rsidRPr="00700100">
        <w:rPr>
          <w:rFonts w:ascii="Times New Roman" w:hAnsi="Times New Roman" w:cs="Times New Roman"/>
          <w:i/>
          <w:iCs/>
          <w:sz w:val="20"/>
          <w:szCs w:val="20"/>
        </w:rPr>
        <w:t xml:space="preserve"> merger</w:t>
      </w:r>
    </w:p>
    <w:p w14:paraId="1AEE1A22" w14:textId="0554B366" w:rsidR="00E23E7B" w:rsidRPr="00E23E7B" w:rsidRDefault="00E23E7B" w:rsidP="00E23E7B">
      <w:pPr>
        <w:spacing w:line="360" w:lineRule="auto"/>
        <w:jc w:val="both"/>
        <w:rPr>
          <w:rFonts w:ascii="Times New Roman" w:hAnsi="Times New Roman" w:cs="Times New Roman"/>
          <w:sz w:val="24"/>
          <w:szCs w:val="24"/>
        </w:rPr>
      </w:pPr>
      <w:r w:rsidRPr="00700100">
        <w:rPr>
          <w:rFonts w:ascii="Times New Roman" w:hAnsi="Times New Roman" w:cs="Times New Roman"/>
          <w:b/>
          <w:bCs/>
          <w:sz w:val="28"/>
          <w:szCs w:val="28"/>
        </w:rPr>
        <w:t xml:space="preserve">4. Strategic Growth Options and Proposed </w:t>
      </w:r>
      <w:proofErr w:type="spellStart"/>
      <w:r w:rsidRPr="00700100">
        <w:rPr>
          <w:rFonts w:ascii="Times New Roman" w:hAnsi="Times New Roman" w:cs="Times New Roman"/>
          <w:b/>
          <w:bCs/>
          <w:sz w:val="28"/>
          <w:szCs w:val="28"/>
        </w:rPr>
        <w:t>Strategy</w:t>
      </w:r>
      <w:r w:rsidRPr="00E23E7B">
        <w:rPr>
          <w:rFonts w:ascii="Times New Roman" w:hAnsi="Times New Roman" w:cs="Times New Roman"/>
          <w:sz w:val="24"/>
          <w:szCs w:val="24"/>
        </w:rPr>
        <w:t>As</w:t>
      </w:r>
      <w:proofErr w:type="spellEnd"/>
      <w:r w:rsidRPr="00E23E7B">
        <w:rPr>
          <w:rFonts w:ascii="Times New Roman" w:hAnsi="Times New Roman" w:cs="Times New Roman"/>
          <w:sz w:val="24"/>
          <w:szCs w:val="24"/>
        </w:rPr>
        <w:t xml:space="preserve"> expressed in the current literature on strategic management, Ansoff's Matrix presents four main growth paths on the two </w:t>
      </w:r>
      <w:proofErr w:type="gramStart"/>
      <w:r w:rsidRPr="00E23E7B">
        <w:rPr>
          <w:rFonts w:ascii="Times New Roman" w:hAnsi="Times New Roman" w:cs="Times New Roman"/>
          <w:sz w:val="24"/>
          <w:szCs w:val="24"/>
        </w:rPr>
        <w:t>axis</w:t>
      </w:r>
      <w:proofErr w:type="gramEnd"/>
      <w:r w:rsidRPr="00E23E7B">
        <w:rPr>
          <w:rFonts w:ascii="Times New Roman" w:hAnsi="Times New Roman" w:cs="Times New Roman"/>
          <w:sz w:val="24"/>
          <w:szCs w:val="24"/>
        </w:rPr>
        <w:t xml:space="preserve"> of market and product newness (Johnson et al., 2023). The other way to achieve market penetration – via cross-selling of joint Vodafone and Three tariffs – is likely to attract regulatory attention for the merger commitments to benefit consumers and may distract the management from areas where the capabilities of the merged network are specifically sought </w:t>
      </w:r>
      <w:r w:rsidRPr="00E23E7B">
        <w:rPr>
          <w:rFonts w:ascii="Times New Roman" w:hAnsi="Times New Roman" w:cs="Times New Roman"/>
          <w:sz w:val="24"/>
          <w:szCs w:val="24"/>
        </w:rPr>
        <w:lastRenderedPageBreak/>
        <w:t xml:space="preserve">– for instance, in the core networking field (Rothaermel, 2024). For enterprises, the demand for programmable connectivity is on the rise across manufacturing, logistics, and healthcare verticals, where product development – and the launch of enterprise Internet of Things services, private 5G networks and network-as-a-service platforms are all on the horizon (KPMG, 2024). Geographic coverage extension – market development in rural and semi-urban areas is a response to the </w:t>
      </w:r>
      <w:proofErr w:type="gramStart"/>
      <w:r w:rsidRPr="00E23E7B">
        <w:rPr>
          <w:rFonts w:ascii="Times New Roman" w:hAnsi="Times New Roman" w:cs="Times New Roman"/>
          <w:sz w:val="24"/>
          <w:szCs w:val="24"/>
        </w:rPr>
        <w:t>billion pound</w:t>
      </w:r>
      <w:proofErr w:type="gramEnd"/>
      <w:r w:rsidRPr="00E23E7B">
        <w:rPr>
          <w:rFonts w:ascii="Times New Roman" w:hAnsi="Times New Roman" w:cs="Times New Roman"/>
          <w:sz w:val="24"/>
          <w:szCs w:val="24"/>
        </w:rPr>
        <w:t xml:space="preserve"> economic contribution commitment in forecasted </w:t>
      </w:r>
      <w:proofErr w:type="gramStart"/>
      <w:r w:rsidRPr="00E23E7B">
        <w:rPr>
          <w:rFonts w:ascii="Times New Roman" w:hAnsi="Times New Roman" w:cs="Times New Roman"/>
          <w:sz w:val="24"/>
          <w:szCs w:val="24"/>
        </w:rPr>
        <w:t>areas, and</w:t>
      </w:r>
      <w:proofErr w:type="gramEnd"/>
      <w:r w:rsidRPr="00E23E7B">
        <w:rPr>
          <w:rFonts w:ascii="Times New Roman" w:hAnsi="Times New Roman" w:cs="Times New Roman"/>
          <w:sz w:val="24"/>
          <w:szCs w:val="24"/>
        </w:rPr>
        <w:t xml:space="preserve"> also meets medium-term commitments in the geographic coverage areas put in place at merger clearance, which represent a true commercial and reputational asset.</w:t>
      </w:r>
    </w:p>
    <w:p w14:paraId="0D718721" w14:textId="77777777" w:rsidR="00E23E7B" w:rsidRPr="00E23E7B" w:rsidRDefault="00E23E7B" w:rsidP="00E23E7B">
      <w:pPr>
        <w:spacing w:before="80" w:after="240" w:line="300" w:lineRule="auto"/>
        <w:jc w:val="center"/>
        <w:rPr>
          <w:rFonts w:ascii="Times New Roman" w:hAnsi="Times New Roman" w:cs="Times New Roman"/>
          <w:sz w:val="24"/>
          <w:szCs w:val="24"/>
        </w:rPr>
      </w:pPr>
      <w:r w:rsidRPr="00E23E7B">
        <w:rPr>
          <w:rFonts w:ascii="Times New Roman" w:hAnsi="Times New Roman" w:cs="Times New Roman"/>
          <w:i/>
          <w:iCs/>
          <w:sz w:val="24"/>
          <w:szCs w:val="24"/>
        </w:rPr>
        <w:t xml:space="preserve">Table 4: Ansoff Matrix applied to </w:t>
      </w:r>
      <w:proofErr w:type="spellStart"/>
      <w:r w:rsidRPr="00E23E7B">
        <w:rPr>
          <w:rFonts w:ascii="Times New Roman" w:hAnsi="Times New Roman" w:cs="Times New Roman"/>
          <w:i/>
          <w:iCs/>
          <w:sz w:val="24"/>
          <w:szCs w:val="24"/>
        </w:rPr>
        <w:t>VodafoneThree</w:t>
      </w:r>
      <w:proofErr w:type="spellEnd"/>
    </w:p>
    <w:tbl>
      <w:tblPr>
        <w:tblW w:w="10200" w:type="dxa"/>
        <w:tblBorders>
          <w:top w:val="single" w:sz="6" w:space="0" w:color="334155"/>
          <w:left w:val="single" w:sz="6" w:space="0" w:color="334155"/>
          <w:bottom w:val="single" w:sz="6" w:space="0" w:color="334155"/>
          <w:right w:val="single" w:sz="6" w:space="0" w:color="334155"/>
          <w:insideH w:val="single" w:sz="6" w:space="0" w:color="334155"/>
          <w:insideV w:val="single" w:sz="6" w:space="0" w:color="334155"/>
        </w:tblBorders>
        <w:tblCellMar>
          <w:left w:w="10" w:type="dxa"/>
          <w:right w:w="10" w:type="dxa"/>
        </w:tblCellMar>
        <w:tblLook w:val="0000" w:firstRow="0" w:lastRow="0" w:firstColumn="0" w:lastColumn="0" w:noHBand="0" w:noVBand="0"/>
      </w:tblPr>
      <w:tblGrid>
        <w:gridCol w:w="2400"/>
        <w:gridCol w:w="3900"/>
        <w:gridCol w:w="3900"/>
      </w:tblGrid>
      <w:tr w:rsidR="00E23E7B" w:rsidRPr="00E23E7B" w14:paraId="4C7F48BE" w14:textId="77777777" w:rsidTr="00132B5B">
        <w:tc>
          <w:tcPr>
            <w:tcW w:w="2400" w:type="dxa"/>
            <w:tcBorders>
              <w:top w:val="single" w:sz="6" w:space="0" w:color="334155"/>
              <w:left w:val="single" w:sz="6" w:space="0" w:color="334155"/>
              <w:bottom w:val="single" w:sz="6" w:space="0" w:color="334155"/>
              <w:right w:val="single" w:sz="6" w:space="0" w:color="334155"/>
            </w:tcBorders>
            <w:shd w:val="clear" w:color="auto" w:fill="0B2545"/>
            <w:tcMar>
              <w:top w:w="90" w:type="dxa"/>
              <w:left w:w="120" w:type="dxa"/>
              <w:bottom w:w="90" w:type="dxa"/>
              <w:right w:w="120" w:type="dxa"/>
            </w:tcMar>
          </w:tcPr>
          <w:p w14:paraId="5759AB98" w14:textId="77777777" w:rsidR="00E23E7B" w:rsidRPr="00E23E7B" w:rsidRDefault="00E23E7B" w:rsidP="00132B5B">
            <w:pPr>
              <w:spacing w:line="300" w:lineRule="auto"/>
              <w:rPr>
                <w:rFonts w:ascii="Times New Roman" w:hAnsi="Times New Roman" w:cs="Times New Roman"/>
                <w:sz w:val="24"/>
                <w:szCs w:val="24"/>
              </w:rPr>
            </w:pPr>
          </w:p>
        </w:tc>
        <w:tc>
          <w:tcPr>
            <w:tcW w:w="3900" w:type="dxa"/>
            <w:tcBorders>
              <w:top w:val="single" w:sz="6" w:space="0" w:color="334155"/>
              <w:left w:val="single" w:sz="6" w:space="0" w:color="334155"/>
              <w:bottom w:val="single" w:sz="6" w:space="0" w:color="334155"/>
              <w:right w:val="single" w:sz="6" w:space="0" w:color="334155"/>
            </w:tcBorders>
            <w:shd w:val="clear" w:color="auto" w:fill="0B2545"/>
            <w:tcMar>
              <w:top w:w="90" w:type="dxa"/>
              <w:left w:w="120" w:type="dxa"/>
              <w:bottom w:w="90" w:type="dxa"/>
              <w:right w:w="120" w:type="dxa"/>
            </w:tcMar>
          </w:tcPr>
          <w:p w14:paraId="2618BF4F" w14:textId="77777777" w:rsidR="00E23E7B" w:rsidRPr="00E23E7B" w:rsidRDefault="00E23E7B" w:rsidP="00132B5B">
            <w:pPr>
              <w:spacing w:line="300" w:lineRule="auto"/>
              <w:jc w:val="center"/>
              <w:rPr>
                <w:rFonts w:ascii="Times New Roman" w:hAnsi="Times New Roman" w:cs="Times New Roman"/>
                <w:sz w:val="24"/>
                <w:szCs w:val="24"/>
              </w:rPr>
            </w:pPr>
            <w:r w:rsidRPr="00E23E7B">
              <w:rPr>
                <w:rFonts w:ascii="Times New Roman" w:hAnsi="Times New Roman" w:cs="Times New Roman"/>
                <w:b/>
                <w:bCs/>
                <w:sz w:val="24"/>
                <w:szCs w:val="24"/>
              </w:rPr>
              <w:t>Existing products</w:t>
            </w:r>
          </w:p>
        </w:tc>
        <w:tc>
          <w:tcPr>
            <w:tcW w:w="3900" w:type="dxa"/>
            <w:tcBorders>
              <w:top w:val="single" w:sz="6" w:space="0" w:color="334155"/>
              <w:left w:val="single" w:sz="6" w:space="0" w:color="334155"/>
              <w:bottom w:val="single" w:sz="6" w:space="0" w:color="334155"/>
              <w:right w:val="single" w:sz="6" w:space="0" w:color="334155"/>
            </w:tcBorders>
            <w:shd w:val="clear" w:color="auto" w:fill="0B2545"/>
            <w:tcMar>
              <w:top w:w="90" w:type="dxa"/>
              <w:left w:w="120" w:type="dxa"/>
              <w:bottom w:w="90" w:type="dxa"/>
              <w:right w:w="120" w:type="dxa"/>
            </w:tcMar>
          </w:tcPr>
          <w:p w14:paraId="1E70126B" w14:textId="77777777" w:rsidR="00E23E7B" w:rsidRPr="00E23E7B" w:rsidRDefault="00E23E7B" w:rsidP="00132B5B">
            <w:pPr>
              <w:spacing w:line="300" w:lineRule="auto"/>
              <w:jc w:val="center"/>
              <w:rPr>
                <w:rFonts w:ascii="Times New Roman" w:hAnsi="Times New Roman" w:cs="Times New Roman"/>
                <w:sz w:val="24"/>
                <w:szCs w:val="24"/>
              </w:rPr>
            </w:pPr>
            <w:r w:rsidRPr="00E23E7B">
              <w:rPr>
                <w:rFonts w:ascii="Times New Roman" w:hAnsi="Times New Roman" w:cs="Times New Roman"/>
                <w:b/>
                <w:bCs/>
                <w:sz w:val="24"/>
                <w:szCs w:val="24"/>
              </w:rPr>
              <w:t>New products</w:t>
            </w:r>
          </w:p>
        </w:tc>
      </w:tr>
      <w:tr w:rsidR="00E23E7B" w:rsidRPr="00E23E7B" w14:paraId="6D45782A" w14:textId="77777777" w:rsidTr="00132B5B">
        <w:tc>
          <w:tcPr>
            <w:tcW w:w="2400" w:type="dxa"/>
            <w:tcBorders>
              <w:top w:val="single" w:sz="6" w:space="0" w:color="334155"/>
              <w:left w:val="single" w:sz="6" w:space="0" w:color="334155"/>
              <w:bottom w:val="single" w:sz="6" w:space="0" w:color="334155"/>
              <w:right w:val="single" w:sz="6" w:space="0" w:color="334155"/>
            </w:tcBorders>
            <w:shd w:val="clear" w:color="auto" w:fill="F1F5F9"/>
            <w:tcMar>
              <w:top w:w="90" w:type="dxa"/>
              <w:left w:w="120" w:type="dxa"/>
              <w:bottom w:w="90" w:type="dxa"/>
              <w:right w:w="120" w:type="dxa"/>
            </w:tcMar>
          </w:tcPr>
          <w:p w14:paraId="4A1691DD"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b/>
                <w:bCs/>
                <w:sz w:val="24"/>
                <w:szCs w:val="24"/>
              </w:rPr>
              <w:t>Existing markets</w:t>
            </w:r>
          </w:p>
        </w:tc>
        <w:tc>
          <w:tcPr>
            <w:tcW w:w="3900" w:type="dxa"/>
            <w:tcBorders>
              <w:top w:val="single" w:sz="6" w:space="0" w:color="334155"/>
              <w:left w:val="single" w:sz="6" w:space="0" w:color="334155"/>
              <w:bottom w:val="single" w:sz="6" w:space="0" w:color="334155"/>
              <w:right w:val="single" w:sz="6" w:space="0" w:color="334155"/>
            </w:tcBorders>
            <w:tcMar>
              <w:top w:w="90" w:type="dxa"/>
              <w:left w:w="120" w:type="dxa"/>
              <w:bottom w:w="90" w:type="dxa"/>
              <w:right w:w="120" w:type="dxa"/>
            </w:tcMar>
          </w:tcPr>
          <w:p w14:paraId="5EE6BA41"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Market penetration: cross-sell combined tariffs, retention offers</w:t>
            </w:r>
          </w:p>
        </w:tc>
        <w:tc>
          <w:tcPr>
            <w:tcW w:w="3900" w:type="dxa"/>
            <w:tcBorders>
              <w:top w:val="single" w:sz="6" w:space="0" w:color="334155"/>
              <w:left w:val="single" w:sz="6" w:space="0" w:color="334155"/>
              <w:bottom w:val="single" w:sz="6" w:space="0" w:color="334155"/>
              <w:right w:val="single" w:sz="6" w:space="0" w:color="334155"/>
            </w:tcBorders>
            <w:tcMar>
              <w:top w:w="90" w:type="dxa"/>
              <w:left w:w="120" w:type="dxa"/>
              <w:bottom w:w="90" w:type="dxa"/>
              <w:right w:w="120" w:type="dxa"/>
            </w:tcMar>
          </w:tcPr>
          <w:p w14:paraId="548429D3"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Product development: enterprise IoT, private 5G, edge services</w:t>
            </w:r>
          </w:p>
        </w:tc>
      </w:tr>
      <w:tr w:rsidR="00E23E7B" w:rsidRPr="00E23E7B" w14:paraId="118BA7B6" w14:textId="77777777" w:rsidTr="00132B5B">
        <w:tc>
          <w:tcPr>
            <w:tcW w:w="2400" w:type="dxa"/>
            <w:tcBorders>
              <w:top w:val="single" w:sz="6" w:space="0" w:color="334155"/>
              <w:left w:val="single" w:sz="6" w:space="0" w:color="334155"/>
              <w:bottom w:val="single" w:sz="6" w:space="0" w:color="334155"/>
              <w:right w:val="single" w:sz="6" w:space="0" w:color="334155"/>
            </w:tcBorders>
            <w:shd w:val="clear" w:color="auto" w:fill="F1F5F9"/>
            <w:tcMar>
              <w:top w:w="90" w:type="dxa"/>
              <w:left w:w="120" w:type="dxa"/>
              <w:bottom w:w="90" w:type="dxa"/>
              <w:right w:w="120" w:type="dxa"/>
            </w:tcMar>
          </w:tcPr>
          <w:p w14:paraId="1D1FCE68"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b/>
                <w:bCs/>
                <w:sz w:val="24"/>
                <w:szCs w:val="24"/>
              </w:rPr>
              <w:t>New markets</w:t>
            </w:r>
          </w:p>
        </w:tc>
        <w:tc>
          <w:tcPr>
            <w:tcW w:w="3900" w:type="dxa"/>
            <w:tcBorders>
              <w:top w:val="single" w:sz="6" w:space="0" w:color="334155"/>
              <w:left w:val="single" w:sz="6" w:space="0" w:color="334155"/>
              <w:bottom w:val="single" w:sz="6" w:space="0" w:color="334155"/>
              <w:right w:val="single" w:sz="6" w:space="0" w:color="334155"/>
            </w:tcBorders>
            <w:shd w:val="clear" w:color="auto" w:fill="FEE2E2"/>
            <w:tcMar>
              <w:top w:w="90" w:type="dxa"/>
              <w:left w:w="120" w:type="dxa"/>
              <w:bottom w:w="90" w:type="dxa"/>
              <w:right w:w="120" w:type="dxa"/>
            </w:tcMar>
          </w:tcPr>
          <w:p w14:paraId="683E3C07"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Market development: rural coverage, MVNO wholesale expansion, public-sector connectivity (RECOMMENDED)</w:t>
            </w:r>
          </w:p>
        </w:tc>
        <w:tc>
          <w:tcPr>
            <w:tcW w:w="3900" w:type="dxa"/>
            <w:tcBorders>
              <w:top w:val="single" w:sz="6" w:space="0" w:color="334155"/>
              <w:left w:val="single" w:sz="6" w:space="0" w:color="334155"/>
              <w:bottom w:val="single" w:sz="6" w:space="0" w:color="334155"/>
              <w:right w:val="single" w:sz="6" w:space="0" w:color="334155"/>
            </w:tcBorders>
            <w:tcMar>
              <w:top w:w="90" w:type="dxa"/>
              <w:left w:w="120" w:type="dxa"/>
              <w:bottom w:w="90" w:type="dxa"/>
              <w:right w:w="120" w:type="dxa"/>
            </w:tcMar>
          </w:tcPr>
          <w:p w14:paraId="3691C6FD" w14:textId="77777777" w:rsidR="00E23E7B" w:rsidRPr="00E23E7B" w:rsidRDefault="00E23E7B" w:rsidP="00132B5B">
            <w:pPr>
              <w:spacing w:line="300" w:lineRule="auto"/>
              <w:rPr>
                <w:rFonts w:ascii="Times New Roman" w:hAnsi="Times New Roman" w:cs="Times New Roman"/>
                <w:sz w:val="24"/>
                <w:szCs w:val="24"/>
                <w:lang w:val="fr-FR"/>
              </w:rPr>
            </w:pPr>
            <w:proofErr w:type="gramStart"/>
            <w:r w:rsidRPr="00E23E7B">
              <w:rPr>
                <w:rFonts w:ascii="Times New Roman" w:hAnsi="Times New Roman" w:cs="Times New Roman"/>
                <w:sz w:val="24"/>
                <w:szCs w:val="24"/>
                <w:lang w:val="fr-FR"/>
              </w:rPr>
              <w:t>Diversification:</w:t>
            </w:r>
            <w:proofErr w:type="gramEnd"/>
            <w:r w:rsidRPr="00E23E7B">
              <w:rPr>
                <w:rFonts w:ascii="Times New Roman" w:hAnsi="Times New Roman" w:cs="Times New Roman"/>
                <w:sz w:val="24"/>
                <w:szCs w:val="24"/>
                <w:lang w:val="fr-FR"/>
              </w:rPr>
              <w:t xml:space="preserve"> content platforms, </w:t>
            </w:r>
            <w:proofErr w:type="spellStart"/>
            <w:r w:rsidRPr="00E23E7B">
              <w:rPr>
                <w:rFonts w:ascii="Times New Roman" w:hAnsi="Times New Roman" w:cs="Times New Roman"/>
                <w:sz w:val="24"/>
                <w:szCs w:val="24"/>
                <w:lang w:val="fr-FR"/>
              </w:rPr>
              <w:t>financial</w:t>
            </w:r>
            <w:proofErr w:type="spellEnd"/>
            <w:r w:rsidRPr="00E23E7B">
              <w:rPr>
                <w:rFonts w:ascii="Times New Roman" w:hAnsi="Times New Roman" w:cs="Times New Roman"/>
                <w:sz w:val="24"/>
                <w:szCs w:val="24"/>
                <w:lang w:val="fr-FR"/>
              </w:rPr>
              <w:t xml:space="preserve"> services, adjacent digital </w:t>
            </w:r>
            <w:proofErr w:type="spellStart"/>
            <w:r w:rsidRPr="00E23E7B">
              <w:rPr>
                <w:rFonts w:ascii="Times New Roman" w:hAnsi="Times New Roman" w:cs="Times New Roman"/>
                <w:sz w:val="24"/>
                <w:szCs w:val="24"/>
                <w:lang w:val="fr-FR"/>
              </w:rPr>
              <w:t>verticals</w:t>
            </w:r>
            <w:proofErr w:type="spellEnd"/>
          </w:p>
        </w:tc>
      </w:tr>
    </w:tbl>
    <w:p w14:paraId="35ADB5C1" w14:textId="77777777" w:rsidR="00E23E7B" w:rsidRPr="00E23E7B" w:rsidRDefault="00E23E7B" w:rsidP="00E23E7B">
      <w:pPr>
        <w:rPr>
          <w:rFonts w:ascii="Times New Roman" w:hAnsi="Times New Roman" w:cs="Times New Roman"/>
          <w:sz w:val="24"/>
          <w:szCs w:val="24"/>
          <w:lang w:val="fr-FR"/>
        </w:rPr>
      </w:pPr>
    </w:p>
    <w:p w14:paraId="094F5860" w14:textId="77777777" w:rsidR="00E23E7B" w:rsidRPr="00E23E7B" w:rsidRDefault="00E23E7B" w:rsidP="00E23E7B">
      <w:pPr>
        <w:spacing w:line="360" w:lineRule="auto"/>
        <w:jc w:val="both"/>
        <w:rPr>
          <w:rFonts w:ascii="Times New Roman" w:hAnsi="Times New Roman" w:cs="Times New Roman"/>
          <w:sz w:val="24"/>
          <w:szCs w:val="24"/>
          <w:lang w:val="fr-FR"/>
        </w:rPr>
      </w:pPr>
    </w:p>
    <w:p w14:paraId="43FE0BE1"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Based on the Porter's generic strategies, it can be assumed that a pure low-cost approach will compromise the differentiation opportunities from the standalone 5G solution and would spark a price war that an already highly indebted operator cannot afford, and a niche focus strategy will miss the economies of scale opportunity from building out the larger network (Grant, 2022). Hence, a wide differentiation based on the quality of the network, the leadership of standalone 5G and superior customer experience is the most defensible generic positioning, especially in the context of buyer segmentation becoming more oriented towards service level perceived reliability and speed instead of maximum price per Mb/s, and enterprise buyers willing to pay a premium for verified grade-of-service commitments on programmable connectivity (Johnson et al., 2023).</w:t>
      </w:r>
    </w:p>
    <w:p w14:paraId="041A88A4" w14:textId="74152175"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 xml:space="preserve">The suggested approach is thus differentiation-led market development which is to be organized in three coordinated pillars in the next 36 months. The first pillar aims to speed up the 5G standalone deployment with the aim of covering </w:t>
      </w:r>
      <w:proofErr w:type="gramStart"/>
      <w:r w:rsidRPr="00E23E7B">
        <w:rPr>
          <w:rFonts w:ascii="Times New Roman" w:hAnsi="Times New Roman" w:cs="Times New Roman"/>
          <w:sz w:val="24"/>
          <w:szCs w:val="24"/>
        </w:rPr>
        <w:t>ninety five</w:t>
      </w:r>
      <w:proofErr w:type="gramEnd"/>
      <w:r w:rsidRPr="00E23E7B">
        <w:rPr>
          <w:rFonts w:ascii="Times New Roman" w:hAnsi="Times New Roman" w:cs="Times New Roman"/>
          <w:sz w:val="24"/>
          <w:szCs w:val="24"/>
        </w:rPr>
        <w:t xml:space="preserve"> per cent of the population by 2028 and make it possible to run network slices on premium consumer and business grade networks. The second pillar sets up enterprise Internet of Things and private-network </w:t>
      </w:r>
      <w:r w:rsidRPr="00E23E7B">
        <w:rPr>
          <w:rFonts w:ascii="Times New Roman" w:hAnsi="Times New Roman" w:cs="Times New Roman"/>
          <w:sz w:val="24"/>
          <w:szCs w:val="24"/>
        </w:rPr>
        <w:lastRenderedPageBreak/>
        <w:t>businesses with a focus on manufacturing, logistics and the healthcare sector on the back of a dedicated sales and solution-engineering capability. The third pillar is systematically closing the rural and mobile-not-spot gaps thanks to the investment programme - valued at eleven billion pounds - and coverage is a regulator commitment as well as a real commercial and brand asset (Ofcom, 2025). The posture is compatible with the values that Vodafone has proclaimed, of Trust, Innovation and Inclusion: it turns scale into inclusive scale – coverage into commercial differentiators – as well as into extractive pricing and it prevents the group from having to defend its coverage obligations through regulatory mechanisms.</w:t>
      </w:r>
    </w:p>
    <w:p w14:paraId="2C1B6D50" w14:textId="69B18661" w:rsidR="00E23E7B" w:rsidRPr="00700100" w:rsidRDefault="00E23E7B" w:rsidP="00E23E7B">
      <w:pPr>
        <w:pStyle w:val="Heading1"/>
        <w:rPr>
          <w:color w:val="auto"/>
        </w:rPr>
      </w:pPr>
      <w:bookmarkStart w:id="6" w:name="_Toc236867224"/>
      <w:r w:rsidRPr="00700100">
        <w:rPr>
          <w:color w:val="auto"/>
          <w:sz w:val="28"/>
          <w:szCs w:val="28"/>
        </w:rPr>
        <w:t>5. Strategy Evaluation</w:t>
      </w:r>
      <w:bookmarkEnd w:id="6"/>
      <w:r w:rsidR="00FE0692">
        <w:rPr>
          <w:color w:val="auto"/>
          <w:sz w:val="28"/>
          <w:szCs w:val="28"/>
        </w:rPr>
        <w:t xml:space="preserve"> (SFA)</w:t>
      </w:r>
    </w:p>
    <w:p w14:paraId="44B17CAB"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The Suitability, Feasibility, and Acceptability framework allows for testing the proposed differentiation-led market development strategy against the internal and external evidence collected in the first chapters of this report (Johnson et al., 2023). Suitability is evidenced by the high degree of fit between strategy and opportunities identified through SWOT and Porter's Five Forces - enterprise IoT opportunity, rural opportunity, and decreasing of substitution risk with superior 5G 'standalone' quality. The strategy reprioritises and refocuses the principle internal weaknesses of post-merger complexity and a higher debt level due to the focus on integration around a single unified commercial narrative, as opposed to breaking management's time and resources up among various growth vectors (Rothaermel, 2024).</w:t>
      </w:r>
    </w:p>
    <w:p w14:paraId="680878FF"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 xml:space="preserve">The possibility of using the eleven billion pound committed investment envelope confirms this, as do the projected cost synergies from network and operational integration – seven hundred million pounds per annum, and access to the combined spectrum bands including the mid-band assignments in the three point </w:t>
      </w:r>
      <w:proofErr w:type="gramStart"/>
      <w:r w:rsidRPr="00E23E7B">
        <w:rPr>
          <w:rFonts w:ascii="Times New Roman" w:hAnsi="Times New Roman" w:cs="Times New Roman"/>
          <w:sz w:val="24"/>
          <w:szCs w:val="24"/>
        </w:rPr>
        <w:t>four to three point</w:t>
      </w:r>
      <w:proofErr w:type="gramEnd"/>
      <w:r w:rsidRPr="00E23E7B">
        <w:rPr>
          <w:rFonts w:ascii="Times New Roman" w:hAnsi="Times New Roman" w:cs="Times New Roman"/>
          <w:sz w:val="24"/>
          <w:szCs w:val="24"/>
        </w:rPr>
        <w:t xml:space="preserve"> eight gigahertz range, essential to standalone 5G economics (</w:t>
      </w:r>
      <w:proofErr w:type="spellStart"/>
      <w:r w:rsidRPr="00E23E7B">
        <w:rPr>
          <w:rFonts w:ascii="Times New Roman" w:hAnsi="Times New Roman" w:cs="Times New Roman"/>
          <w:sz w:val="24"/>
          <w:szCs w:val="24"/>
        </w:rPr>
        <w:t>VodafoneThree</w:t>
      </w:r>
      <w:proofErr w:type="spellEnd"/>
      <w:r w:rsidRPr="00E23E7B">
        <w:rPr>
          <w:rFonts w:ascii="Times New Roman" w:hAnsi="Times New Roman" w:cs="Times New Roman"/>
          <w:sz w:val="24"/>
          <w:szCs w:val="24"/>
        </w:rPr>
        <w:t xml:space="preserve">, 2025). The key execution risk factors are skills and integration risks which are addressed with the implementation plan in the next section. There is high acceptability from all the material stakeholder groups. Regulators will appreciate the provision of the coverage </w:t>
      </w:r>
      <w:proofErr w:type="gramStart"/>
      <w:r w:rsidRPr="00E23E7B">
        <w:rPr>
          <w:rFonts w:ascii="Times New Roman" w:hAnsi="Times New Roman" w:cs="Times New Roman"/>
          <w:sz w:val="24"/>
          <w:szCs w:val="24"/>
        </w:rPr>
        <w:t>commitments</w:t>
      </w:r>
      <w:proofErr w:type="gramEnd"/>
      <w:r w:rsidRPr="00E23E7B">
        <w:rPr>
          <w:rFonts w:ascii="Times New Roman" w:hAnsi="Times New Roman" w:cs="Times New Roman"/>
          <w:sz w:val="24"/>
          <w:szCs w:val="24"/>
        </w:rPr>
        <w:t xml:space="preserve"> and the “trusted vendor” moves to national critical infrastructure. The move to enterprise revenue growth and ARPU accretion, as opposed to margin-forcing price competition, will be welcome by investors. A differentiation strategy will require investments in capabilities and employee training, which employees will appreciate. Standalone 5G will be appreciated by customers for reliability, speed and service quality, while rural coverage will be beneficial for civil society for inclusion benefits.</w:t>
      </w:r>
    </w:p>
    <w:p w14:paraId="2816B66A"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lastRenderedPageBreak/>
        <w:t>_assumptions are mentioned for good transparency, according to the guidance to the board. These evaluation assumptions are that Ofcom does not introduce wholesale price controls in addition to those in place, as well as that the Open RAN transition is not immediate or a technology that causes an urgent need for faster network equipment replacement on top of the existing diversification scheme – unlike other disruptive technologies that could have accelerated the process, especially if using a spectrum-sharing approach. The evaluation also assumes conditions at a macro-economic level allow for further corporate demand for programmable connectivity and the spectrum licence conditions do not change to a significant degree over the three-year planning horizon.</w:t>
      </w:r>
    </w:p>
    <w:p w14:paraId="71870BB7" w14:textId="77777777" w:rsidR="00E23E7B" w:rsidRPr="00700100" w:rsidRDefault="00E23E7B" w:rsidP="00E23E7B">
      <w:pPr>
        <w:pStyle w:val="Heading1"/>
        <w:rPr>
          <w:color w:val="auto"/>
        </w:rPr>
      </w:pPr>
      <w:bookmarkStart w:id="7" w:name="_Toc236867225"/>
      <w:r w:rsidRPr="00700100">
        <w:rPr>
          <w:color w:val="auto"/>
          <w:sz w:val="28"/>
          <w:szCs w:val="28"/>
        </w:rPr>
        <w:t>6. Stakeholder Analysis</w:t>
      </w:r>
      <w:bookmarkEnd w:id="7"/>
    </w:p>
    <w:p w14:paraId="3E2FD654"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Thus, Mendelow's Power and Interest Matrix can be used to segment stakeholders based on their ability to influence the strategy and their engagement with the strategy, which helps to identify proportionate engagement efforts (Johnson et al., 2023). Stakeholder theory further supports this framing, in that if a firm can't create sustainable value for one group, it can't do so for the other groups whose co-operation it depends on; and this reasoning is well in line with the inclusion coverage logic of the proposed strategy (Freeman et al., 2023). High power and high interest parties such as the Vodafone Group Plc board, Ofcom, Competition and Markets Authority, institutional investors and the largest enterprise customers need to be monitored closely by means of regular (quarterly) strategic reviews, relationship management, and clear progress reports on the merger commitments. There are stakeholder briefings and escalation procedures needed periodically in the keep-satisfied quadrant, such as HMG departments, DST and strategic network equipment suppliers. There is a need for transparent communications, dedicated channels of engagement and follow-up to commitments by stakeholders in a keep-informed quadrant – including employees, consumer advocacy groups, and local authorities in areas with gaps in coverage – and for standard information sharing in line with a minimal effort from minor mobile virtual network operators and non-strategic suppliers.</w:t>
      </w:r>
    </w:p>
    <w:p w14:paraId="241A3F72" w14:textId="77777777" w:rsidR="00E23E7B" w:rsidRPr="00700100" w:rsidRDefault="00E23E7B" w:rsidP="00E23E7B">
      <w:pPr>
        <w:spacing w:before="120" w:after="100"/>
        <w:jc w:val="center"/>
        <w:rPr>
          <w:rFonts w:ascii="Times New Roman" w:hAnsi="Times New Roman" w:cs="Times New Roman"/>
        </w:rPr>
      </w:pPr>
      <w:r w:rsidRPr="00700100">
        <w:rPr>
          <w:rFonts w:ascii="Times New Roman" w:hAnsi="Times New Roman" w:cs="Times New Roman"/>
          <w:noProof/>
        </w:rPr>
        <w:lastRenderedPageBreak/>
        <w:drawing>
          <wp:inline distT="0" distB="0" distL="0" distR="0" wp14:anchorId="03EA9225" wp14:editId="1AAE2D44">
            <wp:extent cx="4762500" cy="2905125"/>
            <wp:effectExtent l="0" t="0" r="0" b="0"/>
            <wp:docPr id="1144055568" name="Picture 1144055568" descr="Mendelow's Power/Interest matrix for VodafoneThree categorizes stakeholders into four quadrants: key players (high power, high interest), government and regulators (high power, low interest), large enterprise customers and institutional investors (low power, high interest), and minor MVNOs and non-strategic suppliers (low power, high interest), indicating different levels of engagement and influ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055568" name="Picture 1144055568" descr="Mendelow's Power/Interest matrix for VodafoneThree categorizes stakeholders into four quadrants: key players (high power, high interest), government and regulators (high power, low interest), large enterprise customers and institutional investors (low power, high interest), and minor MVNOs and non-strategic suppliers (low power, high interest), indicating different levels of engagement and influence.&#10;&#10;AI-generated content may be incorrect."/>
                    <pic:cNvPicPr>
                      <a:picLocks noChangeAspect="1" noChangeArrowheads="1"/>
                    </pic:cNvPicPr>
                  </pic:nvPicPr>
                  <pic:blipFill>
                    <a:blip r:embed="rId9"/>
                    <a:srcRect/>
                    <a:stretch>
                      <a:fillRect/>
                    </a:stretch>
                  </pic:blipFill>
                  <pic:spPr bwMode="auto">
                    <a:xfrm>
                      <a:off x="0" y="0"/>
                      <a:ext cx="4762500" cy="2905125"/>
                    </a:xfrm>
                    <a:prstGeom prst="rect">
                      <a:avLst/>
                    </a:prstGeom>
                  </pic:spPr>
                </pic:pic>
              </a:graphicData>
            </a:graphic>
          </wp:inline>
        </w:drawing>
      </w:r>
    </w:p>
    <w:p w14:paraId="1E00C930" w14:textId="77777777" w:rsidR="00E23E7B" w:rsidRPr="00700100" w:rsidRDefault="00E23E7B" w:rsidP="00E23E7B">
      <w:pPr>
        <w:spacing w:before="80" w:after="240" w:line="300" w:lineRule="auto"/>
        <w:jc w:val="center"/>
        <w:rPr>
          <w:rFonts w:ascii="Times New Roman" w:hAnsi="Times New Roman" w:cs="Times New Roman"/>
        </w:rPr>
      </w:pPr>
      <w:r w:rsidRPr="00700100">
        <w:rPr>
          <w:rFonts w:ascii="Times New Roman" w:hAnsi="Times New Roman" w:cs="Times New Roman"/>
          <w:i/>
          <w:iCs/>
          <w:sz w:val="20"/>
          <w:szCs w:val="20"/>
        </w:rPr>
        <w:t xml:space="preserve">Figure 2: Mendelow’s Power and Interest Matrix applied to </w:t>
      </w:r>
      <w:proofErr w:type="spellStart"/>
      <w:r w:rsidRPr="00700100">
        <w:rPr>
          <w:rFonts w:ascii="Times New Roman" w:hAnsi="Times New Roman" w:cs="Times New Roman"/>
          <w:i/>
          <w:iCs/>
          <w:sz w:val="20"/>
          <w:szCs w:val="20"/>
        </w:rPr>
        <w:t>VodafoneThree</w:t>
      </w:r>
      <w:proofErr w:type="spellEnd"/>
    </w:p>
    <w:p w14:paraId="1F3308F0" w14:textId="77777777" w:rsidR="00E23E7B" w:rsidRPr="00700100" w:rsidRDefault="00E23E7B" w:rsidP="00E23E7B">
      <w:pPr>
        <w:pStyle w:val="Heading1"/>
        <w:rPr>
          <w:color w:val="auto"/>
        </w:rPr>
      </w:pPr>
      <w:bookmarkStart w:id="8" w:name="_Toc236867226"/>
      <w:r w:rsidRPr="00700100">
        <w:rPr>
          <w:color w:val="auto"/>
          <w:sz w:val="28"/>
          <w:szCs w:val="28"/>
        </w:rPr>
        <w:t>7. Implementation and Monitoring</w:t>
      </w:r>
      <w:bookmarkEnd w:id="8"/>
    </w:p>
    <w:p w14:paraId="2B6238E4"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Implementation is planned for three horizons which take the differentiation-led market development approach and translate them into achievable operating results over the three-year period, and the governance structure is based on the balanced scorecard principles that link the four aspects of financial, customer, internal process and learning and growth into a single cause-and-effect chain (Barney and Hesterly, 2023). The group executive committee carries out quarterly reviews of the progress, allowing for course corrections to be made in a timely manner; The progress is openly reviewed and reported in the group annual report and the Task Force on Climate-related Financial Disclosures framework, which equals external accountability. The table below outlines the strategic objectives, the actions that must be taken and the key performance indicators (KPIs) that will be used to track performance.</w:t>
      </w:r>
    </w:p>
    <w:p w14:paraId="270B4E90" w14:textId="77777777" w:rsidR="00E23E7B" w:rsidRPr="00E23E7B" w:rsidRDefault="00E23E7B" w:rsidP="00E23E7B">
      <w:pPr>
        <w:spacing w:before="80" w:after="240" w:line="300" w:lineRule="auto"/>
        <w:jc w:val="center"/>
        <w:rPr>
          <w:rFonts w:ascii="Times New Roman" w:hAnsi="Times New Roman" w:cs="Times New Roman"/>
          <w:sz w:val="24"/>
          <w:szCs w:val="24"/>
        </w:rPr>
      </w:pPr>
      <w:r w:rsidRPr="00E23E7B">
        <w:rPr>
          <w:rFonts w:ascii="Times New Roman" w:hAnsi="Times New Roman" w:cs="Times New Roman"/>
          <w:i/>
          <w:iCs/>
          <w:sz w:val="24"/>
          <w:szCs w:val="24"/>
        </w:rPr>
        <w:t>Table 5: Implementation plan and key performance indicators</w:t>
      </w:r>
    </w:p>
    <w:tbl>
      <w:tblPr>
        <w:tblW w:w="10300" w:type="dxa"/>
        <w:tblBorders>
          <w:top w:val="single" w:sz="6" w:space="0" w:color="334155"/>
          <w:left w:val="single" w:sz="6" w:space="0" w:color="334155"/>
          <w:bottom w:val="single" w:sz="6" w:space="0" w:color="334155"/>
          <w:right w:val="single" w:sz="6" w:space="0" w:color="334155"/>
          <w:insideH w:val="single" w:sz="6" w:space="0" w:color="334155"/>
          <w:insideV w:val="single" w:sz="6" w:space="0" w:color="334155"/>
        </w:tblBorders>
        <w:tblCellMar>
          <w:left w:w="10" w:type="dxa"/>
          <w:right w:w="10" w:type="dxa"/>
        </w:tblCellMar>
        <w:tblLook w:val="0000" w:firstRow="0" w:lastRow="0" w:firstColumn="0" w:lastColumn="0" w:noHBand="0" w:noVBand="0"/>
      </w:tblPr>
      <w:tblGrid>
        <w:gridCol w:w="3200"/>
        <w:gridCol w:w="3900"/>
        <w:gridCol w:w="3200"/>
      </w:tblGrid>
      <w:tr w:rsidR="00E23E7B" w:rsidRPr="00E23E7B" w14:paraId="14A4D0BC" w14:textId="77777777" w:rsidTr="00132B5B">
        <w:tc>
          <w:tcPr>
            <w:tcW w:w="3200" w:type="dxa"/>
            <w:tcBorders>
              <w:top w:val="single" w:sz="6" w:space="0" w:color="334155"/>
              <w:left w:val="single" w:sz="6" w:space="0" w:color="334155"/>
              <w:bottom w:val="single" w:sz="6" w:space="0" w:color="334155"/>
              <w:right w:val="single" w:sz="6" w:space="0" w:color="334155"/>
            </w:tcBorders>
            <w:shd w:val="clear" w:color="auto" w:fill="0B2545"/>
            <w:tcMar>
              <w:top w:w="90" w:type="dxa"/>
              <w:left w:w="120" w:type="dxa"/>
              <w:bottom w:w="90" w:type="dxa"/>
              <w:right w:w="120" w:type="dxa"/>
            </w:tcMar>
          </w:tcPr>
          <w:p w14:paraId="77D1C160"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b/>
                <w:bCs/>
                <w:sz w:val="24"/>
                <w:szCs w:val="24"/>
              </w:rPr>
              <w:t>Objective</w:t>
            </w:r>
          </w:p>
        </w:tc>
        <w:tc>
          <w:tcPr>
            <w:tcW w:w="3900" w:type="dxa"/>
            <w:tcBorders>
              <w:top w:val="single" w:sz="6" w:space="0" w:color="334155"/>
              <w:left w:val="single" w:sz="6" w:space="0" w:color="334155"/>
              <w:bottom w:val="single" w:sz="6" w:space="0" w:color="334155"/>
              <w:right w:val="single" w:sz="6" w:space="0" w:color="334155"/>
            </w:tcBorders>
            <w:shd w:val="clear" w:color="auto" w:fill="0B2545"/>
            <w:tcMar>
              <w:top w:w="90" w:type="dxa"/>
              <w:left w:w="120" w:type="dxa"/>
              <w:bottom w:w="90" w:type="dxa"/>
              <w:right w:w="120" w:type="dxa"/>
            </w:tcMar>
          </w:tcPr>
          <w:p w14:paraId="44F482A0"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b/>
                <w:bCs/>
                <w:sz w:val="24"/>
                <w:szCs w:val="24"/>
              </w:rPr>
              <w:t>Actions</w:t>
            </w:r>
          </w:p>
        </w:tc>
        <w:tc>
          <w:tcPr>
            <w:tcW w:w="3200" w:type="dxa"/>
            <w:tcBorders>
              <w:top w:val="single" w:sz="6" w:space="0" w:color="334155"/>
              <w:left w:val="single" w:sz="6" w:space="0" w:color="334155"/>
              <w:bottom w:val="single" w:sz="6" w:space="0" w:color="334155"/>
              <w:right w:val="single" w:sz="6" w:space="0" w:color="334155"/>
            </w:tcBorders>
            <w:shd w:val="clear" w:color="auto" w:fill="0B2545"/>
            <w:tcMar>
              <w:top w:w="90" w:type="dxa"/>
              <w:left w:w="120" w:type="dxa"/>
              <w:bottom w:w="90" w:type="dxa"/>
              <w:right w:w="120" w:type="dxa"/>
            </w:tcMar>
          </w:tcPr>
          <w:p w14:paraId="73440C9D"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b/>
                <w:bCs/>
                <w:sz w:val="24"/>
                <w:szCs w:val="24"/>
              </w:rPr>
              <w:t>Key performance indicator</w:t>
            </w:r>
          </w:p>
        </w:tc>
      </w:tr>
      <w:tr w:rsidR="00E23E7B" w:rsidRPr="00E23E7B" w14:paraId="2B4F925C" w14:textId="77777777" w:rsidTr="00132B5B">
        <w:tc>
          <w:tcPr>
            <w:tcW w:w="3200" w:type="dxa"/>
            <w:tcBorders>
              <w:top w:val="single" w:sz="6" w:space="0" w:color="334155"/>
              <w:left w:val="single" w:sz="6" w:space="0" w:color="334155"/>
              <w:bottom w:val="single" w:sz="6" w:space="0" w:color="334155"/>
              <w:right w:val="single" w:sz="6" w:space="0" w:color="334155"/>
            </w:tcBorders>
            <w:shd w:val="clear" w:color="auto" w:fill="F1F5F9"/>
            <w:tcMar>
              <w:top w:w="90" w:type="dxa"/>
              <w:left w:w="120" w:type="dxa"/>
              <w:bottom w:w="90" w:type="dxa"/>
              <w:right w:w="120" w:type="dxa"/>
            </w:tcMar>
          </w:tcPr>
          <w:p w14:paraId="11E86CC7"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Achieve 95% standalone 5G population coverage by 2028</w:t>
            </w:r>
          </w:p>
        </w:tc>
        <w:tc>
          <w:tcPr>
            <w:tcW w:w="3900" w:type="dxa"/>
            <w:tcBorders>
              <w:top w:val="single" w:sz="6" w:space="0" w:color="334155"/>
              <w:left w:val="single" w:sz="6" w:space="0" w:color="334155"/>
              <w:bottom w:val="single" w:sz="6" w:space="0" w:color="334155"/>
              <w:right w:val="single" w:sz="6" w:space="0" w:color="334155"/>
            </w:tcBorders>
            <w:tcMar>
              <w:top w:w="90" w:type="dxa"/>
              <w:left w:w="120" w:type="dxa"/>
              <w:bottom w:w="90" w:type="dxa"/>
              <w:right w:w="120" w:type="dxa"/>
            </w:tcMar>
          </w:tcPr>
          <w:p w14:paraId="1CA1D5C7"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Deploy standalone 5G cores, densify urban macro grid, extend rural coverage</w:t>
            </w:r>
          </w:p>
        </w:tc>
        <w:tc>
          <w:tcPr>
            <w:tcW w:w="3200" w:type="dxa"/>
            <w:tcBorders>
              <w:top w:val="single" w:sz="6" w:space="0" w:color="334155"/>
              <w:left w:val="single" w:sz="6" w:space="0" w:color="334155"/>
              <w:bottom w:val="single" w:sz="6" w:space="0" w:color="334155"/>
              <w:right w:val="single" w:sz="6" w:space="0" w:color="334155"/>
            </w:tcBorders>
            <w:tcMar>
              <w:top w:w="90" w:type="dxa"/>
              <w:left w:w="120" w:type="dxa"/>
              <w:bottom w:w="90" w:type="dxa"/>
              <w:right w:w="120" w:type="dxa"/>
            </w:tcMar>
          </w:tcPr>
          <w:p w14:paraId="0792F1B6"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Population coverage %, mobile-not-spot count</w:t>
            </w:r>
          </w:p>
        </w:tc>
      </w:tr>
      <w:tr w:rsidR="00E23E7B" w:rsidRPr="00E23E7B" w14:paraId="6B0C6DB9" w14:textId="77777777" w:rsidTr="00132B5B">
        <w:tc>
          <w:tcPr>
            <w:tcW w:w="3200" w:type="dxa"/>
            <w:tcBorders>
              <w:top w:val="single" w:sz="6" w:space="0" w:color="334155"/>
              <w:left w:val="single" w:sz="6" w:space="0" w:color="334155"/>
              <w:bottom w:val="single" w:sz="6" w:space="0" w:color="334155"/>
              <w:right w:val="single" w:sz="6" w:space="0" w:color="334155"/>
            </w:tcBorders>
            <w:shd w:val="clear" w:color="auto" w:fill="F1F5F9"/>
            <w:tcMar>
              <w:top w:w="90" w:type="dxa"/>
              <w:left w:w="120" w:type="dxa"/>
              <w:bottom w:w="90" w:type="dxa"/>
              <w:right w:w="120" w:type="dxa"/>
            </w:tcMar>
          </w:tcPr>
          <w:p w14:paraId="26AE9297"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Grow enterprise IoT ARPU by 25% by 2028</w:t>
            </w:r>
          </w:p>
        </w:tc>
        <w:tc>
          <w:tcPr>
            <w:tcW w:w="3900" w:type="dxa"/>
            <w:tcBorders>
              <w:top w:val="single" w:sz="6" w:space="0" w:color="334155"/>
              <w:left w:val="single" w:sz="6" w:space="0" w:color="334155"/>
              <w:bottom w:val="single" w:sz="6" w:space="0" w:color="334155"/>
              <w:right w:val="single" w:sz="6" w:space="0" w:color="334155"/>
            </w:tcBorders>
            <w:tcMar>
              <w:top w:w="90" w:type="dxa"/>
              <w:left w:w="120" w:type="dxa"/>
              <w:bottom w:w="90" w:type="dxa"/>
              <w:right w:w="120" w:type="dxa"/>
            </w:tcMar>
          </w:tcPr>
          <w:p w14:paraId="123A630E"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Launch private 5G propositions, vertical sales teams, edge partnerships</w:t>
            </w:r>
          </w:p>
        </w:tc>
        <w:tc>
          <w:tcPr>
            <w:tcW w:w="3200" w:type="dxa"/>
            <w:tcBorders>
              <w:top w:val="single" w:sz="6" w:space="0" w:color="334155"/>
              <w:left w:val="single" w:sz="6" w:space="0" w:color="334155"/>
              <w:bottom w:val="single" w:sz="6" w:space="0" w:color="334155"/>
              <w:right w:val="single" w:sz="6" w:space="0" w:color="334155"/>
            </w:tcBorders>
            <w:tcMar>
              <w:top w:w="90" w:type="dxa"/>
              <w:left w:w="120" w:type="dxa"/>
              <w:bottom w:w="90" w:type="dxa"/>
              <w:right w:w="120" w:type="dxa"/>
            </w:tcMar>
          </w:tcPr>
          <w:p w14:paraId="64F6CC67"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Enterprise ARPU, IoT connections, contract renewal rate</w:t>
            </w:r>
          </w:p>
        </w:tc>
      </w:tr>
      <w:tr w:rsidR="00E23E7B" w:rsidRPr="00E23E7B" w14:paraId="56B6022B" w14:textId="77777777" w:rsidTr="00132B5B">
        <w:tc>
          <w:tcPr>
            <w:tcW w:w="3200" w:type="dxa"/>
            <w:tcBorders>
              <w:top w:val="single" w:sz="6" w:space="0" w:color="334155"/>
              <w:left w:val="single" w:sz="6" w:space="0" w:color="334155"/>
              <w:bottom w:val="single" w:sz="6" w:space="0" w:color="334155"/>
              <w:right w:val="single" w:sz="6" w:space="0" w:color="334155"/>
            </w:tcBorders>
            <w:shd w:val="clear" w:color="auto" w:fill="F1F5F9"/>
            <w:tcMar>
              <w:top w:w="90" w:type="dxa"/>
              <w:left w:w="120" w:type="dxa"/>
              <w:bottom w:w="90" w:type="dxa"/>
              <w:right w:w="120" w:type="dxa"/>
            </w:tcMar>
          </w:tcPr>
          <w:p w14:paraId="56DA3809"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lastRenderedPageBreak/>
              <w:t>Deliver £700m annual cost synergies by 2027</w:t>
            </w:r>
          </w:p>
        </w:tc>
        <w:tc>
          <w:tcPr>
            <w:tcW w:w="3900" w:type="dxa"/>
            <w:tcBorders>
              <w:top w:val="single" w:sz="6" w:space="0" w:color="334155"/>
              <w:left w:val="single" w:sz="6" w:space="0" w:color="334155"/>
              <w:bottom w:val="single" w:sz="6" w:space="0" w:color="334155"/>
              <w:right w:val="single" w:sz="6" w:space="0" w:color="334155"/>
            </w:tcBorders>
            <w:tcMar>
              <w:top w:w="90" w:type="dxa"/>
              <w:left w:w="120" w:type="dxa"/>
              <w:bottom w:w="90" w:type="dxa"/>
              <w:right w:w="120" w:type="dxa"/>
            </w:tcMar>
          </w:tcPr>
          <w:p w14:paraId="0CA4856B"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Rationalise IT stacks, consolidate RAN sites, integrate procurement</w:t>
            </w:r>
          </w:p>
        </w:tc>
        <w:tc>
          <w:tcPr>
            <w:tcW w:w="3200" w:type="dxa"/>
            <w:tcBorders>
              <w:top w:val="single" w:sz="6" w:space="0" w:color="334155"/>
              <w:left w:val="single" w:sz="6" w:space="0" w:color="334155"/>
              <w:bottom w:val="single" w:sz="6" w:space="0" w:color="334155"/>
              <w:right w:val="single" w:sz="6" w:space="0" w:color="334155"/>
            </w:tcBorders>
            <w:tcMar>
              <w:top w:w="90" w:type="dxa"/>
              <w:left w:w="120" w:type="dxa"/>
              <w:bottom w:w="90" w:type="dxa"/>
              <w:right w:w="120" w:type="dxa"/>
            </w:tcMar>
          </w:tcPr>
          <w:p w14:paraId="1E9F0CAD"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 xml:space="preserve">Realised synergies, </w:t>
            </w:r>
            <w:proofErr w:type="spellStart"/>
            <w:r w:rsidRPr="00E23E7B">
              <w:rPr>
                <w:rFonts w:ascii="Times New Roman" w:hAnsi="Times New Roman" w:cs="Times New Roman"/>
                <w:sz w:val="24"/>
                <w:szCs w:val="24"/>
              </w:rPr>
              <w:t>opex</w:t>
            </w:r>
            <w:proofErr w:type="spellEnd"/>
            <w:r w:rsidRPr="00E23E7B">
              <w:rPr>
                <w:rFonts w:ascii="Times New Roman" w:hAnsi="Times New Roman" w:cs="Times New Roman"/>
                <w:sz w:val="24"/>
                <w:szCs w:val="24"/>
              </w:rPr>
              <w:t xml:space="preserve"> ratio, integration milestone score</w:t>
            </w:r>
          </w:p>
        </w:tc>
      </w:tr>
      <w:tr w:rsidR="00E23E7B" w:rsidRPr="00E23E7B" w14:paraId="244E523E" w14:textId="77777777" w:rsidTr="00132B5B">
        <w:tc>
          <w:tcPr>
            <w:tcW w:w="3200" w:type="dxa"/>
            <w:tcBorders>
              <w:top w:val="single" w:sz="6" w:space="0" w:color="334155"/>
              <w:left w:val="single" w:sz="6" w:space="0" w:color="334155"/>
              <w:bottom w:val="single" w:sz="6" w:space="0" w:color="334155"/>
              <w:right w:val="single" w:sz="6" w:space="0" w:color="334155"/>
            </w:tcBorders>
            <w:shd w:val="clear" w:color="auto" w:fill="F1F5F9"/>
            <w:tcMar>
              <w:top w:w="90" w:type="dxa"/>
              <w:left w:w="120" w:type="dxa"/>
              <w:bottom w:w="90" w:type="dxa"/>
              <w:right w:w="120" w:type="dxa"/>
            </w:tcMar>
          </w:tcPr>
          <w:p w14:paraId="1F7E03BD"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Improve customer Net Promoter Score by 15 points by 2027</w:t>
            </w:r>
          </w:p>
        </w:tc>
        <w:tc>
          <w:tcPr>
            <w:tcW w:w="3900" w:type="dxa"/>
            <w:tcBorders>
              <w:top w:val="single" w:sz="6" w:space="0" w:color="334155"/>
              <w:left w:val="single" w:sz="6" w:space="0" w:color="334155"/>
              <w:bottom w:val="single" w:sz="6" w:space="0" w:color="334155"/>
              <w:right w:val="single" w:sz="6" w:space="0" w:color="334155"/>
            </w:tcBorders>
            <w:tcMar>
              <w:top w:w="90" w:type="dxa"/>
              <w:left w:w="120" w:type="dxa"/>
              <w:bottom w:w="90" w:type="dxa"/>
              <w:right w:w="120" w:type="dxa"/>
            </w:tcMar>
          </w:tcPr>
          <w:p w14:paraId="40623484"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Deploy AI-driven care, unified brand journey, service guarantees</w:t>
            </w:r>
          </w:p>
        </w:tc>
        <w:tc>
          <w:tcPr>
            <w:tcW w:w="3200" w:type="dxa"/>
            <w:tcBorders>
              <w:top w:val="single" w:sz="6" w:space="0" w:color="334155"/>
              <w:left w:val="single" w:sz="6" w:space="0" w:color="334155"/>
              <w:bottom w:val="single" w:sz="6" w:space="0" w:color="334155"/>
              <w:right w:val="single" w:sz="6" w:space="0" w:color="334155"/>
            </w:tcBorders>
            <w:tcMar>
              <w:top w:w="90" w:type="dxa"/>
              <w:left w:w="120" w:type="dxa"/>
              <w:bottom w:w="90" w:type="dxa"/>
              <w:right w:w="120" w:type="dxa"/>
            </w:tcMar>
          </w:tcPr>
          <w:p w14:paraId="1285710A"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NPS, first-call resolution, churn rate</w:t>
            </w:r>
          </w:p>
        </w:tc>
      </w:tr>
      <w:tr w:rsidR="00E23E7B" w:rsidRPr="00E23E7B" w14:paraId="359060BA" w14:textId="77777777" w:rsidTr="00132B5B">
        <w:tc>
          <w:tcPr>
            <w:tcW w:w="3200" w:type="dxa"/>
            <w:tcBorders>
              <w:top w:val="single" w:sz="6" w:space="0" w:color="334155"/>
              <w:left w:val="single" w:sz="6" w:space="0" w:color="334155"/>
              <w:bottom w:val="single" w:sz="6" w:space="0" w:color="334155"/>
              <w:right w:val="single" w:sz="6" w:space="0" w:color="334155"/>
            </w:tcBorders>
            <w:shd w:val="clear" w:color="auto" w:fill="F1F5F9"/>
            <w:tcMar>
              <w:top w:w="90" w:type="dxa"/>
              <w:left w:w="120" w:type="dxa"/>
              <w:bottom w:w="90" w:type="dxa"/>
              <w:right w:w="120" w:type="dxa"/>
            </w:tcMar>
          </w:tcPr>
          <w:p w14:paraId="6BB5E48B"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Reduce network energy intensity by 40% by 2028</w:t>
            </w:r>
          </w:p>
        </w:tc>
        <w:tc>
          <w:tcPr>
            <w:tcW w:w="3900" w:type="dxa"/>
            <w:tcBorders>
              <w:top w:val="single" w:sz="6" w:space="0" w:color="334155"/>
              <w:left w:val="single" w:sz="6" w:space="0" w:color="334155"/>
              <w:bottom w:val="single" w:sz="6" w:space="0" w:color="334155"/>
              <w:right w:val="single" w:sz="6" w:space="0" w:color="334155"/>
            </w:tcBorders>
            <w:tcMar>
              <w:top w:w="90" w:type="dxa"/>
              <w:left w:w="120" w:type="dxa"/>
              <w:bottom w:w="90" w:type="dxa"/>
              <w:right w:w="120" w:type="dxa"/>
            </w:tcMar>
          </w:tcPr>
          <w:p w14:paraId="3C0DA866"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Green energy contracts, RAN sleep modes, cooling optimisation</w:t>
            </w:r>
          </w:p>
        </w:tc>
        <w:tc>
          <w:tcPr>
            <w:tcW w:w="3200" w:type="dxa"/>
            <w:tcBorders>
              <w:top w:val="single" w:sz="6" w:space="0" w:color="334155"/>
              <w:left w:val="single" w:sz="6" w:space="0" w:color="334155"/>
              <w:bottom w:val="single" w:sz="6" w:space="0" w:color="334155"/>
              <w:right w:val="single" w:sz="6" w:space="0" w:color="334155"/>
            </w:tcBorders>
            <w:tcMar>
              <w:top w:w="90" w:type="dxa"/>
              <w:left w:w="120" w:type="dxa"/>
              <w:bottom w:w="90" w:type="dxa"/>
              <w:right w:w="120" w:type="dxa"/>
            </w:tcMar>
          </w:tcPr>
          <w:p w14:paraId="73022D4A" w14:textId="77777777" w:rsidR="00E23E7B" w:rsidRPr="00E23E7B" w:rsidRDefault="00E23E7B" w:rsidP="00132B5B">
            <w:pPr>
              <w:spacing w:line="300" w:lineRule="auto"/>
              <w:rPr>
                <w:rFonts w:ascii="Times New Roman" w:hAnsi="Times New Roman" w:cs="Times New Roman"/>
                <w:sz w:val="24"/>
                <w:szCs w:val="24"/>
              </w:rPr>
            </w:pPr>
            <w:r w:rsidRPr="00E23E7B">
              <w:rPr>
                <w:rFonts w:ascii="Times New Roman" w:hAnsi="Times New Roman" w:cs="Times New Roman"/>
                <w:sz w:val="24"/>
                <w:szCs w:val="24"/>
              </w:rPr>
              <w:t>kWh per petabyte, scope 1 and 2 emissions</w:t>
            </w:r>
          </w:p>
        </w:tc>
      </w:tr>
    </w:tbl>
    <w:p w14:paraId="7EDB8852" w14:textId="77777777" w:rsidR="00E23E7B" w:rsidRPr="00700100" w:rsidRDefault="00E23E7B" w:rsidP="00E23E7B">
      <w:pPr>
        <w:rPr>
          <w:rFonts w:ascii="Times New Roman" w:hAnsi="Times New Roman" w:cs="Times New Roman"/>
        </w:rPr>
      </w:pPr>
    </w:p>
    <w:p w14:paraId="4709C04D" w14:textId="77777777" w:rsidR="00E23E7B" w:rsidRPr="00700100" w:rsidRDefault="00E23E7B" w:rsidP="00E23E7B">
      <w:pPr>
        <w:pStyle w:val="Heading1"/>
        <w:rPr>
          <w:color w:val="auto"/>
        </w:rPr>
      </w:pPr>
      <w:bookmarkStart w:id="9" w:name="_Toc236867227"/>
      <w:r w:rsidRPr="00700100">
        <w:rPr>
          <w:color w:val="auto"/>
          <w:sz w:val="28"/>
          <w:szCs w:val="28"/>
        </w:rPr>
        <w:t>8. Conclusion</w:t>
      </w:r>
      <w:bookmarkEnd w:id="9"/>
    </w:p>
    <w:p w14:paraId="0F5EE402" w14:textId="0AB5961E" w:rsid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 xml:space="preserve">It is now clear that the Vodafone UK and Three UK merger not only has made Vodafone the number one mobile operator in the UK, </w:t>
      </w:r>
      <w:proofErr w:type="gramStart"/>
      <w:r w:rsidRPr="00E23E7B">
        <w:rPr>
          <w:rFonts w:ascii="Times New Roman" w:hAnsi="Times New Roman" w:cs="Times New Roman"/>
          <w:sz w:val="24"/>
          <w:szCs w:val="24"/>
        </w:rPr>
        <w:t>it</w:t>
      </w:r>
      <w:proofErr w:type="gramEnd"/>
      <w:r w:rsidRPr="00E23E7B">
        <w:rPr>
          <w:rFonts w:ascii="Times New Roman" w:hAnsi="Times New Roman" w:cs="Times New Roman"/>
          <w:sz w:val="24"/>
          <w:szCs w:val="24"/>
        </w:rPr>
        <w:t xml:space="preserve"> has also given it the balance-sheet strength to take the front seat in the next phase of planning standalone 5G deployments in urban and rural areas. Analysis via PESTEL, Porter's 5 Forces and SWOT analysis suggest that scale, depth of the spectrum and network quality represent the three key levers to advantage in a consolidating three-player market, where the primary competition is evolving from headline tariff to differentiation through quality. The ‘differentiation’ guided market development strategy transforms scale into ‘inclusive’ coverage, ‘enterprise </w:t>
      </w:r>
      <w:proofErr w:type="spellStart"/>
      <w:r w:rsidRPr="00E23E7B">
        <w:rPr>
          <w:rFonts w:ascii="Times New Roman" w:hAnsi="Times New Roman" w:cs="Times New Roman"/>
          <w:sz w:val="24"/>
          <w:szCs w:val="24"/>
        </w:rPr>
        <w:t>class'</w:t>
      </w:r>
      <w:proofErr w:type="spellEnd"/>
      <w:r w:rsidRPr="00E23E7B">
        <w:rPr>
          <w:rFonts w:ascii="Times New Roman" w:hAnsi="Times New Roman" w:cs="Times New Roman"/>
          <w:sz w:val="24"/>
          <w:szCs w:val="24"/>
        </w:rPr>
        <w:t xml:space="preserve"> services and ‘best in </w:t>
      </w:r>
      <w:proofErr w:type="spellStart"/>
      <w:r w:rsidRPr="00E23E7B">
        <w:rPr>
          <w:rFonts w:ascii="Times New Roman" w:hAnsi="Times New Roman" w:cs="Times New Roman"/>
          <w:sz w:val="24"/>
          <w:szCs w:val="24"/>
        </w:rPr>
        <w:t>class'</w:t>
      </w:r>
      <w:proofErr w:type="spellEnd"/>
      <w:r w:rsidRPr="00E23E7B">
        <w:rPr>
          <w:rFonts w:ascii="Times New Roman" w:hAnsi="Times New Roman" w:cs="Times New Roman"/>
          <w:sz w:val="24"/>
          <w:szCs w:val="24"/>
        </w:rPr>
        <w:t xml:space="preserve"> customer </w:t>
      </w:r>
      <w:r w:rsidR="00FE0692" w:rsidRPr="00E23E7B">
        <w:rPr>
          <w:rFonts w:ascii="Times New Roman" w:hAnsi="Times New Roman" w:cs="Times New Roman"/>
          <w:sz w:val="24"/>
          <w:szCs w:val="24"/>
        </w:rPr>
        <w:t>care and</w:t>
      </w:r>
      <w:r w:rsidRPr="00E23E7B">
        <w:rPr>
          <w:rFonts w:ascii="Times New Roman" w:hAnsi="Times New Roman" w:cs="Times New Roman"/>
          <w:sz w:val="24"/>
          <w:szCs w:val="24"/>
        </w:rPr>
        <w:t xml:space="preserve"> is directly connected to the values of Vodafone as well as the coverage commitments that were given during the merger clearance. The Suitability, Feasibility, and Acceptability assessment verifies strategic alignment, and a three-horizon implementation strategy with clear KPIs and proportionate stakeholder engagement empowers the group to fulfil their sustainable growth objectives and make a meaningful impact to the United Kingdom's broader digital infrastructure agenda.</w:t>
      </w:r>
    </w:p>
    <w:p w14:paraId="0508C1FA" w14:textId="77777777" w:rsidR="00E23E7B" w:rsidRPr="00E23E7B" w:rsidRDefault="00E23E7B" w:rsidP="00E23E7B">
      <w:pPr>
        <w:rPr>
          <w:rFonts w:ascii="Times New Roman" w:hAnsi="Times New Roman" w:cs="Times New Roman"/>
          <w:sz w:val="24"/>
          <w:szCs w:val="24"/>
        </w:rPr>
      </w:pPr>
    </w:p>
    <w:p w14:paraId="59B5EB96" w14:textId="77777777" w:rsidR="00E23E7B" w:rsidRPr="00E23E7B" w:rsidRDefault="00E23E7B" w:rsidP="00E23E7B">
      <w:pPr>
        <w:rPr>
          <w:rFonts w:ascii="Times New Roman" w:hAnsi="Times New Roman" w:cs="Times New Roman"/>
          <w:sz w:val="24"/>
          <w:szCs w:val="24"/>
        </w:rPr>
      </w:pPr>
    </w:p>
    <w:p w14:paraId="4D562087" w14:textId="77777777" w:rsidR="00E23E7B" w:rsidRPr="00E23E7B" w:rsidRDefault="00E23E7B" w:rsidP="00E23E7B">
      <w:pPr>
        <w:rPr>
          <w:rFonts w:ascii="Times New Roman" w:hAnsi="Times New Roman" w:cs="Times New Roman"/>
          <w:sz w:val="24"/>
          <w:szCs w:val="24"/>
        </w:rPr>
      </w:pPr>
    </w:p>
    <w:p w14:paraId="0D199766" w14:textId="77777777" w:rsidR="00E23E7B" w:rsidRPr="00E23E7B" w:rsidRDefault="00E23E7B" w:rsidP="00E23E7B">
      <w:pPr>
        <w:rPr>
          <w:rFonts w:ascii="Times New Roman" w:hAnsi="Times New Roman" w:cs="Times New Roman"/>
          <w:sz w:val="24"/>
          <w:szCs w:val="24"/>
        </w:rPr>
      </w:pPr>
    </w:p>
    <w:p w14:paraId="72464E13" w14:textId="77777777" w:rsidR="00E23E7B" w:rsidRPr="00E23E7B" w:rsidRDefault="00E23E7B" w:rsidP="00E23E7B">
      <w:pPr>
        <w:rPr>
          <w:rFonts w:ascii="Times New Roman" w:hAnsi="Times New Roman" w:cs="Times New Roman"/>
          <w:sz w:val="24"/>
          <w:szCs w:val="24"/>
        </w:rPr>
      </w:pPr>
    </w:p>
    <w:p w14:paraId="1CC0B155" w14:textId="77777777" w:rsidR="00E23E7B" w:rsidRPr="00E23E7B" w:rsidRDefault="00E23E7B" w:rsidP="00E23E7B">
      <w:pPr>
        <w:rPr>
          <w:rFonts w:ascii="Times New Roman" w:hAnsi="Times New Roman" w:cs="Times New Roman"/>
          <w:sz w:val="24"/>
          <w:szCs w:val="24"/>
        </w:rPr>
      </w:pPr>
    </w:p>
    <w:p w14:paraId="239EC7CE" w14:textId="77777777" w:rsidR="00E23E7B" w:rsidRPr="00E23E7B" w:rsidRDefault="00E23E7B" w:rsidP="00E23E7B">
      <w:pPr>
        <w:rPr>
          <w:rFonts w:ascii="Times New Roman" w:hAnsi="Times New Roman" w:cs="Times New Roman"/>
          <w:sz w:val="24"/>
          <w:szCs w:val="24"/>
        </w:rPr>
      </w:pPr>
    </w:p>
    <w:p w14:paraId="1C4AAAEF" w14:textId="77777777" w:rsidR="00E23E7B" w:rsidRPr="00E23E7B" w:rsidRDefault="00E23E7B" w:rsidP="00E23E7B">
      <w:pPr>
        <w:rPr>
          <w:rFonts w:ascii="Times New Roman" w:hAnsi="Times New Roman" w:cs="Times New Roman"/>
          <w:sz w:val="24"/>
          <w:szCs w:val="24"/>
        </w:rPr>
      </w:pPr>
    </w:p>
    <w:p w14:paraId="5D7A123C" w14:textId="77777777" w:rsidR="00E23E7B" w:rsidRPr="00E23E7B" w:rsidRDefault="00E23E7B" w:rsidP="00E23E7B">
      <w:pPr>
        <w:rPr>
          <w:rFonts w:ascii="Times New Roman" w:hAnsi="Times New Roman" w:cs="Times New Roman"/>
          <w:sz w:val="24"/>
          <w:szCs w:val="24"/>
        </w:rPr>
      </w:pPr>
    </w:p>
    <w:p w14:paraId="254557AD" w14:textId="77777777" w:rsidR="00E23E7B" w:rsidRPr="00E23E7B" w:rsidRDefault="00E23E7B" w:rsidP="00E23E7B">
      <w:pPr>
        <w:rPr>
          <w:rFonts w:ascii="Times New Roman" w:hAnsi="Times New Roman" w:cs="Times New Roman"/>
          <w:sz w:val="24"/>
          <w:szCs w:val="24"/>
        </w:rPr>
      </w:pPr>
    </w:p>
    <w:p w14:paraId="16C93490" w14:textId="77777777" w:rsidR="00E23E7B" w:rsidRDefault="00E23E7B" w:rsidP="00E23E7B">
      <w:pPr>
        <w:rPr>
          <w:rFonts w:ascii="Times New Roman" w:hAnsi="Times New Roman" w:cs="Times New Roman"/>
          <w:sz w:val="24"/>
          <w:szCs w:val="24"/>
        </w:rPr>
      </w:pPr>
    </w:p>
    <w:p w14:paraId="481F3AB6" w14:textId="77777777" w:rsidR="00E23E7B" w:rsidRDefault="00E23E7B" w:rsidP="00E23E7B">
      <w:pPr>
        <w:rPr>
          <w:rFonts w:ascii="Times New Roman" w:hAnsi="Times New Roman" w:cs="Times New Roman"/>
          <w:sz w:val="24"/>
          <w:szCs w:val="24"/>
        </w:rPr>
      </w:pPr>
    </w:p>
    <w:p w14:paraId="60B1D694" w14:textId="77777777" w:rsidR="00E23E7B" w:rsidRPr="00700100" w:rsidRDefault="00E23E7B" w:rsidP="00E23E7B">
      <w:pPr>
        <w:pStyle w:val="Heading1"/>
        <w:rPr>
          <w:color w:val="auto"/>
        </w:rPr>
      </w:pPr>
      <w:bookmarkStart w:id="10" w:name="_Toc236867228"/>
      <w:r w:rsidRPr="00700100">
        <w:rPr>
          <w:color w:val="auto"/>
          <w:sz w:val="28"/>
          <w:szCs w:val="28"/>
        </w:rPr>
        <w:lastRenderedPageBreak/>
        <w:t>References</w:t>
      </w:r>
      <w:bookmarkEnd w:id="10"/>
    </w:p>
    <w:p w14:paraId="47A16E61"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 xml:space="preserve">Barney, J. B. and Hesterly, W. S. (2023) Strategic Management and Competitive Advantage: Concepts and Cases. 7th </w:t>
      </w:r>
      <w:proofErr w:type="spellStart"/>
      <w:r w:rsidRPr="00E23E7B">
        <w:rPr>
          <w:rFonts w:ascii="Times New Roman" w:hAnsi="Times New Roman" w:cs="Times New Roman"/>
          <w:sz w:val="24"/>
          <w:szCs w:val="24"/>
        </w:rPr>
        <w:t>edn</w:t>
      </w:r>
      <w:proofErr w:type="spellEnd"/>
      <w:r w:rsidRPr="00E23E7B">
        <w:rPr>
          <w:rFonts w:ascii="Times New Roman" w:hAnsi="Times New Roman" w:cs="Times New Roman"/>
          <w:sz w:val="24"/>
          <w:szCs w:val="24"/>
        </w:rPr>
        <w:t>. Harlow: Pearson. Available at: https://www.pearson.com/en-us/subject-catalog/p/strategic-management-and-competitive-advantage-concepts-and-cases/P200000004849 (Accessed: 25 July 2026).</w:t>
      </w:r>
    </w:p>
    <w:p w14:paraId="1714696A"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Competition and Markets Authority (2024) Vodafone/Three merger inquiry: final report. London: CMA. Available at: https://www.gov.uk/cma-cases/vodafone-three-merger-inquiry (Accessed: 25 July 2026).</w:t>
      </w:r>
    </w:p>
    <w:p w14:paraId="051CC9C0"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Deloitte (2024) Technology, Media and Telecommunications Predictions 2024. London: Deloitte Insights. Available at: https://www.deloitte.com/global/en/Industries/tmt/perspectives/tmt-predictions.html (Accessed: 26 July 2026).</w:t>
      </w:r>
    </w:p>
    <w:p w14:paraId="3C746DBE"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EY (2024) Top ten risks in telecommunications 2024. London: Ernst and Young. Available at: https://www.ey.com/en_gl/insights/tmt/telecommunications (Accessed: 26 July 2026).</w:t>
      </w:r>
    </w:p>
    <w:p w14:paraId="59A2E531"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 xml:space="preserve">Freeman, R. E., Harrison, J. S. and </w:t>
      </w:r>
      <w:proofErr w:type="spellStart"/>
      <w:r w:rsidRPr="00E23E7B">
        <w:rPr>
          <w:rFonts w:ascii="Times New Roman" w:hAnsi="Times New Roman" w:cs="Times New Roman"/>
          <w:sz w:val="24"/>
          <w:szCs w:val="24"/>
        </w:rPr>
        <w:t>Zyglidopoulos</w:t>
      </w:r>
      <w:proofErr w:type="spellEnd"/>
      <w:r w:rsidRPr="00E23E7B">
        <w:rPr>
          <w:rFonts w:ascii="Times New Roman" w:hAnsi="Times New Roman" w:cs="Times New Roman"/>
          <w:sz w:val="24"/>
          <w:szCs w:val="24"/>
        </w:rPr>
        <w:t>, S. (2023) Stakeholder Theory: Concepts and Strategies. Cambridge: Cambridge University Press. Available at: https://www.cambridge.org/core/elements/stakeholder-theory/BB48A2A9260A54AA02A2D50F6F3E22A0 (Accessed: 27 July 2026).</w:t>
      </w:r>
    </w:p>
    <w:p w14:paraId="593F7A77"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 xml:space="preserve">Grant, R. M. (2022) Contemporary Strategy Analysis. 11th </w:t>
      </w:r>
      <w:proofErr w:type="spellStart"/>
      <w:r w:rsidRPr="00E23E7B">
        <w:rPr>
          <w:rFonts w:ascii="Times New Roman" w:hAnsi="Times New Roman" w:cs="Times New Roman"/>
          <w:sz w:val="24"/>
          <w:szCs w:val="24"/>
        </w:rPr>
        <w:t>edn</w:t>
      </w:r>
      <w:proofErr w:type="spellEnd"/>
      <w:r w:rsidRPr="00E23E7B">
        <w:rPr>
          <w:rFonts w:ascii="Times New Roman" w:hAnsi="Times New Roman" w:cs="Times New Roman"/>
          <w:sz w:val="24"/>
          <w:szCs w:val="24"/>
        </w:rPr>
        <w:t>. Chichester: John Wiley and Sons. Available at: https://www.wiley.com/en-gb/Contemporary+Strategy+Analysis%2C+11th+Edition-p-9781119815242 (Accessed: 27 July 2026).</w:t>
      </w:r>
    </w:p>
    <w:p w14:paraId="734A161F"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GSMA Intelligence (2024) The Mobile Economy Europe 2024. London: GSMA. Available at: https://www.gsma.com/solutions-and-impact/connectivity-for-good/mobile-economy/europe/ (Accessed: 28 July 2026).</w:t>
      </w:r>
    </w:p>
    <w:p w14:paraId="7C3F9CDE"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 xml:space="preserve">Johnson, G., Whittington, R., Regner, P., Scholes, K. and Angwin, D. (2023) Exploring Strategy: Text and Cases. 13th </w:t>
      </w:r>
      <w:proofErr w:type="spellStart"/>
      <w:r w:rsidRPr="00E23E7B">
        <w:rPr>
          <w:rFonts w:ascii="Times New Roman" w:hAnsi="Times New Roman" w:cs="Times New Roman"/>
          <w:sz w:val="24"/>
          <w:szCs w:val="24"/>
        </w:rPr>
        <w:t>edn</w:t>
      </w:r>
      <w:proofErr w:type="spellEnd"/>
      <w:r w:rsidRPr="00E23E7B">
        <w:rPr>
          <w:rFonts w:ascii="Times New Roman" w:hAnsi="Times New Roman" w:cs="Times New Roman"/>
          <w:sz w:val="24"/>
          <w:szCs w:val="24"/>
        </w:rPr>
        <w:t>. Harlow: Pearson. Available at: https://www.pearson.com/en-gb/subject-catalog/p/exploring-strategy-text-and-cases/P200000009717 (Accessed: 28 July 2026).</w:t>
      </w:r>
    </w:p>
    <w:p w14:paraId="2F71E95C"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KPMG (2024) UK connectivity and telecoms outlook 2024. London: KPMG. Available at: https://kpmg.com/uk/en/home/industries/technology-media-telecommunications.html (Accessed: 29 July 2026).</w:t>
      </w:r>
    </w:p>
    <w:p w14:paraId="401239E0"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lastRenderedPageBreak/>
        <w:t>McKinsey and Company (2024) The age of AI in telecommunications. London: McKinsey and Company. Available at: https://www.mckinsey.com/industries/technology-media-and-telecommunications/our-insights (Accessed: 29 July 2026).</w:t>
      </w:r>
    </w:p>
    <w:p w14:paraId="16431CD8"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Ofcom (2024) Communications Market Report 2024. London: Office of Communications. Available at: https://www.ofcom.org.uk/research-and-data/multi-sector-research/cmr (Accessed: 25 July 2026).</w:t>
      </w:r>
    </w:p>
    <w:p w14:paraId="27B65579"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Ofcom (2025) Connected Nations 2025. London: Office of Communications. Available at: https://www.ofcom.org.uk/research-and-data/multi-sector-research/infrastructure-research/connected-nations-2025 (Accessed: 26 July 2026).</w:t>
      </w:r>
    </w:p>
    <w:p w14:paraId="18F9D5FB"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PwC (2024) UK telecoms outlook 2024. London: PricewaterhouseCoopers. Available at: https://www.pwc.co.uk/industries/telecommunications.html (Accessed: 27 July 2026).</w:t>
      </w:r>
    </w:p>
    <w:p w14:paraId="4392BB8D"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 xml:space="preserve">Rothaermel, F. T. (2024) Strategic Management. 6th </w:t>
      </w:r>
      <w:proofErr w:type="spellStart"/>
      <w:r w:rsidRPr="00E23E7B">
        <w:rPr>
          <w:rFonts w:ascii="Times New Roman" w:hAnsi="Times New Roman" w:cs="Times New Roman"/>
          <w:sz w:val="24"/>
          <w:szCs w:val="24"/>
        </w:rPr>
        <w:t>edn</w:t>
      </w:r>
      <w:proofErr w:type="spellEnd"/>
      <w:r w:rsidRPr="00E23E7B">
        <w:rPr>
          <w:rFonts w:ascii="Times New Roman" w:hAnsi="Times New Roman" w:cs="Times New Roman"/>
          <w:sz w:val="24"/>
          <w:szCs w:val="24"/>
        </w:rPr>
        <w:t>. New York: McGraw-Hill Education. Available at: https://www.mheducation.com/highered/product/strategic-management-rothaermel/M9781266137204.html (Accessed: 28 July 2026).</w:t>
      </w:r>
    </w:p>
    <w:p w14:paraId="6F31E0FE"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Statista (2025) Telecommunications industry in the United Kingdom. Hamburg: Statista. Available at: https://www.statista.com/topics/2519/telecommunications-industry-in-the-united-kingdom/ (Accessed: 29 July 2026).</w:t>
      </w:r>
    </w:p>
    <w:p w14:paraId="67916921" w14:textId="77777777" w:rsidR="00E23E7B" w:rsidRPr="00E23E7B" w:rsidRDefault="00E23E7B" w:rsidP="00E23E7B">
      <w:pPr>
        <w:spacing w:line="360" w:lineRule="auto"/>
        <w:jc w:val="both"/>
        <w:rPr>
          <w:rFonts w:ascii="Times New Roman" w:hAnsi="Times New Roman" w:cs="Times New Roman"/>
          <w:sz w:val="24"/>
          <w:szCs w:val="24"/>
        </w:rPr>
      </w:pPr>
      <w:r w:rsidRPr="00E23E7B">
        <w:rPr>
          <w:rFonts w:ascii="Times New Roman" w:hAnsi="Times New Roman" w:cs="Times New Roman"/>
          <w:sz w:val="24"/>
          <w:szCs w:val="24"/>
        </w:rPr>
        <w:t>Vodafone Group Plc (2025) Annual Report FY25. Newbury: Vodafone Group Plc. Available at: https://investors.vodafone.com/reports-information/results-reports-presentations (Accessed: 30 July 2026).</w:t>
      </w:r>
    </w:p>
    <w:p w14:paraId="507B16BE" w14:textId="77777777" w:rsidR="00E23E7B" w:rsidRPr="00E23E7B" w:rsidRDefault="00E23E7B" w:rsidP="00E23E7B">
      <w:pPr>
        <w:spacing w:line="360" w:lineRule="auto"/>
        <w:jc w:val="both"/>
        <w:rPr>
          <w:rFonts w:ascii="Times New Roman" w:hAnsi="Times New Roman" w:cs="Times New Roman"/>
          <w:sz w:val="24"/>
          <w:szCs w:val="24"/>
        </w:rPr>
      </w:pPr>
      <w:proofErr w:type="spellStart"/>
      <w:r w:rsidRPr="00E23E7B">
        <w:rPr>
          <w:rFonts w:ascii="Times New Roman" w:hAnsi="Times New Roman" w:cs="Times New Roman"/>
          <w:sz w:val="24"/>
          <w:szCs w:val="24"/>
        </w:rPr>
        <w:t>VodafoneThree</w:t>
      </w:r>
      <w:proofErr w:type="spellEnd"/>
      <w:r w:rsidRPr="00E23E7B">
        <w:rPr>
          <w:rFonts w:ascii="Times New Roman" w:hAnsi="Times New Roman" w:cs="Times New Roman"/>
          <w:sz w:val="24"/>
          <w:szCs w:val="24"/>
        </w:rPr>
        <w:t xml:space="preserve"> (2025) Vodafone and Three UK merger completion: news release. Newbury: Vodafone UK. Available at: https://www.vodafone.co.uk/newscentre/press-release/vodafone-and-three-merger-completes/ (Accessed: 30 July 2026).</w:t>
      </w:r>
    </w:p>
    <w:p w14:paraId="60E09F3F" w14:textId="77777777" w:rsidR="00E23E7B" w:rsidRPr="00E23E7B" w:rsidRDefault="00E23E7B" w:rsidP="00E23E7B">
      <w:pPr>
        <w:rPr>
          <w:rFonts w:ascii="Times New Roman" w:hAnsi="Times New Roman" w:cs="Times New Roman"/>
          <w:sz w:val="24"/>
          <w:szCs w:val="24"/>
        </w:rPr>
      </w:pPr>
    </w:p>
    <w:sectPr w:rsidR="00E23E7B" w:rsidRPr="00E23E7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0F63AC" w14:textId="77777777" w:rsidR="005C6759" w:rsidRDefault="005C6759" w:rsidP="00E23E7B">
      <w:r>
        <w:separator/>
      </w:r>
    </w:p>
  </w:endnote>
  <w:endnote w:type="continuationSeparator" w:id="0">
    <w:p w14:paraId="182D6972" w14:textId="77777777" w:rsidR="005C6759" w:rsidRDefault="005C6759" w:rsidP="00E23E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387438"/>
      <w:docPartObj>
        <w:docPartGallery w:val="Page Numbers (Bottom of Page)"/>
        <w:docPartUnique/>
      </w:docPartObj>
    </w:sdtPr>
    <w:sdtEndPr>
      <w:rPr>
        <w:color w:val="7F7F7F" w:themeColor="background1" w:themeShade="7F"/>
        <w:spacing w:val="60"/>
      </w:rPr>
    </w:sdtEndPr>
    <w:sdtContent>
      <w:p w14:paraId="5E62A1A7" w14:textId="0D229725" w:rsidR="00E23E7B" w:rsidRDefault="00E23E7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4459DAA" w14:textId="77777777" w:rsidR="00E23E7B" w:rsidRDefault="00E23E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0BC34A" w14:textId="77777777" w:rsidR="005C6759" w:rsidRDefault="005C6759" w:rsidP="00E23E7B">
      <w:r>
        <w:separator/>
      </w:r>
    </w:p>
  </w:footnote>
  <w:footnote w:type="continuationSeparator" w:id="0">
    <w:p w14:paraId="31A898AB" w14:textId="77777777" w:rsidR="005C6759" w:rsidRDefault="005C6759" w:rsidP="00E23E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5253E0"/>
    <w:multiLevelType w:val="hybridMultilevel"/>
    <w:tmpl w:val="0B622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8615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E7B"/>
    <w:rsid w:val="000B0BD9"/>
    <w:rsid w:val="003124E2"/>
    <w:rsid w:val="003243C1"/>
    <w:rsid w:val="00335C31"/>
    <w:rsid w:val="00442518"/>
    <w:rsid w:val="00527FEF"/>
    <w:rsid w:val="00535E72"/>
    <w:rsid w:val="005C6759"/>
    <w:rsid w:val="005D181E"/>
    <w:rsid w:val="00673CA9"/>
    <w:rsid w:val="00787AF7"/>
    <w:rsid w:val="008142FF"/>
    <w:rsid w:val="008924F1"/>
    <w:rsid w:val="008D214B"/>
    <w:rsid w:val="0090689D"/>
    <w:rsid w:val="0092607E"/>
    <w:rsid w:val="009F1BCC"/>
    <w:rsid w:val="009F35D6"/>
    <w:rsid w:val="00AD0A99"/>
    <w:rsid w:val="00B0375F"/>
    <w:rsid w:val="00B42C8A"/>
    <w:rsid w:val="00B9094F"/>
    <w:rsid w:val="00B918CD"/>
    <w:rsid w:val="00C464CF"/>
    <w:rsid w:val="00C96685"/>
    <w:rsid w:val="00E1696F"/>
    <w:rsid w:val="00E23E7B"/>
    <w:rsid w:val="00F41A15"/>
    <w:rsid w:val="00FE0692"/>
    <w:rsid w:val="00FF5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E90A9"/>
  <w15:chartTrackingRefBased/>
  <w15:docId w15:val="{9E4E9F80-DAE3-475A-A945-CBDC79532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E7B"/>
    <w:pPr>
      <w:spacing w:after="0" w:line="24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autoRedefine/>
    <w:uiPriority w:val="9"/>
    <w:qFormat/>
    <w:rsid w:val="00E23E7B"/>
    <w:pPr>
      <w:keepNext/>
      <w:keepLines/>
      <w:widowControl w:val="0"/>
      <w:autoSpaceDE w:val="0"/>
      <w:autoSpaceDN w:val="0"/>
      <w:spacing w:before="300" w:after="200" w:line="360" w:lineRule="auto"/>
      <w:jc w:val="both"/>
      <w:outlineLvl w:val="0"/>
    </w:pPr>
    <w:rPr>
      <w:rFonts w:ascii="Times New Roman" w:hAnsi="Times New Roman" w:cs="Times New Roman"/>
      <w:b/>
      <w:bCs/>
      <w:color w:val="0B2545"/>
      <w:sz w:val="24"/>
      <w:szCs w:val="24"/>
      <w:lang w:val="en-US" w:eastAsia="zh-CN"/>
    </w:rPr>
  </w:style>
  <w:style w:type="paragraph" w:styleId="Heading2">
    <w:name w:val="heading 2"/>
    <w:basedOn w:val="Normal"/>
    <w:next w:val="Normal"/>
    <w:link w:val="Heading2Char"/>
    <w:autoRedefine/>
    <w:uiPriority w:val="9"/>
    <w:unhideWhenUsed/>
    <w:qFormat/>
    <w:rsid w:val="00B42C8A"/>
    <w:pPr>
      <w:keepNext/>
      <w:keepLines/>
      <w:spacing w:before="40" w:line="276" w:lineRule="auto"/>
      <w:outlineLvl w:val="1"/>
    </w:pPr>
    <w:rPr>
      <w:rFonts w:ascii="Times New Roman" w:eastAsiaTheme="majorEastAsia" w:hAnsi="Times New Roman" w:cstheme="majorBidi"/>
      <w:b/>
      <w:color w:val="000000" w:themeColor="text1"/>
      <w:kern w:val="2"/>
      <w:sz w:val="24"/>
      <w:szCs w:val="26"/>
      <w:lang w:eastAsia="en-US"/>
      <w14:ligatures w14:val="standardContextual"/>
    </w:rPr>
  </w:style>
  <w:style w:type="paragraph" w:styleId="Heading3">
    <w:name w:val="heading 3"/>
    <w:basedOn w:val="Normal"/>
    <w:next w:val="Normal"/>
    <w:link w:val="Heading3Char"/>
    <w:uiPriority w:val="9"/>
    <w:semiHidden/>
    <w:unhideWhenUsed/>
    <w:qFormat/>
    <w:rsid w:val="00E1696F"/>
    <w:pPr>
      <w:keepNext/>
      <w:keepLines/>
      <w:spacing w:before="160" w:after="80" w:line="360" w:lineRule="auto"/>
      <w:outlineLvl w:val="2"/>
    </w:pPr>
    <w:rPr>
      <w:rFonts w:ascii="Times New Roman" w:eastAsiaTheme="majorEastAsia" w:hAnsi="Times New Roman" w:cstheme="majorBidi"/>
      <w:b/>
      <w:color w:val="000000" w:themeColor="text1"/>
      <w:kern w:val="2"/>
      <w:sz w:val="24"/>
      <w:szCs w:val="28"/>
      <w:lang w:eastAsia="en-US"/>
      <w14:ligatures w14:val="standardContextual"/>
    </w:rPr>
  </w:style>
  <w:style w:type="paragraph" w:styleId="Heading4">
    <w:name w:val="heading 4"/>
    <w:basedOn w:val="Normal"/>
    <w:next w:val="Normal"/>
    <w:link w:val="Heading4Char"/>
    <w:uiPriority w:val="9"/>
    <w:semiHidden/>
    <w:unhideWhenUsed/>
    <w:qFormat/>
    <w:rsid w:val="00E23E7B"/>
    <w:pPr>
      <w:keepNext/>
      <w:keepLines/>
      <w:spacing w:before="80" w:after="40" w:line="360" w:lineRule="auto"/>
      <w:outlineLvl w:val="3"/>
    </w:pPr>
    <w:rPr>
      <w:rFonts w:asciiTheme="minorHAnsi" w:eastAsiaTheme="majorEastAsia" w:hAnsiTheme="minorHAnsi"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E23E7B"/>
    <w:pPr>
      <w:keepNext/>
      <w:keepLines/>
      <w:spacing w:before="80" w:after="40" w:line="360" w:lineRule="auto"/>
      <w:outlineLvl w:val="4"/>
    </w:pPr>
    <w:rPr>
      <w:rFonts w:asciiTheme="minorHAnsi" w:eastAsiaTheme="majorEastAsia" w:hAnsiTheme="minorHAnsi"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E23E7B"/>
    <w:pPr>
      <w:keepNext/>
      <w:keepLines/>
      <w:spacing w:before="40" w:line="360" w:lineRule="auto"/>
      <w:outlineLvl w:val="5"/>
    </w:pPr>
    <w:rPr>
      <w:rFonts w:asciiTheme="minorHAnsi" w:eastAsiaTheme="majorEastAsia" w:hAnsiTheme="minorHAnsi"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E23E7B"/>
    <w:pPr>
      <w:keepNext/>
      <w:keepLines/>
      <w:spacing w:before="40" w:line="360" w:lineRule="auto"/>
      <w:outlineLvl w:val="6"/>
    </w:pPr>
    <w:rPr>
      <w:rFonts w:asciiTheme="minorHAnsi" w:eastAsiaTheme="majorEastAsia" w:hAnsiTheme="minorHAnsi"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E23E7B"/>
    <w:pPr>
      <w:keepNext/>
      <w:keepLines/>
      <w:spacing w:line="360" w:lineRule="auto"/>
      <w:outlineLvl w:val="7"/>
    </w:pPr>
    <w:rPr>
      <w:rFonts w:asciiTheme="minorHAnsi" w:eastAsiaTheme="majorEastAsia" w:hAnsiTheme="minorHAnsi"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E23E7B"/>
    <w:pPr>
      <w:keepNext/>
      <w:keepLines/>
      <w:spacing w:line="360" w:lineRule="auto"/>
      <w:outlineLvl w:val="8"/>
    </w:pPr>
    <w:rPr>
      <w:rFonts w:asciiTheme="minorHAnsi" w:eastAsiaTheme="majorEastAsia" w:hAnsiTheme="minorHAnsi" w:cstheme="majorBidi"/>
      <w:color w:val="272727" w:themeColor="text1" w:themeTint="D8"/>
      <w:kern w:val="2"/>
      <w:sz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E7B"/>
    <w:rPr>
      <w:rFonts w:ascii="Times New Roman" w:eastAsia="Arial" w:hAnsi="Times New Roman" w:cs="Times New Roman"/>
      <w:b/>
      <w:bCs/>
      <w:color w:val="0B2545"/>
      <w:kern w:val="0"/>
      <w:lang w:val="en-US" w:eastAsia="zh-CN"/>
      <w14:ligatures w14:val="none"/>
    </w:rPr>
  </w:style>
  <w:style w:type="character" w:customStyle="1" w:styleId="Heading2Char">
    <w:name w:val="Heading 2 Char"/>
    <w:basedOn w:val="DefaultParagraphFont"/>
    <w:link w:val="Heading2"/>
    <w:uiPriority w:val="9"/>
    <w:rsid w:val="00B42C8A"/>
    <w:rPr>
      <w:rFonts w:ascii="Times New Roman" w:eastAsiaTheme="majorEastAsia" w:hAnsi="Times New Roman" w:cstheme="majorBidi"/>
      <w:b/>
      <w:color w:val="000000" w:themeColor="text1"/>
      <w:szCs w:val="26"/>
    </w:rPr>
  </w:style>
  <w:style w:type="character" w:customStyle="1" w:styleId="Heading3Char">
    <w:name w:val="Heading 3 Char"/>
    <w:basedOn w:val="DefaultParagraphFont"/>
    <w:link w:val="Heading3"/>
    <w:uiPriority w:val="9"/>
    <w:semiHidden/>
    <w:rsid w:val="00E1696F"/>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E23E7B"/>
    <w:rPr>
      <w:rFonts w:eastAsiaTheme="majorEastAsia" w:cstheme="majorBidi"/>
      <w:i/>
      <w:iCs/>
      <w:color w:val="0F4761" w:themeColor="accent1" w:themeShade="BF"/>
      <w:szCs w:val="22"/>
    </w:rPr>
  </w:style>
  <w:style w:type="character" w:customStyle="1" w:styleId="Heading5Char">
    <w:name w:val="Heading 5 Char"/>
    <w:basedOn w:val="DefaultParagraphFont"/>
    <w:link w:val="Heading5"/>
    <w:uiPriority w:val="9"/>
    <w:semiHidden/>
    <w:rsid w:val="00E23E7B"/>
    <w:rPr>
      <w:rFonts w:eastAsiaTheme="majorEastAsia" w:cstheme="majorBidi"/>
      <w:color w:val="0F4761" w:themeColor="accent1" w:themeShade="BF"/>
      <w:szCs w:val="22"/>
    </w:rPr>
  </w:style>
  <w:style w:type="character" w:customStyle="1" w:styleId="Heading6Char">
    <w:name w:val="Heading 6 Char"/>
    <w:basedOn w:val="DefaultParagraphFont"/>
    <w:link w:val="Heading6"/>
    <w:uiPriority w:val="9"/>
    <w:semiHidden/>
    <w:rsid w:val="00E23E7B"/>
    <w:rPr>
      <w:rFonts w:eastAsiaTheme="majorEastAsia" w:cstheme="majorBidi"/>
      <w:i/>
      <w:iCs/>
      <w:color w:val="595959" w:themeColor="text1" w:themeTint="A6"/>
      <w:szCs w:val="22"/>
    </w:rPr>
  </w:style>
  <w:style w:type="character" w:customStyle="1" w:styleId="Heading7Char">
    <w:name w:val="Heading 7 Char"/>
    <w:basedOn w:val="DefaultParagraphFont"/>
    <w:link w:val="Heading7"/>
    <w:uiPriority w:val="9"/>
    <w:semiHidden/>
    <w:rsid w:val="00E23E7B"/>
    <w:rPr>
      <w:rFonts w:eastAsiaTheme="majorEastAsia" w:cstheme="majorBidi"/>
      <w:color w:val="595959" w:themeColor="text1" w:themeTint="A6"/>
      <w:szCs w:val="22"/>
    </w:rPr>
  </w:style>
  <w:style w:type="character" w:customStyle="1" w:styleId="Heading8Char">
    <w:name w:val="Heading 8 Char"/>
    <w:basedOn w:val="DefaultParagraphFont"/>
    <w:link w:val="Heading8"/>
    <w:uiPriority w:val="9"/>
    <w:semiHidden/>
    <w:rsid w:val="00E23E7B"/>
    <w:rPr>
      <w:rFonts w:eastAsiaTheme="majorEastAsia" w:cstheme="majorBidi"/>
      <w:i/>
      <w:iCs/>
      <w:color w:val="272727" w:themeColor="text1" w:themeTint="D8"/>
      <w:szCs w:val="22"/>
    </w:rPr>
  </w:style>
  <w:style w:type="character" w:customStyle="1" w:styleId="Heading9Char">
    <w:name w:val="Heading 9 Char"/>
    <w:basedOn w:val="DefaultParagraphFont"/>
    <w:link w:val="Heading9"/>
    <w:uiPriority w:val="9"/>
    <w:semiHidden/>
    <w:rsid w:val="00E23E7B"/>
    <w:rPr>
      <w:rFonts w:eastAsiaTheme="majorEastAsia" w:cstheme="majorBidi"/>
      <w:color w:val="272727" w:themeColor="text1" w:themeTint="D8"/>
      <w:szCs w:val="22"/>
    </w:rPr>
  </w:style>
  <w:style w:type="paragraph" w:styleId="Title">
    <w:name w:val="Title"/>
    <w:basedOn w:val="Normal"/>
    <w:next w:val="Normal"/>
    <w:link w:val="TitleChar"/>
    <w:uiPriority w:val="10"/>
    <w:qFormat/>
    <w:rsid w:val="00E23E7B"/>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23E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3E7B"/>
    <w:pPr>
      <w:numPr>
        <w:ilvl w:val="1"/>
      </w:numPr>
      <w:spacing w:after="160" w:line="360"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23E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3E7B"/>
    <w:pPr>
      <w:spacing w:before="160" w:after="160" w:line="360" w:lineRule="auto"/>
      <w:jc w:val="center"/>
    </w:pPr>
    <w:rPr>
      <w:rFonts w:ascii="Times New Roman" w:eastAsiaTheme="minorHAnsi" w:hAnsi="Times New Roman" w:cstheme="minorBidi"/>
      <w:i/>
      <w:iCs/>
      <w:color w:val="404040" w:themeColor="text1" w:themeTint="BF"/>
      <w:kern w:val="2"/>
      <w:sz w:val="24"/>
      <w:lang w:eastAsia="en-US"/>
      <w14:ligatures w14:val="standardContextual"/>
    </w:rPr>
  </w:style>
  <w:style w:type="character" w:customStyle="1" w:styleId="QuoteChar">
    <w:name w:val="Quote Char"/>
    <w:basedOn w:val="DefaultParagraphFont"/>
    <w:link w:val="Quote"/>
    <w:uiPriority w:val="29"/>
    <w:rsid w:val="00E23E7B"/>
    <w:rPr>
      <w:rFonts w:ascii="Times New Roman" w:hAnsi="Times New Roman"/>
      <w:i/>
      <w:iCs/>
      <w:color w:val="404040" w:themeColor="text1" w:themeTint="BF"/>
      <w:szCs w:val="22"/>
    </w:rPr>
  </w:style>
  <w:style w:type="paragraph" w:styleId="ListParagraph">
    <w:name w:val="List Paragraph"/>
    <w:basedOn w:val="Normal"/>
    <w:uiPriority w:val="34"/>
    <w:qFormat/>
    <w:rsid w:val="00E23E7B"/>
    <w:pPr>
      <w:spacing w:after="160" w:line="360" w:lineRule="auto"/>
      <w:ind w:left="720"/>
      <w:contextualSpacing/>
    </w:pPr>
    <w:rPr>
      <w:rFonts w:ascii="Times New Roman" w:eastAsiaTheme="minorHAnsi" w:hAnsi="Times New Roman" w:cstheme="minorBidi"/>
      <w:kern w:val="2"/>
      <w:sz w:val="24"/>
      <w:lang w:eastAsia="en-US"/>
      <w14:ligatures w14:val="standardContextual"/>
    </w:rPr>
  </w:style>
  <w:style w:type="character" w:styleId="IntenseEmphasis">
    <w:name w:val="Intense Emphasis"/>
    <w:basedOn w:val="DefaultParagraphFont"/>
    <w:uiPriority w:val="21"/>
    <w:qFormat/>
    <w:rsid w:val="00E23E7B"/>
    <w:rPr>
      <w:i/>
      <w:iCs/>
      <w:color w:val="0F4761" w:themeColor="accent1" w:themeShade="BF"/>
    </w:rPr>
  </w:style>
  <w:style w:type="paragraph" w:styleId="IntenseQuote">
    <w:name w:val="Intense Quote"/>
    <w:basedOn w:val="Normal"/>
    <w:next w:val="Normal"/>
    <w:link w:val="IntenseQuoteChar"/>
    <w:uiPriority w:val="30"/>
    <w:qFormat/>
    <w:rsid w:val="00E23E7B"/>
    <w:pPr>
      <w:pBdr>
        <w:top w:val="single" w:sz="4" w:space="10" w:color="0F4761" w:themeColor="accent1" w:themeShade="BF"/>
        <w:bottom w:val="single" w:sz="4" w:space="10" w:color="0F4761" w:themeColor="accent1" w:themeShade="BF"/>
      </w:pBdr>
      <w:spacing w:before="360" w:after="360" w:line="360" w:lineRule="auto"/>
      <w:ind w:left="864" w:right="864"/>
      <w:jc w:val="center"/>
    </w:pPr>
    <w:rPr>
      <w:rFonts w:ascii="Times New Roman" w:eastAsiaTheme="minorHAnsi" w:hAnsi="Times New Roman" w:cstheme="minorBidi"/>
      <w:i/>
      <w:iCs/>
      <w:color w:val="0F4761" w:themeColor="accent1" w:themeShade="BF"/>
      <w:kern w:val="2"/>
      <w:sz w:val="24"/>
      <w:lang w:eastAsia="en-US"/>
      <w14:ligatures w14:val="standardContextual"/>
    </w:rPr>
  </w:style>
  <w:style w:type="character" w:customStyle="1" w:styleId="IntenseQuoteChar">
    <w:name w:val="Intense Quote Char"/>
    <w:basedOn w:val="DefaultParagraphFont"/>
    <w:link w:val="IntenseQuote"/>
    <w:uiPriority w:val="30"/>
    <w:rsid w:val="00E23E7B"/>
    <w:rPr>
      <w:rFonts w:ascii="Times New Roman" w:hAnsi="Times New Roman"/>
      <w:i/>
      <w:iCs/>
      <w:color w:val="0F4761" w:themeColor="accent1" w:themeShade="BF"/>
      <w:szCs w:val="22"/>
    </w:rPr>
  </w:style>
  <w:style w:type="character" w:styleId="IntenseReference">
    <w:name w:val="Intense Reference"/>
    <w:basedOn w:val="DefaultParagraphFont"/>
    <w:uiPriority w:val="32"/>
    <w:qFormat/>
    <w:rsid w:val="00E23E7B"/>
    <w:rPr>
      <w:b/>
      <w:bCs/>
      <w:smallCaps/>
      <w:color w:val="0F4761" w:themeColor="accent1" w:themeShade="BF"/>
      <w:spacing w:val="5"/>
    </w:rPr>
  </w:style>
  <w:style w:type="table" w:styleId="TableGrid">
    <w:name w:val="Table Grid"/>
    <w:basedOn w:val="TableNormal"/>
    <w:uiPriority w:val="39"/>
    <w:rsid w:val="00E23E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23E7B"/>
    <w:pPr>
      <w:widowControl/>
      <w:autoSpaceDE/>
      <w:autoSpaceDN/>
      <w:spacing w:before="240" w:after="0" w:line="259" w:lineRule="auto"/>
      <w:jc w:val="left"/>
      <w:outlineLvl w:val="9"/>
    </w:pPr>
    <w:rPr>
      <w:rFonts w:asciiTheme="majorHAnsi" w:eastAsiaTheme="majorEastAsia" w:hAnsiTheme="majorHAnsi" w:cstheme="majorBidi"/>
      <w:b w:val="0"/>
      <w:bCs w:val="0"/>
      <w:color w:val="0F4761" w:themeColor="accent1" w:themeShade="BF"/>
      <w:sz w:val="32"/>
      <w:szCs w:val="32"/>
      <w:lang w:eastAsia="en-US"/>
    </w:rPr>
  </w:style>
  <w:style w:type="paragraph" w:styleId="TOC1">
    <w:name w:val="toc 1"/>
    <w:basedOn w:val="Normal"/>
    <w:next w:val="Normal"/>
    <w:autoRedefine/>
    <w:uiPriority w:val="39"/>
    <w:unhideWhenUsed/>
    <w:rsid w:val="00E23E7B"/>
    <w:pPr>
      <w:spacing w:after="100"/>
    </w:pPr>
  </w:style>
  <w:style w:type="paragraph" w:styleId="TOC2">
    <w:name w:val="toc 2"/>
    <w:basedOn w:val="Normal"/>
    <w:next w:val="Normal"/>
    <w:autoRedefine/>
    <w:uiPriority w:val="39"/>
    <w:unhideWhenUsed/>
    <w:rsid w:val="00E23E7B"/>
    <w:pPr>
      <w:spacing w:after="100"/>
      <w:ind w:left="220"/>
    </w:pPr>
  </w:style>
  <w:style w:type="character" w:styleId="Hyperlink">
    <w:name w:val="Hyperlink"/>
    <w:basedOn w:val="DefaultParagraphFont"/>
    <w:uiPriority w:val="99"/>
    <w:unhideWhenUsed/>
    <w:rsid w:val="00E23E7B"/>
    <w:rPr>
      <w:color w:val="467886" w:themeColor="hyperlink"/>
      <w:u w:val="single"/>
    </w:rPr>
  </w:style>
  <w:style w:type="paragraph" w:styleId="Header">
    <w:name w:val="header"/>
    <w:basedOn w:val="Normal"/>
    <w:link w:val="HeaderChar"/>
    <w:uiPriority w:val="99"/>
    <w:unhideWhenUsed/>
    <w:rsid w:val="00E23E7B"/>
    <w:pPr>
      <w:tabs>
        <w:tab w:val="center" w:pos="4513"/>
        <w:tab w:val="right" w:pos="9026"/>
      </w:tabs>
    </w:pPr>
  </w:style>
  <w:style w:type="character" w:customStyle="1" w:styleId="HeaderChar">
    <w:name w:val="Header Char"/>
    <w:basedOn w:val="DefaultParagraphFont"/>
    <w:link w:val="Header"/>
    <w:uiPriority w:val="99"/>
    <w:rsid w:val="00E23E7B"/>
    <w:rPr>
      <w:rFonts w:ascii="Arial" w:eastAsia="Arial" w:hAnsi="Arial" w:cs="Arial"/>
      <w:kern w:val="0"/>
      <w:sz w:val="22"/>
      <w:szCs w:val="22"/>
      <w:lang w:eastAsia="en-GB"/>
      <w14:ligatures w14:val="none"/>
    </w:rPr>
  </w:style>
  <w:style w:type="paragraph" w:styleId="Footer">
    <w:name w:val="footer"/>
    <w:basedOn w:val="Normal"/>
    <w:link w:val="FooterChar"/>
    <w:uiPriority w:val="99"/>
    <w:unhideWhenUsed/>
    <w:rsid w:val="00E23E7B"/>
    <w:pPr>
      <w:tabs>
        <w:tab w:val="center" w:pos="4513"/>
        <w:tab w:val="right" w:pos="9026"/>
      </w:tabs>
    </w:pPr>
  </w:style>
  <w:style w:type="character" w:customStyle="1" w:styleId="FooterChar">
    <w:name w:val="Footer Char"/>
    <w:basedOn w:val="DefaultParagraphFont"/>
    <w:link w:val="Footer"/>
    <w:uiPriority w:val="99"/>
    <w:rsid w:val="00E23E7B"/>
    <w:rPr>
      <w:rFonts w:ascii="Arial" w:eastAsia="Arial" w:hAnsi="Arial" w:cs="Arial"/>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1</Pages>
  <Words>3924</Words>
  <Characters>22367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student</dc:creator>
  <cp:keywords/>
  <dc:description/>
  <cp:lastModifiedBy>Florina Popina</cp:lastModifiedBy>
  <cp:revision>4</cp:revision>
  <dcterms:created xsi:type="dcterms:W3CDTF">2026-08-05T22:48:00Z</dcterms:created>
  <dcterms:modified xsi:type="dcterms:W3CDTF">2026-08-06T08:55:00Z</dcterms:modified>
</cp:coreProperties>
</file>