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D94210" w14:textId="77777777" w:rsidR="00704436" w:rsidRDefault="00886E12">
      <w:pPr>
        <w:pStyle w:val="BodyText"/>
        <w:rPr>
          <w:rFonts w:ascii="Times New Roman"/>
          <w:b w:val="0"/>
        </w:rPr>
      </w:pPr>
      <w:r>
        <w:rPr>
          <w:rFonts w:ascii="Times New Roman"/>
          <w:b w:val="0"/>
        </w:rPr>
        <w:pict w14:anchorId="184BAA42">
          <v:group id="Group 1" o:spid="_x0000_s1030" style="position:absolute;margin-left:0;margin-top:0;width:595.5pt;height:842.25pt;z-index:-251658240;mso-wrap-distance-left:0;mso-wrap-distance-right:0;mso-position-horizontal-relative:page;mso-position-vertical-relative:page" coordsize="21600,2160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width:21600;height:21600">
              <v:imagedata r:id="rId7" o:title=""/>
            </v:shape>
            <v:shape id="_x0000_s1027" type="#_x0000_t75" style="position:absolute;top:19087;width:8640;height:2513">
              <v:imagedata r:id="rId8" o:title=""/>
            </v:shape>
            <v:shape id="_x0000_s1028" type="#_x0000_t75" style="position:absolute;left:5162;top:3456;width:11321;height:3213">
              <v:imagedata r:id="rId9" o:title=""/>
            </v:shape>
            <v:shape id="_x0000_s1029" type="#_x0000_t75" style="position:absolute;left:1826;top:6904;width:11702;height:9024">
              <v:imagedata r:id="rId10" o:title=""/>
            </v:shape>
            <w10:wrap anchorx="page" anchory="page"/>
          </v:group>
        </w:pict>
      </w:r>
    </w:p>
    <w:p w14:paraId="1AC8360F" w14:textId="77777777" w:rsidR="00704436" w:rsidRDefault="00704436">
      <w:pPr>
        <w:pStyle w:val="BodyText"/>
        <w:rPr>
          <w:rFonts w:ascii="Times New Roman"/>
          <w:b w:val="0"/>
        </w:rPr>
      </w:pPr>
    </w:p>
    <w:p w14:paraId="0DCE938D" w14:textId="77777777" w:rsidR="00704436" w:rsidRDefault="00704436">
      <w:pPr>
        <w:pStyle w:val="BodyText"/>
        <w:rPr>
          <w:rFonts w:ascii="Times New Roman"/>
          <w:b w:val="0"/>
        </w:rPr>
      </w:pPr>
    </w:p>
    <w:p w14:paraId="48FF413E" w14:textId="77777777" w:rsidR="00704436" w:rsidRDefault="00704436">
      <w:pPr>
        <w:pStyle w:val="BodyText"/>
        <w:rPr>
          <w:rFonts w:ascii="Times New Roman"/>
          <w:b w:val="0"/>
        </w:rPr>
      </w:pPr>
    </w:p>
    <w:p w14:paraId="0376CA22" w14:textId="77777777" w:rsidR="00704436" w:rsidRDefault="00704436">
      <w:pPr>
        <w:pStyle w:val="BodyText"/>
        <w:rPr>
          <w:rFonts w:ascii="Times New Roman"/>
          <w:b w:val="0"/>
        </w:rPr>
      </w:pPr>
    </w:p>
    <w:p w14:paraId="7F352F53" w14:textId="77777777" w:rsidR="00704436" w:rsidRDefault="00704436">
      <w:pPr>
        <w:pStyle w:val="BodyText"/>
        <w:rPr>
          <w:rFonts w:ascii="Times New Roman"/>
          <w:b w:val="0"/>
        </w:rPr>
      </w:pPr>
    </w:p>
    <w:p w14:paraId="36656D1A" w14:textId="77777777" w:rsidR="00704436" w:rsidRDefault="00704436">
      <w:pPr>
        <w:pStyle w:val="BodyText"/>
        <w:spacing w:before="277"/>
        <w:rPr>
          <w:rFonts w:ascii="Times New Roman"/>
          <w:b w:val="0"/>
        </w:rPr>
      </w:pPr>
    </w:p>
    <w:p w14:paraId="6C17524A" w14:textId="77777777" w:rsidR="00704436" w:rsidRDefault="00886E12">
      <w:pPr>
        <w:pStyle w:val="BodyText"/>
        <w:spacing w:line="259" w:lineRule="auto"/>
        <w:ind w:left="77" w:right="414" w:hanging="7"/>
        <w:rPr>
          <w:b w:val="0"/>
        </w:rPr>
      </w:pPr>
      <w:bookmarkStart w:id="0" w:name="Student_No:_2530421"/>
      <w:bookmarkStart w:id="1" w:name="Word_count:_4959"/>
      <w:bookmarkStart w:id="2" w:name="Strategic_Management_(LCMB7003)"/>
      <w:bookmarkStart w:id="3" w:name="Strategic_Analysis_of_Dyson"/>
      <w:bookmarkStart w:id="4" w:name="Name:_Komal_Kanjibjai_Thummer"/>
      <w:bookmarkStart w:id="5" w:name="Lecturer:_Dr._Hoang_Nguyen"/>
      <w:bookmarkStart w:id="6" w:name="Submission_Date:_12th_Aug_2026"/>
      <w:bookmarkEnd w:id="0"/>
      <w:bookmarkEnd w:id="1"/>
      <w:bookmarkEnd w:id="2"/>
      <w:bookmarkEnd w:id="3"/>
      <w:bookmarkEnd w:id="4"/>
      <w:bookmarkEnd w:id="5"/>
      <w:bookmarkEnd w:id="6"/>
      <w:r>
        <w:rPr>
          <w:b w:val="0"/>
          <w:spacing w:val="-2"/>
          <w:w w:val="90"/>
        </w:rPr>
        <w:t>Strategic</w:t>
      </w:r>
      <w:r>
        <w:rPr>
          <w:b w:val="0"/>
          <w:spacing w:val="-20"/>
          <w:w w:val="90"/>
        </w:rPr>
        <w:t xml:space="preserve"> </w:t>
      </w:r>
      <w:r>
        <w:rPr>
          <w:b w:val="0"/>
          <w:spacing w:val="-2"/>
          <w:w w:val="90"/>
        </w:rPr>
        <w:t>Management</w:t>
      </w:r>
      <w:r>
        <w:rPr>
          <w:b w:val="0"/>
          <w:spacing w:val="-20"/>
          <w:w w:val="90"/>
        </w:rPr>
        <w:t xml:space="preserve"> </w:t>
      </w:r>
      <w:r>
        <w:rPr>
          <w:b w:val="0"/>
          <w:spacing w:val="-2"/>
          <w:w w:val="90"/>
        </w:rPr>
        <w:t xml:space="preserve">(LCMB7003) </w:t>
      </w:r>
      <w:r>
        <w:rPr>
          <w:b w:val="0"/>
          <w:w w:val="90"/>
        </w:rPr>
        <w:t>Strategic Analysis of Dyson</w:t>
      </w:r>
    </w:p>
    <w:p w14:paraId="55BCC489" w14:textId="77777777" w:rsidR="00704436" w:rsidRDefault="00704436">
      <w:pPr>
        <w:pStyle w:val="BodyText"/>
        <w:spacing w:before="342"/>
        <w:rPr>
          <w:b w:val="0"/>
        </w:rPr>
      </w:pPr>
    </w:p>
    <w:p w14:paraId="45CCAC16" w14:textId="77777777" w:rsidR="00704436" w:rsidRDefault="00886E12">
      <w:pPr>
        <w:pStyle w:val="BodyText"/>
        <w:spacing w:line="237" w:lineRule="auto"/>
        <w:ind w:left="30" w:right="414" w:hanging="16"/>
        <w:rPr>
          <w:b w:val="0"/>
        </w:rPr>
      </w:pPr>
      <w:r>
        <w:rPr>
          <w:b w:val="0"/>
          <w:w w:val="85"/>
        </w:rPr>
        <w:t xml:space="preserve">Name: Komal </w:t>
      </w:r>
      <w:proofErr w:type="spellStart"/>
      <w:r>
        <w:rPr>
          <w:b w:val="0"/>
          <w:w w:val="85"/>
        </w:rPr>
        <w:t>Kanjibjai</w:t>
      </w:r>
      <w:proofErr w:type="spellEnd"/>
      <w:r>
        <w:rPr>
          <w:b w:val="0"/>
          <w:w w:val="85"/>
        </w:rPr>
        <w:t xml:space="preserve"> </w:t>
      </w:r>
      <w:proofErr w:type="spellStart"/>
      <w:r>
        <w:rPr>
          <w:b w:val="0"/>
          <w:w w:val="85"/>
        </w:rPr>
        <w:t>Thummer</w:t>
      </w:r>
      <w:proofErr w:type="spellEnd"/>
      <w:r>
        <w:rPr>
          <w:b w:val="0"/>
          <w:w w:val="85"/>
        </w:rPr>
        <w:t xml:space="preserve"> </w:t>
      </w:r>
      <w:r>
        <w:rPr>
          <w:b w:val="0"/>
          <w:w w:val="90"/>
        </w:rPr>
        <w:t>Student No: 2530421</w:t>
      </w:r>
    </w:p>
    <w:p w14:paraId="57F2AC8B" w14:textId="77777777" w:rsidR="00704436" w:rsidRDefault="00886E12">
      <w:pPr>
        <w:pStyle w:val="BodyText"/>
        <w:spacing w:before="32" w:line="237" w:lineRule="auto"/>
        <w:ind w:left="15" w:right="1839" w:hanging="1"/>
        <w:rPr>
          <w:b w:val="0"/>
        </w:rPr>
      </w:pPr>
      <w:r>
        <w:rPr>
          <w:b w:val="0"/>
          <w:spacing w:val="-2"/>
          <w:w w:val="90"/>
        </w:rPr>
        <w:t>Lecturer:</w:t>
      </w:r>
      <w:r>
        <w:rPr>
          <w:b w:val="0"/>
          <w:spacing w:val="-29"/>
          <w:w w:val="90"/>
        </w:rPr>
        <w:t xml:space="preserve"> </w:t>
      </w:r>
      <w:r>
        <w:rPr>
          <w:b w:val="0"/>
          <w:spacing w:val="-2"/>
          <w:w w:val="90"/>
        </w:rPr>
        <w:t>Dr.</w:t>
      </w:r>
      <w:r>
        <w:rPr>
          <w:b w:val="0"/>
          <w:spacing w:val="-29"/>
          <w:w w:val="90"/>
        </w:rPr>
        <w:t xml:space="preserve"> </w:t>
      </w:r>
      <w:r>
        <w:rPr>
          <w:b w:val="0"/>
          <w:spacing w:val="-2"/>
          <w:w w:val="90"/>
        </w:rPr>
        <w:t>Hoang</w:t>
      </w:r>
      <w:r>
        <w:rPr>
          <w:b w:val="0"/>
          <w:spacing w:val="-29"/>
          <w:w w:val="90"/>
        </w:rPr>
        <w:t xml:space="preserve"> </w:t>
      </w:r>
      <w:r>
        <w:rPr>
          <w:b w:val="0"/>
          <w:spacing w:val="-2"/>
          <w:w w:val="90"/>
        </w:rPr>
        <w:t xml:space="preserve">Nguyen </w:t>
      </w:r>
      <w:r>
        <w:rPr>
          <w:b w:val="0"/>
          <w:spacing w:val="-10"/>
        </w:rPr>
        <w:t>Word</w:t>
      </w:r>
      <w:r>
        <w:rPr>
          <w:b w:val="0"/>
          <w:spacing w:val="-45"/>
        </w:rPr>
        <w:t xml:space="preserve"> </w:t>
      </w:r>
      <w:r>
        <w:rPr>
          <w:b w:val="0"/>
          <w:spacing w:val="-10"/>
        </w:rPr>
        <w:t>count:</w:t>
      </w:r>
      <w:r>
        <w:rPr>
          <w:b w:val="0"/>
          <w:spacing w:val="-45"/>
        </w:rPr>
        <w:t xml:space="preserve"> </w:t>
      </w:r>
      <w:r>
        <w:rPr>
          <w:b w:val="0"/>
          <w:spacing w:val="-10"/>
        </w:rPr>
        <w:t>4959</w:t>
      </w:r>
    </w:p>
    <w:p w14:paraId="13D2478F" w14:textId="77777777" w:rsidR="00704436" w:rsidRDefault="00886E12">
      <w:pPr>
        <w:pStyle w:val="BodyText"/>
        <w:spacing w:before="27"/>
        <w:ind w:left="114"/>
        <w:rPr>
          <w:b w:val="0"/>
        </w:rPr>
        <w:sectPr w:rsidR="00704436">
          <w:type w:val="continuous"/>
          <w:pgSz w:w="11910" w:h="16850"/>
          <w:pgMar w:top="1940" w:right="1700" w:bottom="280" w:left="992" w:header="708" w:footer="708" w:gutter="0"/>
          <w:cols w:space="708"/>
        </w:sectPr>
      </w:pPr>
      <w:r>
        <w:rPr>
          <w:b w:val="0"/>
          <w:w w:val="85"/>
        </w:rPr>
        <w:t>Submission</w:t>
      </w:r>
      <w:r>
        <w:rPr>
          <w:b w:val="0"/>
          <w:spacing w:val="10"/>
        </w:rPr>
        <w:t xml:space="preserve"> </w:t>
      </w:r>
      <w:r>
        <w:rPr>
          <w:b w:val="0"/>
          <w:w w:val="85"/>
        </w:rPr>
        <w:t>Date:</w:t>
      </w:r>
      <w:r>
        <w:rPr>
          <w:b w:val="0"/>
          <w:spacing w:val="11"/>
        </w:rPr>
        <w:t xml:space="preserve"> </w:t>
      </w:r>
      <w:r>
        <w:rPr>
          <w:b w:val="0"/>
          <w:w w:val="85"/>
        </w:rPr>
        <w:t>12th</w:t>
      </w:r>
      <w:r>
        <w:rPr>
          <w:b w:val="0"/>
          <w:spacing w:val="11"/>
        </w:rPr>
        <w:t xml:space="preserve"> </w:t>
      </w:r>
      <w:r>
        <w:rPr>
          <w:b w:val="0"/>
          <w:w w:val="85"/>
        </w:rPr>
        <w:t>Aug</w:t>
      </w:r>
      <w:r>
        <w:rPr>
          <w:b w:val="0"/>
          <w:spacing w:val="11"/>
        </w:rPr>
        <w:t xml:space="preserve"> </w:t>
      </w:r>
      <w:r>
        <w:rPr>
          <w:b w:val="0"/>
          <w:spacing w:val="-4"/>
          <w:w w:val="85"/>
        </w:rPr>
        <w:t>2026</w:t>
      </w:r>
    </w:p>
    <w:p w14:paraId="0510047B" w14:textId="77777777" w:rsidR="003470DA" w:rsidRDefault="003470DA">
      <w:pPr>
        <w:spacing w:line="360" w:lineRule="auto"/>
        <w:jc w:val="center"/>
        <w:rPr>
          <w:b/>
          <w:bCs/>
          <w:sz w:val="28"/>
          <w:szCs w:val="28"/>
          <w:lang w:val="en-GB" w:eastAsia="en-IN"/>
        </w:rPr>
      </w:pPr>
    </w:p>
    <w:p w14:paraId="528899C1" w14:textId="77777777" w:rsidR="003470DA" w:rsidRDefault="003470DA">
      <w:pPr>
        <w:spacing w:line="360" w:lineRule="auto"/>
        <w:jc w:val="center"/>
        <w:rPr>
          <w:b/>
          <w:bCs/>
          <w:sz w:val="28"/>
          <w:szCs w:val="28"/>
          <w:lang w:val="en-GB" w:eastAsia="en-IN"/>
        </w:rPr>
      </w:pPr>
    </w:p>
    <w:p w14:paraId="204D3344" w14:textId="4DC69AF3" w:rsidR="003470DA" w:rsidRDefault="003470DA">
      <w:pPr>
        <w:spacing w:line="360" w:lineRule="auto"/>
        <w:jc w:val="both"/>
        <w:rPr>
          <w:b/>
          <w:bCs/>
          <w:sz w:val="28"/>
          <w:szCs w:val="28"/>
          <w:lang w:val="en-GB" w:eastAsia="en-IN"/>
        </w:rPr>
      </w:pPr>
    </w:p>
    <w:p w14:paraId="4CB48DDF" w14:textId="77777777" w:rsidR="003470DA" w:rsidRDefault="00886E12">
      <w:pPr>
        <w:spacing w:line="360" w:lineRule="auto"/>
        <w:jc w:val="both"/>
        <w:rPr>
          <w:b/>
          <w:bCs/>
          <w:sz w:val="28"/>
          <w:szCs w:val="28"/>
          <w:lang w:val="en-GB" w:eastAsia="en-IN"/>
        </w:rPr>
      </w:pPr>
      <w:r>
        <w:rPr>
          <w:b/>
          <w:bCs/>
          <w:sz w:val="28"/>
          <w:szCs w:val="28"/>
          <w:lang w:val="en-GB" w:eastAsia="en-IN"/>
        </w:rPr>
        <w:t xml:space="preserve">Table of Contents </w:t>
      </w:r>
    </w:p>
    <w:sdt>
      <w:sdtPr>
        <w:id w:val="1979479378"/>
        <w:docPartObj>
          <w:docPartGallery w:val="Table of Contents"/>
          <w:docPartUnique/>
        </w:docPartObj>
      </w:sdtPr>
      <w:sdtEndPr/>
      <w:sdtContent>
        <w:p w14:paraId="45B37981" w14:textId="77777777" w:rsidR="00447152" w:rsidRPr="00447152" w:rsidRDefault="00886E12">
          <w:pPr>
            <w:tabs>
              <w:tab w:val="right" w:leader="dot" w:pos="9019"/>
            </w:tabs>
            <w:spacing w:after="100" w:line="276" w:lineRule="auto"/>
            <w:rPr>
              <w:rFonts w:eastAsia="Arial"/>
              <w:noProof/>
              <w:lang w:val="en-GB" w:eastAsia="en-IN"/>
            </w:rPr>
          </w:pPr>
          <w:r w:rsidRPr="00447152">
            <w:rPr>
              <w:rFonts w:eastAsia="Arial"/>
              <w:lang w:val="en-GB" w:eastAsia="en-IN"/>
            </w:rPr>
            <w:fldChar w:fldCharType="begin"/>
          </w:r>
          <w:r w:rsidRPr="00447152">
            <w:rPr>
              <w:rFonts w:eastAsia="Arial"/>
              <w:lang w:val="en-GB" w:eastAsia="en-IN"/>
            </w:rPr>
            <w:instrText xml:space="preserve"> TOC \h \u \z \t "Heading 1,1,Heading 2,2,Heading 3,3,Heading 4,4,Heading 5,5,Heading 6,6,"</w:instrText>
          </w:r>
          <w:r w:rsidRPr="00447152">
            <w:rPr>
              <w:rFonts w:eastAsia="Arial"/>
              <w:lang w:val="en-GB" w:eastAsia="en-IN"/>
            </w:rPr>
            <w:fldChar w:fldCharType="separate"/>
          </w:r>
          <w:hyperlink w:anchor="_Toc235549181" w:history="1">
            <w:r w:rsidRPr="00447152">
              <w:rPr>
                <w:b/>
                <w:bCs/>
                <w:noProof/>
                <w:color w:val="0000FF" w:themeColor="hyperlink"/>
                <w:u w:val="single"/>
                <w:lang w:val="en-GB" w:eastAsia="en-IN"/>
              </w:rPr>
              <w:t>Section 1: Report</w:t>
            </w:r>
            <w:r w:rsidRPr="00447152">
              <w:rPr>
                <w:rFonts w:eastAsia="Arial"/>
                <w:noProof/>
                <w:webHidden/>
                <w:lang w:val="en-GB" w:eastAsia="en-IN"/>
              </w:rPr>
              <w:tab/>
            </w:r>
            <w:r w:rsidRPr="00447152">
              <w:rPr>
                <w:rFonts w:eastAsia="Arial"/>
                <w:noProof/>
                <w:webHidden/>
                <w:lang w:val="en-GB" w:eastAsia="en-IN"/>
              </w:rPr>
              <w:fldChar w:fldCharType="begin"/>
            </w:r>
            <w:r w:rsidRPr="00447152">
              <w:rPr>
                <w:rFonts w:eastAsia="Arial"/>
                <w:noProof/>
                <w:webHidden/>
                <w:lang w:val="en-GB" w:eastAsia="en-IN"/>
              </w:rPr>
              <w:instrText xml:space="preserve"> PAGEREF _Toc235549181 \h </w:instrText>
            </w:r>
            <w:r w:rsidRPr="00447152">
              <w:rPr>
                <w:rFonts w:eastAsia="Arial"/>
                <w:noProof/>
                <w:webHidden/>
                <w:lang w:val="en-GB" w:eastAsia="en-IN"/>
              </w:rPr>
            </w:r>
            <w:r w:rsidRPr="00447152">
              <w:rPr>
                <w:rFonts w:eastAsia="Arial"/>
                <w:noProof/>
                <w:webHidden/>
                <w:lang w:val="en-GB" w:eastAsia="en-IN"/>
              </w:rPr>
              <w:fldChar w:fldCharType="separate"/>
            </w:r>
            <w:r w:rsidRPr="00447152">
              <w:rPr>
                <w:rFonts w:eastAsia="Arial"/>
                <w:noProof/>
                <w:webHidden/>
                <w:lang w:val="en-GB" w:eastAsia="en-IN"/>
              </w:rPr>
              <w:t>2</w:t>
            </w:r>
            <w:r w:rsidRPr="00447152">
              <w:rPr>
                <w:rFonts w:eastAsia="Arial"/>
                <w:noProof/>
                <w:webHidden/>
                <w:lang w:val="en-GB" w:eastAsia="en-IN"/>
              </w:rPr>
              <w:fldChar w:fldCharType="end"/>
            </w:r>
          </w:hyperlink>
        </w:p>
        <w:p w14:paraId="11492D5F" w14:textId="77777777" w:rsidR="00447152" w:rsidRPr="00447152" w:rsidRDefault="00886E12">
          <w:pPr>
            <w:tabs>
              <w:tab w:val="right" w:leader="dot" w:pos="9019"/>
            </w:tabs>
            <w:spacing w:after="100" w:line="276" w:lineRule="auto"/>
            <w:ind w:left="220"/>
            <w:rPr>
              <w:rFonts w:eastAsia="Arial"/>
              <w:noProof/>
              <w:lang w:val="en-GB" w:eastAsia="en-IN"/>
            </w:rPr>
          </w:pPr>
          <w:hyperlink w:anchor="_Toc235549182" w:history="1">
            <w:r w:rsidRPr="00447152">
              <w:rPr>
                <w:b/>
                <w:bCs/>
                <w:noProof/>
                <w:color w:val="0000FF" w:themeColor="hyperlink"/>
                <w:u w:val="single"/>
                <w:lang w:val="en-GB" w:eastAsia="en-IN"/>
              </w:rPr>
              <w:t>1. Organisational Context and Overview</w:t>
            </w:r>
            <w:r w:rsidRPr="00447152">
              <w:rPr>
                <w:rFonts w:eastAsia="Arial"/>
                <w:noProof/>
                <w:webHidden/>
                <w:lang w:val="en-GB" w:eastAsia="en-IN"/>
              </w:rPr>
              <w:tab/>
            </w:r>
            <w:r w:rsidRPr="00447152">
              <w:rPr>
                <w:rFonts w:eastAsia="Arial"/>
                <w:noProof/>
                <w:webHidden/>
                <w:lang w:val="en-GB" w:eastAsia="en-IN"/>
              </w:rPr>
              <w:fldChar w:fldCharType="begin"/>
            </w:r>
            <w:r w:rsidRPr="00447152">
              <w:rPr>
                <w:rFonts w:eastAsia="Arial"/>
                <w:noProof/>
                <w:webHidden/>
                <w:lang w:val="en-GB" w:eastAsia="en-IN"/>
              </w:rPr>
              <w:instrText xml:space="preserve"> PAGEREF _Toc235549182 \h </w:instrText>
            </w:r>
            <w:r w:rsidRPr="00447152">
              <w:rPr>
                <w:rFonts w:eastAsia="Arial"/>
                <w:noProof/>
                <w:webHidden/>
                <w:lang w:val="en-GB" w:eastAsia="en-IN"/>
              </w:rPr>
            </w:r>
            <w:r w:rsidRPr="00447152">
              <w:rPr>
                <w:rFonts w:eastAsia="Arial"/>
                <w:noProof/>
                <w:webHidden/>
                <w:lang w:val="en-GB" w:eastAsia="en-IN"/>
              </w:rPr>
              <w:fldChar w:fldCharType="separate"/>
            </w:r>
            <w:r w:rsidRPr="00447152">
              <w:rPr>
                <w:rFonts w:eastAsia="Arial"/>
                <w:noProof/>
                <w:webHidden/>
                <w:lang w:val="en-GB" w:eastAsia="en-IN"/>
              </w:rPr>
              <w:t>2</w:t>
            </w:r>
            <w:r w:rsidRPr="00447152">
              <w:rPr>
                <w:rFonts w:eastAsia="Arial"/>
                <w:noProof/>
                <w:webHidden/>
                <w:lang w:val="en-GB" w:eastAsia="en-IN"/>
              </w:rPr>
              <w:fldChar w:fldCharType="end"/>
            </w:r>
          </w:hyperlink>
        </w:p>
        <w:p w14:paraId="3F5E5161" w14:textId="77777777" w:rsidR="00447152" w:rsidRPr="00447152" w:rsidRDefault="00886E12">
          <w:pPr>
            <w:tabs>
              <w:tab w:val="right" w:leader="dot" w:pos="9019"/>
            </w:tabs>
            <w:spacing w:after="100" w:line="276" w:lineRule="auto"/>
            <w:ind w:left="220"/>
            <w:rPr>
              <w:rFonts w:eastAsia="Arial"/>
              <w:noProof/>
              <w:lang w:val="en-GB" w:eastAsia="en-IN"/>
            </w:rPr>
          </w:pPr>
          <w:hyperlink w:anchor="_Toc235549183" w:history="1">
            <w:r w:rsidRPr="00447152">
              <w:rPr>
                <w:b/>
                <w:bCs/>
                <w:noProof/>
                <w:color w:val="0000FF" w:themeColor="hyperlink"/>
                <w:u w:val="single"/>
                <w:lang w:val="en-GB" w:eastAsia="en-IN"/>
              </w:rPr>
              <w:t>2. External and Internal Analysis</w:t>
            </w:r>
            <w:r w:rsidRPr="00447152">
              <w:rPr>
                <w:rFonts w:eastAsia="Arial"/>
                <w:noProof/>
                <w:webHidden/>
                <w:lang w:val="en-GB" w:eastAsia="en-IN"/>
              </w:rPr>
              <w:tab/>
            </w:r>
            <w:r w:rsidRPr="00447152">
              <w:rPr>
                <w:rFonts w:eastAsia="Arial"/>
                <w:noProof/>
                <w:webHidden/>
                <w:lang w:val="en-GB" w:eastAsia="en-IN"/>
              </w:rPr>
              <w:fldChar w:fldCharType="begin"/>
            </w:r>
            <w:r w:rsidRPr="00447152">
              <w:rPr>
                <w:rFonts w:eastAsia="Arial"/>
                <w:noProof/>
                <w:webHidden/>
                <w:lang w:val="en-GB" w:eastAsia="en-IN"/>
              </w:rPr>
              <w:instrText xml:space="preserve"> PAGEREF _Toc2355491</w:instrText>
            </w:r>
            <w:r w:rsidRPr="00447152">
              <w:rPr>
                <w:rFonts w:eastAsia="Arial"/>
                <w:noProof/>
                <w:webHidden/>
                <w:lang w:val="en-GB" w:eastAsia="en-IN"/>
              </w:rPr>
              <w:instrText xml:space="preserve">83 \h </w:instrText>
            </w:r>
            <w:r w:rsidRPr="00447152">
              <w:rPr>
                <w:rFonts w:eastAsia="Arial"/>
                <w:noProof/>
                <w:webHidden/>
                <w:lang w:val="en-GB" w:eastAsia="en-IN"/>
              </w:rPr>
            </w:r>
            <w:r w:rsidRPr="00447152">
              <w:rPr>
                <w:rFonts w:eastAsia="Arial"/>
                <w:noProof/>
                <w:webHidden/>
                <w:lang w:val="en-GB" w:eastAsia="en-IN"/>
              </w:rPr>
              <w:fldChar w:fldCharType="separate"/>
            </w:r>
            <w:r w:rsidRPr="00447152">
              <w:rPr>
                <w:rFonts w:eastAsia="Arial"/>
                <w:noProof/>
                <w:webHidden/>
                <w:lang w:val="en-GB" w:eastAsia="en-IN"/>
              </w:rPr>
              <w:t>3</w:t>
            </w:r>
            <w:r w:rsidRPr="00447152">
              <w:rPr>
                <w:rFonts w:eastAsia="Arial"/>
                <w:noProof/>
                <w:webHidden/>
                <w:lang w:val="en-GB" w:eastAsia="en-IN"/>
              </w:rPr>
              <w:fldChar w:fldCharType="end"/>
            </w:r>
          </w:hyperlink>
        </w:p>
        <w:p w14:paraId="2064D51A" w14:textId="77777777" w:rsidR="00447152" w:rsidRPr="00447152" w:rsidRDefault="00886E12">
          <w:pPr>
            <w:tabs>
              <w:tab w:val="right" w:leader="dot" w:pos="9019"/>
            </w:tabs>
            <w:spacing w:after="100" w:line="276" w:lineRule="auto"/>
            <w:ind w:left="440"/>
            <w:rPr>
              <w:rFonts w:eastAsia="Arial"/>
              <w:noProof/>
              <w:lang w:val="en-GB" w:eastAsia="en-IN"/>
            </w:rPr>
          </w:pPr>
          <w:hyperlink w:anchor="_Toc235549184" w:history="1">
            <w:r w:rsidRPr="00447152">
              <w:rPr>
                <w:b/>
                <w:bCs/>
                <w:noProof/>
                <w:color w:val="0000FF" w:themeColor="hyperlink"/>
                <w:u w:val="single"/>
                <w:lang w:val="en-GB" w:eastAsia="en-IN"/>
              </w:rPr>
              <w:t>2.1 PESTLE Analysis of External Factors</w:t>
            </w:r>
            <w:r w:rsidRPr="00447152">
              <w:rPr>
                <w:rFonts w:eastAsia="Arial"/>
                <w:noProof/>
                <w:webHidden/>
                <w:lang w:val="en-GB" w:eastAsia="en-IN"/>
              </w:rPr>
              <w:tab/>
            </w:r>
            <w:r w:rsidRPr="00447152">
              <w:rPr>
                <w:rFonts w:eastAsia="Arial"/>
                <w:noProof/>
                <w:webHidden/>
                <w:lang w:val="en-GB" w:eastAsia="en-IN"/>
              </w:rPr>
              <w:fldChar w:fldCharType="begin"/>
            </w:r>
            <w:r w:rsidRPr="00447152">
              <w:rPr>
                <w:rFonts w:eastAsia="Arial"/>
                <w:noProof/>
                <w:webHidden/>
                <w:lang w:val="en-GB" w:eastAsia="en-IN"/>
              </w:rPr>
              <w:instrText xml:space="preserve"> PAGEREF _Toc235549184 \h </w:instrText>
            </w:r>
            <w:r w:rsidRPr="00447152">
              <w:rPr>
                <w:rFonts w:eastAsia="Arial"/>
                <w:noProof/>
                <w:webHidden/>
                <w:lang w:val="en-GB" w:eastAsia="en-IN"/>
              </w:rPr>
            </w:r>
            <w:r w:rsidRPr="00447152">
              <w:rPr>
                <w:rFonts w:eastAsia="Arial"/>
                <w:noProof/>
                <w:webHidden/>
                <w:lang w:val="en-GB" w:eastAsia="en-IN"/>
              </w:rPr>
              <w:fldChar w:fldCharType="separate"/>
            </w:r>
            <w:r w:rsidRPr="00447152">
              <w:rPr>
                <w:rFonts w:eastAsia="Arial"/>
                <w:noProof/>
                <w:webHidden/>
                <w:lang w:val="en-GB" w:eastAsia="en-IN"/>
              </w:rPr>
              <w:t>3</w:t>
            </w:r>
            <w:r w:rsidRPr="00447152">
              <w:rPr>
                <w:rFonts w:eastAsia="Arial"/>
                <w:noProof/>
                <w:webHidden/>
                <w:lang w:val="en-GB" w:eastAsia="en-IN"/>
              </w:rPr>
              <w:fldChar w:fldCharType="end"/>
            </w:r>
          </w:hyperlink>
        </w:p>
        <w:p w14:paraId="574FF846" w14:textId="77777777" w:rsidR="00447152" w:rsidRPr="00447152" w:rsidRDefault="00886E12">
          <w:pPr>
            <w:tabs>
              <w:tab w:val="right" w:leader="dot" w:pos="9019"/>
            </w:tabs>
            <w:spacing w:after="100" w:line="276" w:lineRule="auto"/>
            <w:ind w:left="440"/>
            <w:rPr>
              <w:rFonts w:eastAsia="Arial"/>
              <w:noProof/>
              <w:lang w:val="en-GB" w:eastAsia="en-IN"/>
            </w:rPr>
          </w:pPr>
          <w:hyperlink w:anchor="_Toc235549185" w:history="1">
            <w:r w:rsidRPr="00447152">
              <w:rPr>
                <w:b/>
                <w:bCs/>
                <w:noProof/>
                <w:color w:val="0000FF" w:themeColor="hyperlink"/>
                <w:u w:val="single"/>
                <w:lang w:val="en-GB" w:eastAsia="en-IN"/>
              </w:rPr>
              <w:t>2.2 VRIO Analysis of Internal Factors</w:t>
            </w:r>
            <w:r w:rsidRPr="00447152">
              <w:rPr>
                <w:rFonts w:eastAsia="Arial"/>
                <w:noProof/>
                <w:webHidden/>
                <w:lang w:val="en-GB" w:eastAsia="en-IN"/>
              </w:rPr>
              <w:tab/>
            </w:r>
            <w:r w:rsidRPr="00447152">
              <w:rPr>
                <w:rFonts w:eastAsia="Arial"/>
                <w:noProof/>
                <w:webHidden/>
                <w:lang w:val="en-GB" w:eastAsia="en-IN"/>
              </w:rPr>
              <w:fldChar w:fldCharType="begin"/>
            </w:r>
            <w:r w:rsidRPr="00447152">
              <w:rPr>
                <w:rFonts w:eastAsia="Arial"/>
                <w:noProof/>
                <w:webHidden/>
                <w:lang w:val="en-GB" w:eastAsia="en-IN"/>
              </w:rPr>
              <w:instrText xml:space="preserve"> PAGEREF _Toc235549185 \h </w:instrText>
            </w:r>
            <w:r w:rsidRPr="00447152">
              <w:rPr>
                <w:rFonts w:eastAsia="Arial"/>
                <w:noProof/>
                <w:webHidden/>
                <w:lang w:val="en-GB" w:eastAsia="en-IN"/>
              </w:rPr>
            </w:r>
            <w:r w:rsidRPr="00447152">
              <w:rPr>
                <w:rFonts w:eastAsia="Arial"/>
                <w:noProof/>
                <w:webHidden/>
                <w:lang w:val="en-GB" w:eastAsia="en-IN"/>
              </w:rPr>
              <w:fldChar w:fldCharType="separate"/>
            </w:r>
            <w:r w:rsidRPr="00447152">
              <w:rPr>
                <w:rFonts w:eastAsia="Arial"/>
                <w:noProof/>
                <w:webHidden/>
                <w:lang w:val="en-GB" w:eastAsia="en-IN"/>
              </w:rPr>
              <w:t>5</w:t>
            </w:r>
            <w:r w:rsidRPr="00447152">
              <w:rPr>
                <w:rFonts w:eastAsia="Arial"/>
                <w:noProof/>
                <w:webHidden/>
                <w:lang w:val="en-GB" w:eastAsia="en-IN"/>
              </w:rPr>
              <w:fldChar w:fldCharType="end"/>
            </w:r>
          </w:hyperlink>
        </w:p>
        <w:p w14:paraId="31F46741" w14:textId="77777777" w:rsidR="00447152" w:rsidRPr="00447152" w:rsidRDefault="00886E12">
          <w:pPr>
            <w:tabs>
              <w:tab w:val="right" w:leader="dot" w:pos="9019"/>
            </w:tabs>
            <w:spacing w:after="100" w:line="276" w:lineRule="auto"/>
            <w:ind w:left="440"/>
            <w:rPr>
              <w:rFonts w:eastAsia="Arial"/>
              <w:noProof/>
              <w:lang w:val="en-GB" w:eastAsia="en-IN"/>
            </w:rPr>
          </w:pPr>
          <w:hyperlink w:anchor="_Toc235549186" w:history="1">
            <w:r w:rsidRPr="00447152">
              <w:rPr>
                <w:b/>
                <w:bCs/>
                <w:noProof/>
                <w:color w:val="0000FF" w:themeColor="hyperlink"/>
                <w:u w:val="single"/>
                <w:lang w:val="en-GB" w:eastAsia="en-IN"/>
              </w:rPr>
              <w:t>2.3 SWOT Analysis</w:t>
            </w:r>
            <w:r w:rsidRPr="00447152">
              <w:rPr>
                <w:rFonts w:eastAsia="Arial"/>
                <w:noProof/>
                <w:webHidden/>
                <w:lang w:val="en-GB" w:eastAsia="en-IN"/>
              </w:rPr>
              <w:tab/>
            </w:r>
            <w:r w:rsidRPr="00447152">
              <w:rPr>
                <w:rFonts w:eastAsia="Arial"/>
                <w:noProof/>
                <w:webHidden/>
                <w:lang w:val="en-GB" w:eastAsia="en-IN"/>
              </w:rPr>
              <w:fldChar w:fldCharType="begin"/>
            </w:r>
            <w:r w:rsidRPr="00447152">
              <w:rPr>
                <w:rFonts w:eastAsia="Arial"/>
                <w:noProof/>
                <w:webHidden/>
                <w:lang w:val="en-GB" w:eastAsia="en-IN"/>
              </w:rPr>
              <w:instrText xml:space="preserve"> PAGEREF _Toc235549186 \h </w:instrText>
            </w:r>
            <w:r w:rsidRPr="00447152">
              <w:rPr>
                <w:rFonts w:eastAsia="Arial"/>
                <w:noProof/>
                <w:webHidden/>
                <w:lang w:val="en-GB" w:eastAsia="en-IN"/>
              </w:rPr>
            </w:r>
            <w:r w:rsidRPr="00447152">
              <w:rPr>
                <w:rFonts w:eastAsia="Arial"/>
                <w:noProof/>
                <w:webHidden/>
                <w:lang w:val="en-GB" w:eastAsia="en-IN"/>
              </w:rPr>
              <w:fldChar w:fldCharType="separate"/>
            </w:r>
            <w:r w:rsidRPr="00447152">
              <w:rPr>
                <w:rFonts w:eastAsia="Arial"/>
                <w:noProof/>
                <w:webHidden/>
                <w:lang w:val="en-GB" w:eastAsia="en-IN"/>
              </w:rPr>
              <w:t>7</w:t>
            </w:r>
            <w:r w:rsidRPr="00447152">
              <w:rPr>
                <w:rFonts w:eastAsia="Arial"/>
                <w:noProof/>
                <w:webHidden/>
                <w:lang w:val="en-GB" w:eastAsia="en-IN"/>
              </w:rPr>
              <w:fldChar w:fldCharType="end"/>
            </w:r>
          </w:hyperlink>
        </w:p>
        <w:p w14:paraId="0829E994" w14:textId="77777777" w:rsidR="00447152" w:rsidRPr="00447152" w:rsidRDefault="00886E12">
          <w:pPr>
            <w:tabs>
              <w:tab w:val="right" w:leader="dot" w:pos="9019"/>
            </w:tabs>
            <w:spacing w:after="100" w:line="276" w:lineRule="auto"/>
            <w:ind w:left="220"/>
            <w:rPr>
              <w:rFonts w:eastAsia="Arial"/>
              <w:noProof/>
              <w:lang w:val="en-GB" w:eastAsia="en-IN"/>
            </w:rPr>
          </w:pPr>
          <w:hyperlink w:anchor="_Toc235549187" w:history="1">
            <w:r w:rsidRPr="00447152">
              <w:rPr>
                <w:b/>
                <w:bCs/>
                <w:noProof/>
                <w:color w:val="0000FF" w:themeColor="hyperlink"/>
                <w:u w:val="single"/>
                <w:lang w:val="en-GB" w:eastAsia="en-IN"/>
              </w:rPr>
              <w:t>3. Comprehen</w:t>
            </w:r>
            <w:r w:rsidRPr="00447152">
              <w:rPr>
                <w:b/>
                <w:bCs/>
                <w:noProof/>
                <w:color w:val="0000FF" w:themeColor="hyperlink"/>
                <w:u w:val="single"/>
                <w:lang w:val="en-GB" w:eastAsia="en-IN"/>
              </w:rPr>
              <w:t>sive and holistic view of the organisation</w:t>
            </w:r>
            <w:r w:rsidRPr="00447152">
              <w:rPr>
                <w:rFonts w:eastAsia="Arial"/>
                <w:noProof/>
                <w:webHidden/>
                <w:lang w:val="en-GB" w:eastAsia="en-IN"/>
              </w:rPr>
              <w:tab/>
            </w:r>
            <w:r w:rsidRPr="00447152">
              <w:rPr>
                <w:rFonts w:eastAsia="Arial"/>
                <w:noProof/>
                <w:webHidden/>
                <w:lang w:val="en-GB" w:eastAsia="en-IN"/>
              </w:rPr>
              <w:fldChar w:fldCharType="begin"/>
            </w:r>
            <w:r w:rsidRPr="00447152">
              <w:rPr>
                <w:rFonts w:eastAsia="Arial"/>
                <w:noProof/>
                <w:webHidden/>
                <w:lang w:val="en-GB" w:eastAsia="en-IN"/>
              </w:rPr>
              <w:instrText xml:space="preserve"> PAGEREF _Toc235549187 \h </w:instrText>
            </w:r>
            <w:r w:rsidRPr="00447152">
              <w:rPr>
                <w:rFonts w:eastAsia="Arial"/>
                <w:noProof/>
                <w:webHidden/>
                <w:lang w:val="en-GB" w:eastAsia="en-IN"/>
              </w:rPr>
            </w:r>
            <w:r w:rsidRPr="00447152">
              <w:rPr>
                <w:rFonts w:eastAsia="Arial"/>
                <w:noProof/>
                <w:webHidden/>
                <w:lang w:val="en-GB" w:eastAsia="en-IN"/>
              </w:rPr>
              <w:fldChar w:fldCharType="separate"/>
            </w:r>
            <w:r w:rsidRPr="00447152">
              <w:rPr>
                <w:rFonts w:eastAsia="Arial"/>
                <w:noProof/>
                <w:webHidden/>
                <w:lang w:val="en-GB" w:eastAsia="en-IN"/>
              </w:rPr>
              <w:t>8</w:t>
            </w:r>
            <w:r w:rsidRPr="00447152">
              <w:rPr>
                <w:rFonts w:eastAsia="Arial"/>
                <w:noProof/>
                <w:webHidden/>
                <w:lang w:val="en-GB" w:eastAsia="en-IN"/>
              </w:rPr>
              <w:fldChar w:fldCharType="end"/>
            </w:r>
          </w:hyperlink>
        </w:p>
        <w:p w14:paraId="4AF298C0" w14:textId="77777777" w:rsidR="00447152" w:rsidRPr="00447152" w:rsidRDefault="00886E12">
          <w:pPr>
            <w:tabs>
              <w:tab w:val="right" w:leader="dot" w:pos="9019"/>
            </w:tabs>
            <w:spacing w:after="100" w:line="276" w:lineRule="auto"/>
            <w:ind w:left="440"/>
            <w:rPr>
              <w:rFonts w:eastAsia="Arial"/>
              <w:noProof/>
              <w:lang w:val="en-GB" w:eastAsia="en-IN"/>
            </w:rPr>
          </w:pPr>
          <w:hyperlink w:anchor="_Toc235549188" w:history="1">
            <w:r w:rsidRPr="00447152">
              <w:rPr>
                <w:b/>
                <w:bCs/>
                <w:noProof/>
                <w:color w:val="0000FF" w:themeColor="hyperlink"/>
                <w:u w:val="single"/>
                <w:lang w:val="en-GB" w:eastAsia="en-IN"/>
              </w:rPr>
              <w:t>3.1 Corporate Social Responsibility Strategy</w:t>
            </w:r>
            <w:r w:rsidRPr="00447152">
              <w:rPr>
                <w:rFonts w:eastAsia="Arial"/>
                <w:noProof/>
                <w:webHidden/>
                <w:lang w:val="en-GB" w:eastAsia="en-IN"/>
              </w:rPr>
              <w:tab/>
            </w:r>
            <w:r w:rsidRPr="00447152">
              <w:rPr>
                <w:rFonts w:eastAsia="Arial"/>
                <w:noProof/>
                <w:webHidden/>
                <w:lang w:val="en-GB" w:eastAsia="en-IN"/>
              </w:rPr>
              <w:fldChar w:fldCharType="begin"/>
            </w:r>
            <w:r w:rsidRPr="00447152">
              <w:rPr>
                <w:rFonts w:eastAsia="Arial"/>
                <w:noProof/>
                <w:webHidden/>
                <w:lang w:val="en-GB" w:eastAsia="en-IN"/>
              </w:rPr>
              <w:instrText xml:space="preserve"> PAGEREF _Toc235549188 \h </w:instrText>
            </w:r>
            <w:r w:rsidRPr="00447152">
              <w:rPr>
                <w:rFonts w:eastAsia="Arial"/>
                <w:noProof/>
                <w:webHidden/>
                <w:lang w:val="en-GB" w:eastAsia="en-IN"/>
              </w:rPr>
            </w:r>
            <w:r w:rsidRPr="00447152">
              <w:rPr>
                <w:rFonts w:eastAsia="Arial"/>
                <w:noProof/>
                <w:webHidden/>
                <w:lang w:val="en-GB" w:eastAsia="en-IN"/>
              </w:rPr>
              <w:fldChar w:fldCharType="separate"/>
            </w:r>
            <w:r w:rsidRPr="00447152">
              <w:rPr>
                <w:rFonts w:eastAsia="Arial"/>
                <w:noProof/>
                <w:webHidden/>
                <w:lang w:val="en-GB" w:eastAsia="en-IN"/>
              </w:rPr>
              <w:t>8</w:t>
            </w:r>
            <w:r w:rsidRPr="00447152">
              <w:rPr>
                <w:rFonts w:eastAsia="Arial"/>
                <w:noProof/>
                <w:webHidden/>
                <w:lang w:val="en-GB" w:eastAsia="en-IN"/>
              </w:rPr>
              <w:fldChar w:fldCharType="end"/>
            </w:r>
          </w:hyperlink>
        </w:p>
        <w:p w14:paraId="57DACA40" w14:textId="77777777" w:rsidR="00447152" w:rsidRPr="00447152" w:rsidRDefault="00886E12">
          <w:pPr>
            <w:tabs>
              <w:tab w:val="right" w:leader="dot" w:pos="9019"/>
            </w:tabs>
            <w:spacing w:after="100" w:line="276" w:lineRule="auto"/>
            <w:ind w:left="440"/>
            <w:rPr>
              <w:rFonts w:eastAsia="Arial"/>
              <w:noProof/>
              <w:lang w:val="en-GB" w:eastAsia="en-IN"/>
            </w:rPr>
          </w:pPr>
          <w:hyperlink w:anchor="_Toc235549189" w:history="1">
            <w:r w:rsidRPr="00447152">
              <w:rPr>
                <w:b/>
                <w:bCs/>
                <w:noProof/>
                <w:color w:val="0000FF" w:themeColor="hyperlink"/>
                <w:u w:val="single"/>
                <w:lang w:val="en-GB" w:eastAsia="en-IN"/>
              </w:rPr>
              <w:t>3.2 Alignment with Business Objectives</w:t>
            </w:r>
            <w:r w:rsidRPr="00447152">
              <w:rPr>
                <w:rFonts w:eastAsia="Arial"/>
                <w:noProof/>
                <w:webHidden/>
                <w:lang w:val="en-GB" w:eastAsia="en-IN"/>
              </w:rPr>
              <w:tab/>
            </w:r>
            <w:r w:rsidRPr="00447152">
              <w:rPr>
                <w:rFonts w:eastAsia="Arial"/>
                <w:noProof/>
                <w:webHidden/>
                <w:lang w:val="en-GB" w:eastAsia="en-IN"/>
              </w:rPr>
              <w:fldChar w:fldCharType="begin"/>
            </w:r>
            <w:r w:rsidRPr="00447152">
              <w:rPr>
                <w:rFonts w:eastAsia="Arial"/>
                <w:noProof/>
                <w:webHidden/>
                <w:lang w:val="en-GB" w:eastAsia="en-IN"/>
              </w:rPr>
              <w:instrText xml:space="preserve"> PAGEREF _Toc235549189 \h </w:instrText>
            </w:r>
            <w:r w:rsidRPr="00447152">
              <w:rPr>
                <w:rFonts w:eastAsia="Arial"/>
                <w:noProof/>
                <w:webHidden/>
                <w:lang w:val="en-GB" w:eastAsia="en-IN"/>
              </w:rPr>
            </w:r>
            <w:r w:rsidRPr="00447152">
              <w:rPr>
                <w:rFonts w:eastAsia="Arial"/>
                <w:noProof/>
                <w:webHidden/>
                <w:lang w:val="en-GB" w:eastAsia="en-IN"/>
              </w:rPr>
              <w:fldChar w:fldCharType="separate"/>
            </w:r>
            <w:r w:rsidRPr="00447152">
              <w:rPr>
                <w:rFonts w:eastAsia="Arial"/>
                <w:noProof/>
                <w:webHidden/>
                <w:lang w:val="en-GB" w:eastAsia="en-IN"/>
              </w:rPr>
              <w:t>9</w:t>
            </w:r>
            <w:r w:rsidRPr="00447152">
              <w:rPr>
                <w:rFonts w:eastAsia="Arial"/>
                <w:noProof/>
                <w:webHidden/>
                <w:lang w:val="en-GB" w:eastAsia="en-IN"/>
              </w:rPr>
              <w:fldChar w:fldCharType="end"/>
            </w:r>
          </w:hyperlink>
        </w:p>
        <w:p w14:paraId="7F8DE48B" w14:textId="77777777" w:rsidR="00447152" w:rsidRPr="00447152" w:rsidRDefault="00886E12">
          <w:pPr>
            <w:tabs>
              <w:tab w:val="right" w:leader="dot" w:pos="9019"/>
            </w:tabs>
            <w:spacing w:after="100" w:line="276" w:lineRule="auto"/>
            <w:ind w:left="440"/>
            <w:rPr>
              <w:rFonts w:eastAsia="Arial"/>
              <w:noProof/>
              <w:lang w:val="en-GB" w:eastAsia="en-IN"/>
            </w:rPr>
          </w:pPr>
          <w:hyperlink w:anchor="_Toc235549190" w:history="1">
            <w:r w:rsidRPr="00447152">
              <w:rPr>
                <w:b/>
                <w:bCs/>
                <w:noProof/>
                <w:color w:val="0000FF" w:themeColor="hyperlink"/>
                <w:u w:val="single"/>
                <w:lang w:val="en-GB" w:eastAsia="en-IN"/>
              </w:rPr>
              <w:t>3.3 Balanced Scorecard</w:t>
            </w:r>
            <w:r w:rsidRPr="00447152">
              <w:rPr>
                <w:rFonts w:eastAsia="Arial"/>
                <w:noProof/>
                <w:webHidden/>
                <w:lang w:val="en-GB" w:eastAsia="en-IN"/>
              </w:rPr>
              <w:tab/>
            </w:r>
            <w:r w:rsidRPr="00447152">
              <w:rPr>
                <w:rFonts w:eastAsia="Arial"/>
                <w:noProof/>
                <w:webHidden/>
                <w:lang w:val="en-GB" w:eastAsia="en-IN"/>
              </w:rPr>
              <w:fldChar w:fldCharType="begin"/>
            </w:r>
            <w:r w:rsidRPr="00447152">
              <w:rPr>
                <w:rFonts w:eastAsia="Arial"/>
                <w:noProof/>
                <w:webHidden/>
                <w:lang w:val="en-GB" w:eastAsia="en-IN"/>
              </w:rPr>
              <w:instrText xml:space="preserve"> PAGEREF _Toc235549190 \h </w:instrText>
            </w:r>
            <w:r w:rsidRPr="00447152">
              <w:rPr>
                <w:rFonts w:eastAsia="Arial"/>
                <w:noProof/>
                <w:webHidden/>
                <w:lang w:val="en-GB" w:eastAsia="en-IN"/>
              </w:rPr>
            </w:r>
            <w:r w:rsidRPr="00447152">
              <w:rPr>
                <w:rFonts w:eastAsia="Arial"/>
                <w:noProof/>
                <w:webHidden/>
                <w:lang w:val="en-GB" w:eastAsia="en-IN"/>
              </w:rPr>
              <w:fldChar w:fldCharType="separate"/>
            </w:r>
            <w:r w:rsidRPr="00447152">
              <w:rPr>
                <w:rFonts w:eastAsia="Arial"/>
                <w:noProof/>
                <w:webHidden/>
                <w:lang w:val="en-GB" w:eastAsia="en-IN"/>
              </w:rPr>
              <w:t>10</w:t>
            </w:r>
            <w:r w:rsidRPr="00447152">
              <w:rPr>
                <w:rFonts w:eastAsia="Arial"/>
                <w:noProof/>
                <w:webHidden/>
                <w:lang w:val="en-GB" w:eastAsia="en-IN"/>
              </w:rPr>
              <w:fldChar w:fldCharType="end"/>
            </w:r>
          </w:hyperlink>
        </w:p>
        <w:p w14:paraId="0185ACE6" w14:textId="77777777" w:rsidR="00447152" w:rsidRPr="00447152" w:rsidRDefault="00886E12">
          <w:pPr>
            <w:tabs>
              <w:tab w:val="right" w:leader="dot" w:pos="9019"/>
            </w:tabs>
            <w:spacing w:after="100" w:line="276" w:lineRule="auto"/>
            <w:ind w:left="220"/>
            <w:rPr>
              <w:rFonts w:eastAsia="Arial"/>
              <w:noProof/>
              <w:lang w:val="en-GB" w:eastAsia="en-IN"/>
            </w:rPr>
          </w:pPr>
          <w:hyperlink w:anchor="_Toc235549191" w:history="1">
            <w:r w:rsidRPr="00447152">
              <w:rPr>
                <w:b/>
                <w:bCs/>
                <w:noProof/>
                <w:color w:val="0000FF" w:themeColor="hyperlink"/>
                <w:u w:val="single"/>
                <w:lang w:val="en-GB" w:eastAsia="en-IN"/>
              </w:rPr>
              <w:t>4. Strategic Choices and Implementation</w:t>
            </w:r>
            <w:r w:rsidRPr="00447152">
              <w:rPr>
                <w:rFonts w:eastAsia="Arial"/>
                <w:noProof/>
                <w:webHidden/>
                <w:lang w:val="en-GB" w:eastAsia="en-IN"/>
              </w:rPr>
              <w:tab/>
            </w:r>
            <w:r w:rsidRPr="00447152">
              <w:rPr>
                <w:rFonts w:eastAsia="Arial"/>
                <w:noProof/>
                <w:webHidden/>
                <w:lang w:val="en-GB" w:eastAsia="en-IN"/>
              </w:rPr>
              <w:fldChar w:fldCharType="begin"/>
            </w:r>
            <w:r w:rsidRPr="00447152">
              <w:rPr>
                <w:rFonts w:eastAsia="Arial"/>
                <w:noProof/>
                <w:webHidden/>
                <w:lang w:val="en-GB" w:eastAsia="en-IN"/>
              </w:rPr>
              <w:instrText xml:space="preserve"> PAGEREF _Toc235549191 \h </w:instrText>
            </w:r>
            <w:r w:rsidRPr="00447152">
              <w:rPr>
                <w:rFonts w:eastAsia="Arial"/>
                <w:noProof/>
                <w:webHidden/>
                <w:lang w:val="en-GB" w:eastAsia="en-IN"/>
              </w:rPr>
            </w:r>
            <w:r w:rsidRPr="00447152">
              <w:rPr>
                <w:rFonts w:eastAsia="Arial"/>
                <w:noProof/>
                <w:webHidden/>
                <w:lang w:val="en-GB" w:eastAsia="en-IN"/>
              </w:rPr>
              <w:fldChar w:fldCharType="separate"/>
            </w:r>
            <w:r w:rsidRPr="00447152">
              <w:rPr>
                <w:rFonts w:eastAsia="Arial"/>
                <w:noProof/>
                <w:webHidden/>
                <w:lang w:val="en-GB" w:eastAsia="en-IN"/>
              </w:rPr>
              <w:t>11</w:t>
            </w:r>
            <w:r w:rsidRPr="00447152">
              <w:rPr>
                <w:rFonts w:eastAsia="Arial"/>
                <w:noProof/>
                <w:webHidden/>
                <w:lang w:val="en-GB" w:eastAsia="en-IN"/>
              </w:rPr>
              <w:fldChar w:fldCharType="end"/>
            </w:r>
          </w:hyperlink>
        </w:p>
        <w:p w14:paraId="0046A589" w14:textId="77777777" w:rsidR="00447152" w:rsidRPr="00447152" w:rsidRDefault="00886E12">
          <w:pPr>
            <w:tabs>
              <w:tab w:val="right" w:leader="dot" w:pos="9019"/>
            </w:tabs>
            <w:spacing w:after="100" w:line="276" w:lineRule="auto"/>
            <w:ind w:left="440"/>
            <w:rPr>
              <w:rFonts w:eastAsia="Arial"/>
              <w:noProof/>
              <w:lang w:val="en-GB" w:eastAsia="en-IN"/>
            </w:rPr>
          </w:pPr>
          <w:hyperlink w:anchor="_Toc235549192" w:history="1">
            <w:r w:rsidRPr="00447152">
              <w:rPr>
                <w:b/>
                <w:bCs/>
                <w:noProof/>
                <w:color w:val="0000FF" w:themeColor="hyperlink"/>
                <w:u w:val="single"/>
                <w:lang w:val="en-GB" w:eastAsia="en-IN"/>
              </w:rPr>
              <w:t>4.1 Porter's Five Forces Analysis</w:t>
            </w:r>
            <w:r w:rsidRPr="00447152">
              <w:rPr>
                <w:rFonts w:eastAsia="Arial"/>
                <w:noProof/>
                <w:webHidden/>
                <w:lang w:val="en-GB" w:eastAsia="en-IN"/>
              </w:rPr>
              <w:tab/>
            </w:r>
            <w:r w:rsidRPr="00447152">
              <w:rPr>
                <w:rFonts w:eastAsia="Arial"/>
                <w:noProof/>
                <w:webHidden/>
                <w:lang w:val="en-GB" w:eastAsia="en-IN"/>
              </w:rPr>
              <w:fldChar w:fldCharType="begin"/>
            </w:r>
            <w:r w:rsidRPr="00447152">
              <w:rPr>
                <w:rFonts w:eastAsia="Arial"/>
                <w:noProof/>
                <w:webHidden/>
                <w:lang w:val="en-GB" w:eastAsia="en-IN"/>
              </w:rPr>
              <w:instrText xml:space="preserve"> PAGEREF _Toc235549192 \h </w:instrText>
            </w:r>
            <w:r w:rsidRPr="00447152">
              <w:rPr>
                <w:rFonts w:eastAsia="Arial"/>
                <w:noProof/>
                <w:webHidden/>
                <w:lang w:val="en-GB" w:eastAsia="en-IN"/>
              </w:rPr>
            </w:r>
            <w:r w:rsidRPr="00447152">
              <w:rPr>
                <w:rFonts w:eastAsia="Arial"/>
                <w:noProof/>
                <w:webHidden/>
                <w:lang w:val="en-GB" w:eastAsia="en-IN"/>
              </w:rPr>
              <w:fldChar w:fldCharType="separate"/>
            </w:r>
            <w:r w:rsidRPr="00447152">
              <w:rPr>
                <w:rFonts w:eastAsia="Arial"/>
                <w:noProof/>
                <w:webHidden/>
                <w:lang w:val="en-GB" w:eastAsia="en-IN"/>
              </w:rPr>
              <w:t>11</w:t>
            </w:r>
            <w:r w:rsidRPr="00447152">
              <w:rPr>
                <w:rFonts w:eastAsia="Arial"/>
                <w:noProof/>
                <w:webHidden/>
                <w:lang w:val="en-GB" w:eastAsia="en-IN"/>
              </w:rPr>
              <w:fldChar w:fldCharType="end"/>
            </w:r>
          </w:hyperlink>
        </w:p>
        <w:p w14:paraId="3149322B" w14:textId="77777777" w:rsidR="00447152" w:rsidRPr="00447152" w:rsidRDefault="00886E12">
          <w:pPr>
            <w:tabs>
              <w:tab w:val="right" w:leader="dot" w:pos="9019"/>
            </w:tabs>
            <w:spacing w:after="100" w:line="276" w:lineRule="auto"/>
            <w:ind w:left="440"/>
            <w:rPr>
              <w:rFonts w:eastAsia="Arial"/>
              <w:noProof/>
              <w:lang w:val="en-GB" w:eastAsia="en-IN"/>
            </w:rPr>
          </w:pPr>
          <w:hyperlink w:anchor="_Toc235549193" w:history="1">
            <w:r w:rsidRPr="00447152">
              <w:rPr>
                <w:b/>
                <w:bCs/>
                <w:noProof/>
                <w:color w:val="0000FF" w:themeColor="hyperlink"/>
                <w:u w:val="single"/>
                <w:lang w:val="en-GB" w:eastAsia="en-IN"/>
              </w:rPr>
              <w:t>4.2 Recommended Strategy</w:t>
            </w:r>
            <w:r w:rsidRPr="00447152">
              <w:rPr>
                <w:rFonts w:eastAsia="Arial"/>
                <w:noProof/>
                <w:webHidden/>
                <w:lang w:val="en-GB" w:eastAsia="en-IN"/>
              </w:rPr>
              <w:tab/>
            </w:r>
            <w:r w:rsidRPr="00447152">
              <w:rPr>
                <w:rFonts w:eastAsia="Arial"/>
                <w:noProof/>
                <w:webHidden/>
                <w:lang w:val="en-GB" w:eastAsia="en-IN"/>
              </w:rPr>
              <w:fldChar w:fldCharType="begin"/>
            </w:r>
            <w:r w:rsidRPr="00447152">
              <w:rPr>
                <w:rFonts w:eastAsia="Arial"/>
                <w:noProof/>
                <w:webHidden/>
                <w:lang w:val="en-GB" w:eastAsia="en-IN"/>
              </w:rPr>
              <w:instrText xml:space="preserve"> PAGEREF _Toc235549193 \h </w:instrText>
            </w:r>
            <w:r w:rsidRPr="00447152">
              <w:rPr>
                <w:rFonts w:eastAsia="Arial"/>
                <w:noProof/>
                <w:webHidden/>
                <w:lang w:val="en-GB" w:eastAsia="en-IN"/>
              </w:rPr>
            </w:r>
            <w:r w:rsidRPr="00447152">
              <w:rPr>
                <w:rFonts w:eastAsia="Arial"/>
                <w:noProof/>
                <w:webHidden/>
                <w:lang w:val="en-GB" w:eastAsia="en-IN"/>
              </w:rPr>
              <w:fldChar w:fldCharType="separate"/>
            </w:r>
            <w:r w:rsidRPr="00447152">
              <w:rPr>
                <w:rFonts w:eastAsia="Arial"/>
                <w:noProof/>
                <w:webHidden/>
                <w:lang w:val="en-GB" w:eastAsia="en-IN"/>
              </w:rPr>
              <w:t>12</w:t>
            </w:r>
            <w:r w:rsidRPr="00447152">
              <w:rPr>
                <w:rFonts w:eastAsia="Arial"/>
                <w:noProof/>
                <w:webHidden/>
                <w:lang w:val="en-GB" w:eastAsia="en-IN"/>
              </w:rPr>
              <w:fldChar w:fldCharType="end"/>
            </w:r>
          </w:hyperlink>
        </w:p>
        <w:p w14:paraId="60165FD7" w14:textId="77777777" w:rsidR="00447152" w:rsidRPr="00447152" w:rsidRDefault="00886E12">
          <w:pPr>
            <w:tabs>
              <w:tab w:val="right" w:leader="dot" w:pos="9019"/>
            </w:tabs>
            <w:spacing w:after="100" w:line="276" w:lineRule="auto"/>
            <w:ind w:left="440"/>
            <w:rPr>
              <w:rFonts w:eastAsia="Arial"/>
              <w:noProof/>
              <w:lang w:val="en-GB" w:eastAsia="en-IN"/>
            </w:rPr>
          </w:pPr>
          <w:hyperlink w:anchor="_Toc235549194" w:history="1">
            <w:r w:rsidRPr="00447152">
              <w:rPr>
                <w:b/>
                <w:bCs/>
                <w:noProof/>
                <w:color w:val="0000FF" w:themeColor="hyperlink"/>
                <w:u w:val="single"/>
                <w:lang w:val="en-GB" w:eastAsia="en-IN"/>
              </w:rPr>
              <w:t>4.3 Competitive Advantage</w:t>
            </w:r>
            <w:r w:rsidRPr="00447152">
              <w:rPr>
                <w:rFonts w:eastAsia="Arial"/>
                <w:noProof/>
                <w:webHidden/>
                <w:lang w:val="en-GB" w:eastAsia="en-IN"/>
              </w:rPr>
              <w:tab/>
            </w:r>
            <w:r w:rsidRPr="00447152">
              <w:rPr>
                <w:rFonts w:eastAsia="Arial"/>
                <w:noProof/>
                <w:webHidden/>
                <w:lang w:val="en-GB" w:eastAsia="en-IN"/>
              </w:rPr>
              <w:fldChar w:fldCharType="begin"/>
            </w:r>
            <w:r w:rsidRPr="00447152">
              <w:rPr>
                <w:rFonts w:eastAsia="Arial"/>
                <w:noProof/>
                <w:webHidden/>
                <w:lang w:val="en-GB" w:eastAsia="en-IN"/>
              </w:rPr>
              <w:instrText xml:space="preserve"> PAGEREF _Toc235549194 \h </w:instrText>
            </w:r>
            <w:r w:rsidRPr="00447152">
              <w:rPr>
                <w:rFonts w:eastAsia="Arial"/>
                <w:noProof/>
                <w:webHidden/>
                <w:lang w:val="en-GB" w:eastAsia="en-IN"/>
              </w:rPr>
            </w:r>
            <w:r w:rsidRPr="00447152">
              <w:rPr>
                <w:rFonts w:eastAsia="Arial"/>
                <w:noProof/>
                <w:webHidden/>
                <w:lang w:val="en-GB" w:eastAsia="en-IN"/>
              </w:rPr>
              <w:fldChar w:fldCharType="separate"/>
            </w:r>
            <w:r w:rsidRPr="00447152">
              <w:rPr>
                <w:rFonts w:eastAsia="Arial"/>
                <w:noProof/>
                <w:webHidden/>
                <w:lang w:val="en-GB" w:eastAsia="en-IN"/>
              </w:rPr>
              <w:t>13</w:t>
            </w:r>
            <w:r w:rsidRPr="00447152">
              <w:rPr>
                <w:rFonts w:eastAsia="Arial"/>
                <w:noProof/>
                <w:webHidden/>
                <w:lang w:val="en-GB" w:eastAsia="en-IN"/>
              </w:rPr>
              <w:fldChar w:fldCharType="end"/>
            </w:r>
          </w:hyperlink>
        </w:p>
        <w:p w14:paraId="5567A2BB" w14:textId="77777777" w:rsidR="00447152" w:rsidRPr="00447152" w:rsidRDefault="00886E12">
          <w:pPr>
            <w:tabs>
              <w:tab w:val="right" w:leader="dot" w:pos="9019"/>
            </w:tabs>
            <w:spacing w:after="100" w:line="276" w:lineRule="auto"/>
            <w:ind w:left="440"/>
            <w:rPr>
              <w:rFonts w:eastAsia="Arial"/>
              <w:noProof/>
              <w:lang w:val="en-GB" w:eastAsia="en-IN"/>
            </w:rPr>
          </w:pPr>
          <w:hyperlink w:anchor="_Toc235549195" w:history="1">
            <w:r w:rsidRPr="00447152">
              <w:rPr>
                <w:b/>
                <w:bCs/>
                <w:noProof/>
                <w:color w:val="0000FF" w:themeColor="hyperlink"/>
                <w:u w:val="single"/>
                <w:lang w:val="en-GB" w:eastAsia="en-IN"/>
              </w:rPr>
              <w:t>4.</w:t>
            </w:r>
            <w:r w:rsidRPr="00447152">
              <w:rPr>
                <w:b/>
                <w:bCs/>
                <w:noProof/>
                <w:color w:val="0000FF" w:themeColor="hyperlink"/>
                <w:u w:val="single"/>
                <w:lang w:val="en-GB" w:eastAsia="en-IN"/>
              </w:rPr>
              <w:t>4 Implementation Challenges and Solutions</w:t>
            </w:r>
            <w:r w:rsidRPr="00447152">
              <w:rPr>
                <w:rFonts w:eastAsia="Arial"/>
                <w:noProof/>
                <w:webHidden/>
                <w:lang w:val="en-GB" w:eastAsia="en-IN"/>
              </w:rPr>
              <w:tab/>
            </w:r>
            <w:r w:rsidRPr="00447152">
              <w:rPr>
                <w:rFonts w:eastAsia="Arial"/>
                <w:noProof/>
                <w:webHidden/>
                <w:lang w:val="en-GB" w:eastAsia="en-IN"/>
              </w:rPr>
              <w:fldChar w:fldCharType="begin"/>
            </w:r>
            <w:r w:rsidRPr="00447152">
              <w:rPr>
                <w:rFonts w:eastAsia="Arial"/>
                <w:noProof/>
                <w:webHidden/>
                <w:lang w:val="en-GB" w:eastAsia="en-IN"/>
              </w:rPr>
              <w:instrText xml:space="preserve"> PAGEREF _Toc235549195 \h </w:instrText>
            </w:r>
            <w:r w:rsidRPr="00447152">
              <w:rPr>
                <w:rFonts w:eastAsia="Arial"/>
                <w:noProof/>
                <w:webHidden/>
                <w:lang w:val="en-GB" w:eastAsia="en-IN"/>
              </w:rPr>
            </w:r>
            <w:r w:rsidRPr="00447152">
              <w:rPr>
                <w:rFonts w:eastAsia="Arial"/>
                <w:noProof/>
                <w:webHidden/>
                <w:lang w:val="en-GB" w:eastAsia="en-IN"/>
              </w:rPr>
              <w:fldChar w:fldCharType="separate"/>
            </w:r>
            <w:r w:rsidRPr="00447152">
              <w:rPr>
                <w:rFonts w:eastAsia="Arial"/>
                <w:noProof/>
                <w:webHidden/>
                <w:lang w:val="en-GB" w:eastAsia="en-IN"/>
              </w:rPr>
              <w:t>13</w:t>
            </w:r>
            <w:r w:rsidRPr="00447152">
              <w:rPr>
                <w:rFonts w:eastAsia="Arial"/>
                <w:noProof/>
                <w:webHidden/>
                <w:lang w:val="en-GB" w:eastAsia="en-IN"/>
              </w:rPr>
              <w:fldChar w:fldCharType="end"/>
            </w:r>
          </w:hyperlink>
        </w:p>
        <w:p w14:paraId="03DAC1CB" w14:textId="77777777" w:rsidR="00447152" w:rsidRPr="00447152" w:rsidRDefault="00886E12">
          <w:pPr>
            <w:tabs>
              <w:tab w:val="right" w:leader="dot" w:pos="9019"/>
            </w:tabs>
            <w:spacing w:after="100" w:line="276" w:lineRule="auto"/>
            <w:rPr>
              <w:rFonts w:eastAsia="Arial"/>
              <w:noProof/>
              <w:lang w:val="en-GB" w:eastAsia="en-IN"/>
            </w:rPr>
          </w:pPr>
          <w:hyperlink w:anchor="_Toc235549196" w:history="1">
            <w:r w:rsidRPr="00447152">
              <w:rPr>
                <w:b/>
                <w:bCs/>
                <w:noProof/>
                <w:color w:val="0000FF" w:themeColor="hyperlink"/>
                <w:u w:val="single"/>
                <w:lang w:val="en-GB" w:eastAsia="en-IN"/>
              </w:rPr>
              <w:t>Section 2: Reflection using Gibb's Reflective Cycle</w:t>
            </w:r>
            <w:r w:rsidRPr="00447152">
              <w:rPr>
                <w:rFonts w:eastAsia="Arial"/>
                <w:noProof/>
                <w:webHidden/>
                <w:lang w:val="en-GB" w:eastAsia="en-IN"/>
              </w:rPr>
              <w:tab/>
            </w:r>
            <w:r w:rsidRPr="00447152">
              <w:rPr>
                <w:rFonts w:eastAsia="Arial"/>
                <w:noProof/>
                <w:webHidden/>
                <w:lang w:val="en-GB" w:eastAsia="en-IN"/>
              </w:rPr>
              <w:fldChar w:fldCharType="begin"/>
            </w:r>
            <w:r w:rsidRPr="00447152">
              <w:rPr>
                <w:rFonts w:eastAsia="Arial"/>
                <w:noProof/>
                <w:webHidden/>
                <w:lang w:val="en-GB" w:eastAsia="en-IN"/>
              </w:rPr>
              <w:instrText xml:space="preserve"> PAGEREF _Toc235549196 \h </w:instrText>
            </w:r>
            <w:r w:rsidRPr="00447152">
              <w:rPr>
                <w:rFonts w:eastAsia="Arial"/>
                <w:noProof/>
                <w:webHidden/>
                <w:lang w:val="en-GB" w:eastAsia="en-IN"/>
              </w:rPr>
            </w:r>
            <w:r w:rsidRPr="00447152">
              <w:rPr>
                <w:rFonts w:eastAsia="Arial"/>
                <w:noProof/>
                <w:webHidden/>
                <w:lang w:val="en-GB" w:eastAsia="en-IN"/>
              </w:rPr>
              <w:fldChar w:fldCharType="separate"/>
            </w:r>
            <w:r w:rsidRPr="00447152">
              <w:rPr>
                <w:rFonts w:eastAsia="Arial"/>
                <w:noProof/>
                <w:webHidden/>
                <w:lang w:val="en-GB" w:eastAsia="en-IN"/>
              </w:rPr>
              <w:t>15</w:t>
            </w:r>
            <w:r w:rsidRPr="00447152">
              <w:rPr>
                <w:rFonts w:eastAsia="Arial"/>
                <w:noProof/>
                <w:webHidden/>
                <w:lang w:val="en-GB" w:eastAsia="en-IN"/>
              </w:rPr>
              <w:fldChar w:fldCharType="end"/>
            </w:r>
          </w:hyperlink>
        </w:p>
        <w:p w14:paraId="7A4944C3" w14:textId="77777777" w:rsidR="00447152" w:rsidRPr="00447152" w:rsidRDefault="00886E12">
          <w:pPr>
            <w:tabs>
              <w:tab w:val="right" w:leader="dot" w:pos="9019"/>
            </w:tabs>
            <w:spacing w:after="100" w:line="276" w:lineRule="auto"/>
            <w:rPr>
              <w:rFonts w:eastAsia="Arial"/>
              <w:noProof/>
              <w:lang w:val="en-GB" w:eastAsia="en-IN"/>
            </w:rPr>
          </w:pPr>
          <w:hyperlink w:anchor="_Toc235549197" w:history="1">
            <w:r w:rsidRPr="00447152">
              <w:rPr>
                <w:b/>
                <w:bCs/>
                <w:noProof/>
                <w:color w:val="0000FF" w:themeColor="hyperlink"/>
                <w:u w:val="single"/>
                <w:lang w:val="en-GB" w:eastAsia="en-IN"/>
              </w:rPr>
              <w:t>References</w:t>
            </w:r>
            <w:r w:rsidRPr="00447152">
              <w:rPr>
                <w:rFonts w:eastAsia="Arial"/>
                <w:noProof/>
                <w:webHidden/>
                <w:lang w:val="en-GB" w:eastAsia="en-IN"/>
              </w:rPr>
              <w:tab/>
            </w:r>
            <w:r w:rsidRPr="00447152">
              <w:rPr>
                <w:rFonts w:eastAsia="Arial"/>
                <w:noProof/>
                <w:webHidden/>
                <w:lang w:val="en-GB" w:eastAsia="en-IN"/>
              </w:rPr>
              <w:fldChar w:fldCharType="begin"/>
            </w:r>
            <w:r w:rsidRPr="00447152">
              <w:rPr>
                <w:rFonts w:eastAsia="Arial"/>
                <w:noProof/>
                <w:webHidden/>
                <w:lang w:val="en-GB" w:eastAsia="en-IN"/>
              </w:rPr>
              <w:instrText xml:space="preserve"> PAGEREF _Toc235549197 \h </w:instrText>
            </w:r>
            <w:r w:rsidRPr="00447152">
              <w:rPr>
                <w:rFonts w:eastAsia="Arial"/>
                <w:noProof/>
                <w:webHidden/>
                <w:lang w:val="en-GB" w:eastAsia="en-IN"/>
              </w:rPr>
            </w:r>
            <w:r w:rsidRPr="00447152">
              <w:rPr>
                <w:rFonts w:eastAsia="Arial"/>
                <w:noProof/>
                <w:webHidden/>
                <w:lang w:val="en-GB" w:eastAsia="en-IN"/>
              </w:rPr>
              <w:fldChar w:fldCharType="separate"/>
            </w:r>
            <w:r w:rsidRPr="00447152">
              <w:rPr>
                <w:rFonts w:eastAsia="Arial"/>
                <w:noProof/>
                <w:webHidden/>
                <w:lang w:val="en-GB" w:eastAsia="en-IN"/>
              </w:rPr>
              <w:t>17</w:t>
            </w:r>
            <w:r w:rsidRPr="00447152">
              <w:rPr>
                <w:rFonts w:eastAsia="Arial"/>
                <w:noProof/>
                <w:webHidden/>
                <w:lang w:val="en-GB" w:eastAsia="en-IN"/>
              </w:rPr>
              <w:fldChar w:fldCharType="end"/>
            </w:r>
          </w:hyperlink>
        </w:p>
        <w:p w14:paraId="67DFD9A2" w14:textId="77777777" w:rsidR="003470DA" w:rsidRDefault="00886E12">
          <w:pPr>
            <w:widowControl w:val="0"/>
            <w:tabs>
              <w:tab w:val="right" w:leader="dot" w:pos="12000"/>
            </w:tabs>
            <w:spacing w:before="60"/>
            <w:rPr>
              <w:rFonts w:ascii="Arial" w:eastAsia="Arial" w:hAnsi="Arial" w:cs="Arial"/>
              <w:b/>
              <w:bCs/>
              <w:color w:val="000000"/>
              <w:sz w:val="22"/>
              <w:szCs w:val="22"/>
              <w:lang w:val="en-GB" w:eastAsia="en-IN"/>
            </w:rPr>
          </w:pPr>
          <w:r w:rsidRPr="00447152">
            <w:rPr>
              <w:rFonts w:eastAsia="Arial"/>
              <w:lang w:val="en-GB" w:eastAsia="en-IN"/>
            </w:rPr>
            <w:fldChar w:fldCharType="end"/>
          </w:r>
        </w:p>
      </w:sdtContent>
    </w:sdt>
    <w:p w14:paraId="11AD122B" w14:textId="77777777" w:rsidR="003470DA" w:rsidRDefault="003470DA">
      <w:pPr>
        <w:spacing w:line="360" w:lineRule="auto"/>
        <w:jc w:val="both"/>
        <w:rPr>
          <w:lang w:val="en-GB" w:eastAsia="en-IN"/>
        </w:rPr>
      </w:pPr>
    </w:p>
    <w:p w14:paraId="379EA7D4" w14:textId="77777777" w:rsidR="003470DA" w:rsidRDefault="00886E12">
      <w:pPr>
        <w:keepNext/>
        <w:keepLines/>
        <w:spacing w:line="360" w:lineRule="auto"/>
        <w:jc w:val="both"/>
        <w:outlineLvl w:val="0"/>
        <w:rPr>
          <w:b/>
          <w:bCs/>
          <w:sz w:val="28"/>
          <w:szCs w:val="28"/>
          <w:lang w:val="en-GB" w:eastAsia="en-IN"/>
        </w:rPr>
      </w:pPr>
      <w:bookmarkStart w:id="7" w:name="_9l8c98msgiza" w:colFirst="0" w:colLast="0"/>
      <w:bookmarkEnd w:id="7"/>
      <w:r>
        <w:rPr>
          <w:rFonts w:ascii="Arial" w:eastAsia="Arial" w:hAnsi="Arial" w:cs="Arial"/>
          <w:sz w:val="40"/>
          <w:szCs w:val="40"/>
          <w:lang w:val="en-GB" w:eastAsia="en-IN"/>
        </w:rPr>
        <w:br w:type="page"/>
      </w:r>
    </w:p>
    <w:p w14:paraId="5C99504C" w14:textId="77777777" w:rsidR="003470DA" w:rsidRDefault="00886E12">
      <w:pPr>
        <w:keepNext/>
        <w:keepLines/>
        <w:spacing w:line="360" w:lineRule="auto"/>
        <w:jc w:val="both"/>
        <w:outlineLvl w:val="0"/>
        <w:rPr>
          <w:b/>
          <w:bCs/>
          <w:sz w:val="28"/>
          <w:szCs w:val="28"/>
          <w:lang w:val="en-GB" w:eastAsia="en-IN"/>
        </w:rPr>
      </w:pPr>
      <w:bookmarkStart w:id="8" w:name="_Toc235549181"/>
      <w:r>
        <w:rPr>
          <w:b/>
          <w:bCs/>
          <w:sz w:val="28"/>
          <w:szCs w:val="28"/>
          <w:lang w:val="en-GB" w:eastAsia="en-IN"/>
        </w:rPr>
        <w:t>Section 1: Report</w:t>
      </w:r>
      <w:bookmarkEnd w:id="8"/>
    </w:p>
    <w:p w14:paraId="00AA5D1D" w14:textId="77777777" w:rsidR="003470DA" w:rsidRDefault="00886E12">
      <w:pPr>
        <w:keepNext/>
        <w:keepLines/>
        <w:spacing w:line="360" w:lineRule="auto"/>
        <w:jc w:val="both"/>
        <w:outlineLvl w:val="1"/>
        <w:rPr>
          <w:b/>
          <w:bCs/>
          <w:lang w:val="en-GB" w:eastAsia="en-IN"/>
        </w:rPr>
      </w:pPr>
      <w:bookmarkStart w:id="9" w:name="_Toc235549182"/>
      <w:r>
        <w:rPr>
          <w:b/>
          <w:bCs/>
          <w:lang w:val="en-GB" w:eastAsia="en-IN"/>
        </w:rPr>
        <w:t>1. Organisational Context and Overview</w:t>
      </w:r>
      <w:bookmarkEnd w:id="9"/>
      <w:r>
        <w:rPr>
          <w:b/>
          <w:bCs/>
          <w:lang w:val="en-GB" w:eastAsia="en-IN"/>
        </w:rPr>
        <w:t xml:space="preserve"> </w:t>
      </w:r>
    </w:p>
    <w:p w14:paraId="22C2CB6C" w14:textId="77777777" w:rsidR="003470DA" w:rsidRDefault="00886E12">
      <w:pPr>
        <w:spacing w:line="360" w:lineRule="auto"/>
        <w:jc w:val="both"/>
        <w:rPr>
          <w:lang w:val="en-GB" w:eastAsia="en-IN"/>
        </w:rPr>
      </w:pPr>
      <w:r>
        <w:rPr>
          <w:lang w:val="en-GB" w:eastAsia="en-IN"/>
        </w:rPr>
        <w:t xml:space="preserve">Dyson Ltd is a globally recognized British technology firm set up by Sir James Dyson who gained his fame with the </w:t>
      </w:r>
      <w:r>
        <w:rPr>
          <w:lang w:val="en-GB" w:eastAsia="en-IN"/>
        </w:rPr>
        <w:t>invention and establishment of an approach to engineering with the premium home appliance sector (</w:t>
      </w:r>
      <w:proofErr w:type="spellStart"/>
      <w:r>
        <w:rPr>
          <w:lang w:val="en-GB" w:eastAsia="en-IN"/>
        </w:rPr>
        <w:t>Alfian</w:t>
      </w:r>
      <w:proofErr w:type="spellEnd"/>
      <w:r>
        <w:rPr>
          <w:lang w:val="en-GB" w:eastAsia="en-IN"/>
        </w:rPr>
        <w:t xml:space="preserve">, 2021). Founded by James Dyson, when he was challenging the vacuum cleaner of the time in 1978, the company's first </w:t>
      </w:r>
      <w:proofErr w:type="spellStart"/>
      <w:r>
        <w:rPr>
          <w:lang w:val="en-GB" w:eastAsia="en-IN"/>
        </w:rPr>
        <w:t>cordlessless</w:t>
      </w:r>
      <w:proofErr w:type="spellEnd"/>
      <w:r>
        <w:rPr>
          <w:lang w:val="en-GB" w:eastAsia="en-IN"/>
        </w:rPr>
        <w:t xml:space="preserve"> vacuum, the DC01, came</w:t>
      </w:r>
      <w:r>
        <w:rPr>
          <w:lang w:val="en-GB" w:eastAsia="en-IN"/>
        </w:rPr>
        <w:t xml:space="preserve"> to the market in 1993 and has since expanded to air treatment, hair care, lighting and robotics. This report is based on Dyson's primary product in the United Kingdom, cordless vacuum cleaner, Dyson V15 Detect (Lees-Maffei, 2014). The V15 Detect is an eng</w:t>
      </w:r>
      <w:r>
        <w:rPr>
          <w:lang w:val="en-GB" w:eastAsia="en-IN"/>
        </w:rPr>
        <w:t xml:space="preserve">ineering feat that combines Laser-Dust-Detection technology with a piezo sensor - which detects minute dust particles with LCD Real-Time Particle Analysis device, HEPA (high efficiency particulate </w:t>
      </w:r>
      <w:proofErr w:type="spellStart"/>
      <w:r>
        <w:rPr>
          <w:lang w:val="en-GB" w:eastAsia="en-IN"/>
        </w:rPr>
        <w:t>arrestance</w:t>
      </w:r>
      <w:proofErr w:type="spellEnd"/>
      <w:r>
        <w:rPr>
          <w:lang w:val="en-GB" w:eastAsia="en-IN"/>
        </w:rPr>
        <w:t>) filter technology (which removes 99.99% of dust</w:t>
      </w:r>
      <w:r>
        <w:rPr>
          <w:lang w:val="en-GB" w:eastAsia="en-IN"/>
        </w:rPr>
        <w:t xml:space="preserve"> down to 0.3 microns), and the company's proprietary </w:t>
      </w:r>
      <w:proofErr w:type="spellStart"/>
      <w:r>
        <w:rPr>
          <w:lang w:val="en-GB" w:eastAsia="en-IN"/>
        </w:rPr>
        <w:t>Hyperdymium</w:t>
      </w:r>
      <w:proofErr w:type="spellEnd"/>
      <w:r>
        <w:rPr>
          <w:lang w:val="en-GB" w:eastAsia="en-IN"/>
        </w:rPr>
        <w:t xml:space="preserve"> digital motor (Dyson, 2026). The V15 Detect is the most expensive cordless model in Dyson's premium range, which illustrates the firm's differentiation strategy via advanced technology, impro</w:t>
      </w:r>
      <w:r>
        <w:rPr>
          <w:lang w:val="en-GB" w:eastAsia="en-IN"/>
        </w:rPr>
        <w:t xml:space="preserve">ved cleaning performance and high price, and is an appropriate product to assess the stability of Dyson's strategy in the UK household appliance market. </w:t>
      </w:r>
    </w:p>
    <w:p w14:paraId="2602B652" w14:textId="77777777" w:rsidR="003470DA" w:rsidRDefault="00886E12">
      <w:pPr>
        <w:spacing w:line="360" w:lineRule="auto"/>
        <w:jc w:val="both"/>
        <w:rPr>
          <w:b/>
          <w:bCs/>
          <w:i/>
          <w:iCs/>
          <w:lang w:val="en-GB" w:eastAsia="en-IN"/>
        </w:rPr>
      </w:pPr>
      <w:r>
        <w:rPr>
          <w:b/>
          <w:bCs/>
          <w:i/>
          <w:iCs/>
          <w:lang w:val="en-GB" w:eastAsia="en-IN"/>
        </w:rPr>
        <w:t>Mission</w:t>
      </w:r>
    </w:p>
    <w:p w14:paraId="51191CBA" w14:textId="77777777" w:rsidR="003470DA" w:rsidRDefault="00886E12">
      <w:pPr>
        <w:numPr>
          <w:ilvl w:val="0"/>
          <w:numId w:val="1"/>
        </w:numPr>
        <w:spacing w:line="360" w:lineRule="auto"/>
        <w:jc w:val="both"/>
        <w:rPr>
          <w:lang w:val="en-GB" w:eastAsia="en-IN"/>
        </w:rPr>
      </w:pPr>
      <w:r>
        <w:rPr>
          <w:lang w:val="en-GB" w:eastAsia="en-IN"/>
        </w:rPr>
        <w:t>To engineer better technologies that solve real-world problems.</w:t>
      </w:r>
    </w:p>
    <w:p w14:paraId="4B6FDEDA" w14:textId="77777777" w:rsidR="003470DA" w:rsidRDefault="00886E12">
      <w:pPr>
        <w:numPr>
          <w:ilvl w:val="0"/>
          <w:numId w:val="1"/>
        </w:numPr>
        <w:spacing w:line="360" w:lineRule="auto"/>
        <w:jc w:val="both"/>
        <w:rPr>
          <w:lang w:val="en-GB" w:eastAsia="en-IN"/>
        </w:rPr>
      </w:pPr>
      <w:r>
        <w:rPr>
          <w:lang w:val="en-GB" w:eastAsia="en-IN"/>
        </w:rPr>
        <w:t>To deliver continuous innovati</w:t>
      </w:r>
      <w:r>
        <w:rPr>
          <w:lang w:val="en-GB" w:eastAsia="en-IN"/>
        </w:rPr>
        <w:t>on through scientific research and engineering excellence.</w:t>
      </w:r>
    </w:p>
    <w:p w14:paraId="1DC53A19" w14:textId="77777777" w:rsidR="003470DA" w:rsidRDefault="00886E12">
      <w:pPr>
        <w:numPr>
          <w:ilvl w:val="0"/>
          <w:numId w:val="1"/>
        </w:numPr>
        <w:spacing w:line="360" w:lineRule="auto"/>
        <w:jc w:val="both"/>
        <w:rPr>
          <w:lang w:val="en-GB" w:eastAsia="en-IN"/>
        </w:rPr>
      </w:pPr>
      <w:r>
        <w:rPr>
          <w:lang w:val="en-GB" w:eastAsia="en-IN"/>
        </w:rPr>
        <w:t>To provide premium products that create superior customer value through performance, durability and design.</w:t>
      </w:r>
    </w:p>
    <w:p w14:paraId="32528FF3" w14:textId="77777777" w:rsidR="003470DA" w:rsidRDefault="00886E12">
      <w:pPr>
        <w:spacing w:line="360" w:lineRule="auto"/>
        <w:jc w:val="both"/>
        <w:rPr>
          <w:b/>
          <w:bCs/>
          <w:i/>
          <w:iCs/>
          <w:lang w:val="en-GB" w:eastAsia="en-IN"/>
        </w:rPr>
      </w:pPr>
      <w:r>
        <w:rPr>
          <w:b/>
          <w:bCs/>
          <w:i/>
          <w:iCs/>
          <w:lang w:val="en-GB" w:eastAsia="en-IN"/>
        </w:rPr>
        <w:t>Vision</w:t>
      </w:r>
    </w:p>
    <w:p w14:paraId="24691FF7" w14:textId="77777777" w:rsidR="003470DA" w:rsidRDefault="00886E12">
      <w:pPr>
        <w:numPr>
          <w:ilvl w:val="0"/>
          <w:numId w:val="2"/>
        </w:numPr>
        <w:spacing w:line="360" w:lineRule="auto"/>
        <w:jc w:val="both"/>
        <w:rPr>
          <w:lang w:val="en-GB" w:eastAsia="en-IN"/>
        </w:rPr>
      </w:pPr>
      <w:r>
        <w:rPr>
          <w:lang w:val="en-GB" w:eastAsia="en-IN"/>
        </w:rPr>
        <w:t>To remain the global leader in engineering-led innovation.</w:t>
      </w:r>
    </w:p>
    <w:p w14:paraId="6FFC1388" w14:textId="77777777" w:rsidR="003470DA" w:rsidRDefault="00886E12">
      <w:pPr>
        <w:numPr>
          <w:ilvl w:val="0"/>
          <w:numId w:val="2"/>
        </w:numPr>
        <w:spacing w:line="360" w:lineRule="auto"/>
        <w:jc w:val="both"/>
        <w:rPr>
          <w:lang w:val="en-GB" w:eastAsia="en-IN"/>
        </w:rPr>
      </w:pPr>
      <w:r>
        <w:rPr>
          <w:lang w:val="en-GB" w:eastAsia="en-IN"/>
        </w:rPr>
        <w:t xml:space="preserve">To develop </w:t>
      </w:r>
      <w:r>
        <w:rPr>
          <w:lang w:val="en-GB" w:eastAsia="en-IN"/>
        </w:rPr>
        <w:t>breakthrough technologies powered by AI, robotics and sustainable engineering.</w:t>
      </w:r>
    </w:p>
    <w:p w14:paraId="34862937" w14:textId="77777777" w:rsidR="003470DA" w:rsidRDefault="00886E12">
      <w:pPr>
        <w:numPr>
          <w:ilvl w:val="0"/>
          <w:numId w:val="2"/>
        </w:numPr>
        <w:spacing w:line="360" w:lineRule="auto"/>
        <w:jc w:val="both"/>
        <w:rPr>
          <w:lang w:val="en-GB" w:eastAsia="en-IN"/>
        </w:rPr>
      </w:pPr>
      <w:r>
        <w:rPr>
          <w:lang w:val="en-GB" w:eastAsia="en-IN"/>
        </w:rPr>
        <w:t>To shape the future of intelligent home technology through continuous investment in research and product development.</w:t>
      </w:r>
    </w:p>
    <w:p w14:paraId="19E7F089" w14:textId="77777777" w:rsidR="003470DA" w:rsidRDefault="00886E12">
      <w:pPr>
        <w:spacing w:line="360" w:lineRule="auto"/>
        <w:jc w:val="both"/>
        <w:rPr>
          <w:lang w:val="en-GB" w:eastAsia="en-IN"/>
        </w:rPr>
      </w:pPr>
      <w:r>
        <w:rPr>
          <w:lang w:val="en-GB" w:eastAsia="en-IN"/>
        </w:rPr>
        <w:t xml:space="preserve">Dyson's current mission and vision are well aligned to its </w:t>
      </w:r>
      <w:r>
        <w:rPr>
          <w:lang w:val="en-GB" w:eastAsia="en-IN"/>
        </w:rPr>
        <w:t xml:space="preserve">operations. Through the lens of the Business Model Canvas, the company creates value by exceeding the goods’ after-sales support, having a long life and being technologically advanced, with premium quality. It is </w:t>
      </w:r>
      <w:r>
        <w:rPr>
          <w:lang w:val="en-GB" w:eastAsia="en-IN"/>
        </w:rPr>
        <w:lastRenderedPageBreak/>
        <w:t>targeted at premium households, allergy suf</w:t>
      </w:r>
      <w:r>
        <w:rPr>
          <w:lang w:val="en-GB" w:eastAsia="en-IN"/>
        </w:rPr>
        <w:t xml:space="preserve">ferers, pet owners and technology enthusiasts, and made available on Dyson's UK website, through Dyson demo stores and top retailers including </w:t>
      </w:r>
      <w:proofErr w:type="spellStart"/>
      <w:r>
        <w:rPr>
          <w:lang w:val="en-GB" w:eastAsia="en-IN"/>
        </w:rPr>
        <w:t>Currys</w:t>
      </w:r>
      <w:proofErr w:type="spellEnd"/>
      <w:r>
        <w:rPr>
          <w:lang w:val="en-GB" w:eastAsia="en-IN"/>
        </w:rPr>
        <w:t>, John Lewis and Amazon UK. It is also an innovative business, spending over £400m on R&amp;D in 2025, and fili</w:t>
      </w:r>
      <w:r>
        <w:rPr>
          <w:lang w:val="en-GB" w:eastAsia="en-IN"/>
        </w:rPr>
        <w:t xml:space="preserve">ng 252 new patents in that same year, signifying its intent for technological leadership and it reinforces Dyson's premium differentiation strategy (Dyson, 2025). </w:t>
      </w:r>
    </w:p>
    <w:p w14:paraId="72036B2B" w14:textId="77777777" w:rsidR="003470DA" w:rsidRDefault="00886E12">
      <w:pPr>
        <w:keepNext/>
        <w:keepLines/>
        <w:spacing w:line="360" w:lineRule="auto"/>
        <w:jc w:val="both"/>
        <w:outlineLvl w:val="1"/>
        <w:rPr>
          <w:b/>
          <w:bCs/>
          <w:lang w:val="en-GB" w:eastAsia="en-IN"/>
        </w:rPr>
      </w:pPr>
      <w:bookmarkStart w:id="10" w:name="_Toc235549183"/>
      <w:r>
        <w:rPr>
          <w:b/>
          <w:bCs/>
          <w:lang w:val="en-GB" w:eastAsia="en-IN"/>
        </w:rPr>
        <w:t>2. External and Internal Analysis</w:t>
      </w:r>
      <w:bookmarkEnd w:id="10"/>
      <w:r>
        <w:rPr>
          <w:b/>
          <w:bCs/>
          <w:lang w:val="en-GB" w:eastAsia="en-IN"/>
        </w:rPr>
        <w:t xml:space="preserve"> </w:t>
      </w:r>
    </w:p>
    <w:p w14:paraId="083341B1" w14:textId="77777777" w:rsidR="003470DA" w:rsidRDefault="00886E12">
      <w:pPr>
        <w:spacing w:line="360" w:lineRule="auto"/>
        <w:jc w:val="both"/>
        <w:rPr>
          <w:lang w:val="en-GB" w:eastAsia="en-IN"/>
        </w:rPr>
      </w:pPr>
      <w:r>
        <w:rPr>
          <w:lang w:val="en-GB" w:eastAsia="en-IN"/>
        </w:rPr>
        <w:t>This section highlights Dyson's external and internal env</w:t>
      </w:r>
      <w:r>
        <w:rPr>
          <w:lang w:val="en-GB" w:eastAsia="en-IN"/>
        </w:rPr>
        <w:t xml:space="preserve">ironment to make sure their strategic position in the Dyson V15 </w:t>
      </w:r>
      <w:proofErr w:type="spellStart"/>
      <w:r>
        <w:rPr>
          <w:lang w:val="en-GB" w:eastAsia="en-IN"/>
        </w:rPr>
        <w:t>Detect’s</w:t>
      </w:r>
      <w:proofErr w:type="spellEnd"/>
      <w:r>
        <w:rPr>
          <w:lang w:val="en-GB" w:eastAsia="en-IN"/>
        </w:rPr>
        <w:t xml:space="preserve"> market in the UK remains appropriate. It uses recognised strategic management frameworks to define opportunities and threats and highlights organisational strengths and weaknesses, as</w:t>
      </w:r>
      <w:r>
        <w:rPr>
          <w:lang w:val="en-GB" w:eastAsia="en-IN"/>
        </w:rPr>
        <w:t xml:space="preserve"> well as providing an evidence-based analysis and evaluation of Dyson's competitive advantage and future strategic intentions. </w:t>
      </w:r>
    </w:p>
    <w:p w14:paraId="316BDA86" w14:textId="77777777" w:rsidR="003470DA" w:rsidRDefault="00886E12">
      <w:pPr>
        <w:keepNext/>
        <w:keepLines/>
        <w:spacing w:line="360" w:lineRule="auto"/>
        <w:jc w:val="both"/>
        <w:outlineLvl w:val="2"/>
        <w:rPr>
          <w:b/>
          <w:bCs/>
          <w:color w:val="000000"/>
          <w:lang w:val="en-GB" w:eastAsia="en-IN"/>
        </w:rPr>
      </w:pPr>
      <w:bookmarkStart w:id="11" w:name="_Toc235549184"/>
      <w:r>
        <w:rPr>
          <w:b/>
          <w:bCs/>
          <w:color w:val="000000"/>
          <w:lang w:val="en-GB" w:eastAsia="en-IN"/>
        </w:rPr>
        <w:t>2.1 PESTLE Analysis of External Factors</w:t>
      </w:r>
      <w:bookmarkEnd w:id="11"/>
      <w:r>
        <w:rPr>
          <w:b/>
          <w:bCs/>
          <w:color w:val="000000"/>
          <w:lang w:val="en-GB" w:eastAsia="en-IN"/>
        </w:rPr>
        <w:t xml:space="preserve"> </w:t>
      </w:r>
    </w:p>
    <w:p w14:paraId="11AB1B80" w14:textId="77777777" w:rsidR="003470DA" w:rsidRDefault="00886E12">
      <w:pPr>
        <w:spacing w:line="360" w:lineRule="auto"/>
        <w:jc w:val="both"/>
        <w:rPr>
          <w:b/>
          <w:bCs/>
          <w:i/>
          <w:iCs/>
          <w:lang w:val="en-GB" w:eastAsia="en-IN"/>
        </w:rPr>
      </w:pPr>
      <w:r>
        <w:rPr>
          <w:b/>
          <w:bCs/>
          <w:i/>
          <w:iCs/>
          <w:lang w:val="en-GB" w:eastAsia="en-IN"/>
        </w:rPr>
        <w:t xml:space="preserve">Political </w:t>
      </w:r>
    </w:p>
    <w:p w14:paraId="6C4AC8A7" w14:textId="77777777" w:rsidR="003470DA" w:rsidRDefault="00886E12">
      <w:pPr>
        <w:spacing w:line="360" w:lineRule="auto"/>
        <w:jc w:val="both"/>
        <w:rPr>
          <w:lang w:val="en-GB" w:eastAsia="en-IN"/>
        </w:rPr>
      </w:pPr>
      <w:r>
        <w:rPr>
          <w:lang w:val="en-GB" w:eastAsia="en-IN"/>
        </w:rPr>
        <w:t>Dyson has opportunities and challenges before it in the UK political landsca</w:t>
      </w:r>
      <w:r>
        <w:rPr>
          <w:lang w:val="en-GB" w:eastAsia="en-IN"/>
        </w:rPr>
        <w:t>pe. Yet since Brexit, the number of customs procedures and import costs for businesses with global supply chains have risen, and changing tariff policies still have an impact on sourcing decisions (Bailey et al., 2023). However, the UK government's commitm</w:t>
      </w:r>
      <w:r>
        <w:rPr>
          <w:lang w:val="en-GB" w:eastAsia="en-IN"/>
        </w:rPr>
        <w:t>ent to advanced manufacturing, engineering innovation and Net Zero programmes enables investment in high value technologies (Ward et al., 2019). Environmental rules also encourage the creation of appliances that are energy effective. These policies reinfor</w:t>
      </w:r>
      <w:r>
        <w:rPr>
          <w:lang w:val="en-GB" w:eastAsia="en-IN"/>
        </w:rPr>
        <w:t xml:space="preserve">ce its positioning as a premium engineering and energy-efficient product for the Dyson V15 Detect, but they could put a squeeze on margins as well. Political opportunity generally is moderate, with about acceptable political risk. </w:t>
      </w:r>
    </w:p>
    <w:p w14:paraId="0C008FA1" w14:textId="77777777" w:rsidR="003470DA" w:rsidRDefault="00886E12">
      <w:pPr>
        <w:spacing w:line="360" w:lineRule="auto"/>
        <w:jc w:val="both"/>
        <w:rPr>
          <w:b/>
          <w:bCs/>
          <w:i/>
          <w:iCs/>
          <w:lang w:val="en-GB" w:eastAsia="en-IN"/>
        </w:rPr>
      </w:pPr>
      <w:r>
        <w:rPr>
          <w:b/>
          <w:bCs/>
          <w:i/>
          <w:iCs/>
          <w:lang w:val="en-GB" w:eastAsia="en-IN"/>
        </w:rPr>
        <w:t xml:space="preserve">Economic </w:t>
      </w:r>
    </w:p>
    <w:p w14:paraId="0C92C8C4" w14:textId="77777777" w:rsidR="003470DA" w:rsidRDefault="00886E12">
      <w:pPr>
        <w:spacing w:line="360" w:lineRule="auto"/>
        <w:jc w:val="both"/>
        <w:rPr>
          <w:lang w:val="en-GB" w:eastAsia="en-IN"/>
        </w:rPr>
      </w:pPr>
      <w:r>
        <w:rPr>
          <w:lang w:val="en-GB" w:eastAsia="en-IN"/>
        </w:rPr>
        <w:t xml:space="preserve">Discretionary </w:t>
      </w:r>
      <w:r>
        <w:rPr>
          <w:lang w:val="en-GB" w:eastAsia="en-IN"/>
        </w:rPr>
        <w:t xml:space="preserve">spending on top-of-the-range appliances for the homes has fallen as the UK economy has suffered from persistent inflation, high interest rates and low consumer confidence. The second disadvantage of exchange-rate volatility is for Dyson, for many parts of </w:t>
      </w:r>
      <w:r>
        <w:rPr>
          <w:lang w:val="en-GB" w:eastAsia="en-IN"/>
        </w:rPr>
        <w:t>the company are actually sourced from abroad, which makes the production of goods more costly. However, the desires of the rich households remain on quality, durability, and technological innovation, rather than price only. Dyson's 2025 financials showed t</w:t>
      </w:r>
      <w:r>
        <w:rPr>
          <w:lang w:val="en-GB" w:eastAsia="en-IN"/>
        </w:rPr>
        <w:t xml:space="preserve">hat the company didn't buckle despite the macroeconomic challenges, with revenues reaching £6.13 billion and over £400 million invested in R&amp;D. (Titcomb, 2026) However, premium pricing </w:t>
      </w:r>
      <w:r>
        <w:rPr>
          <w:lang w:val="en-GB" w:eastAsia="en-IN"/>
        </w:rPr>
        <w:lastRenderedPageBreak/>
        <w:t>signals the need to be competitive, while at the same time purveyors th</w:t>
      </w:r>
      <w:r>
        <w:rPr>
          <w:lang w:val="en-GB" w:eastAsia="en-IN"/>
        </w:rPr>
        <w:t xml:space="preserve">e premium value and long-term competitive differentiation of the Dyson V15 Detect. </w:t>
      </w:r>
    </w:p>
    <w:p w14:paraId="762CC04C" w14:textId="77777777" w:rsidR="003470DA" w:rsidRDefault="00886E12">
      <w:pPr>
        <w:spacing w:line="360" w:lineRule="auto"/>
        <w:jc w:val="both"/>
        <w:rPr>
          <w:b/>
          <w:bCs/>
          <w:i/>
          <w:iCs/>
          <w:lang w:val="en-GB" w:eastAsia="en-IN"/>
        </w:rPr>
      </w:pPr>
      <w:r>
        <w:rPr>
          <w:b/>
          <w:bCs/>
          <w:i/>
          <w:iCs/>
          <w:lang w:val="en-GB" w:eastAsia="en-IN"/>
        </w:rPr>
        <w:t xml:space="preserve">Social </w:t>
      </w:r>
    </w:p>
    <w:p w14:paraId="2DDA0D2F" w14:textId="77777777" w:rsidR="003470DA" w:rsidRDefault="00886E12">
      <w:pPr>
        <w:spacing w:line="360" w:lineRule="auto"/>
        <w:jc w:val="both"/>
        <w:rPr>
          <w:lang w:val="en-GB" w:eastAsia="en-IN"/>
        </w:rPr>
      </w:pPr>
      <w:r>
        <w:rPr>
          <w:lang w:val="en-GB" w:eastAsia="en-IN"/>
        </w:rPr>
        <w:t xml:space="preserve">The brand-new lifestyles of consumers do not welcome cheap choices, which is exactly why Dyson's high end cleaning line is a great success. With the rise in health </w:t>
      </w:r>
      <w:r>
        <w:rPr>
          <w:lang w:val="en-GB" w:eastAsia="en-IN"/>
        </w:rPr>
        <w:t>and allergy awareness, rising pet population, particularly in the post-COVID-19 era has led to smart home technologies, there is a growing demand for high performance cordless vacuum cleaners (Salma et al., 2024). Households are willing to pay more for pro</w:t>
      </w:r>
      <w:r>
        <w:rPr>
          <w:lang w:val="en-GB" w:eastAsia="en-IN"/>
        </w:rPr>
        <w:t>ducts that enhance air quality in the home and do so in a convenient manner for household tasks. These trends are met directly with the Dyson V15 Detect laser dust detection system, HEPA filtration technology and intelligent particle analysis, with a measu</w:t>
      </w:r>
      <w:r>
        <w:rPr>
          <w:lang w:val="en-GB" w:eastAsia="en-IN"/>
        </w:rPr>
        <w:t xml:space="preserve">rable vacuuming performance instead of the traditional vacuum system (Dyson, 2026). What this means is that changing social tastes have provided a key opportunity to market, enhancing Dyson's attractiveness to the affluent and health-conscious consumer. </w:t>
      </w:r>
    </w:p>
    <w:p w14:paraId="21389B5E" w14:textId="77777777" w:rsidR="003470DA" w:rsidRDefault="00886E12">
      <w:pPr>
        <w:spacing w:line="360" w:lineRule="auto"/>
        <w:jc w:val="both"/>
        <w:rPr>
          <w:b/>
          <w:bCs/>
          <w:i/>
          <w:iCs/>
          <w:lang w:val="en-GB" w:eastAsia="en-IN"/>
        </w:rPr>
      </w:pPr>
      <w:r>
        <w:rPr>
          <w:b/>
          <w:bCs/>
          <w:i/>
          <w:iCs/>
          <w:lang w:val="en-GB" w:eastAsia="en-IN"/>
        </w:rPr>
        <w:t>T</w:t>
      </w:r>
      <w:r>
        <w:rPr>
          <w:b/>
          <w:bCs/>
          <w:i/>
          <w:iCs/>
          <w:lang w:val="en-GB" w:eastAsia="en-IN"/>
        </w:rPr>
        <w:t xml:space="preserve">echnological </w:t>
      </w:r>
    </w:p>
    <w:p w14:paraId="13AD3014" w14:textId="77777777" w:rsidR="003470DA" w:rsidRDefault="00886E12">
      <w:pPr>
        <w:spacing w:line="360" w:lineRule="auto"/>
        <w:jc w:val="both"/>
        <w:rPr>
          <w:lang w:val="en-GB" w:eastAsia="en-IN"/>
        </w:rPr>
      </w:pPr>
      <w:r>
        <w:rPr>
          <w:lang w:val="en-GB" w:eastAsia="en-IN"/>
        </w:rPr>
        <w:t>Technological advancement is the biggest driver of competition for Dyson. Efforts to continue investing in AI, robotics, digital motors, battery technologies and intelligent sensing systems allows Dyson to remain at the cutting-edge of the pr</w:t>
      </w:r>
      <w:r>
        <w:rPr>
          <w:lang w:val="en-GB" w:eastAsia="en-IN"/>
        </w:rPr>
        <w:t xml:space="preserve">emium appliance market. Featuring Dyson's </w:t>
      </w:r>
      <w:proofErr w:type="spellStart"/>
      <w:r>
        <w:rPr>
          <w:lang w:val="en-GB" w:eastAsia="en-IN"/>
        </w:rPr>
        <w:t>Hyperdymium</w:t>
      </w:r>
      <w:proofErr w:type="spellEnd"/>
      <w:r>
        <w:rPr>
          <w:lang w:val="en-GB" w:eastAsia="en-IN"/>
        </w:rPr>
        <w:t xml:space="preserve"> digital motor, piezo sensor, laser illumination technology and LCD particle analysis, The V15 Detect provides real time cleaning intelligence that might not be found in many of its competitors (Dyson, 2</w:t>
      </w:r>
      <w:r>
        <w:rPr>
          <w:lang w:val="en-GB" w:eastAsia="en-IN"/>
        </w:rPr>
        <w:t>026). Dyson accumulated more than $400m in R&amp;D expenses and roughly 252 patents in 2025, highlighting its continued research and development efforts (Dyson, 2025). Thus, technological developments provide a large strategic opportunity, given the ability to</w:t>
      </w:r>
      <w:r>
        <w:rPr>
          <w:lang w:val="en-GB" w:eastAsia="en-IN"/>
        </w:rPr>
        <w:t xml:space="preserve"> continue product differentiation and premiumization. </w:t>
      </w:r>
    </w:p>
    <w:p w14:paraId="761A3B51" w14:textId="77777777" w:rsidR="003470DA" w:rsidRDefault="00886E12">
      <w:pPr>
        <w:spacing w:line="360" w:lineRule="auto"/>
        <w:jc w:val="both"/>
        <w:rPr>
          <w:b/>
          <w:bCs/>
          <w:i/>
          <w:iCs/>
          <w:lang w:val="en-GB" w:eastAsia="en-IN"/>
        </w:rPr>
      </w:pPr>
      <w:r>
        <w:rPr>
          <w:b/>
          <w:bCs/>
          <w:i/>
          <w:iCs/>
          <w:lang w:val="en-GB" w:eastAsia="en-IN"/>
        </w:rPr>
        <w:t xml:space="preserve">Environmental </w:t>
      </w:r>
    </w:p>
    <w:p w14:paraId="67627A46" w14:textId="77777777" w:rsidR="003470DA" w:rsidRDefault="00886E12">
      <w:pPr>
        <w:spacing w:line="360" w:lineRule="auto"/>
        <w:jc w:val="both"/>
        <w:rPr>
          <w:lang w:val="en-GB" w:eastAsia="en-IN"/>
        </w:rPr>
      </w:pPr>
      <w:r>
        <w:rPr>
          <w:lang w:val="en-GB" w:eastAsia="en-IN"/>
        </w:rPr>
        <w:t xml:space="preserve">Sustainability is a factor considered in apparel and appliance purchases and corporate considerations in the UK. Carbon reduction, principles of circular economy and resource efficiency </w:t>
      </w:r>
      <w:r>
        <w:rPr>
          <w:lang w:val="en-GB" w:eastAsia="en-IN"/>
        </w:rPr>
        <w:t>in the product design push manufacturers to reduce their waste production and prolong the life of their products. Dyson's sustainability focus is on 'doing more with less', making energy efficient products, using recycled materials and investing in sustain</w:t>
      </w:r>
      <w:r>
        <w:rPr>
          <w:lang w:val="en-GB" w:eastAsia="en-IN"/>
        </w:rPr>
        <w:t xml:space="preserve">able engineering (Dyson, 2026). These efforts enhance the Dyson V15 </w:t>
      </w:r>
      <w:proofErr w:type="spellStart"/>
      <w:r>
        <w:rPr>
          <w:lang w:val="en-GB" w:eastAsia="en-IN"/>
        </w:rPr>
        <w:t>Detect's</w:t>
      </w:r>
      <w:proofErr w:type="spellEnd"/>
      <w:r>
        <w:rPr>
          <w:lang w:val="en-GB" w:eastAsia="en-IN"/>
        </w:rPr>
        <w:t xml:space="preserve"> eco-image and also build its environmental credentials, while also reinforcing the brand's reputation in the eyes of eco-friendly consumers. Seeking to tighten up environmental as</w:t>
      </w:r>
      <w:r>
        <w:rPr>
          <w:lang w:val="en-GB" w:eastAsia="en-IN"/>
        </w:rPr>
        <w:t xml:space="preserve">pirations is therefore </w:t>
      </w:r>
      <w:r>
        <w:rPr>
          <w:lang w:val="en-GB" w:eastAsia="en-IN"/>
        </w:rPr>
        <w:lastRenderedPageBreak/>
        <w:t xml:space="preserve">a great opportunity for Dyson to further support the premium value proposition with sustainable innovation. </w:t>
      </w:r>
    </w:p>
    <w:p w14:paraId="47F9C657" w14:textId="77777777" w:rsidR="003470DA" w:rsidRDefault="00886E12">
      <w:pPr>
        <w:spacing w:line="360" w:lineRule="auto"/>
        <w:jc w:val="both"/>
        <w:rPr>
          <w:b/>
          <w:bCs/>
          <w:i/>
          <w:iCs/>
          <w:lang w:val="en-GB" w:eastAsia="en-IN"/>
        </w:rPr>
      </w:pPr>
      <w:r>
        <w:rPr>
          <w:b/>
          <w:bCs/>
          <w:i/>
          <w:iCs/>
          <w:lang w:val="en-GB" w:eastAsia="en-IN"/>
        </w:rPr>
        <w:t xml:space="preserve">Legal </w:t>
      </w:r>
    </w:p>
    <w:p w14:paraId="543ADB8F" w14:textId="77777777" w:rsidR="003470DA" w:rsidRDefault="00886E12">
      <w:pPr>
        <w:spacing w:line="360" w:lineRule="auto"/>
        <w:jc w:val="both"/>
        <w:rPr>
          <w:lang w:val="en-GB" w:eastAsia="en-IN"/>
        </w:rPr>
      </w:pPr>
      <w:r>
        <w:rPr>
          <w:lang w:val="en-GB" w:eastAsia="en-IN"/>
        </w:rPr>
        <w:t>Dyson employs high standards and is subject to a wide-ranging regulatory regime governing consumer protection, produc</w:t>
      </w:r>
      <w:r>
        <w:rPr>
          <w:lang w:val="en-GB" w:eastAsia="en-IN"/>
        </w:rPr>
        <w:t xml:space="preserve">t safety and environmental protection in the UK. Products are subject to the rigours of the Consumer Rights Act 2015, which requires them to be of a quality and be fit for the purpose they are intended for, and they must be marked with “UKCA” to show that </w:t>
      </w:r>
      <w:r>
        <w:rPr>
          <w:lang w:val="en-GB" w:eastAsia="en-IN"/>
        </w:rPr>
        <w:t>they are compliant with all relevant safety legislation in the UK (</w:t>
      </w:r>
      <w:proofErr w:type="spellStart"/>
      <w:r>
        <w:rPr>
          <w:lang w:val="en-GB" w:eastAsia="en-IN"/>
        </w:rPr>
        <w:t>Yidana</w:t>
      </w:r>
      <w:proofErr w:type="spellEnd"/>
      <w:r>
        <w:rPr>
          <w:lang w:val="en-GB" w:eastAsia="en-IN"/>
        </w:rPr>
        <w:t>, 2025; Bishop and Abramowski, 2025). Competition law upholds and/or fosters fair market practices and data protection laws cover the processing of customer information obtained via d</w:t>
      </w:r>
      <w:r>
        <w:rPr>
          <w:lang w:val="en-GB" w:eastAsia="en-IN"/>
        </w:rPr>
        <w:t>igital channels. In addition, the legislative framework must also make producers more responsible for creating a more sustainable manufacturing and waste management (</w:t>
      </w:r>
      <w:proofErr w:type="spellStart"/>
      <w:r>
        <w:rPr>
          <w:lang w:val="en-GB" w:eastAsia="en-IN"/>
        </w:rPr>
        <w:t>Maitre</w:t>
      </w:r>
      <w:proofErr w:type="spellEnd"/>
      <w:r>
        <w:rPr>
          <w:lang w:val="en-GB" w:eastAsia="en-IN"/>
        </w:rPr>
        <w:t>-Ekern, 2021). Compliance improves the consumer's confidence in the product, but als</w:t>
      </w:r>
      <w:r>
        <w:rPr>
          <w:lang w:val="en-GB" w:eastAsia="en-IN"/>
        </w:rPr>
        <w:t xml:space="preserve">o raises operating and compliance expense. On the whole, the legal landscape looks like a reasonable hurdle to contend with, one that fits nicely into Dyson's policy for quality and reliability. </w:t>
      </w:r>
    </w:p>
    <w:p w14:paraId="7105E2A0" w14:textId="77777777" w:rsidR="003470DA" w:rsidRDefault="00886E12">
      <w:pPr>
        <w:keepNext/>
        <w:keepLines/>
        <w:spacing w:line="360" w:lineRule="auto"/>
        <w:jc w:val="both"/>
        <w:outlineLvl w:val="2"/>
        <w:rPr>
          <w:b/>
          <w:bCs/>
          <w:color w:val="000000"/>
          <w:lang w:val="en-GB" w:eastAsia="en-IN"/>
        </w:rPr>
      </w:pPr>
      <w:bookmarkStart w:id="12" w:name="_Toc235549185"/>
      <w:r>
        <w:rPr>
          <w:b/>
          <w:bCs/>
          <w:color w:val="000000"/>
          <w:lang w:val="en-GB" w:eastAsia="en-IN"/>
        </w:rPr>
        <w:t>2.2 VRIO Analysis of Internal Factors</w:t>
      </w:r>
      <w:bookmarkEnd w:id="12"/>
      <w:r>
        <w:rPr>
          <w:b/>
          <w:bCs/>
          <w:color w:val="000000"/>
          <w:lang w:val="en-GB" w:eastAsia="en-IN"/>
        </w:rPr>
        <w:t xml:space="preserve"> </w:t>
      </w:r>
    </w:p>
    <w:p w14:paraId="09D400A0" w14:textId="77777777" w:rsidR="003470DA" w:rsidRDefault="00886E12">
      <w:pPr>
        <w:spacing w:line="360" w:lineRule="auto"/>
        <w:jc w:val="both"/>
        <w:rPr>
          <w:lang w:val="en-GB" w:eastAsia="en-IN"/>
        </w:rPr>
      </w:pPr>
      <w:r>
        <w:rPr>
          <w:lang w:val="en-GB" w:eastAsia="en-IN"/>
        </w:rPr>
        <w:t>All of Dyson's resour</w:t>
      </w:r>
      <w:r>
        <w:rPr>
          <w:lang w:val="en-GB" w:eastAsia="en-IN"/>
        </w:rPr>
        <w:t>ces – which it has accumulated in the UK high quality household appliance market – are valuable, rare and hard to imitate and are being managed well to enable future innovation. The brand Dyson offers a strategically good value, since it facilitates engine</w:t>
      </w:r>
      <w:r>
        <w:rPr>
          <w:lang w:val="en-GB" w:eastAsia="en-IN"/>
        </w:rPr>
        <w:t xml:space="preserve">ering excellence, high quality and technological leadership. This is only because it has a great reputation which allows it to be priced at a high level, even though there are significant price points from Shark, Samsung and Bosch. The Dyson brand is also </w:t>
      </w:r>
      <w:r>
        <w:rPr>
          <w:lang w:val="en-GB" w:eastAsia="en-IN"/>
        </w:rPr>
        <w:t xml:space="preserve">complemented by high customer loyalty and brand recognition around the world. </w:t>
      </w:r>
    </w:p>
    <w:p w14:paraId="2528AE34" w14:textId="77777777" w:rsidR="003470DA" w:rsidRDefault="00886E12">
      <w:pPr>
        <w:spacing w:line="360" w:lineRule="auto"/>
        <w:jc w:val="both"/>
        <w:rPr>
          <w:lang w:val="en-GB" w:eastAsia="en-IN"/>
        </w:rPr>
      </w:pPr>
      <w:r>
        <w:rPr>
          <w:lang w:val="en-GB" w:eastAsia="en-IN"/>
        </w:rPr>
        <w:t xml:space="preserve">As a rare and valuable feature, Dyson also has its own </w:t>
      </w:r>
      <w:proofErr w:type="spellStart"/>
      <w:r>
        <w:rPr>
          <w:lang w:val="en-GB" w:eastAsia="en-IN"/>
        </w:rPr>
        <w:t>Hyperdymium</w:t>
      </w:r>
      <w:proofErr w:type="spellEnd"/>
      <w:r>
        <w:rPr>
          <w:lang w:val="en-GB" w:eastAsia="en-IN"/>
        </w:rPr>
        <w:t xml:space="preserve"> digital motor along with Laser Dust Detection technology (Tech Observer Desk, 2022). They provide excellent su</w:t>
      </w:r>
      <w:r>
        <w:rPr>
          <w:lang w:val="en-GB" w:eastAsia="en-IN"/>
        </w:rPr>
        <w:t>ction power, reveal microscopic dust particles not visible to the human eye and offer a real time particle analysis reading on an LCD screen for providing product differentiation. Advanced cordless vacuum devices have been introduced by competitors, but to</w:t>
      </w:r>
      <w:r>
        <w:rPr>
          <w:lang w:val="en-GB" w:eastAsia="en-IN"/>
        </w:rPr>
        <w:t xml:space="preserve"> duplicate Dyson's integrated engineering ‘ecosystem' would take a huge amount of technological skills and money. This means that they have a considerable technological edge over the Dyson V15 Detect. </w:t>
      </w:r>
    </w:p>
    <w:p w14:paraId="24AFBD96" w14:textId="77777777" w:rsidR="003470DA" w:rsidRDefault="00886E12">
      <w:pPr>
        <w:spacing w:line="360" w:lineRule="auto"/>
        <w:jc w:val="both"/>
        <w:rPr>
          <w:lang w:val="en-GB" w:eastAsia="en-IN"/>
        </w:rPr>
      </w:pPr>
      <w:r>
        <w:rPr>
          <w:lang w:val="en-GB" w:eastAsia="en-IN"/>
        </w:rPr>
        <w:t xml:space="preserve">The company's research and development program is a </w:t>
      </w:r>
      <w:r>
        <w:rPr>
          <w:lang w:val="en-GB" w:eastAsia="en-IN"/>
        </w:rPr>
        <w:t xml:space="preserve">testament to its dedication to innovation, with more than £400 million invested in R&amp;D annually, and 252 new patent </w:t>
      </w:r>
      <w:r>
        <w:rPr>
          <w:lang w:val="en-GB" w:eastAsia="en-IN"/>
        </w:rPr>
        <w:lastRenderedPageBreak/>
        <w:t>applications filed in 2025, reflecting its commitment beyond just specific product innovation to fostering innovation across the entire orga</w:t>
      </w:r>
      <w:r>
        <w:rPr>
          <w:lang w:val="en-GB" w:eastAsia="en-IN"/>
        </w:rPr>
        <w:t>nization (Dyson, 2025). Dyson also holds almost 6000 patents and registered designs granted and pending globally to ensure proprietary technologies are safeguarded and prevent competitor mimicking (Dyson, 2026). These resources are valuable and scarce, and</w:t>
      </w:r>
      <w:r>
        <w:rPr>
          <w:lang w:val="en-GB" w:eastAsia="en-IN"/>
        </w:rPr>
        <w:t xml:space="preserve"> have been organised well, and result in a continued competitive advantage via ongoing product innovations. </w:t>
      </w:r>
    </w:p>
    <w:p w14:paraId="0508DBEB" w14:textId="77777777" w:rsidR="003470DA" w:rsidRDefault="00886E12">
      <w:pPr>
        <w:spacing w:line="360" w:lineRule="auto"/>
        <w:jc w:val="both"/>
        <w:rPr>
          <w:lang w:val="en-GB" w:eastAsia="en-IN"/>
        </w:rPr>
      </w:pPr>
      <w:r>
        <w:rPr>
          <w:lang w:val="en-GB" w:eastAsia="en-IN"/>
        </w:rPr>
        <w:t xml:space="preserve">Moreover, Dyson's continuous attributes of expanding AI capability and a multidisciplinary set of engineers, with an innovation-focused </w:t>
      </w:r>
      <w:r>
        <w:rPr>
          <w:lang w:val="en-GB" w:eastAsia="en-IN"/>
        </w:rPr>
        <w:t>organisational culture, bolster the company's long-term competitiveness. Smart sensors and advanced algorithms result from significant investments in machine learning, robotics and software, help optimise the performance of intelligent products like the V1</w:t>
      </w:r>
      <w:r>
        <w:rPr>
          <w:lang w:val="en-GB" w:eastAsia="en-IN"/>
        </w:rPr>
        <w:t xml:space="preserve">5 Detect and prepare for the next connected home technologies (Tarafdar and Bose, 2021). Its engineers, based across research centres in the UK, closely liaise with product development groups, to ensure innovation is quickly commercialised. </w:t>
      </w:r>
    </w:p>
    <w:p w14:paraId="3FE9713B" w14:textId="77777777" w:rsidR="003470DA" w:rsidRDefault="00886E12">
      <w:pPr>
        <w:spacing w:line="360" w:lineRule="auto"/>
        <w:jc w:val="both"/>
        <w:rPr>
          <w:lang w:val="en-GB" w:eastAsia="en-IN"/>
        </w:rPr>
      </w:pPr>
      <w:r>
        <w:rPr>
          <w:lang w:val="en-GB" w:eastAsia="en-IN"/>
        </w:rPr>
        <w:t>Dyson's worldw</w:t>
      </w:r>
      <w:r>
        <w:rPr>
          <w:lang w:val="en-GB" w:eastAsia="en-IN"/>
        </w:rPr>
        <w:t xml:space="preserve">ide distribution network and high standard of customer service extends the reach of Dyson products and service, making them accessible and satisfying to customers via Dyson stores, online retailers and market-leading physical retailers in the UK. However, </w:t>
      </w:r>
      <w:r>
        <w:rPr>
          <w:lang w:val="en-GB" w:eastAsia="en-IN"/>
        </w:rPr>
        <w:t>these are easier to copy, or attain in the UK, by top competitors and therefore give Dyson only temporary competitive advantage or advantage. Overall, Dyson's VRIO resources—namely the brand, patented technologies, digital motor, laser detection system, R&amp;</w:t>
      </w:r>
      <w:r>
        <w:rPr>
          <w:lang w:val="en-GB" w:eastAsia="en-IN"/>
        </w:rPr>
        <w:t xml:space="preserve">D capability, AI expertise and innovation culture—are a central part of its ability to sustain a competitive advantage and to remain the premium brand and technological leader in the UK cordless vacuum sector. </w:t>
      </w:r>
    </w:p>
    <w:tbl>
      <w:tblPr>
        <w:tblStyle w:val="a"/>
        <w:tblW w:w="901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30"/>
        <w:gridCol w:w="1485"/>
        <w:gridCol w:w="1515"/>
        <w:gridCol w:w="1545"/>
        <w:gridCol w:w="1440"/>
      </w:tblGrid>
      <w:tr w:rsidR="00704436" w14:paraId="20C39A40" w14:textId="77777777">
        <w:tc>
          <w:tcPr>
            <w:tcW w:w="3030" w:type="dxa"/>
            <w:tcMar>
              <w:top w:w="100" w:type="dxa"/>
              <w:left w:w="100" w:type="dxa"/>
              <w:bottom w:w="100" w:type="dxa"/>
              <w:right w:w="100" w:type="dxa"/>
            </w:tcMar>
          </w:tcPr>
          <w:p w14:paraId="79A9BA60" w14:textId="77777777" w:rsidR="003470DA" w:rsidRDefault="00886E12">
            <w:pPr>
              <w:widowControl w:val="0"/>
              <w:pBdr>
                <w:top w:val="nil"/>
                <w:left w:val="nil"/>
                <w:bottom w:val="nil"/>
                <w:right w:val="nil"/>
                <w:between w:val="nil"/>
              </w:pBdr>
              <w:spacing w:line="360" w:lineRule="auto"/>
              <w:jc w:val="center"/>
              <w:rPr>
                <w:b/>
                <w:bCs/>
              </w:rPr>
            </w:pPr>
            <w:r>
              <w:rPr>
                <w:b/>
                <w:bCs/>
              </w:rPr>
              <w:t xml:space="preserve">Strategic Capability </w:t>
            </w:r>
          </w:p>
        </w:tc>
        <w:tc>
          <w:tcPr>
            <w:tcW w:w="1485" w:type="dxa"/>
            <w:tcMar>
              <w:top w:w="100" w:type="dxa"/>
              <w:left w:w="100" w:type="dxa"/>
              <w:bottom w:w="100" w:type="dxa"/>
              <w:right w:w="100" w:type="dxa"/>
            </w:tcMar>
          </w:tcPr>
          <w:p w14:paraId="7F5FDBD3" w14:textId="77777777" w:rsidR="003470DA" w:rsidRDefault="00886E12">
            <w:pPr>
              <w:widowControl w:val="0"/>
              <w:pBdr>
                <w:top w:val="nil"/>
                <w:left w:val="nil"/>
                <w:bottom w:val="nil"/>
                <w:right w:val="nil"/>
                <w:between w:val="nil"/>
              </w:pBdr>
              <w:spacing w:line="360" w:lineRule="auto"/>
              <w:jc w:val="center"/>
              <w:rPr>
                <w:b/>
                <w:bCs/>
              </w:rPr>
            </w:pPr>
            <w:r>
              <w:rPr>
                <w:b/>
                <w:bCs/>
              </w:rPr>
              <w:t xml:space="preserve">Valuable </w:t>
            </w:r>
          </w:p>
          <w:p w14:paraId="1B811DAC" w14:textId="77777777" w:rsidR="003470DA" w:rsidRDefault="00886E12">
            <w:pPr>
              <w:widowControl w:val="0"/>
              <w:pBdr>
                <w:top w:val="nil"/>
                <w:left w:val="nil"/>
                <w:bottom w:val="nil"/>
                <w:right w:val="nil"/>
                <w:between w:val="nil"/>
              </w:pBdr>
              <w:spacing w:line="360" w:lineRule="auto"/>
              <w:jc w:val="center"/>
              <w:rPr>
                <w:b/>
                <w:bCs/>
              </w:rPr>
            </w:pPr>
            <w:r>
              <w:rPr>
                <w:b/>
                <w:bCs/>
              </w:rPr>
              <w:t>(V)</w:t>
            </w:r>
          </w:p>
        </w:tc>
        <w:tc>
          <w:tcPr>
            <w:tcW w:w="1515" w:type="dxa"/>
            <w:tcMar>
              <w:top w:w="100" w:type="dxa"/>
              <w:left w:w="100" w:type="dxa"/>
              <w:bottom w:w="100" w:type="dxa"/>
              <w:right w:w="100" w:type="dxa"/>
            </w:tcMar>
          </w:tcPr>
          <w:p w14:paraId="435C183D" w14:textId="77777777" w:rsidR="003470DA" w:rsidRDefault="00886E12">
            <w:pPr>
              <w:widowControl w:val="0"/>
              <w:pBdr>
                <w:top w:val="nil"/>
                <w:left w:val="nil"/>
                <w:bottom w:val="nil"/>
                <w:right w:val="nil"/>
                <w:between w:val="nil"/>
              </w:pBdr>
              <w:spacing w:line="360" w:lineRule="auto"/>
              <w:jc w:val="center"/>
              <w:rPr>
                <w:b/>
                <w:bCs/>
              </w:rPr>
            </w:pPr>
            <w:r>
              <w:rPr>
                <w:b/>
                <w:bCs/>
              </w:rPr>
              <w:t>Rare</w:t>
            </w:r>
          </w:p>
          <w:p w14:paraId="3F1AC450" w14:textId="77777777" w:rsidR="003470DA" w:rsidRDefault="00886E12">
            <w:pPr>
              <w:widowControl w:val="0"/>
              <w:pBdr>
                <w:top w:val="nil"/>
                <w:left w:val="nil"/>
                <w:bottom w:val="nil"/>
                <w:right w:val="nil"/>
                <w:between w:val="nil"/>
              </w:pBdr>
              <w:spacing w:line="360" w:lineRule="auto"/>
              <w:jc w:val="center"/>
              <w:rPr>
                <w:b/>
                <w:bCs/>
              </w:rPr>
            </w:pPr>
            <w:r>
              <w:rPr>
                <w:b/>
                <w:bCs/>
              </w:rPr>
              <w:t>(R)</w:t>
            </w:r>
          </w:p>
        </w:tc>
        <w:tc>
          <w:tcPr>
            <w:tcW w:w="1545" w:type="dxa"/>
            <w:tcMar>
              <w:top w:w="100" w:type="dxa"/>
              <w:left w:w="100" w:type="dxa"/>
              <w:bottom w:w="100" w:type="dxa"/>
              <w:right w:w="100" w:type="dxa"/>
            </w:tcMar>
          </w:tcPr>
          <w:p w14:paraId="00E9F6FA" w14:textId="77777777" w:rsidR="003470DA" w:rsidRDefault="00886E12">
            <w:pPr>
              <w:widowControl w:val="0"/>
              <w:pBdr>
                <w:top w:val="nil"/>
                <w:left w:val="nil"/>
                <w:bottom w:val="nil"/>
                <w:right w:val="nil"/>
                <w:between w:val="nil"/>
              </w:pBdr>
              <w:spacing w:line="360" w:lineRule="auto"/>
              <w:jc w:val="center"/>
              <w:rPr>
                <w:b/>
                <w:bCs/>
              </w:rPr>
            </w:pPr>
            <w:r>
              <w:rPr>
                <w:b/>
                <w:bCs/>
              </w:rPr>
              <w:t xml:space="preserve">Inimitable </w:t>
            </w:r>
          </w:p>
          <w:p w14:paraId="2AB473FE" w14:textId="77777777" w:rsidR="003470DA" w:rsidRDefault="00886E12">
            <w:pPr>
              <w:widowControl w:val="0"/>
              <w:pBdr>
                <w:top w:val="nil"/>
                <w:left w:val="nil"/>
                <w:bottom w:val="nil"/>
                <w:right w:val="nil"/>
                <w:between w:val="nil"/>
              </w:pBdr>
              <w:spacing w:line="360" w:lineRule="auto"/>
              <w:jc w:val="center"/>
              <w:rPr>
                <w:b/>
                <w:bCs/>
              </w:rPr>
            </w:pPr>
            <w:r>
              <w:rPr>
                <w:b/>
                <w:bCs/>
              </w:rPr>
              <w:t>(I)</w:t>
            </w:r>
          </w:p>
        </w:tc>
        <w:tc>
          <w:tcPr>
            <w:tcW w:w="1440" w:type="dxa"/>
            <w:tcMar>
              <w:top w:w="100" w:type="dxa"/>
              <w:left w:w="100" w:type="dxa"/>
              <w:bottom w:w="100" w:type="dxa"/>
              <w:right w:w="100" w:type="dxa"/>
            </w:tcMar>
          </w:tcPr>
          <w:p w14:paraId="67D2A054" w14:textId="77777777" w:rsidR="003470DA" w:rsidRDefault="00886E12">
            <w:pPr>
              <w:widowControl w:val="0"/>
              <w:pBdr>
                <w:top w:val="nil"/>
                <w:left w:val="nil"/>
                <w:bottom w:val="nil"/>
                <w:right w:val="nil"/>
                <w:between w:val="nil"/>
              </w:pBdr>
              <w:spacing w:line="360" w:lineRule="auto"/>
              <w:jc w:val="center"/>
              <w:rPr>
                <w:b/>
                <w:bCs/>
              </w:rPr>
            </w:pPr>
            <w:r>
              <w:rPr>
                <w:b/>
                <w:bCs/>
              </w:rPr>
              <w:t>Organised</w:t>
            </w:r>
          </w:p>
          <w:p w14:paraId="165D9FAE" w14:textId="77777777" w:rsidR="003470DA" w:rsidRDefault="00886E12">
            <w:pPr>
              <w:widowControl w:val="0"/>
              <w:pBdr>
                <w:top w:val="nil"/>
                <w:left w:val="nil"/>
                <w:bottom w:val="nil"/>
                <w:right w:val="nil"/>
                <w:between w:val="nil"/>
              </w:pBdr>
              <w:spacing w:line="360" w:lineRule="auto"/>
              <w:jc w:val="center"/>
              <w:rPr>
                <w:b/>
                <w:bCs/>
              </w:rPr>
            </w:pPr>
            <w:r>
              <w:rPr>
                <w:b/>
                <w:bCs/>
              </w:rPr>
              <w:t>(O)</w:t>
            </w:r>
          </w:p>
        </w:tc>
      </w:tr>
      <w:tr w:rsidR="00704436" w14:paraId="48245C91" w14:textId="77777777">
        <w:tc>
          <w:tcPr>
            <w:tcW w:w="3030" w:type="dxa"/>
            <w:tcMar>
              <w:top w:w="100" w:type="dxa"/>
              <w:left w:w="100" w:type="dxa"/>
              <w:bottom w:w="100" w:type="dxa"/>
              <w:right w:w="100" w:type="dxa"/>
            </w:tcMar>
          </w:tcPr>
          <w:p w14:paraId="0B013A08" w14:textId="77777777" w:rsidR="003470DA" w:rsidRDefault="00886E12">
            <w:pPr>
              <w:widowControl w:val="0"/>
              <w:pBdr>
                <w:top w:val="nil"/>
                <w:left w:val="nil"/>
                <w:bottom w:val="nil"/>
                <w:right w:val="nil"/>
                <w:between w:val="nil"/>
              </w:pBdr>
              <w:spacing w:line="360" w:lineRule="auto"/>
              <w:jc w:val="center"/>
              <w:rPr>
                <w:b/>
                <w:bCs/>
              </w:rPr>
            </w:pPr>
            <w:r>
              <w:rPr>
                <w:b/>
                <w:bCs/>
              </w:rPr>
              <w:t>Dyson Brand</w:t>
            </w:r>
          </w:p>
        </w:tc>
        <w:tc>
          <w:tcPr>
            <w:tcW w:w="1485" w:type="dxa"/>
            <w:tcMar>
              <w:top w:w="100" w:type="dxa"/>
              <w:left w:w="100" w:type="dxa"/>
              <w:bottom w:w="100" w:type="dxa"/>
              <w:right w:w="100" w:type="dxa"/>
            </w:tcMar>
          </w:tcPr>
          <w:p w14:paraId="491C01E6" w14:textId="77777777" w:rsidR="003470DA" w:rsidRDefault="00886E12">
            <w:pPr>
              <w:widowControl w:val="0"/>
              <w:pBdr>
                <w:top w:val="nil"/>
                <w:left w:val="nil"/>
                <w:bottom w:val="nil"/>
                <w:right w:val="nil"/>
                <w:between w:val="nil"/>
              </w:pBdr>
              <w:spacing w:line="360" w:lineRule="auto"/>
              <w:jc w:val="center"/>
            </w:pPr>
            <w:r>
              <w:rPr>
                <w:rFonts w:ascii="Arial Unicode MS" w:eastAsia="Arial Unicode MS" w:hAnsi="Arial Unicode MS" w:cs="Arial Unicode MS"/>
              </w:rPr>
              <w:t>✓</w:t>
            </w:r>
          </w:p>
        </w:tc>
        <w:tc>
          <w:tcPr>
            <w:tcW w:w="1515" w:type="dxa"/>
            <w:tcMar>
              <w:top w:w="100" w:type="dxa"/>
              <w:left w:w="100" w:type="dxa"/>
              <w:bottom w:w="100" w:type="dxa"/>
              <w:right w:w="100" w:type="dxa"/>
            </w:tcMar>
          </w:tcPr>
          <w:p w14:paraId="5281A8D9" w14:textId="77777777" w:rsidR="003470DA" w:rsidRDefault="00886E12">
            <w:pPr>
              <w:widowControl w:val="0"/>
              <w:pBdr>
                <w:top w:val="nil"/>
                <w:left w:val="nil"/>
                <w:bottom w:val="nil"/>
                <w:right w:val="nil"/>
                <w:between w:val="nil"/>
              </w:pBdr>
              <w:spacing w:line="360" w:lineRule="auto"/>
              <w:jc w:val="center"/>
            </w:pPr>
            <w:r>
              <w:rPr>
                <w:rFonts w:ascii="Arial Unicode MS" w:eastAsia="Arial Unicode MS" w:hAnsi="Arial Unicode MS" w:cs="Arial Unicode MS"/>
              </w:rPr>
              <w:t>✓</w:t>
            </w:r>
          </w:p>
        </w:tc>
        <w:tc>
          <w:tcPr>
            <w:tcW w:w="1545" w:type="dxa"/>
            <w:tcMar>
              <w:top w:w="100" w:type="dxa"/>
              <w:left w:w="100" w:type="dxa"/>
              <w:bottom w:w="100" w:type="dxa"/>
              <w:right w:w="100" w:type="dxa"/>
            </w:tcMar>
          </w:tcPr>
          <w:p w14:paraId="533773EF" w14:textId="77777777" w:rsidR="003470DA" w:rsidRDefault="00886E12">
            <w:pPr>
              <w:widowControl w:val="0"/>
              <w:pBdr>
                <w:top w:val="nil"/>
                <w:left w:val="nil"/>
                <w:bottom w:val="nil"/>
                <w:right w:val="nil"/>
                <w:between w:val="nil"/>
              </w:pBdr>
              <w:spacing w:line="360" w:lineRule="auto"/>
              <w:jc w:val="center"/>
            </w:pPr>
            <w:r>
              <w:rPr>
                <w:rFonts w:ascii="Arial Unicode MS" w:eastAsia="Arial Unicode MS" w:hAnsi="Arial Unicode MS" w:cs="Arial Unicode MS"/>
              </w:rPr>
              <w:t>✓</w:t>
            </w:r>
          </w:p>
        </w:tc>
        <w:tc>
          <w:tcPr>
            <w:tcW w:w="1440" w:type="dxa"/>
            <w:tcMar>
              <w:top w:w="100" w:type="dxa"/>
              <w:left w:w="100" w:type="dxa"/>
              <w:bottom w:w="100" w:type="dxa"/>
              <w:right w:w="100" w:type="dxa"/>
            </w:tcMar>
          </w:tcPr>
          <w:p w14:paraId="11676F45" w14:textId="77777777" w:rsidR="003470DA" w:rsidRDefault="00886E12">
            <w:pPr>
              <w:widowControl w:val="0"/>
              <w:pBdr>
                <w:top w:val="nil"/>
                <w:left w:val="nil"/>
                <w:bottom w:val="nil"/>
                <w:right w:val="nil"/>
                <w:between w:val="nil"/>
              </w:pBdr>
              <w:spacing w:line="360" w:lineRule="auto"/>
              <w:jc w:val="center"/>
            </w:pPr>
            <w:r>
              <w:rPr>
                <w:rFonts w:ascii="Arial Unicode MS" w:eastAsia="Arial Unicode MS" w:hAnsi="Arial Unicode MS" w:cs="Arial Unicode MS"/>
              </w:rPr>
              <w:t>✓</w:t>
            </w:r>
          </w:p>
        </w:tc>
      </w:tr>
      <w:tr w:rsidR="00704436" w14:paraId="608A58CF" w14:textId="77777777">
        <w:tc>
          <w:tcPr>
            <w:tcW w:w="3030" w:type="dxa"/>
            <w:tcMar>
              <w:top w:w="100" w:type="dxa"/>
              <w:left w:w="100" w:type="dxa"/>
              <w:bottom w:w="100" w:type="dxa"/>
              <w:right w:w="100" w:type="dxa"/>
            </w:tcMar>
          </w:tcPr>
          <w:p w14:paraId="360010DA" w14:textId="77777777" w:rsidR="003470DA" w:rsidRDefault="00886E12">
            <w:pPr>
              <w:widowControl w:val="0"/>
              <w:pBdr>
                <w:top w:val="nil"/>
                <w:left w:val="nil"/>
                <w:bottom w:val="nil"/>
                <w:right w:val="nil"/>
                <w:between w:val="nil"/>
              </w:pBdr>
              <w:spacing w:line="360" w:lineRule="auto"/>
              <w:jc w:val="center"/>
              <w:rPr>
                <w:b/>
                <w:bCs/>
              </w:rPr>
            </w:pPr>
            <w:proofErr w:type="spellStart"/>
            <w:r>
              <w:rPr>
                <w:b/>
                <w:bCs/>
              </w:rPr>
              <w:t>Hyperdymium</w:t>
            </w:r>
            <w:proofErr w:type="spellEnd"/>
            <w:r>
              <w:rPr>
                <w:b/>
                <w:bCs/>
              </w:rPr>
              <w:t xml:space="preserve"> Digital Motor</w:t>
            </w:r>
          </w:p>
        </w:tc>
        <w:tc>
          <w:tcPr>
            <w:tcW w:w="1485" w:type="dxa"/>
            <w:tcMar>
              <w:top w:w="100" w:type="dxa"/>
              <w:left w:w="100" w:type="dxa"/>
              <w:bottom w:w="100" w:type="dxa"/>
              <w:right w:w="100" w:type="dxa"/>
            </w:tcMar>
          </w:tcPr>
          <w:p w14:paraId="3B933D6F" w14:textId="77777777" w:rsidR="003470DA" w:rsidRDefault="00886E12">
            <w:pPr>
              <w:widowControl w:val="0"/>
              <w:pBdr>
                <w:top w:val="nil"/>
                <w:left w:val="nil"/>
                <w:bottom w:val="nil"/>
                <w:right w:val="nil"/>
                <w:between w:val="nil"/>
              </w:pBdr>
              <w:spacing w:line="360" w:lineRule="auto"/>
              <w:jc w:val="center"/>
            </w:pPr>
            <w:r>
              <w:rPr>
                <w:rFonts w:ascii="Arial Unicode MS" w:eastAsia="Arial Unicode MS" w:hAnsi="Arial Unicode MS" w:cs="Arial Unicode MS"/>
              </w:rPr>
              <w:t>✓</w:t>
            </w:r>
          </w:p>
        </w:tc>
        <w:tc>
          <w:tcPr>
            <w:tcW w:w="1515" w:type="dxa"/>
            <w:tcMar>
              <w:top w:w="100" w:type="dxa"/>
              <w:left w:w="100" w:type="dxa"/>
              <w:bottom w:w="100" w:type="dxa"/>
              <w:right w:w="100" w:type="dxa"/>
            </w:tcMar>
          </w:tcPr>
          <w:p w14:paraId="1AA894AE" w14:textId="77777777" w:rsidR="003470DA" w:rsidRDefault="00886E12">
            <w:pPr>
              <w:widowControl w:val="0"/>
              <w:pBdr>
                <w:top w:val="nil"/>
                <w:left w:val="nil"/>
                <w:bottom w:val="nil"/>
                <w:right w:val="nil"/>
                <w:between w:val="nil"/>
              </w:pBdr>
              <w:spacing w:line="360" w:lineRule="auto"/>
              <w:jc w:val="center"/>
            </w:pPr>
            <w:r>
              <w:rPr>
                <w:rFonts w:ascii="Arial Unicode MS" w:eastAsia="Arial Unicode MS" w:hAnsi="Arial Unicode MS" w:cs="Arial Unicode MS"/>
              </w:rPr>
              <w:t>✓</w:t>
            </w:r>
          </w:p>
        </w:tc>
        <w:tc>
          <w:tcPr>
            <w:tcW w:w="1545" w:type="dxa"/>
            <w:tcMar>
              <w:top w:w="100" w:type="dxa"/>
              <w:left w:w="100" w:type="dxa"/>
              <w:bottom w:w="100" w:type="dxa"/>
              <w:right w:w="100" w:type="dxa"/>
            </w:tcMar>
          </w:tcPr>
          <w:p w14:paraId="505CAA61" w14:textId="77777777" w:rsidR="003470DA" w:rsidRDefault="00886E12">
            <w:pPr>
              <w:widowControl w:val="0"/>
              <w:pBdr>
                <w:top w:val="nil"/>
                <w:left w:val="nil"/>
                <w:bottom w:val="nil"/>
                <w:right w:val="nil"/>
                <w:between w:val="nil"/>
              </w:pBdr>
              <w:spacing w:line="360" w:lineRule="auto"/>
              <w:jc w:val="center"/>
            </w:pPr>
            <w:r>
              <w:rPr>
                <w:rFonts w:ascii="Arial Unicode MS" w:eastAsia="Arial Unicode MS" w:hAnsi="Arial Unicode MS" w:cs="Arial Unicode MS"/>
              </w:rPr>
              <w:t>✓</w:t>
            </w:r>
          </w:p>
        </w:tc>
        <w:tc>
          <w:tcPr>
            <w:tcW w:w="1440" w:type="dxa"/>
            <w:tcMar>
              <w:top w:w="100" w:type="dxa"/>
              <w:left w:w="100" w:type="dxa"/>
              <w:bottom w:w="100" w:type="dxa"/>
              <w:right w:w="100" w:type="dxa"/>
            </w:tcMar>
          </w:tcPr>
          <w:p w14:paraId="0E013CE8" w14:textId="77777777" w:rsidR="003470DA" w:rsidRDefault="00886E12">
            <w:pPr>
              <w:widowControl w:val="0"/>
              <w:pBdr>
                <w:top w:val="nil"/>
                <w:left w:val="nil"/>
                <w:bottom w:val="nil"/>
                <w:right w:val="nil"/>
                <w:between w:val="nil"/>
              </w:pBdr>
              <w:spacing w:line="360" w:lineRule="auto"/>
              <w:jc w:val="center"/>
            </w:pPr>
            <w:r>
              <w:rPr>
                <w:rFonts w:ascii="Arial Unicode MS" w:eastAsia="Arial Unicode MS" w:hAnsi="Arial Unicode MS" w:cs="Arial Unicode MS"/>
              </w:rPr>
              <w:t>✓</w:t>
            </w:r>
          </w:p>
        </w:tc>
      </w:tr>
      <w:tr w:rsidR="00704436" w14:paraId="55F23198" w14:textId="77777777">
        <w:tc>
          <w:tcPr>
            <w:tcW w:w="3030" w:type="dxa"/>
            <w:tcMar>
              <w:top w:w="100" w:type="dxa"/>
              <w:left w:w="100" w:type="dxa"/>
              <w:bottom w:w="100" w:type="dxa"/>
              <w:right w:w="100" w:type="dxa"/>
            </w:tcMar>
          </w:tcPr>
          <w:p w14:paraId="367DF6CF" w14:textId="77777777" w:rsidR="003470DA" w:rsidRDefault="00886E12">
            <w:pPr>
              <w:widowControl w:val="0"/>
              <w:pBdr>
                <w:top w:val="nil"/>
                <w:left w:val="nil"/>
                <w:bottom w:val="nil"/>
                <w:right w:val="nil"/>
                <w:between w:val="nil"/>
              </w:pBdr>
              <w:spacing w:line="360" w:lineRule="auto"/>
              <w:jc w:val="center"/>
              <w:rPr>
                <w:b/>
                <w:bCs/>
              </w:rPr>
            </w:pPr>
            <w:r>
              <w:rPr>
                <w:b/>
                <w:bCs/>
              </w:rPr>
              <w:t>Laser Dust Detection Technology</w:t>
            </w:r>
          </w:p>
        </w:tc>
        <w:tc>
          <w:tcPr>
            <w:tcW w:w="1485" w:type="dxa"/>
            <w:tcMar>
              <w:top w:w="100" w:type="dxa"/>
              <w:left w:w="100" w:type="dxa"/>
              <w:bottom w:w="100" w:type="dxa"/>
              <w:right w:w="100" w:type="dxa"/>
            </w:tcMar>
          </w:tcPr>
          <w:p w14:paraId="19723579" w14:textId="77777777" w:rsidR="003470DA" w:rsidRDefault="00886E12">
            <w:pPr>
              <w:widowControl w:val="0"/>
              <w:pBdr>
                <w:top w:val="nil"/>
                <w:left w:val="nil"/>
                <w:bottom w:val="nil"/>
                <w:right w:val="nil"/>
                <w:between w:val="nil"/>
              </w:pBdr>
              <w:spacing w:line="360" w:lineRule="auto"/>
              <w:jc w:val="center"/>
            </w:pPr>
            <w:r>
              <w:rPr>
                <w:rFonts w:ascii="Arial Unicode MS" w:eastAsia="Arial Unicode MS" w:hAnsi="Arial Unicode MS" w:cs="Arial Unicode MS"/>
              </w:rPr>
              <w:t>✓</w:t>
            </w:r>
          </w:p>
        </w:tc>
        <w:tc>
          <w:tcPr>
            <w:tcW w:w="1515" w:type="dxa"/>
            <w:tcMar>
              <w:top w:w="100" w:type="dxa"/>
              <w:left w:w="100" w:type="dxa"/>
              <w:bottom w:w="100" w:type="dxa"/>
              <w:right w:w="100" w:type="dxa"/>
            </w:tcMar>
          </w:tcPr>
          <w:p w14:paraId="4D7A275E" w14:textId="77777777" w:rsidR="003470DA" w:rsidRDefault="00886E12">
            <w:pPr>
              <w:widowControl w:val="0"/>
              <w:pBdr>
                <w:top w:val="nil"/>
                <w:left w:val="nil"/>
                <w:bottom w:val="nil"/>
                <w:right w:val="nil"/>
                <w:between w:val="nil"/>
              </w:pBdr>
              <w:spacing w:line="360" w:lineRule="auto"/>
              <w:jc w:val="center"/>
            </w:pPr>
            <w:r>
              <w:rPr>
                <w:rFonts w:ascii="Arial Unicode MS" w:eastAsia="Arial Unicode MS" w:hAnsi="Arial Unicode MS" w:cs="Arial Unicode MS"/>
              </w:rPr>
              <w:t>✓</w:t>
            </w:r>
          </w:p>
        </w:tc>
        <w:tc>
          <w:tcPr>
            <w:tcW w:w="1545" w:type="dxa"/>
            <w:tcMar>
              <w:top w:w="100" w:type="dxa"/>
              <w:left w:w="100" w:type="dxa"/>
              <w:bottom w:w="100" w:type="dxa"/>
              <w:right w:w="100" w:type="dxa"/>
            </w:tcMar>
          </w:tcPr>
          <w:p w14:paraId="624514C4" w14:textId="77777777" w:rsidR="003470DA" w:rsidRDefault="00886E12">
            <w:pPr>
              <w:widowControl w:val="0"/>
              <w:pBdr>
                <w:top w:val="nil"/>
                <w:left w:val="nil"/>
                <w:bottom w:val="nil"/>
                <w:right w:val="nil"/>
                <w:between w:val="nil"/>
              </w:pBdr>
              <w:spacing w:line="360" w:lineRule="auto"/>
              <w:jc w:val="center"/>
            </w:pPr>
            <w:r>
              <w:rPr>
                <w:rFonts w:ascii="Arial Unicode MS" w:eastAsia="Arial Unicode MS" w:hAnsi="Arial Unicode MS" w:cs="Arial Unicode MS"/>
              </w:rPr>
              <w:t>✓</w:t>
            </w:r>
          </w:p>
        </w:tc>
        <w:tc>
          <w:tcPr>
            <w:tcW w:w="1440" w:type="dxa"/>
            <w:tcMar>
              <w:top w:w="100" w:type="dxa"/>
              <w:left w:w="100" w:type="dxa"/>
              <w:bottom w:w="100" w:type="dxa"/>
              <w:right w:w="100" w:type="dxa"/>
            </w:tcMar>
          </w:tcPr>
          <w:p w14:paraId="0F3A9852" w14:textId="77777777" w:rsidR="003470DA" w:rsidRDefault="00886E12">
            <w:pPr>
              <w:widowControl w:val="0"/>
              <w:pBdr>
                <w:top w:val="nil"/>
                <w:left w:val="nil"/>
                <w:bottom w:val="nil"/>
                <w:right w:val="nil"/>
                <w:between w:val="nil"/>
              </w:pBdr>
              <w:spacing w:line="360" w:lineRule="auto"/>
              <w:jc w:val="center"/>
            </w:pPr>
            <w:r>
              <w:rPr>
                <w:rFonts w:ascii="Arial Unicode MS" w:eastAsia="Arial Unicode MS" w:hAnsi="Arial Unicode MS" w:cs="Arial Unicode MS"/>
              </w:rPr>
              <w:t>✓</w:t>
            </w:r>
          </w:p>
        </w:tc>
      </w:tr>
      <w:tr w:rsidR="00704436" w14:paraId="291CB452" w14:textId="77777777">
        <w:tc>
          <w:tcPr>
            <w:tcW w:w="3030" w:type="dxa"/>
            <w:tcMar>
              <w:top w:w="100" w:type="dxa"/>
              <w:left w:w="100" w:type="dxa"/>
              <w:bottom w:w="100" w:type="dxa"/>
              <w:right w:w="100" w:type="dxa"/>
            </w:tcMar>
          </w:tcPr>
          <w:p w14:paraId="476569B6" w14:textId="77777777" w:rsidR="003470DA" w:rsidRDefault="00886E12">
            <w:pPr>
              <w:widowControl w:val="0"/>
              <w:pBdr>
                <w:top w:val="nil"/>
                <w:left w:val="nil"/>
                <w:bottom w:val="nil"/>
                <w:right w:val="nil"/>
                <w:between w:val="nil"/>
              </w:pBdr>
              <w:spacing w:line="360" w:lineRule="auto"/>
              <w:jc w:val="center"/>
              <w:rPr>
                <w:b/>
                <w:bCs/>
              </w:rPr>
            </w:pPr>
            <w:r>
              <w:rPr>
                <w:b/>
                <w:bCs/>
              </w:rPr>
              <w:t>R&amp;D Capability</w:t>
            </w:r>
          </w:p>
        </w:tc>
        <w:tc>
          <w:tcPr>
            <w:tcW w:w="1485" w:type="dxa"/>
            <w:tcMar>
              <w:top w:w="100" w:type="dxa"/>
              <w:left w:w="100" w:type="dxa"/>
              <w:bottom w:w="100" w:type="dxa"/>
              <w:right w:w="100" w:type="dxa"/>
            </w:tcMar>
          </w:tcPr>
          <w:p w14:paraId="18954EA0" w14:textId="77777777" w:rsidR="003470DA" w:rsidRDefault="00886E12">
            <w:pPr>
              <w:widowControl w:val="0"/>
              <w:pBdr>
                <w:top w:val="nil"/>
                <w:left w:val="nil"/>
                <w:bottom w:val="nil"/>
                <w:right w:val="nil"/>
                <w:between w:val="nil"/>
              </w:pBdr>
              <w:spacing w:line="360" w:lineRule="auto"/>
              <w:jc w:val="center"/>
            </w:pPr>
            <w:r>
              <w:rPr>
                <w:rFonts w:ascii="Arial Unicode MS" w:eastAsia="Arial Unicode MS" w:hAnsi="Arial Unicode MS" w:cs="Arial Unicode MS"/>
              </w:rPr>
              <w:t>✓</w:t>
            </w:r>
          </w:p>
        </w:tc>
        <w:tc>
          <w:tcPr>
            <w:tcW w:w="1515" w:type="dxa"/>
            <w:tcMar>
              <w:top w:w="100" w:type="dxa"/>
              <w:left w:w="100" w:type="dxa"/>
              <w:bottom w:w="100" w:type="dxa"/>
              <w:right w:w="100" w:type="dxa"/>
            </w:tcMar>
          </w:tcPr>
          <w:p w14:paraId="32F60BFE" w14:textId="77777777" w:rsidR="003470DA" w:rsidRDefault="00886E12">
            <w:pPr>
              <w:widowControl w:val="0"/>
              <w:pBdr>
                <w:top w:val="nil"/>
                <w:left w:val="nil"/>
                <w:bottom w:val="nil"/>
                <w:right w:val="nil"/>
                <w:between w:val="nil"/>
              </w:pBdr>
              <w:spacing w:line="360" w:lineRule="auto"/>
              <w:jc w:val="center"/>
            </w:pPr>
            <w:r>
              <w:rPr>
                <w:rFonts w:ascii="Arial Unicode MS" w:eastAsia="Arial Unicode MS" w:hAnsi="Arial Unicode MS" w:cs="Arial Unicode MS"/>
              </w:rPr>
              <w:t>✓</w:t>
            </w:r>
          </w:p>
        </w:tc>
        <w:tc>
          <w:tcPr>
            <w:tcW w:w="1545" w:type="dxa"/>
            <w:tcMar>
              <w:top w:w="100" w:type="dxa"/>
              <w:left w:w="100" w:type="dxa"/>
              <w:bottom w:w="100" w:type="dxa"/>
              <w:right w:w="100" w:type="dxa"/>
            </w:tcMar>
          </w:tcPr>
          <w:p w14:paraId="2436EE22" w14:textId="77777777" w:rsidR="003470DA" w:rsidRDefault="00886E12">
            <w:pPr>
              <w:widowControl w:val="0"/>
              <w:pBdr>
                <w:top w:val="nil"/>
                <w:left w:val="nil"/>
                <w:bottom w:val="nil"/>
                <w:right w:val="nil"/>
                <w:between w:val="nil"/>
              </w:pBdr>
              <w:spacing w:line="360" w:lineRule="auto"/>
              <w:jc w:val="center"/>
            </w:pPr>
            <w:r>
              <w:rPr>
                <w:rFonts w:ascii="Arial Unicode MS" w:eastAsia="Arial Unicode MS" w:hAnsi="Arial Unicode MS" w:cs="Arial Unicode MS"/>
              </w:rPr>
              <w:t>✓</w:t>
            </w:r>
          </w:p>
        </w:tc>
        <w:tc>
          <w:tcPr>
            <w:tcW w:w="1440" w:type="dxa"/>
            <w:tcMar>
              <w:top w:w="100" w:type="dxa"/>
              <w:left w:w="100" w:type="dxa"/>
              <w:bottom w:w="100" w:type="dxa"/>
              <w:right w:w="100" w:type="dxa"/>
            </w:tcMar>
          </w:tcPr>
          <w:p w14:paraId="6A5A668A" w14:textId="77777777" w:rsidR="003470DA" w:rsidRDefault="00886E12">
            <w:pPr>
              <w:widowControl w:val="0"/>
              <w:pBdr>
                <w:top w:val="nil"/>
                <w:left w:val="nil"/>
                <w:bottom w:val="nil"/>
                <w:right w:val="nil"/>
                <w:between w:val="nil"/>
              </w:pBdr>
              <w:spacing w:line="360" w:lineRule="auto"/>
              <w:jc w:val="center"/>
            </w:pPr>
            <w:r>
              <w:rPr>
                <w:rFonts w:ascii="Arial Unicode MS" w:eastAsia="Arial Unicode MS" w:hAnsi="Arial Unicode MS" w:cs="Arial Unicode MS"/>
              </w:rPr>
              <w:t>✓</w:t>
            </w:r>
          </w:p>
        </w:tc>
      </w:tr>
      <w:tr w:rsidR="00704436" w14:paraId="65F245E0" w14:textId="77777777">
        <w:tc>
          <w:tcPr>
            <w:tcW w:w="3030" w:type="dxa"/>
            <w:tcMar>
              <w:top w:w="100" w:type="dxa"/>
              <w:left w:w="100" w:type="dxa"/>
              <w:bottom w:w="100" w:type="dxa"/>
              <w:right w:w="100" w:type="dxa"/>
            </w:tcMar>
          </w:tcPr>
          <w:p w14:paraId="4D3E6EC0" w14:textId="77777777" w:rsidR="003470DA" w:rsidRDefault="00886E12">
            <w:pPr>
              <w:widowControl w:val="0"/>
              <w:pBdr>
                <w:top w:val="nil"/>
                <w:left w:val="nil"/>
                <w:bottom w:val="nil"/>
                <w:right w:val="nil"/>
                <w:between w:val="nil"/>
              </w:pBdr>
              <w:spacing w:line="360" w:lineRule="auto"/>
              <w:jc w:val="center"/>
              <w:rPr>
                <w:b/>
                <w:bCs/>
              </w:rPr>
            </w:pPr>
            <w:r>
              <w:rPr>
                <w:b/>
                <w:bCs/>
              </w:rPr>
              <w:lastRenderedPageBreak/>
              <w:t>Patents &amp; Intellectual Property</w:t>
            </w:r>
          </w:p>
        </w:tc>
        <w:tc>
          <w:tcPr>
            <w:tcW w:w="1485" w:type="dxa"/>
            <w:tcMar>
              <w:top w:w="100" w:type="dxa"/>
              <w:left w:w="100" w:type="dxa"/>
              <w:bottom w:w="100" w:type="dxa"/>
              <w:right w:w="100" w:type="dxa"/>
            </w:tcMar>
          </w:tcPr>
          <w:p w14:paraId="6F2BA818" w14:textId="77777777" w:rsidR="003470DA" w:rsidRDefault="00886E12">
            <w:pPr>
              <w:widowControl w:val="0"/>
              <w:pBdr>
                <w:top w:val="nil"/>
                <w:left w:val="nil"/>
                <w:bottom w:val="nil"/>
                <w:right w:val="nil"/>
                <w:between w:val="nil"/>
              </w:pBdr>
              <w:spacing w:line="360" w:lineRule="auto"/>
              <w:jc w:val="center"/>
            </w:pPr>
            <w:r>
              <w:rPr>
                <w:rFonts w:ascii="Arial Unicode MS" w:eastAsia="Arial Unicode MS" w:hAnsi="Arial Unicode MS" w:cs="Arial Unicode MS"/>
              </w:rPr>
              <w:t>✓</w:t>
            </w:r>
          </w:p>
        </w:tc>
        <w:tc>
          <w:tcPr>
            <w:tcW w:w="1515" w:type="dxa"/>
            <w:tcMar>
              <w:top w:w="100" w:type="dxa"/>
              <w:left w:w="100" w:type="dxa"/>
              <w:bottom w:w="100" w:type="dxa"/>
              <w:right w:w="100" w:type="dxa"/>
            </w:tcMar>
          </w:tcPr>
          <w:p w14:paraId="78DC9395" w14:textId="77777777" w:rsidR="003470DA" w:rsidRDefault="00886E12">
            <w:pPr>
              <w:widowControl w:val="0"/>
              <w:pBdr>
                <w:top w:val="nil"/>
                <w:left w:val="nil"/>
                <w:bottom w:val="nil"/>
                <w:right w:val="nil"/>
                <w:between w:val="nil"/>
              </w:pBdr>
              <w:spacing w:line="360" w:lineRule="auto"/>
              <w:jc w:val="center"/>
            </w:pPr>
            <w:r>
              <w:rPr>
                <w:rFonts w:ascii="Arial Unicode MS" w:eastAsia="Arial Unicode MS" w:hAnsi="Arial Unicode MS" w:cs="Arial Unicode MS"/>
              </w:rPr>
              <w:t>✓</w:t>
            </w:r>
          </w:p>
        </w:tc>
        <w:tc>
          <w:tcPr>
            <w:tcW w:w="1545" w:type="dxa"/>
            <w:tcMar>
              <w:top w:w="100" w:type="dxa"/>
              <w:left w:w="100" w:type="dxa"/>
              <w:bottom w:w="100" w:type="dxa"/>
              <w:right w:w="100" w:type="dxa"/>
            </w:tcMar>
          </w:tcPr>
          <w:p w14:paraId="4116A680" w14:textId="77777777" w:rsidR="003470DA" w:rsidRDefault="00886E12">
            <w:pPr>
              <w:widowControl w:val="0"/>
              <w:pBdr>
                <w:top w:val="nil"/>
                <w:left w:val="nil"/>
                <w:bottom w:val="nil"/>
                <w:right w:val="nil"/>
                <w:between w:val="nil"/>
              </w:pBdr>
              <w:spacing w:line="360" w:lineRule="auto"/>
              <w:jc w:val="center"/>
            </w:pPr>
            <w:r>
              <w:rPr>
                <w:rFonts w:ascii="Arial Unicode MS" w:eastAsia="Arial Unicode MS" w:hAnsi="Arial Unicode MS" w:cs="Arial Unicode MS"/>
              </w:rPr>
              <w:t>✓</w:t>
            </w:r>
          </w:p>
        </w:tc>
        <w:tc>
          <w:tcPr>
            <w:tcW w:w="1440" w:type="dxa"/>
            <w:tcMar>
              <w:top w:w="100" w:type="dxa"/>
              <w:left w:w="100" w:type="dxa"/>
              <w:bottom w:w="100" w:type="dxa"/>
              <w:right w:w="100" w:type="dxa"/>
            </w:tcMar>
          </w:tcPr>
          <w:p w14:paraId="1CFE6195" w14:textId="77777777" w:rsidR="003470DA" w:rsidRDefault="00886E12">
            <w:pPr>
              <w:widowControl w:val="0"/>
              <w:pBdr>
                <w:top w:val="nil"/>
                <w:left w:val="nil"/>
                <w:bottom w:val="nil"/>
                <w:right w:val="nil"/>
                <w:between w:val="nil"/>
              </w:pBdr>
              <w:spacing w:line="360" w:lineRule="auto"/>
              <w:jc w:val="center"/>
            </w:pPr>
            <w:r>
              <w:rPr>
                <w:rFonts w:ascii="Arial Unicode MS" w:eastAsia="Arial Unicode MS" w:hAnsi="Arial Unicode MS" w:cs="Arial Unicode MS"/>
              </w:rPr>
              <w:t>✓</w:t>
            </w:r>
          </w:p>
        </w:tc>
      </w:tr>
      <w:tr w:rsidR="00704436" w14:paraId="4D216E02" w14:textId="77777777">
        <w:tc>
          <w:tcPr>
            <w:tcW w:w="3030" w:type="dxa"/>
            <w:tcMar>
              <w:top w:w="100" w:type="dxa"/>
              <w:left w:w="100" w:type="dxa"/>
              <w:bottom w:w="100" w:type="dxa"/>
              <w:right w:w="100" w:type="dxa"/>
            </w:tcMar>
          </w:tcPr>
          <w:p w14:paraId="1A6F9DC9" w14:textId="77777777" w:rsidR="003470DA" w:rsidRDefault="00886E12">
            <w:pPr>
              <w:widowControl w:val="0"/>
              <w:pBdr>
                <w:top w:val="nil"/>
                <w:left w:val="nil"/>
                <w:bottom w:val="nil"/>
                <w:right w:val="nil"/>
                <w:between w:val="nil"/>
              </w:pBdr>
              <w:spacing w:line="360" w:lineRule="auto"/>
              <w:jc w:val="center"/>
              <w:rPr>
                <w:b/>
                <w:bCs/>
              </w:rPr>
            </w:pPr>
            <w:r>
              <w:rPr>
                <w:b/>
                <w:bCs/>
              </w:rPr>
              <w:t>AI Capability</w:t>
            </w:r>
          </w:p>
        </w:tc>
        <w:tc>
          <w:tcPr>
            <w:tcW w:w="1485" w:type="dxa"/>
            <w:tcMar>
              <w:top w:w="100" w:type="dxa"/>
              <w:left w:w="100" w:type="dxa"/>
              <w:bottom w:w="100" w:type="dxa"/>
              <w:right w:w="100" w:type="dxa"/>
            </w:tcMar>
          </w:tcPr>
          <w:p w14:paraId="4704E1B7" w14:textId="77777777" w:rsidR="003470DA" w:rsidRDefault="00886E12">
            <w:pPr>
              <w:widowControl w:val="0"/>
              <w:pBdr>
                <w:top w:val="nil"/>
                <w:left w:val="nil"/>
                <w:bottom w:val="nil"/>
                <w:right w:val="nil"/>
                <w:between w:val="nil"/>
              </w:pBdr>
              <w:spacing w:line="360" w:lineRule="auto"/>
              <w:jc w:val="center"/>
            </w:pPr>
            <w:r>
              <w:rPr>
                <w:rFonts w:ascii="Arial Unicode MS" w:eastAsia="Arial Unicode MS" w:hAnsi="Arial Unicode MS" w:cs="Arial Unicode MS"/>
              </w:rPr>
              <w:t>✓</w:t>
            </w:r>
          </w:p>
        </w:tc>
        <w:tc>
          <w:tcPr>
            <w:tcW w:w="1515" w:type="dxa"/>
            <w:tcMar>
              <w:top w:w="100" w:type="dxa"/>
              <w:left w:w="100" w:type="dxa"/>
              <w:bottom w:w="100" w:type="dxa"/>
              <w:right w:w="100" w:type="dxa"/>
            </w:tcMar>
          </w:tcPr>
          <w:p w14:paraId="2153FE14" w14:textId="77777777" w:rsidR="003470DA" w:rsidRDefault="00886E12">
            <w:pPr>
              <w:widowControl w:val="0"/>
              <w:pBdr>
                <w:top w:val="nil"/>
                <w:left w:val="nil"/>
                <w:bottom w:val="nil"/>
                <w:right w:val="nil"/>
                <w:between w:val="nil"/>
              </w:pBdr>
              <w:spacing w:line="360" w:lineRule="auto"/>
              <w:jc w:val="center"/>
            </w:pPr>
            <w:r>
              <w:rPr>
                <w:rFonts w:ascii="Arial Unicode MS" w:eastAsia="Arial Unicode MS" w:hAnsi="Arial Unicode MS" w:cs="Arial Unicode MS"/>
              </w:rPr>
              <w:t>✓</w:t>
            </w:r>
          </w:p>
        </w:tc>
        <w:tc>
          <w:tcPr>
            <w:tcW w:w="1545" w:type="dxa"/>
            <w:tcMar>
              <w:top w:w="100" w:type="dxa"/>
              <w:left w:w="100" w:type="dxa"/>
              <w:bottom w:w="100" w:type="dxa"/>
              <w:right w:w="100" w:type="dxa"/>
            </w:tcMar>
          </w:tcPr>
          <w:p w14:paraId="2E46FB84" w14:textId="77777777" w:rsidR="003470DA" w:rsidRDefault="00886E12">
            <w:pPr>
              <w:widowControl w:val="0"/>
              <w:pBdr>
                <w:top w:val="nil"/>
                <w:left w:val="nil"/>
                <w:bottom w:val="nil"/>
                <w:right w:val="nil"/>
                <w:between w:val="nil"/>
              </w:pBdr>
              <w:spacing w:line="360" w:lineRule="auto"/>
              <w:jc w:val="center"/>
            </w:pPr>
            <w:r>
              <w:t>×</w:t>
            </w:r>
          </w:p>
        </w:tc>
        <w:tc>
          <w:tcPr>
            <w:tcW w:w="1440" w:type="dxa"/>
            <w:tcMar>
              <w:top w:w="100" w:type="dxa"/>
              <w:left w:w="100" w:type="dxa"/>
              <w:bottom w:w="100" w:type="dxa"/>
              <w:right w:w="100" w:type="dxa"/>
            </w:tcMar>
          </w:tcPr>
          <w:p w14:paraId="742BBDE8" w14:textId="77777777" w:rsidR="003470DA" w:rsidRDefault="00886E12">
            <w:pPr>
              <w:widowControl w:val="0"/>
              <w:pBdr>
                <w:top w:val="nil"/>
                <w:left w:val="nil"/>
                <w:bottom w:val="nil"/>
                <w:right w:val="nil"/>
                <w:between w:val="nil"/>
              </w:pBdr>
              <w:spacing w:line="360" w:lineRule="auto"/>
              <w:jc w:val="center"/>
            </w:pPr>
            <w:r>
              <w:rPr>
                <w:rFonts w:ascii="Arial Unicode MS" w:eastAsia="Arial Unicode MS" w:hAnsi="Arial Unicode MS" w:cs="Arial Unicode MS"/>
              </w:rPr>
              <w:t>✓</w:t>
            </w:r>
          </w:p>
        </w:tc>
      </w:tr>
      <w:tr w:rsidR="00704436" w14:paraId="7CD5403F" w14:textId="77777777">
        <w:tc>
          <w:tcPr>
            <w:tcW w:w="3030" w:type="dxa"/>
            <w:tcMar>
              <w:top w:w="100" w:type="dxa"/>
              <w:left w:w="100" w:type="dxa"/>
              <w:bottom w:w="100" w:type="dxa"/>
              <w:right w:w="100" w:type="dxa"/>
            </w:tcMar>
          </w:tcPr>
          <w:p w14:paraId="16861EF7" w14:textId="77777777" w:rsidR="003470DA" w:rsidRDefault="00886E12">
            <w:pPr>
              <w:widowControl w:val="0"/>
              <w:pBdr>
                <w:top w:val="nil"/>
                <w:left w:val="nil"/>
                <w:bottom w:val="nil"/>
                <w:right w:val="nil"/>
                <w:between w:val="nil"/>
              </w:pBdr>
              <w:spacing w:line="360" w:lineRule="auto"/>
              <w:jc w:val="center"/>
              <w:rPr>
                <w:b/>
                <w:bCs/>
              </w:rPr>
            </w:pPr>
            <w:r>
              <w:rPr>
                <w:b/>
                <w:bCs/>
              </w:rPr>
              <w:t>Engineering Workforce</w:t>
            </w:r>
          </w:p>
        </w:tc>
        <w:tc>
          <w:tcPr>
            <w:tcW w:w="1485" w:type="dxa"/>
            <w:tcMar>
              <w:top w:w="100" w:type="dxa"/>
              <w:left w:w="100" w:type="dxa"/>
              <w:bottom w:w="100" w:type="dxa"/>
              <w:right w:w="100" w:type="dxa"/>
            </w:tcMar>
          </w:tcPr>
          <w:p w14:paraId="325EB436" w14:textId="77777777" w:rsidR="003470DA" w:rsidRDefault="00886E12">
            <w:pPr>
              <w:widowControl w:val="0"/>
              <w:pBdr>
                <w:top w:val="nil"/>
                <w:left w:val="nil"/>
                <w:bottom w:val="nil"/>
                <w:right w:val="nil"/>
                <w:between w:val="nil"/>
              </w:pBdr>
              <w:spacing w:line="360" w:lineRule="auto"/>
              <w:jc w:val="center"/>
            </w:pPr>
            <w:r>
              <w:rPr>
                <w:rFonts w:ascii="Arial Unicode MS" w:eastAsia="Arial Unicode MS" w:hAnsi="Arial Unicode MS" w:cs="Arial Unicode MS"/>
              </w:rPr>
              <w:t>✓</w:t>
            </w:r>
          </w:p>
        </w:tc>
        <w:tc>
          <w:tcPr>
            <w:tcW w:w="1515" w:type="dxa"/>
            <w:tcMar>
              <w:top w:w="100" w:type="dxa"/>
              <w:left w:w="100" w:type="dxa"/>
              <w:bottom w:w="100" w:type="dxa"/>
              <w:right w:w="100" w:type="dxa"/>
            </w:tcMar>
          </w:tcPr>
          <w:p w14:paraId="76344438" w14:textId="77777777" w:rsidR="003470DA" w:rsidRDefault="00886E12">
            <w:pPr>
              <w:widowControl w:val="0"/>
              <w:pBdr>
                <w:top w:val="nil"/>
                <w:left w:val="nil"/>
                <w:bottom w:val="nil"/>
                <w:right w:val="nil"/>
                <w:between w:val="nil"/>
              </w:pBdr>
              <w:spacing w:line="360" w:lineRule="auto"/>
              <w:jc w:val="center"/>
            </w:pPr>
            <w:r>
              <w:rPr>
                <w:rFonts w:ascii="Arial Unicode MS" w:eastAsia="Arial Unicode MS" w:hAnsi="Arial Unicode MS" w:cs="Arial Unicode MS"/>
              </w:rPr>
              <w:t>✓</w:t>
            </w:r>
          </w:p>
        </w:tc>
        <w:tc>
          <w:tcPr>
            <w:tcW w:w="1545" w:type="dxa"/>
            <w:tcMar>
              <w:top w:w="100" w:type="dxa"/>
              <w:left w:w="100" w:type="dxa"/>
              <w:bottom w:w="100" w:type="dxa"/>
              <w:right w:w="100" w:type="dxa"/>
            </w:tcMar>
          </w:tcPr>
          <w:p w14:paraId="4E2A18EC" w14:textId="77777777" w:rsidR="003470DA" w:rsidRDefault="00886E12">
            <w:pPr>
              <w:widowControl w:val="0"/>
              <w:pBdr>
                <w:top w:val="nil"/>
                <w:left w:val="nil"/>
                <w:bottom w:val="nil"/>
                <w:right w:val="nil"/>
                <w:between w:val="nil"/>
              </w:pBdr>
              <w:spacing w:line="360" w:lineRule="auto"/>
              <w:jc w:val="center"/>
            </w:pPr>
            <w:r>
              <w:t>×</w:t>
            </w:r>
          </w:p>
        </w:tc>
        <w:tc>
          <w:tcPr>
            <w:tcW w:w="1440" w:type="dxa"/>
            <w:tcMar>
              <w:top w:w="100" w:type="dxa"/>
              <w:left w:w="100" w:type="dxa"/>
              <w:bottom w:w="100" w:type="dxa"/>
              <w:right w:w="100" w:type="dxa"/>
            </w:tcMar>
          </w:tcPr>
          <w:p w14:paraId="400AE3E3" w14:textId="77777777" w:rsidR="003470DA" w:rsidRDefault="00886E12">
            <w:pPr>
              <w:widowControl w:val="0"/>
              <w:pBdr>
                <w:top w:val="nil"/>
                <w:left w:val="nil"/>
                <w:bottom w:val="nil"/>
                <w:right w:val="nil"/>
                <w:between w:val="nil"/>
              </w:pBdr>
              <w:spacing w:line="360" w:lineRule="auto"/>
              <w:jc w:val="center"/>
            </w:pPr>
            <w:r>
              <w:rPr>
                <w:rFonts w:ascii="Arial Unicode MS" w:eastAsia="Arial Unicode MS" w:hAnsi="Arial Unicode MS" w:cs="Arial Unicode MS"/>
              </w:rPr>
              <w:t>✓</w:t>
            </w:r>
          </w:p>
        </w:tc>
      </w:tr>
      <w:tr w:rsidR="00704436" w14:paraId="1857A8D5" w14:textId="77777777">
        <w:tc>
          <w:tcPr>
            <w:tcW w:w="3030" w:type="dxa"/>
            <w:tcMar>
              <w:top w:w="100" w:type="dxa"/>
              <w:left w:w="100" w:type="dxa"/>
              <w:bottom w:w="100" w:type="dxa"/>
              <w:right w:w="100" w:type="dxa"/>
            </w:tcMar>
          </w:tcPr>
          <w:p w14:paraId="1C0EA75A" w14:textId="77777777" w:rsidR="003470DA" w:rsidRDefault="00886E12">
            <w:pPr>
              <w:widowControl w:val="0"/>
              <w:pBdr>
                <w:top w:val="nil"/>
                <w:left w:val="nil"/>
                <w:bottom w:val="nil"/>
                <w:right w:val="nil"/>
                <w:between w:val="nil"/>
              </w:pBdr>
              <w:spacing w:line="360" w:lineRule="auto"/>
              <w:jc w:val="center"/>
              <w:rPr>
                <w:b/>
                <w:bCs/>
              </w:rPr>
            </w:pPr>
            <w:r>
              <w:rPr>
                <w:b/>
                <w:bCs/>
              </w:rPr>
              <w:t>Distribution Network</w:t>
            </w:r>
          </w:p>
        </w:tc>
        <w:tc>
          <w:tcPr>
            <w:tcW w:w="1485" w:type="dxa"/>
            <w:tcMar>
              <w:top w:w="100" w:type="dxa"/>
              <w:left w:w="100" w:type="dxa"/>
              <w:bottom w:w="100" w:type="dxa"/>
              <w:right w:w="100" w:type="dxa"/>
            </w:tcMar>
          </w:tcPr>
          <w:p w14:paraId="7936E1E9" w14:textId="77777777" w:rsidR="003470DA" w:rsidRDefault="00886E12">
            <w:pPr>
              <w:widowControl w:val="0"/>
              <w:pBdr>
                <w:top w:val="nil"/>
                <w:left w:val="nil"/>
                <w:bottom w:val="nil"/>
                <w:right w:val="nil"/>
                <w:between w:val="nil"/>
              </w:pBdr>
              <w:spacing w:line="360" w:lineRule="auto"/>
              <w:jc w:val="center"/>
            </w:pPr>
            <w:r>
              <w:rPr>
                <w:rFonts w:ascii="Arial Unicode MS" w:eastAsia="Arial Unicode MS" w:hAnsi="Arial Unicode MS" w:cs="Arial Unicode MS"/>
              </w:rPr>
              <w:t>✓</w:t>
            </w:r>
          </w:p>
        </w:tc>
        <w:tc>
          <w:tcPr>
            <w:tcW w:w="1515" w:type="dxa"/>
            <w:tcMar>
              <w:top w:w="100" w:type="dxa"/>
              <w:left w:w="100" w:type="dxa"/>
              <w:bottom w:w="100" w:type="dxa"/>
              <w:right w:w="100" w:type="dxa"/>
            </w:tcMar>
          </w:tcPr>
          <w:p w14:paraId="4985AD04" w14:textId="77777777" w:rsidR="003470DA" w:rsidRDefault="00886E12">
            <w:pPr>
              <w:widowControl w:val="0"/>
              <w:pBdr>
                <w:top w:val="nil"/>
                <w:left w:val="nil"/>
                <w:bottom w:val="nil"/>
                <w:right w:val="nil"/>
                <w:between w:val="nil"/>
              </w:pBdr>
              <w:spacing w:line="360" w:lineRule="auto"/>
              <w:jc w:val="center"/>
            </w:pPr>
            <w:r>
              <w:t>×</w:t>
            </w:r>
          </w:p>
        </w:tc>
        <w:tc>
          <w:tcPr>
            <w:tcW w:w="1545" w:type="dxa"/>
            <w:tcMar>
              <w:top w:w="100" w:type="dxa"/>
              <w:left w:w="100" w:type="dxa"/>
              <w:bottom w:w="100" w:type="dxa"/>
              <w:right w:w="100" w:type="dxa"/>
            </w:tcMar>
          </w:tcPr>
          <w:p w14:paraId="284B5895" w14:textId="77777777" w:rsidR="003470DA" w:rsidRDefault="00886E12">
            <w:pPr>
              <w:widowControl w:val="0"/>
              <w:pBdr>
                <w:top w:val="nil"/>
                <w:left w:val="nil"/>
                <w:bottom w:val="nil"/>
                <w:right w:val="nil"/>
                <w:between w:val="nil"/>
              </w:pBdr>
              <w:spacing w:line="360" w:lineRule="auto"/>
              <w:jc w:val="center"/>
            </w:pPr>
            <w:r>
              <w:t>×</w:t>
            </w:r>
          </w:p>
        </w:tc>
        <w:tc>
          <w:tcPr>
            <w:tcW w:w="1440" w:type="dxa"/>
            <w:tcMar>
              <w:top w:w="100" w:type="dxa"/>
              <w:left w:w="100" w:type="dxa"/>
              <w:bottom w:w="100" w:type="dxa"/>
              <w:right w:w="100" w:type="dxa"/>
            </w:tcMar>
          </w:tcPr>
          <w:p w14:paraId="6D9215B5" w14:textId="77777777" w:rsidR="003470DA" w:rsidRDefault="00886E12">
            <w:pPr>
              <w:widowControl w:val="0"/>
              <w:pBdr>
                <w:top w:val="nil"/>
                <w:left w:val="nil"/>
                <w:bottom w:val="nil"/>
                <w:right w:val="nil"/>
                <w:between w:val="nil"/>
              </w:pBdr>
              <w:spacing w:line="360" w:lineRule="auto"/>
              <w:jc w:val="center"/>
            </w:pPr>
            <w:r>
              <w:rPr>
                <w:rFonts w:ascii="Arial Unicode MS" w:eastAsia="Arial Unicode MS" w:hAnsi="Arial Unicode MS" w:cs="Arial Unicode MS"/>
              </w:rPr>
              <w:t>✓</w:t>
            </w:r>
          </w:p>
        </w:tc>
      </w:tr>
      <w:tr w:rsidR="00704436" w14:paraId="4CC18158" w14:textId="77777777">
        <w:tc>
          <w:tcPr>
            <w:tcW w:w="3030" w:type="dxa"/>
            <w:tcMar>
              <w:top w:w="100" w:type="dxa"/>
              <w:left w:w="100" w:type="dxa"/>
              <w:bottom w:w="100" w:type="dxa"/>
              <w:right w:w="100" w:type="dxa"/>
            </w:tcMar>
          </w:tcPr>
          <w:p w14:paraId="75F4B264" w14:textId="77777777" w:rsidR="003470DA" w:rsidRDefault="00886E12">
            <w:pPr>
              <w:widowControl w:val="0"/>
              <w:pBdr>
                <w:top w:val="nil"/>
                <w:left w:val="nil"/>
                <w:bottom w:val="nil"/>
                <w:right w:val="nil"/>
                <w:between w:val="nil"/>
              </w:pBdr>
              <w:spacing w:line="360" w:lineRule="auto"/>
              <w:jc w:val="center"/>
              <w:rPr>
                <w:b/>
                <w:bCs/>
              </w:rPr>
            </w:pPr>
            <w:r>
              <w:rPr>
                <w:b/>
                <w:bCs/>
              </w:rPr>
              <w:t>Customer Service</w:t>
            </w:r>
          </w:p>
        </w:tc>
        <w:tc>
          <w:tcPr>
            <w:tcW w:w="1485" w:type="dxa"/>
            <w:tcMar>
              <w:top w:w="100" w:type="dxa"/>
              <w:left w:w="100" w:type="dxa"/>
              <w:bottom w:w="100" w:type="dxa"/>
              <w:right w:w="100" w:type="dxa"/>
            </w:tcMar>
          </w:tcPr>
          <w:p w14:paraId="476C9D50" w14:textId="77777777" w:rsidR="003470DA" w:rsidRDefault="00886E12">
            <w:pPr>
              <w:widowControl w:val="0"/>
              <w:pBdr>
                <w:top w:val="nil"/>
                <w:left w:val="nil"/>
                <w:bottom w:val="nil"/>
                <w:right w:val="nil"/>
                <w:between w:val="nil"/>
              </w:pBdr>
              <w:spacing w:line="360" w:lineRule="auto"/>
              <w:jc w:val="center"/>
            </w:pPr>
            <w:r>
              <w:rPr>
                <w:rFonts w:ascii="Arial Unicode MS" w:eastAsia="Arial Unicode MS" w:hAnsi="Arial Unicode MS" w:cs="Arial Unicode MS"/>
              </w:rPr>
              <w:t>✓</w:t>
            </w:r>
          </w:p>
        </w:tc>
        <w:tc>
          <w:tcPr>
            <w:tcW w:w="1515" w:type="dxa"/>
            <w:tcMar>
              <w:top w:w="100" w:type="dxa"/>
              <w:left w:w="100" w:type="dxa"/>
              <w:bottom w:w="100" w:type="dxa"/>
              <w:right w:w="100" w:type="dxa"/>
            </w:tcMar>
          </w:tcPr>
          <w:p w14:paraId="2CDBF0FD" w14:textId="77777777" w:rsidR="003470DA" w:rsidRDefault="00886E12">
            <w:pPr>
              <w:widowControl w:val="0"/>
              <w:pBdr>
                <w:top w:val="nil"/>
                <w:left w:val="nil"/>
                <w:bottom w:val="nil"/>
                <w:right w:val="nil"/>
                <w:between w:val="nil"/>
              </w:pBdr>
              <w:spacing w:line="360" w:lineRule="auto"/>
              <w:jc w:val="center"/>
            </w:pPr>
            <w:r>
              <w:t>×</w:t>
            </w:r>
          </w:p>
        </w:tc>
        <w:tc>
          <w:tcPr>
            <w:tcW w:w="1545" w:type="dxa"/>
            <w:tcMar>
              <w:top w:w="100" w:type="dxa"/>
              <w:left w:w="100" w:type="dxa"/>
              <w:bottom w:w="100" w:type="dxa"/>
              <w:right w:w="100" w:type="dxa"/>
            </w:tcMar>
          </w:tcPr>
          <w:p w14:paraId="0CB8D51B" w14:textId="77777777" w:rsidR="003470DA" w:rsidRDefault="00886E12">
            <w:pPr>
              <w:widowControl w:val="0"/>
              <w:pBdr>
                <w:top w:val="nil"/>
                <w:left w:val="nil"/>
                <w:bottom w:val="nil"/>
                <w:right w:val="nil"/>
                <w:between w:val="nil"/>
              </w:pBdr>
              <w:spacing w:line="360" w:lineRule="auto"/>
              <w:jc w:val="center"/>
            </w:pPr>
            <w:r>
              <w:t>×</w:t>
            </w:r>
          </w:p>
        </w:tc>
        <w:tc>
          <w:tcPr>
            <w:tcW w:w="1440" w:type="dxa"/>
            <w:tcMar>
              <w:top w:w="100" w:type="dxa"/>
              <w:left w:w="100" w:type="dxa"/>
              <w:bottom w:w="100" w:type="dxa"/>
              <w:right w:w="100" w:type="dxa"/>
            </w:tcMar>
          </w:tcPr>
          <w:p w14:paraId="29D43351" w14:textId="77777777" w:rsidR="003470DA" w:rsidRDefault="00886E12">
            <w:pPr>
              <w:widowControl w:val="0"/>
              <w:pBdr>
                <w:top w:val="nil"/>
                <w:left w:val="nil"/>
                <w:bottom w:val="nil"/>
                <w:right w:val="nil"/>
                <w:between w:val="nil"/>
              </w:pBdr>
              <w:spacing w:line="360" w:lineRule="auto"/>
              <w:jc w:val="center"/>
            </w:pPr>
            <w:r>
              <w:rPr>
                <w:rFonts w:ascii="Arial Unicode MS" w:eastAsia="Arial Unicode MS" w:hAnsi="Arial Unicode MS" w:cs="Arial Unicode MS"/>
              </w:rPr>
              <w:t>✓</w:t>
            </w:r>
          </w:p>
        </w:tc>
      </w:tr>
      <w:tr w:rsidR="00704436" w14:paraId="0D5AECDE" w14:textId="77777777">
        <w:tc>
          <w:tcPr>
            <w:tcW w:w="3030" w:type="dxa"/>
            <w:tcMar>
              <w:top w:w="100" w:type="dxa"/>
              <w:left w:w="100" w:type="dxa"/>
              <w:bottom w:w="100" w:type="dxa"/>
              <w:right w:w="100" w:type="dxa"/>
            </w:tcMar>
          </w:tcPr>
          <w:p w14:paraId="368BDB6B" w14:textId="77777777" w:rsidR="003470DA" w:rsidRDefault="00886E12">
            <w:pPr>
              <w:widowControl w:val="0"/>
              <w:pBdr>
                <w:top w:val="nil"/>
                <w:left w:val="nil"/>
                <w:bottom w:val="nil"/>
                <w:right w:val="nil"/>
                <w:between w:val="nil"/>
              </w:pBdr>
              <w:spacing w:line="360" w:lineRule="auto"/>
              <w:jc w:val="center"/>
              <w:rPr>
                <w:b/>
                <w:bCs/>
              </w:rPr>
            </w:pPr>
            <w:r>
              <w:rPr>
                <w:b/>
                <w:bCs/>
              </w:rPr>
              <w:t xml:space="preserve">Innovation Culture </w:t>
            </w:r>
          </w:p>
        </w:tc>
        <w:tc>
          <w:tcPr>
            <w:tcW w:w="1485" w:type="dxa"/>
            <w:tcMar>
              <w:top w:w="100" w:type="dxa"/>
              <w:left w:w="100" w:type="dxa"/>
              <w:bottom w:w="100" w:type="dxa"/>
              <w:right w:w="100" w:type="dxa"/>
            </w:tcMar>
          </w:tcPr>
          <w:p w14:paraId="2E6D7888" w14:textId="77777777" w:rsidR="003470DA" w:rsidRDefault="00886E12">
            <w:pPr>
              <w:widowControl w:val="0"/>
              <w:pBdr>
                <w:top w:val="nil"/>
                <w:left w:val="nil"/>
                <w:bottom w:val="nil"/>
                <w:right w:val="nil"/>
                <w:between w:val="nil"/>
              </w:pBdr>
              <w:spacing w:line="360" w:lineRule="auto"/>
              <w:jc w:val="center"/>
            </w:pPr>
            <w:r>
              <w:rPr>
                <w:rFonts w:ascii="Arial Unicode MS" w:eastAsia="Arial Unicode MS" w:hAnsi="Arial Unicode MS" w:cs="Arial Unicode MS"/>
              </w:rPr>
              <w:t>✓</w:t>
            </w:r>
          </w:p>
        </w:tc>
        <w:tc>
          <w:tcPr>
            <w:tcW w:w="1515" w:type="dxa"/>
            <w:tcMar>
              <w:top w:w="100" w:type="dxa"/>
              <w:left w:w="100" w:type="dxa"/>
              <w:bottom w:w="100" w:type="dxa"/>
              <w:right w:w="100" w:type="dxa"/>
            </w:tcMar>
          </w:tcPr>
          <w:p w14:paraId="38B5B905" w14:textId="77777777" w:rsidR="003470DA" w:rsidRDefault="00886E12">
            <w:pPr>
              <w:widowControl w:val="0"/>
              <w:pBdr>
                <w:top w:val="nil"/>
                <w:left w:val="nil"/>
                <w:bottom w:val="nil"/>
                <w:right w:val="nil"/>
                <w:between w:val="nil"/>
              </w:pBdr>
              <w:spacing w:line="360" w:lineRule="auto"/>
              <w:jc w:val="center"/>
            </w:pPr>
            <w:r>
              <w:rPr>
                <w:rFonts w:ascii="Arial Unicode MS" w:eastAsia="Arial Unicode MS" w:hAnsi="Arial Unicode MS" w:cs="Arial Unicode MS"/>
              </w:rPr>
              <w:t>✓</w:t>
            </w:r>
          </w:p>
        </w:tc>
        <w:tc>
          <w:tcPr>
            <w:tcW w:w="1545" w:type="dxa"/>
            <w:tcMar>
              <w:top w:w="100" w:type="dxa"/>
              <w:left w:w="100" w:type="dxa"/>
              <w:bottom w:w="100" w:type="dxa"/>
              <w:right w:w="100" w:type="dxa"/>
            </w:tcMar>
          </w:tcPr>
          <w:p w14:paraId="2E87D6D3" w14:textId="77777777" w:rsidR="003470DA" w:rsidRDefault="00886E12">
            <w:pPr>
              <w:widowControl w:val="0"/>
              <w:pBdr>
                <w:top w:val="nil"/>
                <w:left w:val="nil"/>
                <w:bottom w:val="nil"/>
                <w:right w:val="nil"/>
                <w:between w:val="nil"/>
              </w:pBdr>
              <w:spacing w:line="360" w:lineRule="auto"/>
              <w:jc w:val="center"/>
            </w:pPr>
            <w:r>
              <w:rPr>
                <w:rFonts w:ascii="Arial Unicode MS" w:eastAsia="Arial Unicode MS" w:hAnsi="Arial Unicode MS" w:cs="Arial Unicode MS"/>
              </w:rPr>
              <w:t>✓</w:t>
            </w:r>
          </w:p>
        </w:tc>
        <w:tc>
          <w:tcPr>
            <w:tcW w:w="1440" w:type="dxa"/>
            <w:tcMar>
              <w:top w:w="100" w:type="dxa"/>
              <w:left w:w="100" w:type="dxa"/>
              <w:bottom w:w="100" w:type="dxa"/>
              <w:right w:w="100" w:type="dxa"/>
            </w:tcMar>
          </w:tcPr>
          <w:p w14:paraId="2C49269C" w14:textId="77777777" w:rsidR="003470DA" w:rsidRDefault="00886E12">
            <w:pPr>
              <w:widowControl w:val="0"/>
              <w:pBdr>
                <w:top w:val="nil"/>
                <w:left w:val="nil"/>
                <w:bottom w:val="nil"/>
                <w:right w:val="nil"/>
                <w:between w:val="nil"/>
              </w:pBdr>
              <w:spacing w:line="360" w:lineRule="auto"/>
              <w:jc w:val="center"/>
            </w:pPr>
            <w:r>
              <w:rPr>
                <w:rFonts w:ascii="Arial Unicode MS" w:eastAsia="Arial Unicode MS" w:hAnsi="Arial Unicode MS" w:cs="Arial Unicode MS"/>
              </w:rPr>
              <w:t>✓</w:t>
            </w:r>
          </w:p>
        </w:tc>
      </w:tr>
    </w:tbl>
    <w:p w14:paraId="743DAAFB" w14:textId="77777777" w:rsidR="003470DA" w:rsidRDefault="003470DA">
      <w:pPr>
        <w:spacing w:line="360" w:lineRule="auto"/>
        <w:jc w:val="both"/>
        <w:rPr>
          <w:lang w:val="en-GB" w:eastAsia="en-IN"/>
        </w:rPr>
      </w:pPr>
    </w:p>
    <w:p w14:paraId="7CD55112" w14:textId="77777777" w:rsidR="003470DA" w:rsidRDefault="00886E12">
      <w:pPr>
        <w:keepNext/>
        <w:keepLines/>
        <w:spacing w:line="360" w:lineRule="auto"/>
        <w:jc w:val="both"/>
        <w:outlineLvl w:val="2"/>
        <w:rPr>
          <w:b/>
          <w:bCs/>
          <w:color w:val="000000"/>
          <w:lang w:val="en-GB" w:eastAsia="en-IN"/>
        </w:rPr>
      </w:pPr>
      <w:bookmarkStart w:id="13" w:name="_Toc235549186"/>
      <w:r>
        <w:rPr>
          <w:b/>
          <w:bCs/>
          <w:color w:val="000000"/>
          <w:lang w:val="en-GB" w:eastAsia="en-IN"/>
        </w:rPr>
        <w:t>2.3 SWOT Analysis</w:t>
      </w:r>
      <w:bookmarkEnd w:id="13"/>
      <w:r>
        <w:rPr>
          <w:b/>
          <w:bCs/>
          <w:color w:val="000000"/>
          <w:lang w:val="en-GB" w:eastAsia="en-IN"/>
        </w:rPr>
        <w:t xml:space="preserve"> </w:t>
      </w:r>
    </w:p>
    <w:p w14:paraId="1E942357" w14:textId="77777777" w:rsidR="003470DA" w:rsidRDefault="00886E12">
      <w:pPr>
        <w:spacing w:line="360" w:lineRule="auto"/>
        <w:jc w:val="both"/>
        <w:rPr>
          <w:lang w:val="en-GB" w:eastAsia="en-IN"/>
        </w:rPr>
      </w:pPr>
      <w:r>
        <w:rPr>
          <w:lang w:val="en-GB" w:eastAsia="en-IN"/>
        </w:rPr>
        <w:t xml:space="preserve">A SWOT analysis draws together information from PESTEL and VRIO analysis to analyse Dyson's position in the premium cordless vacuum market in the UK. The key strengths of Dyson are its extensive R&amp;D resources, proprietary technologies like the </w:t>
      </w:r>
      <w:proofErr w:type="spellStart"/>
      <w:r>
        <w:rPr>
          <w:lang w:val="en-GB" w:eastAsia="en-IN"/>
        </w:rPr>
        <w:t>Hyperdymium</w:t>
      </w:r>
      <w:proofErr w:type="spellEnd"/>
      <w:r>
        <w:rPr>
          <w:lang w:val="en-GB" w:eastAsia="en-IN"/>
        </w:rPr>
        <w:t xml:space="preserve"> </w:t>
      </w:r>
      <w:r>
        <w:rPr>
          <w:lang w:val="en-GB" w:eastAsia="en-IN"/>
        </w:rPr>
        <w:t>digital motor and laser dust detection, a well-known brand image, an innovation-fuelled culture, and a strong patent portfolio. With these resources, the Dyson V15 Detect will be able to maintain not only premium differentiation of its products, but techno</w:t>
      </w:r>
      <w:r>
        <w:rPr>
          <w:lang w:val="en-GB" w:eastAsia="en-IN"/>
        </w:rPr>
        <w:t xml:space="preserve">logical leadership too. But the weaknesses encompass: high prices, reliance on global sources for raw materials and exclusion from the market by price-sensitive customers in times of economic volatility. </w:t>
      </w:r>
    </w:p>
    <w:p w14:paraId="341C8790" w14:textId="77777777" w:rsidR="003470DA" w:rsidRDefault="00886E12">
      <w:pPr>
        <w:spacing w:line="360" w:lineRule="auto"/>
        <w:jc w:val="both"/>
        <w:rPr>
          <w:lang w:val="en-GB" w:eastAsia="en-IN"/>
        </w:rPr>
      </w:pPr>
      <w:r>
        <w:rPr>
          <w:lang w:val="en-GB" w:eastAsia="en-IN"/>
        </w:rPr>
        <w:t>Health awareness, growing pet industry, rising dema</w:t>
      </w:r>
      <w:r>
        <w:rPr>
          <w:lang w:val="en-GB" w:eastAsia="en-IN"/>
        </w:rPr>
        <w:t xml:space="preserve">nd for smart homes, growing environmental awareness and supportive government policies </w:t>
      </w:r>
      <w:proofErr w:type="spellStart"/>
      <w:r>
        <w:rPr>
          <w:lang w:val="en-GB" w:eastAsia="en-IN"/>
        </w:rPr>
        <w:t>favoring</w:t>
      </w:r>
      <w:proofErr w:type="spellEnd"/>
      <w:r>
        <w:rPr>
          <w:lang w:val="en-GB" w:eastAsia="en-IN"/>
        </w:rPr>
        <w:t xml:space="preserve"> energy efficient products, are identified as opportunities from the external analysis. On the other side, the constant inflation, exchange rate volatility, inte</w:t>
      </w:r>
      <w:r>
        <w:rPr>
          <w:lang w:val="en-GB" w:eastAsia="en-IN"/>
        </w:rPr>
        <w:t xml:space="preserve">nsified competition from Shark, Samsung and Bosch; changing environmental regulations and ongoing forecasted supply chain disturbances; are threats that could drive up operating costs and create price pressure. </w:t>
      </w:r>
    </w:p>
    <w:p w14:paraId="458979AD" w14:textId="77777777" w:rsidR="003470DA" w:rsidRDefault="00886E12">
      <w:pPr>
        <w:spacing w:line="360" w:lineRule="auto"/>
        <w:jc w:val="both"/>
        <w:rPr>
          <w:lang w:val="en-GB" w:eastAsia="en-IN"/>
        </w:rPr>
      </w:pPr>
      <w:r>
        <w:rPr>
          <w:lang w:val="en-GB" w:eastAsia="en-IN"/>
        </w:rPr>
        <w:t>From a strategic perspective, Dyson should o</w:t>
      </w:r>
      <w:r>
        <w:rPr>
          <w:lang w:val="en-GB" w:eastAsia="en-IN"/>
        </w:rPr>
        <w:t xml:space="preserve">pt for a SO strategy with its philosophy of technological leadership and innovation capacity to take advantage of consumers' growing need for intelligent and energy-saving cleaning products (Wang,2007). A WO strategy should ensure an increase in financing </w:t>
      </w:r>
      <w:r>
        <w:rPr>
          <w:lang w:val="en-GB" w:eastAsia="en-IN"/>
        </w:rPr>
        <w:t>possibilities, promotion and product availability to mitigate the effect of high price positioning and maintain the brand reputation (Sammut-Bonnici and Galea, 2015). The ST strategy will require ongoing investment in research, AI capability development, p</w:t>
      </w:r>
      <w:r>
        <w:rPr>
          <w:lang w:val="en-GB" w:eastAsia="en-IN"/>
        </w:rPr>
        <w:t xml:space="preserve">atent development to remain differentiated from increasingly innovative </w:t>
      </w:r>
      <w:r>
        <w:rPr>
          <w:lang w:val="en-GB" w:eastAsia="en-IN"/>
        </w:rPr>
        <w:lastRenderedPageBreak/>
        <w:t>competitors and reduce competitive pressures. Lastly, the WT strategy needs to increase the resilience of the supply chains by diversifying suppliers, optimizing inventory and adopting</w:t>
      </w:r>
      <w:r>
        <w:rPr>
          <w:lang w:val="en-GB" w:eastAsia="en-IN"/>
        </w:rPr>
        <w:t xml:space="preserve"> sustainable procurement practices to reduce the impact of geopolitical volatility, regulatory shifts, and currency volatility (Sammut-Bonnici and Galea, 2015). In total, these strategic implications support a further ability to maintain the competitive ed</w:t>
      </w:r>
      <w:r>
        <w:rPr>
          <w:lang w:val="en-GB" w:eastAsia="en-IN"/>
        </w:rPr>
        <w:t xml:space="preserve">ge of Dyson V15 Detect, whilst providing sustainable growth in the premium household appliance market in the UK. </w:t>
      </w:r>
    </w:p>
    <w:p w14:paraId="460DBDEF" w14:textId="77777777" w:rsidR="003470DA" w:rsidRDefault="003470DA">
      <w:pPr>
        <w:spacing w:line="360" w:lineRule="auto"/>
        <w:jc w:val="both"/>
        <w:rPr>
          <w:lang w:val="en-GB" w:eastAsia="en-IN"/>
        </w:rPr>
      </w:pPr>
    </w:p>
    <w:tbl>
      <w:tblPr>
        <w:tblStyle w:val="a0"/>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704436" w14:paraId="79F1C434" w14:textId="77777777">
        <w:tc>
          <w:tcPr>
            <w:tcW w:w="4514" w:type="dxa"/>
            <w:tcMar>
              <w:top w:w="100" w:type="dxa"/>
              <w:left w:w="100" w:type="dxa"/>
              <w:bottom w:w="100" w:type="dxa"/>
              <w:right w:w="100" w:type="dxa"/>
            </w:tcMar>
          </w:tcPr>
          <w:p w14:paraId="183C5CBB" w14:textId="77777777" w:rsidR="003470DA" w:rsidRDefault="00886E12">
            <w:pPr>
              <w:widowControl w:val="0"/>
              <w:pBdr>
                <w:top w:val="nil"/>
                <w:left w:val="nil"/>
                <w:bottom w:val="nil"/>
                <w:right w:val="nil"/>
                <w:between w:val="nil"/>
              </w:pBdr>
              <w:spacing w:line="360" w:lineRule="auto"/>
              <w:jc w:val="center"/>
              <w:rPr>
                <w:b/>
                <w:bCs/>
              </w:rPr>
            </w:pPr>
            <w:r>
              <w:rPr>
                <w:b/>
                <w:bCs/>
              </w:rPr>
              <w:t>Strengths</w:t>
            </w:r>
          </w:p>
          <w:p w14:paraId="5EBE42C8" w14:textId="77777777" w:rsidR="003470DA" w:rsidRDefault="00886E12">
            <w:pPr>
              <w:widowControl w:val="0"/>
              <w:numPr>
                <w:ilvl w:val="0"/>
                <w:numId w:val="3"/>
              </w:numPr>
              <w:pBdr>
                <w:top w:val="nil"/>
                <w:left w:val="nil"/>
                <w:bottom w:val="nil"/>
                <w:right w:val="nil"/>
                <w:between w:val="nil"/>
              </w:pBdr>
              <w:spacing w:line="360" w:lineRule="auto"/>
              <w:jc w:val="both"/>
            </w:pPr>
            <w:r>
              <w:t>Strong global brand</w:t>
            </w:r>
          </w:p>
          <w:p w14:paraId="4414CC1F" w14:textId="77777777" w:rsidR="003470DA" w:rsidRDefault="00886E12">
            <w:pPr>
              <w:widowControl w:val="0"/>
              <w:numPr>
                <w:ilvl w:val="0"/>
                <w:numId w:val="3"/>
              </w:numPr>
              <w:pBdr>
                <w:top w:val="nil"/>
                <w:left w:val="nil"/>
                <w:bottom w:val="nil"/>
                <w:right w:val="nil"/>
                <w:between w:val="nil"/>
              </w:pBdr>
              <w:spacing w:line="360" w:lineRule="auto"/>
              <w:jc w:val="both"/>
            </w:pPr>
            <w:r>
              <w:t>Proprietary digital motor and laser detection</w:t>
            </w:r>
          </w:p>
          <w:p w14:paraId="6CE79674" w14:textId="77777777" w:rsidR="003470DA" w:rsidRDefault="00886E12">
            <w:pPr>
              <w:widowControl w:val="0"/>
              <w:numPr>
                <w:ilvl w:val="0"/>
                <w:numId w:val="3"/>
              </w:numPr>
              <w:pBdr>
                <w:top w:val="nil"/>
                <w:left w:val="nil"/>
                <w:bottom w:val="nil"/>
                <w:right w:val="nil"/>
                <w:between w:val="nil"/>
              </w:pBdr>
              <w:spacing w:line="360" w:lineRule="auto"/>
              <w:jc w:val="both"/>
            </w:pPr>
            <w:r>
              <w:t>High R&amp;D investment and patents</w:t>
            </w:r>
          </w:p>
          <w:p w14:paraId="0B83CE24" w14:textId="77777777" w:rsidR="003470DA" w:rsidRDefault="00886E12">
            <w:pPr>
              <w:widowControl w:val="0"/>
              <w:numPr>
                <w:ilvl w:val="0"/>
                <w:numId w:val="3"/>
              </w:numPr>
              <w:pBdr>
                <w:top w:val="nil"/>
                <w:left w:val="nil"/>
                <w:bottom w:val="nil"/>
                <w:right w:val="nil"/>
                <w:between w:val="nil"/>
              </w:pBdr>
              <w:spacing w:line="360" w:lineRule="auto"/>
              <w:jc w:val="both"/>
            </w:pPr>
            <w:r>
              <w:t>Innovation-led culture</w:t>
            </w:r>
          </w:p>
        </w:tc>
        <w:tc>
          <w:tcPr>
            <w:tcW w:w="4514" w:type="dxa"/>
            <w:tcMar>
              <w:top w:w="100" w:type="dxa"/>
              <w:left w:w="100" w:type="dxa"/>
              <w:bottom w:w="100" w:type="dxa"/>
              <w:right w:w="100" w:type="dxa"/>
            </w:tcMar>
          </w:tcPr>
          <w:p w14:paraId="5A87E111" w14:textId="77777777" w:rsidR="003470DA" w:rsidRDefault="00886E12">
            <w:pPr>
              <w:widowControl w:val="0"/>
              <w:pBdr>
                <w:top w:val="nil"/>
                <w:left w:val="nil"/>
                <w:bottom w:val="nil"/>
                <w:right w:val="nil"/>
                <w:between w:val="nil"/>
              </w:pBdr>
              <w:spacing w:line="360" w:lineRule="auto"/>
              <w:jc w:val="center"/>
            </w:pPr>
            <w:r>
              <w:rPr>
                <w:b/>
                <w:bCs/>
              </w:rPr>
              <w:t>Weaknesses</w:t>
            </w:r>
            <w:r>
              <w:t xml:space="preserve"> </w:t>
            </w:r>
          </w:p>
          <w:p w14:paraId="29D2268A" w14:textId="77777777" w:rsidR="003470DA" w:rsidRDefault="00886E12">
            <w:pPr>
              <w:widowControl w:val="0"/>
              <w:numPr>
                <w:ilvl w:val="0"/>
                <w:numId w:val="4"/>
              </w:numPr>
              <w:pBdr>
                <w:top w:val="nil"/>
                <w:left w:val="nil"/>
                <w:bottom w:val="nil"/>
                <w:right w:val="nil"/>
                <w:between w:val="nil"/>
              </w:pBdr>
              <w:spacing w:line="360" w:lineRule="auto"/>
            </w:pPr>
            <w:r>
              <w:t>Premium pricing</w:t>
            </w:r>
          </w:p>
          <w:p w14:paraId="7E1D3C0B" w14:textId="77777777" w:rsidR="003470DA" w:rsidRDefault="00886E12">
            <w:pPr>
              <w:widowControl w:val="0"/>
              <w:numPr>
                <w:ilvl w:val="0"/>
                <w:numId w:val="4"/>
              </w:numPr>
              <w:pBdr>
                <w:top w:val="nil"/>
                <w:left w:val="nil"/>
                <w:bottom w:val="nil"/>
                <w:right w:val="nil"/>
                <w:between w:val="nil"/>
              </w:pBdr>
              <w:spacing w:line="360" w:lineRule="auto"/>
            </w:pPr>
            <w:r>
              <w:t>Global supply chain dependence</w:t>
            </w:r>
          </w:p>
          <w:p w14:paraId="42956FE0" w14:textId="77777777" w:rsidR="003470DA" w:rsidRDefault="00886E12">
            <w:pPr>
              <w:widowControl w:val="0"/>
              <w:numPr>
                <w:ilvl w:val="0"/>
                <w:numId w:val="4"/>
              </w:numPr>
              <w:pBdr>
                <w:top w:val="nil"/>
                <w:left w:val="nil"/>
                <w:bottom w:val="nil"/>
                <w:right w:val="nil"/>
                <w:between w:val="nil"/>
              </w:pBdr>
              <w:spacing w:line="360" w:lineRule="auto"/>
            </w:pPr>
            <w:r>
              <w:t>Limited appeal to price-sensitive consumers</w:t>
            </w:r>
          </w:p>
        </w:tc>
      </w:tr>
      <w:tr w:rsidR="00704436" w14:paraId="17B3B3E6" w14:textId="77777777">
        <w:tc>
          <w:tcPr>
            <w:tcW w:w="4514" w:type="dxa"/>
            <w:tcMar>
              <w:top w:w="100" w:type="dxa"/>
              <w:left w:w="100" w:type="dxa"/>
              <w:bottom w:w="100" w:type="dxa"/>
              <w:right w:w="100" w:type="dxa"/>
            </w:tcMar>
          </w:tcPr>
          <w:p w14:paraId="4B010B4E" w14:textId="77777777" w:rsidR="003470DA" w:rsidRDefault="00886E12">
            <w:pPr>
              <w:widowControl w:val="0"/>
              <w:pBdr>
                <w:top w:val="nil"/>
                <w:left w:val="nil"/>
                <w:bottom w:val="nil"/>
                <w:right w:val="nil"/>
                <w:between w:val="nil"/>
              </w:pBdr>
              <w:spacing w:line="360" w:lineRule="auto"/>
              <w:jc w:val="center"/>
            </w:pPr>
            <w:r>
              <w:rPr>
                <w:b/>
                <w:bCs/>
              </w:rPr>
              <w:t>Opportunities</w:t>
            </w:r>
            <w:r>
              <w:t xml:space="preserve"> </w:t>
            </w:r>
          </w:p>
          <w:p w14:paraId="021B9877" w14:textId="77777777" w:rsidR="003470DA" w:rsidRDefault="00886E12">
            <w:pPr>
              <w:widowControl w:val="0"/>
              <w:numPr>
                <w:ilvl w:val="0"/>
                <w:numId w:val="5"/>
              </w:numPr>
              <w:pBdr>
                <w:top w:val="nil"/>
                <w:left w:val="nil"/>
                <w:bottom w:val="nil"/>
                <w:right w:val="nil"/>
                <w:between w:val="nil"/>
              </w:pBdr>
              <w:spacing w:line="360" w:lineRule="auto"/>
              <w:jc w:val="both"/>
            </w:pPr>
            <w:r>
              <w:t>Growth in smart homes</w:t>
            </w:r>
          </w:p>
          <w:p w14:paraId="77B4BAA2" w14:textId="77777777" w:rsidR="003470DA" w:rsidRDefault="00886E12">
            <w:pPr>
              <w:widowControl w:val="0"/>
              <w:numPr>
                <w:ilvl w:val="0"/>
                <w:numId w:val="5"/>
              </w:numPr>
              <w:pBdr>
                <w:top w:val="nil"/>
                <w:left w:val="nil"/>
                <w:bottom w:val="nil"/>
                <w:right w:val="nil"/>
                <w:between w:val="nil"/>
              </w:pBdr>
              <w:spacing w:line="360" w:lineRule="auto"/>
              <w:jc w:val="both"/>
            </w:pPr>
            <w:r>
              <w:t>Rising health and sustainability awareness</w:t>
            </w:r>
          </w:p>
          <w:p w14:paraId="6B68DBE7" w14:textId="77777777" w:rsidR="003470DA" w:rsidRDefault="00886E12">
            <w:pPr>
              <w:widowControl w:val="0"/>
              <w:numPr>
                <w:ilvl w:val="0"/>
                <w:numId w:val="5"/>
              </w:numPr>
              <w:pBdr>
                <w:top w:val="nil"/>
                <w:left w:val="nil"/>
                <w:bottom w:val="nil"/>
                <w:right w:val="nil"/>
                <w:between w:val="nil"/>
              </w:pBdr>
              <w:spacing w:line="360" w:lineRule="auto"/>
              <w:jc w:val="both"/>
            </w:pPr>
            <w:r>
              <w:t>Increasing demand for premium cordless appliances</w:t>
            </w:r>
          </w:p>
        </w:tc>
        <w:tc>
          <w:tcPr>
            <w:tcW w:w="4514" w:type="dxa"/>
            <w:tcMar>
              <w:top w:w="100" w:type="dxa"/>
              <w:left w:w="100" w:type="dxa"/>
              <w:bottom w:w="100" w:type="dxa"/>
              <w:right w:w="100" w:type="dxa"/>
            </w:tcMar>
          </w:tcPr>
          <w:p w14:paraId="30C911D9" w14:textId="77777777" w:rsidR="003470DA" w:rsidRDefault="00886E12">
            <w:pPr>
              <w:widowControl w:val="0"/>
              <w:pBdr>
                <w:top w:val="nil"/>
                <w:left w:val="nil"/>
                <w:bottom w:val="nil"/>
                <w:right w:val="nil"/>
                <w:between w:val="nil"/>
              </w:pBdr>
              <w:spacing w:line="360" w:lineRule="auto"/>
              <w:jc w:val="center"/>
            </w:pPr>
            <w:r>
              <w:rPr>
                <w:b/>
                <w:bCs/>
              </w:rPr>
              <w:t>Threats</w:t>
            </w:r>
            <w:r>
              <w:t xml:space="preserve"> </w:t>
            </w:r>
          </w:p>
          <w:p w14:paraId="2CBE7F16" w14:textId="77777777" w:rsidR="003470DA" w:rsidRDefault="00886E12">
            <w:pPr>
              <w:widowControl w:val="0"/>
              <w:numPr>
                <w:ilvl w:val="0"/>
                <w:numId w:val="6"/>
              </w:numPr>
              <w:pBdr>
                <w:top w:val="nil"/>
                <w:left w:val="nil"/>
                <w:bottom w:val="nil"/>
                <w:right w:val="nil"/>
                <w:between w:val="nil"/>
              </w:pBdr>
              <w:spacing w:line="360" w:lineRule="auto"/>
              <w:jc w:val="both"/>
            </w:pPr>
            <w:r>
              <w:t>Inflation and exchange-rate volatility</w:t>
            </w:r>
          </w:p>
          <w:p w14:paraId="231E2CE3" w14:textId="77777777" w:rsidR="003470DA" w:rsidRDefault="00886E12">
            <w:pPr>
              <w:widowControl w:val="0"/>
              <w:numPr>
                <w:ilvl w:val="0"/>
                <w:numId w:val="6"/>
              </w:numPr>
              <w:pBdr>
                <w:top w:val="nil"/>
                <w:left w:val="nil"/>
                <w:bottom w:val="nil"/>
                <w:right w:val="nil"/>
                <w:between w:val="nil"/>
              </w:pBdr>
              <w:spacing w:line="360" w:lineRule="auto"/>
              <w:jc w:val="both"/>
            </w:pPr>
            <w:r>
              <w:t>Intense competition (Shark, Samsung, Bosch)</w:t>
            </w:r>
          </w:p>
          <w:p w14:paraId="57ACB54A" w14:textId="77777777" w:rsidR="003470DA" w:rsidRDefault="00886E12">
            <w:pPr>
              <w:widowControl w:val="0"/>
              <w:numPr>
                <w:ilvl w:val="0"/>
                <w:numId w:val="6"/>
              </w:numPr>
              <w:pBdr>
                <w:top w:val="nil"/>
                <w:left w:val="nil"/>
                <w:bottom w:val="nil"/>
                <w:right w:val="nil"/>
                <w:between w:val="nil"/>
              </w:pBdr>
              <w:spacing w:line="360" w:lineRule="auto"/>
              <w:jc w:val="both"/>
            </w:pPr>
            <w:r>
              <w:t>Post-Brexit trade and regulatory pressures</w:t>
            </w:r>
          </w:p>
        </w:tc>
      </w:tr>
    </w:tbl>
    <w:p w14:paraId="64093420" w14:textId="77777777" w:rsidR="003470DA" w:rsidRDefault="003470DA">
      <w:pPr>
        <w:spacing w:line="360" w:lineRule="auto"/>
        <w:jc w:val="both"/>
        <w:rPr>
          <w:lang w:val="en-GB" w:eastAsia="en-IN"/>
        </w:rPr>
      </w:pPr>
    </w:p>
    <w:p w14:paraId="5021AAF5" w14:textId="77777777" w:rsidR="003470DA" w:rsidRDefault="00886E12">
      <w:pPr>
        <w:keepNext/>
        <w:keepLines/>
        <w:spacing w:line="360" w:lineRule="auto"/>
        <w:jc w:val="both"/>
        <w:outlineLvl w:val="1"/>
        <w:rPr>
          <w:b/>
          <w:bCs/>
          <w:lang w:val="en-GB" w:eastAsia="en-IN"/>
        </w:rPr>
      </w:pPr>
      <w:bookmarkStart w:id="14" w:name="_Toc235549187"/>
      <w:r>
        <w:rPr>
          <w:b/>
          <w:bCs/>
          <w:lang w:val="en-GB" w:eastAsia="en-IN"/>
        </w:rPr>
        <w:t>3. Comprehensive and holistic view of the organisation</w:t>
      </w:r>
      <w:bookmarkEnd w:id="14"/>
      <w:r>
        <w:rPr>
          <w:b/>
          <w:bCs/>
          <w:lang w:val="en-GB" w:eastAsia="en-IN"/>
        </w:rPr>
        <w:t xml:space="preserve"> </w:t>
      </w:r>
    </w:p>
    <w:p w14:paraId="36A85218" w14:textId="77777777" w:rsidR="003470DA" w:rsidRDefault="00886E12">
      <w:pPr>
        <w:spacing w:line="360" w:lineRule="auto"/>
        <w:jc w:val="both"/>
        <w:rPr>
          <w:lang w:val="en-GB" w:eastAsia="en-IN"/>
        </w:rPr>
      </w:pPr>
      <w:r>
        <w:rPr>
          <w:lang w:val="en-GB" w:eastAsia="en-IN"/>
        </w:rPr>
        <w:t xml:space="preserve">In the premium home appliance market, sustainability and </w:t>
      </w:r>
      <w:r>
        <w:rPr>
          <w:lang w:val="en-GB" w:eastAsia="en-IN"/>
        </w:rPr>
        <w:t>performance have become the basics of competitive advantage. Technological innovation is not the only criterion of long-term success for Dyson, they also must look out for responsible investment in the context of the environment, social and governance (ESG</w:t>
      </w:r>
      <w:r>
        <w:rPr>
          <w:lang w:val="en-GB" w:eastAsia="en-IN"/>
        </w:rPr>
        <w:t>) measures. Therefore, an analysis of Dyson's Corporate Social Responsibility (CSR) approach alongside their operational performance gives insight into how worthwhile the use of sustainability supports the competitive position of the Dyson V15 Detect and s</w:t>
      </w:r>
      <w:r>
        <w:rPr>
          <w:lang w:val="en-GB" w:eastAsia="en-IN"/>
        </w:rPr>
        <w:t xml:space="preserve">trengthen it in the long-term for the organisation. </w:t>
      </w:r>
    </w:p>
    <w:p w14:paraId="72623B6E" w14:textId="77777777" w:rsidR="003470DA" w:rsidRDefault="00886E12">
      <w:pPr>
        <w:keepNext/>
        <w:keepLines/>
        <w:spacing w:line="360" w:lineRule="auto"/>
        <w:jc w:val="both"/>
        <w:outlineLvl w:val="2"/>
        <w:rPr>
          <w:b/>
          <w:bCs/>
          <w:color w:val="000000"/>
          <w:lang w:val="en-GB" w:eastAsia="en-IN"/>
        </w:rPr>
      </w:pPr>
      <w:bookmarkStart w:id="15" w:name="_Toc235549188"/>
      <w:r>
        <w:rPr>
          <w:b/>
          <w:bCs/>
          <w:color w:val="000000"/>
          <w:lang w:val="en-GB" w:eastAsia="en-IN"/>
        </w:rPr>
        <w:t>3.1 Corporate Social Responsibility Strategy</w:t>
      </w:r>
      <w:bookmarkEnd w:id="15"/>
      <w:r>
        <w:rPr>
          <w:b/>
          <w:bCs/>
          <w:color w:val="000000"/>
          <w:lang w:val="en-GB" w:eastAsia="en-IN"/>
        </w:rPr>
        <w:t xml:space="preserve"> </w:t>
      </w:r>
    </w:p>
    <w:p w14:paraId="3D8EED90" w14:textId="77777777" w:rsidR="003470DA" w:rsidRDefault="00886E12">
      <w:pPr>
        <w:spacing w:line="360" w:lineRule="auto"/>
        <w:jc w:val="both"/>
        <w:rPr>
          <w:lang w:val="en-GB" w:eastAsia="en-IN"/>
        </w:rPr>
      </w:pPr>
      <w:r>
        <w:rPr>
          <w:lang w:val="en-GB" w:eastAsia="en-IN"/>
        </w:rPr>
        <w:t>Dyson's Corporate Social Responsibility (CSR) approach goes beyond the legal obligations and requirements. It is integral to the company's products, innovati</w:t>
      </w:r>
      <w:r>
        <w:rPr>
          <w:lang w:val="en-GB" w:eastAsia="en-IN"/>
        </w:rPr>
        <w:t xml:space="preserve">on and business practices (Dyson, 2026). The company is committed to energy-efficient engineering, lightweight product design and its 'doing more with less' approach in its environmental pursuits (Dyson, </w:t>
      </w:r>
      <w:r>
        <w:rPr>
          <w:lang w:val="en-GB" w:eastAsia="en-IN"/>
        </w:rPr>
        <w:lastRenderedPageBreak/>
        <w:t>2020). The Dyson V15 Detect is a good example of thi</w:t>
      </w:r>
      <w:r>
        <w:rPr>
          <w:lang w:val="en-GB" w:eastAsia="en-IN"/>
        </w:rPr>
        <w:t xml:space="preserve">s as it is powered by the highly efficient </w:t>
      </w:r>
      <w:proofErr w:type="spellStart"/>
      <w:r>
        <w:rPr>
          <w:lang w:val="en-GB" w:eastAsia="en-IN"/>
        </w:rPr>
        <w:t>Hyperdymium</w:t>
      </w:r>
      <w:proofErr w:type="spellEnd"/>
      <w:r>
        <w:rPr>
          <w:lang w:val="en-GB" w:eastAsia="en-IN"/>
        </w:rPr>
        <w:t xml:space="preserve"> digital motor and highly intelligent dust detection system to deliver superior and more effective cleaning and minimise wasted energy. Dyson is also working on the circular design principles in its act</w:t>
      </w:r>
      <w:r>
        <w:rPr>
          <w:lang w:val="en-GB" w:eastAsia="en-IN"/>
        </w:rPr>
        <w:t>ivities, the introduction of recycled materials and the reduction of carbon in its activities (Dyson, 2026). While these measures further enhance the company's environmental performance, there are still ongoing chances to reduce transport-related emissions</w:t>
      </w:r>
      <w:r>
        <w:rPr>
          <w:lang w:val="en-GB" w:eastAsia="en-IN"/>
        </w:rPr>
        <w:t xml:space="preserve"> by localising the company's manufacturing operations all over the world and increasing product recycling efforts. </w:t>
      </w:r>
    </w:p>
    <w:p w14:paraId="2F3C77DE" w14:textId="77777777" w:rsidR="003470DA" w:rsidRDefault="00886E12">
      <w:pPr>
        <w:spacing w:line="360" w:lineRule="auto"/>
        <w:jc w:val="both"/>
        <w:rPr>
          <w:lang w:val="en-GB" w:eastAsia="en-IN"/>
        </w:rPr>
      </w:pPr>
      <w:r>
        <w:rPr>
          <w:lang w:val="en-GB" w:eastAsia="en-IN"/>
        </w:rPr>
        <w:t>Social responsibility also underpins Dyson's competitiveness over the long-term. The company makes investments in STEM education, engineerin</w:t>
      </w:r>
      <w:r>
        <w:rPr>
          <w:lang w:val="en-GB" w:eastAsia="en-IN"/>
        </w:rPr>
        <w:t>g scholarships and innovation programmes, enabling the development of future talent pipelines, via the James Dyson Foundation (</w:t>
      </w:r>
      <w:proofErr w:type="spellStart"/>
      <w:r>
        <w:rPr>
          <w:lang w:val="en-GB" w:eastAsia="en-IN"/>
        </w:rPr>
        <w:t>FundsforNGOs</w:t>
      </w:r>
      <w:proofErr w:type="spellEnd"/>
      <w:r>
        <w:rPr>
          <w:lang w:val="en-GB" w:eastAsia="en-IN"/>
        </w:rPr>
        <w:t>, 2026). Dyson's innovation culture is further supported by practicing continuous development of staff, multi-discipl</w:t>
      </w:r>
      <w:r>
        <w:rPr>
          <w:lang w:val="en-GB" w:eastAsia="en-IN"/>
        </w:rPr>
        <w:t xml:space="preserve">inary works and involvement in the community. But if there is greater transparency with regards to workforce diversity, employee wellbeing and social impact metrics, there would be added confidence among stakeholders, and improved transparency. </w:t>
      </w:r>
    </w:p>
    <w:p w14:paraId="3DCF4F39" w14:textId="77777777" w:rsidR="003470DA" w:rsidRDefault="00886E12">
      <w:pPr>
        <w:spacing w:line="360" w:lineRule="auto"/>
        <w:jc w:val="both"/>
        <w:rPr>
          <w:lang w:val="en-GB" w:eastAsia="en-IN"/>
        </w:rPr>
      </w:pPr>
      <w:r>
        <w:rPr>
          <w:lang w:val="en-GB" w:eastAsia="en-IN"/>
        </w:rPr>
        <w:t>Ethical so</w:t>
      </w:r>
      <w:r>
        <w:rPr>
          <w:lang w:val="en-GB" w:eastAsia="en-IN"/>
        </w:rPr>
        <w:t>urcing, responsible innovation, regulatory compliance and supply chain accountability are the key governance issues faced by Dyson to ensure the quality of their product and maintain their corporate image. IP laws provide ample protection, and rigorous eng</w:t>
      </w:r>
      <w:r>
        <w:rPr>
          <w:lang w:val="en-GB" w:eastAsia="en-IN"/>
        </w:rPr>
        <w:t>ineering requirements strengthen consumer's confidence in high quality products like the Dyson V15 Detect. However, stakeholder appetite for transparency in their supply chains, and the demands for ESG reporting and responsible sourcing show a need for Dys</w:t>
      </w:r>
      <w:r>
        <w:rPr>
          <w:lang w:val="en-GB" w:eastAsia="en-IN"/>
        </w:rPr>
        <w:t xml:space="preserve">on to improve its supplier auditing, transparency, and responsible sourcing. </w:t>
      </w:r>
    </w:p>
    <w:p w14:paraId="551F13CC" w14:textId="77777777" w:rsidR="003470DA" w:rsidRDefault="00886E12">
      <w:pPr>
        <w:keepNext/>
        <w:keepLines/>
        <w:spacing w:line="360" w:lineRule="auto"/>
        <w:jc w:val="both"/>
        <w:outlineLvl w:val="2"/>
        <w:rPr>
          <w:b/>
          <w:bCs/>
          <w:color w:val="000000"/>
          <w:lang w:val="en-GB" w:eastAsia="en-IN"/>
        </w:rPr>
      </w:pPr>
      <w:bookmarkStart w:id="16" w:name="_Toc235549189"/>
      <w:r>
        <w:rPr>
          <w:b/>
          <w:bCs/>
          <w:color w:val="000000"/>
          <w:lang w:val="en-GB" w:eastAsia="en-IN"/>
        </w:rPr>
        <w:t>3.2 Alignment with Business Objectives</w:t>
      </w:r>
      <w:bookmarkEnd w:id="16"/>
      <w:r>
        <w:rPr>
          <w:b/>
          <w:bCs/>
          <w:color w:val="000000"/>
          <w:lang w:val="en-GB" w:eastAsia="en-IN"/>
        </w:rPr>
        <w:t xml:space="preserve"> </w:t>
      </w:r>
    </w:p>
    <w:p w14:paraId="24476E00" w14:textId="77777777" w:rsidR="003470DA" w:rsidRDefault="00886E12">
      <w:pPr>
        <w:spacing w:line="360" w:lineRule="auto"/>
        <w:jc w:val="both"/>
        <w:rPr>
          <w:lang w:val="en-GB" w:eastAsia="en-IN"/>
        </w:rPr>
      </w:pPr>
      <w:r>
        <w:rPr>
          <w:lang w:val="en-GB" w:eastAsia="en-IN"/>
        </w:rPr>
        <w:t>Dyson's CSR plan is directly relevant to the company's business goals and is a way of embedding sustainable innovation into its business p</w:t>
      </w:r>
      <w:r>
        <w:rPr>
          <w:lang w:val="en-GB" w:eastAsia="en-IN"/>
        </w:rPr>
        <w:t>erformance. The company strives to come up with products that are cheaper to manufacture, better-quality, and deliver high-value energy performance, inspired by its engineering philosophy of “doing more with less,” further bolstering its premium differenti</w:t>
      </w:r>
      <w:r>
        <w:rPr>
          <w:lang w:val="en-GB" w:eastAsia="en-IN"/>
        </w:rPr>
        <w:t>ation strategy. This is reflected in Dyson's approach to responsible innovation, a high number of new products announced and 252 patents filed during 2025 and its investment in R&amp;D which has been pivotal in order to maintain its technological leadership (D</w:t>
      </w:r>
      <w:r>
        <w:rPr>
          <w:lang w:val="en-GB" w:eastAsia="en-IN"/>
        </w:rPr>
        <w:t xml:space="preserve">yson, 2025).  </w:t>
      </w:r>
    </w:p>
    <w:p w14:paraId="6353B743" w14:textId="77777777" w:rsidR="003470DA" w:rsidRDefault="00886E12">
      <w:pPr>
        <w:spacing w:line="360" w:lineRule="auto"/>
        <w:jc w:val="both"/>
        <w:rPr>
          <w:lang w:val="en-GB" w:eastAsia="en-IN"/>
        </w:rPr>
      </w:pPr>
      <w:r>
        <w:rPr>
          <w:lang w:val="en-GB" w:eastAsia="en-IN"/>
        </w:rPr>
        <w:t xml:space="preserve">CSR also helps to improve financial and brand performance. In spite of  macroeconomic pull, Dyson achieved 18% EBITDA growth to reach £1.11 billion, while Great Britain still stood </w:t>
      </w:r>
      <w:r>
        <w:rPr>
          <w:lang w:val="en-GB" w:eastAsia="en-IN"/>
        </w:rPr>
        <w:lastRenderedPageBreak/>
        <w:t>to be one of its fastest-growing markets, proving Dyson cont</w:t>
      </w:r>
      <w:r>
        <w:rPr>
          <w:lang w:val="en-GB" w:eastAsia="en-IN"/>
        </w:rPr>
        <w:t>inues to hold a valued proposition to consumers due to its innovation-led approach and sustainable choices (Built in, 2026). Moreover, the service provided after the sale of a product is of the highest standard due to Dyson's commitment to the global "Neve</w:t>
      </w:r>
      <w:r>
        <w:rPr>
          <w:lang w:val="en-GB" w:eastAsia="en-IN"/>
        </w:rPr>
        <w:t>r Without Your Dyson" programme which gives customers peace of mind, enhancing customer confidence and future sales (Dyson, 2026). Therefore, CSR generates immediate business value through enhancing the company's ability to be innovative, building its bran</w:t>
      </w:r>
      <w:r>
        <w:rPr>
          <w:lang w:val="en-GB" w:eastAsia="en-IN"/>
        </w:rPr>
        <w:t xml:space="preserve">d value, further customer satisfaction and customer loyalty creating long-term profitability and increasing Dyson V15 </w:t>
      </w:r>
      <w:proofErr w:type="spellStart"/>
      <w:r>
        <w:rPr>
          <w:lang w:val="en-GB" w:eastAsia="en-IN"/>
        </w:rPr>
        <w:t>Detect's</w:t>
      </w:r>
      <w:proofErr w:type="spellEnd"/>
      <w:r>
        <w:rPr>
          <w:lang w:val="en-GB" w:eastAsia="en-IN"/>
        </w:rPr>
        <w:t xml:space="preserve"> competitive position in the premium section of the UK oven market. </w:t>
      </w:r>
    </w:p>
    <w:p w14:paraId="1DAA6733" w14:textId="77777777" w:rsidR="003470DA" w:rsidRDefault="00886E12">
      <w:pPr>
        <w:keepNext/>
        <w:keepLines/>
        <w:spacing w:line="360" w:lineRule="auto"/>
        <w:jc w:val="both"/>
        <w:outlineLvl w:val="2"/>
        <w:rPr>
          <w:color w:val="434343"/>
          <w:lang w:val="en-GB" w:eastAsia="en-IN"/>
        </w:rPr>
      </w:pPr>
      <w:bookmarkStart w:id="17" w:name="_Toc235549190"/>
      <w:r>
        <w:rPr>
          <w:b/>
          <w:bCs/>
          <w:color w:val="000000"/>
          <w:lang w:val="en-GB" w:eastAsia="en-IN"/>
        </w:rPr>
        <w:t>3.3 Balanced Scorecard</w:t>
      </w:r>
      <w:bookmarkEnd w:id="17"/>
      <w:r>
        <w:rPr>
          <w:rFonts w:ascii="Arial" w:eastAsia="Arial" w:hAnsi="Arial" w:cs="Arial"/>
          <w:color w:val="434343"/>
          <w:lang w:val="en-GB" w:eastAsia="en-IN"/>
        </w:rPr>
        <w:t xml:space="preserve"> </w:t>
      </w:r>
    </w:p>
    <w:tbl>
      <w:tblPr>
        <w:tblStyle w:val="a1"/>
        <w:tblW w:w="901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35"/>
        <w:gridCol w:w="1500"/>
        <w:gridCol w:w="1935"/>
        <w:gridCol w:w="1635"/>
        <w:gridCol w:w="2610"/>
      </w:tblGrid>
      <w:tr w:rsidR="00704436" w14:paraId="0B5E0FE2" w14:textId="77777777">
        <w:tc>
          <w:tcPr>
            <w:tcW w:w="1335" w:type="dxa"/>
            <w:tcMar>
              <w:top w:w="100" w:type="dxa"/>
              <w:left w:w="100" w:type="dxa"/>
              <w:bottom w:w="100" w:type="dxa"/>
              <w:right w:w="100" w:type="dxa"/>
            </w:tcMar>
          </w:tcPr>
          <w:p w14:paraId="2D45CB8C" w14:textId="77777777" w:rsidR="003470DA" w:rsidRDefault="00886E12">
            <w:pPr>
              <w:widowControl w:val="0"/>
              <w:pBdr>
                <w:top w:val="nil"/>
                <w:left w:val="nil"/>
                <w:bottom w:val="nil"/>
                <w:right w:val="nil"/>
                <w:between w:val="nil"/>
              </w:pBdr>
              <w:spacing w:line="360" w:lineRule="auto"/>
              <w:jc w:val="center"/>
              <w:rPr>
                <w:b/>
                <w:bCs/>
              </w:rPr>
            </w:pPr>
            <w:r>
              <w:rPr>
                <w:b/>
                <w:bCs/>
              </w:rPr>
              <w:t xml:space="preserve">Perspective </w:t>
            </w:r>
          </w:p>
        </w:tc>
        <w:tc>
          <w:tcPr>
            <w:tcW w:w="1500" w:type="dxa"/>
            <w:tcMar>
              <w:top w:w="100" w:type="dxa"/>
              <w:left w:w="100" w:type="dxa"/>
              <w:bottom w:w="100" w:type="dxa"/>
              <w:right w:w="100" w:type="dxa"/>
            </w:tcMar>
          </w:tcPr>
          <w:p w14:paraId="699E804A" w14:textId="77777777" w:rsidR="003470DA" w:rsidRDefault="00886E12">
            <w:pPr>
              <w:widowControl w:val="0"/>
              <w:pBdr>
                <w:top w:val="nil"/>
                <w:left w:val="nil"/>
                <w:bottom w:val="nil"/>
                <w:right w:val="nil"/>
                <w:between w:val="nil"/>
              </w:pBdr>
              <w:spacing w:line="360" w:lineRule="auto"/>
              <w:jc w:val="center"/>
              <w:rPr>
                <w:b/>
                <w:bCs/>
              </w:rPr>
            </w:pPr>
            <w:r>
              <w:rPr>
                <w:b/>
                <w:bCs/>
              </w:rPr>
              <w:t>Objective</w:t>
            </w:r>
          </w:p>
        </w:tc>
        <w:tc>
          <w:tcPr>
            <w:tcW w:w="1935" w:type="dxa"/>
            <w:tcMar>
              <w:top w:w="100" w:type="dxa"/>
              <w:left w:w="100" w:type="dxa"/>
              <w:bottom w:w="100" w:type="dxa"/>
              <w:right w:w="100" w:type="dxa"/>
            </w:tcMar>
          </w:tcPr>
          <w:p w14:paraId="00AC8D33" w14:textId="77777777" w:rsidR="003470DA" w:rsidRDefault="00886E12">
            <w:pPr>
              <w:widowControl w:val="0"/>
              <w:pBdr>
                <w:top w:val="nil"/>
                <w:left w:val="nil"/>
                <w:bottom w:val="nil"/>
                <w:right w:val="nil"/>
                <w:between w:val="nil"/>
              </w:pBdr>
              <w:spacing w:line="360" w:lineRule="auto"/>
              <w:jc w:val="center"/>
              <w:rPr>
                <w:b/>
                <w:bCs/>
              </w:rPr>
            </w:pPr>
            <w:r>
              <w:rPr>
                <w:b/>
                <w:bCs/>
              </w:rPr>
              <w:t>KPIs</w:t>
            </w:r>
          </w:p>
        </w:tc>
        <w:tc>
          <w:tcPr>
            <w:tcW w:w="1635" w:type="dxa"/>
            <w:tcMar>
              <w:top w:w="100" w:type="dxa"/>
              <w:left w:w="100" w:type="dxa"/>
              <w:bottom w:w="100" w:type="dxa"/>
              <w:right w:w="100" w:type="dxa"/>
            </w:tcMar>
          </w:tcPr>
          <w:p w14:paraId="76B189BB" w14:textId="77777777" w:rsidR="003470DA" w:rsidRDefault="00886E12">
            <w:pPr>
              <w:widowControl w:val="0"/>
              <w:pBdr>
                <w:top w:val="nil"/>
                <w:left w:val="nil"/>
                <w:bottom w:val="nil"/>
                <w:right w:val="nil"/>
                <w:between w:val="nil"/>
              </w:pBdr>
              <w:spacing w:line="360" w:lineRule="auto"/>
              <w:jc w:val="center"/>
              <w:rPr>
                <w:b/>
                <w:bCs/>
              </w:rPr>
            </w:pPr>
            <w:r>
              <w:rPr>
                <w:b/>
                <w:bCs/>
              </w:rPr>
              <w:t>Target</w:t>
            </w:r>
          </w:p>
        </w:tc>
        <w:tc>
          <w:tcPr>
            <w:tcW w:w="2610" w:type="dxa"/>
            <w:tcMar>
              <w:top w:w="100" w:type="dxa"/>
              <w:left w:w="100" w:type="dxa"/>
              <w:bottom w:w="100" w:type="dxa"/>
              <w:right w:w="100" w:type="dxa"/>
            </w:tcMar>
          </w:tcPr>
          <w:p w14:paraId="13FDD195" w14:textId="77777777" w:rsidR="003470DA" w:rsidRDefault="00886E12">
            <w:pPr>
              <w:widowControl w:val="0"/>
              <w:pBdr>
                <w:top w:val="nil"/>
                <w:left w:val="nil"/>
                <w:bottom w:val="nil"/>
                <w:right w:val="nil"/>
                <w:between w:val="nil"/>
              </w:pBdr>
              <w:spacing w:line="360" w:lineRule="auto"/>
              <w:jc w:val="center"/>
              <w:rPr>
                <w:b/>
                <w:bCs/>
              </w:rPr>
            </w:pPr>
            <w:r>
              <w:rPr>
                <w:b/>
                <w:bCs/>
              </w:rPr>
              <w:t xml:space="preserve">Initiatives </w:t>
            </w:r>
          </w:p>
        </w:tc>
      </w:tr>
      <w:tr w:rsidR="00704436" w14:paraId="38C6139B" w14:textId="77777777">
        <w:tc>
          <w:tcPr>
            <w:tcW w:w="1335" w:type="dxa"/>
            <w:tcMar>
              <w:top w:w="100" w:type="dxa"/>
              <w:left w:w="100" w:type="dxa"/>
              <w:bottom w:w="100" w:type="dxa"/>
              <w:right w:w="100" w:type="dxa"/>
            </w:tcMar>
          </w:tcPr>
          <w:p w14:paraId="329400E8" w14:textId="77777777" w:rsidR="003470DA" w:rsidRDefault="00886E12">
            <w:pPr>
              <w:widowControl w:val="0"/>
              <w:pBdr>
                <w:top w:val="nil"/>
                <w:left w:val="nil"/>
                <w:bottom w:val="nil"/>
                <w:right w:val="nil"/>
                <w:between w:val="nil"/>
              </w:pBdr>
              <w:spacing w:line="360" w:lineRule="auto"/>
              <w:jc w:val="center"/>
              <w:rPr>
                <w:b/>
                <w:bCs/>
              </w:rPr>
            </w:pPr>
            <w:r>
              <w:rPr>
                <w:b/>
                <w:bCs/>
              </w:rPr>
              <w:t xml:space="preserve">Financial </w:t>
            </w:r>
          </w:p>
        </w:tc>
        <w:tc>
          <w:tcPr>
            <w:tcW w:w="1500" w:type="dxa"/>
            <w:tcMar>
              <w:top w:w="100" w:type="dxa"/>
              <w:left w:w="100" w:type="dxa"/>
              <w:bottom w:w="100" w:type="dxa"/>
              <w:right w:w="100" w:type="dxa"/>
            </w:tcMar>
          </w:tcPr>
          <w:p w14:paraId="72F399C6" w14:textId="77777777" w:rsidR="003470DA" w:rsidRDefault="00886E12">
            <w:pPr>
              <w:widowControl w:val="0"/>
              <w:pBdr>
                <w:top w:val="nil"/>
                <w:left w:val="nil"/>
                <w:bottom w:val="nil"/>
                <w:right w:val="nil"/>
                <w:between w:val="nil"/>
              </w:pBdr>
              <w:spacing w:line="360" w:lineRule="auto"/>
              <w:jc w:val="both"/>
            </w:pPr>
            <w:r>
              <w:t>Improve profitable growth</w:t>
            </w:r>
          </w:p>
        </w:tc>
        <w:tc>
          <w:tcPr>
            <w:tcW w:w="1935" w:type="dxa"/>
            <w:tcMar>
              <w:top w:w="100" w:type="dxa"/>
              <w:left w:w="100" w:type="dxa"/>
              <w:bottom w:w="100" w:type="dxa"/>
              <w:right w:w="100" w:type="dxa"/>
            </w:tcMar>
          </w:tcPr>
          <w:p w14:paraId="065F2470" w14:textId="77777777" w:rsidR="003470DA" w:rsidRDefault="00886E12">
            <w:pPr>
              <w:widowControl w:val="0"/>
              <w:pBdr>
                <w:top w:val="nil"/>
                <w:left w:val="nil"/>
                <w:bottom w:val="nil"/>
                <w:right w:val="nil"/>
                <w:between w:val="nil"/>
              </w:pBdr>
              <w:spacing w:line="360" w:lineRule="auto"/>
              <w:jc w:val="both"/>
            </w:pPr>
            <w:r>
              <w:t>Revenue growth, Operating margin, R&amp;D ROI</w:t>
            </w:r>
          </w:p>
        </w:tc>
        <w:tc>
          <w:tcPr>
            <w:tcW w:w="1635" w:type="dxa"/>
            <w:tcMar>
              <w:top w:w="100" w:type="dxa"/>
              <w:left w:w="100" w:type="dxa"/>
              <w:bottom w:w="100" w:type="dxa"/>
              <w:right w:w="100" w:type="dxa"/>
            </w:tcMar>
          </w:tcPr>
          <w:p w14:paraId="0B05988F" w14:textId="77777777" w:rsidR="003470DA" w:rsidRDefault="00886E12">
            <w:pPr>
              <w:widowControl w:val="0"/>
              <w:pBdr>
                <w:top w:val="nil"/>
                <w:left w:val="nil"/>
                <w:bottom w:val="nil"/>
                <w:right w:val="nil"/>
                <w:between w:val="nil"/>
              </w:pBdr>
              <w:spacing w:line="360" w:lineRule="auto"/>
              <w:jc w:val="both"/>
            </w:pPr>
            <w:r>
              <w:t>&gt;8% revenue growth; &gt;18% margin</w:t>
            </w:r>
          </w:p>
        </w:tc>
        <w:tc>
          <w:tcPr>
            <w:tcW w:w="2610" w:type="dxa"/>
            <w:tcMar>
              <w:top w:w="100" w:type="dxa"/>
              <w:left w:w="100" w:type="dxa"/>
              <w:bottom w:w="100" w:type="dxa"/>
              <w:right w:w="100" w:type="dxa"/>
            </w:tcMar>
          </w:tcPr>
          <w:p w14:paraId="70BA5E71" w14:textId="77777777" w:rsidR="003470DA" w:rsidRDefault="00886E12">
            <w:pPr>
              <w:widowControl w:val="0"/>
              <w:pBdr>
                <w:top w:val="nil"/>
                <w:left w:val="nil"/>
                <w:bottom w:val="nil"/>
                <w:right w:val="nil"/>
                <w:between w:val="nil"/>
              </w:pBdr>
              <w:spacing w:line="360" w:lineRule="auto"/>
              <w:jc w:val="both"/>
            </w:pPr>
            <w:r>
              <w:t>Invest in AI, premium innovation and operational efficiency</w:t>
            </w:r>
          </w:p>
        </w:tc>
      </w:tr>
      <w:tr w:rsidR="00704436" w14:paraId="33D2AB2D" w14:textId="77777777">
        <w:tc>
          <w:tcPr>
            <w:tcW w:w="1335" w:type="dxa"/>
            <w:tcMar>
              <w:top w:w="100" w:type="dxa"/>
              <w:left w:w="100" w:type="dxa"/>
              <w:bottom w:w="100" w:type="dxa"/>
              <w:right w:w="100" w:type="dxa"/>
            </w:tcMar>
          </w:tcPr>
          <w:p w14:paraId="21EAF335" w14:textId="77777777" w:rsidR="003470DA" w:rsidRDefault="00886E12">
            <w:pPr>
              <w:widowControl w:val="0"/>
              <w:pBdr>
                <w:top w:val="nil"/>
                <w:left w:val="nil"/>
                <w:bottom w:val="nil"/>
                <w:right w:val="nil"/>
                <w:between w:val="nil"/>
              </w:pBdr>
              <w:spacing w:line="360" w:lineRule="auto"/>
              <w:jc w:val="center"/>
              <w:rPr>
                <w:b/>
                <w:bCs/>
              </w:rPr>
            </w:pPr>
            <w:r>
              <w:rPr>
                <w:b/>
                <w:bCs/>
              </w:rPr>
              <w:t xml:space="preserve">Customer </w:t>
            </w:r>
          </w:p>
        </w:tc>
        <w:tc>
          <w:tcPr>
            <w:tcW w:w="1500" w:type="dxa"/>
            <w:tcMar>
              <w:top w:w="100" w:type="dxa"/>
              <w:left w:w="100" w:type="dxa"/>
              <w:bottom w:w="100" w:type="dxa"/>
              <w:right w:w="100" w:type="dxa"/>
            </w:tcMar>
          </w:tcPr>
          <w:p w14:paraId="4D81002F" w14:textId="77777777" w:rsidR="003470DA" w:rsidRDefault="00886E12">
            <w:pPr>
              <w:widowControl w:val="0"/>
              <w:pBdr>
                <w:top w:val="nil"/>
                <w:left w:val="nil"/>
                <w:bottom w:val="nil"/>
                <w:right w:val="nil"/>
                <w:between w:val="nil"/>
              </w:pBdr>
              <w:spacing w:line="360" w:lineRule="auto"/>
              <w:jc w:val="both"/>
            </w:pPr>
            <w:r>
              <w:t>Enhance customer loyalty</w:t>
            </w:r>
          </w:p>
        </w:tc>
        <w:tc>
          <w:tcPr>
            <w:tcW w:w="1935" w:type="dxa"/>
            <w:tcMar>
              <w:top w:w="100" w:type="dxa"/>
              <w:left w:w="100" w:type="dxa"/>
              <w:bottom w:w="100" w:type="dxa"/>
              <w:right w:w="100" w:type="dxa"/>
            </w:tcMar>
          </w:tcPr>
          <w:p w14:paraId="68F0F34C" w14:textId="77777777" w:rsidR="003470DA" w:rsidRDefault="00886E12">
            <w:pPr>
              <w:widowControl w:val="0"/>
              <w:pBdr>
                <w:top w:val="nil"/>
                <w:left w:val="nil"/>
                <w:bottom w:val="nil"/>
                <w:right w:val="nil"/>
                <w:between w:val="nil"/>
              </w:pBdr>
              <w:spacing w:line="360" w:lineRule="auto"/>
              <w:jc w:val="both"/>
            </w:pPr>
            <w:r>
              <w:t xml:space="preserve">CSAT, NPS, Repeat </w:t>
            </w:r>
            <w:r>
              <w:t>purchase, Warranty claims</w:t>
            </w:r>
          </w:p>
        </w:tc>
        <w:tc>
          <w:tcPr>
            <w:tcW w:w="1635" w:type="dxa"/>
            <w:tcMar>
              <w:top w:w="100" w:type="dxa"/>
              <w:left w:w="100" w:type="dxa"/>
              <w:bottom w:w="100" w:type="dxa"/>
              <w:right w:w="100" w:type="dxa"/>
            </w:tcMar>
          </w:tcPr>
          <w:p w14:paraId="7EB29DD8" w14:textId="77777777" w:rsidR="003470DA" w:rsidRDefault="00886E12">
            <w:pPr>
              <w:widowControl w:val="0"/>
              <w:pBdr>
                <w:top w:val="nil"/>
                <w:left w:val="nil"/>
                <w:bottom w:val="nil"/>
                <w:right w:val="nil"/>
                <w:between w:val="nil"/>
              </w:pBdr>
              <w:spacing w:line="360" w:lineRule="auto"/>
              <w:jc w:val="both"/>
            </w:pPr>
            <w:r>
              <w:t>CSAT &gt;95%; NPS &gt;70; Warranty claims &lt;2%</w:t>
            </w:r>
          </w:p>
        </w:tc>
        <w:tc>
          <w:tcPr>
            <w:tcW w:w="2610" w:type="dxa"/>
            <w:tcMar>
              <w:top w:w="100" w:type="dxa"/>
              <w:left w:w="100" w:type="dxa"/>
              <w:bottom w:w="100" w:type="dxa"/>
              <w:right w:w="100" w:type="dxa"/>
            </w:tcMar>
          </w:tcPr>
          <w:p w14:paraId="255E759C" w14:textId="77777777" w:rsidR="003470DA" w:rsidRDefault="00886E12">
            <w:pPr>
              <w:widowControl w:val="0"/>
              <w:pBdr>
                <w:top w:val="nil"/>
                <w:left w:val="nil"/>
                <w:bottom w:val="nil"/>
                <w:right w:val="nil"/>
                <w:between w:val="nil"/>
              </w:pBdr>
              <w:spacing w:line="360" w:lineRule="auto"/>
              <w:jc w:val="both"/>
            </w:pPr>
            <w:r>
              <w:t>Strengthen after-sales service and digital customer engagement</w:t>
            </w:r>
          </w:p>
        </w:tc>
      </w:tr>
      <w:tr w:rsidR="00704436" w14:paraId="7325265D" w14:textId="77777777">
        <w:tc>
          <w:tcPr>
            <w:tcW w:w="1335" w:type="dxa"/>
            <w:tcMar>
              <w:top w:w="100" w:type="dxa"/>
              <w:left w:w="100" w:type="dxa"/>
              <w:bottom w:w="100" w:type="dxa"/>
              <w:right w:w="100" w:type="dxa"/>
            </w:tcMar>
          </w:tcPr>
          <w:p w14:paraId="33FDBE75" w14:textId="77777777" w:rsidR="003470DA" w:rsidRDefault="00886E12">
            <w:pPr>
              <w:widowControl w:val="0"/>
              <w:pBdr>
                <w:top w:val="nil"/>
                <w:left w:val="nil"/>
                <w:bottom w:val="nil"/>
                <w:right w:val="nil"/>
                <w:between w:val="nil"/>
              </w:pBdr>
              <w:spacing w:line="360" w:lineRule="auto"/>
              <w:jc w:val="center"/>
              <w:rPr>
                <w:b/>
                <w:bCs/>
              </w:rPr>
            </w:pPr>
            <w:r>
              <w:rPr>
                <w:b/>
                <w:bCs/>
              </w:rPr>
              <w:t>Internal Processes</w:t>
            </w:r>
          </w:p>
        </w:tc>
        <w:tc>
          <w:tcPr>
            <w:tcW w:w="1500" w:type="dxa"/>
            <w:tcMar>
              <w:top w:w="100" w:type="dxa"/>
              <w:left w:w="100" w:type="dxa"/>
              <w:bottom w:w="100" w:type="dxa"/>
              <w:right w:w="100" w:type="dxa"/>
            </w:tcMar>
          </w:tcPr>
          <w:p w14:paraId="28805191" w14:textId="77777777" w:rsidR="003470DA" w:rsidRDefault="00886E12">
            <w:pPr>
              <w:widowControl w:val="0"/>
              <w:pBdr>
                <w:top w:val="nil"/>
                <w:left w:val="nil"/>
                <w:bottom w:val="nil"/>
                <w:right w:val="nil"/>
                <w:between w:val="nil"/>
              </w:pBdr>
              <w:spacing w:line="360" w:lineRule="auto"/>
              <w:jc w:val="both"/>
            </w:pPr>
            <w:r>
              <w:t>Improve innovation and quality</w:t>
            </w:r>
          </w:p>
        </w:tc>
        <w:tc>
          <w:tcPr>
            <w:tcW w:w="1935" w:type="dxa"/>
            <w:tcMar>
              <w:top w:w="100" w:type="dxa"/>
              <w:left w:w="100" w:type="dxa"/>
              <w:bottom w:w="100" w:type="dxa"/>
              <w:right w:w="100" w:type="dxa"/>
            </w:tcMar>
          </w:tcPr>
          <w:p w14:paraId="5DC5F0F4" w14:textId="77777777" w:rsidR="003470DA" w:rsidRDefault="00886E12">
            <w:pPr>
              <w:widowControl w:val="0"/>
              <w:pBdr>
                <w:top w:val="nil"/>
                <w:left w:val="nil"/>
                <w:bottom w:val="nil"/>
                <w:right w:val="nil"/>
                <w:between w:val="nil"/>
              </w:pBdr>
              <w:spacing w:line="360" w:lineRule="auto"/>
              <w:jc w:val="both"/>
            </w:pPr>
            <w:r>
              <w:t>Product development cycle, Defect rate, Supply chain efficiency</w:t>
            </w:r>
          </w:p>
        </w:tc>
        <w:tc>
          <w:tcPr>
            <w:tcW w:w="1635" w:type="dxa"/>
            <w:tcMar>
              <w:top w:w="100" w:type="dxa"/>
              <w:left w:w="100" w:type="dxa"/>
              <w:bottom w:w="100" w:type="dxa"/>
              <w:right w:w="100" w:type="dxa"/>
            </w:tcMar>
          </w:tcPr>
          <w:p w14:paraId="0DB9B336" w14:textId="77777777" w:rsidR="003470DA" w:rsidRDefault="00886E12">
            <w:pPr>
              <w:widowControl w:val="0"/>
              <w:pBdr>
                <w:top w:val="nil"/>
                <w:left w:val="nil"/>
                <w:bottom w:val="nil"/>
                <w:right w:val="nil"/>
                <w:between w:val="nil"/>
              </w:pBdr>
              <w:spacing w:line="360" w:lineRule="auto"/>
              <w:jc w:val="both"/>
            </w:pPr>
            <w:r>
              <w:t xml:space="preserve">Reduce </w:t>
            </w:r>
            <w:r>
              <w:t>development time by 15%; Defect rate &lt;1%</w:t>
            </w:r>
          </w:p>
        </w:tc>
        <w:tc>
          <w:tcPr>
            <w:tcW w:w="2610" w:type="dxa"/>
            <w:tcMar>
              <w:top w:w="100" w:type="dxa"/>
              <w:left w:w="100" w:type="dxa"/>
              <w:bottom w:w="100" w:type="dxa"/>
              <w:right w:w="100" w:type="dxa"/>
            </w:tcMar>
          </w:tcPr>
          <w:p w14:paraId="281CC7AE" w14:textId="77777777" w:rsidR="003470DA" w:rsidRDefault="00886E12">
            <w:pPr>
              <w:widowControl w:val="0"/>
              <w:pBdr>
                <w:top w:val="nil"/>
                <w:left w:val="nil"/>
                <w:bottom w:val="nil"/>
                <w:right w:val="nil"/>
                <w:between w:val="nil"/>
              </w:pBdr>
              <w:spacing w:line="360" w:lineRule="auto"/>
              <w:jc w:val="both"/>
            </w:pPr>
            <w:r>
              <w:t>AI-assisted product development and supplier collaboration</w:t>
            </w:r>
          </w:p>
        </w:tc>
      </w:tr>
      <w:tr w:rsidR="00704436" w14:paraId="3C33ABBF" w14:textId="77777777">
        <w:tc>
          <w:tcPr>
            <w:tcW w:w="1335" w:type="dxa"/>
            <w:tcMar>
              <w:top w:w="100" w:type="dxa"/>
              <w:left w:w="100" w:type="dxa"/>
              <w:bottom w:w="100" w:type="dxa"/>
              <w:right w:w="100" w:type="dxa"/>
            </w:tcMar>
          </w:tcPr>
          <w:p w14:paraId="733DBAEA" w14:textId="77777777" w:rsidR="003470DA" w:rsidRDefault="00886E12">
            <w:pPr>
              <w:widowControl w:val="0"/>
              <w:pBdr>
                <w:top w:val="nil"/>
                <w:left w:val="nil"/>
                <w:bottom w:val="nil"/>
                <w:right w:val="nil"/>
                <w:between w:val="nil"/>
              </w:pBdr>
              <w:spacing w:line="360" w:lineRule="auto"/>
              <w:jc w:val="center"/>
              <w:rPr>
                <w:b/>
                <w:bCs/>
              </w:rPr>
            </w:pPr>
            <w:r>
              <w:rPr>
                <w:b/>
                <w:bCs/>
              </w:rPr>
              <w:t xml:space="preserve">Learning and Growth </w:t>
            </w:r>
          </w:p>
        </w:tc>
        <w:tc>
          <w:tcPr>
            <w:tcW w:w="1500" w:type="dxa"/>
            <w:tcMar>
              <w:top w:w="100" w:type="dxa"/>
              <w:left w:w="100" w:type="dxa"/>
              <w:bottom w:w="100" w:type="dxa"/>
              <w:right w:w="100" w:type="dxa"/>
            </w:tcMar>
          </w:tcPr>
          <w:p w14:paraId="22388A09" w14:textId="77777777" w:rsidR="003470DA" w:rsidRDefault="00886E12">
            <w:pPr>
              <w:widowControl w:val="0"/>
              <w:pBdr>
                <w:top w:val="nil"/>
                <w:left w:val="nil"/>
                <w:bottom w:val="nil"/>
                <w:right w:val="nil"/>
                <w:between w:val="nil"/>
              </w:pBdr>
              <w:spacing w:line="360" w:lineRule="auto"/>
              <w:jc w:val="both"/>
            </w:pPr>
            <w:r>
              <w:t>Build innovation capability</w:t>
            </w:r>
          </w:p>
        </w:tc>
        <w:tc>
          <w:tcPr>
            <w:tcW w:w="1935" w:type="dxa"/>
            <w:tcMar>
              <w:top w:w="100" w:type="dxa"/>
              <w:left w:w="100" w:type="dxa"/>
              <w:bottom w:w="100" w:type="dxa"/>
              <w:right w:w="100" w:type="dxa"/>
            </w:tcMar>
          </w:tcPr>
          <w:p w14:paraId="6E144BD1" w14:textId="77777777" w:rsidR="003470DA" w:rsidRDefault="00886E12">
            <w:pPr>
              <w:widowControl w:val="0"/>
              <w:pBdr>
                <w:top w:val="nil"/>
                <w:left w:val="nil"/>
                <w:bottom w:val="nil"/>
                <w:right w:val="nil"/>
                <w:between w:val="nil"/>
              </w:pBdr>
              <w:spacing w:line="360" w:lineRule="auto"/>
              <w:jc w:val="both"/>
            </w:pPr>
            <w:r>
              <w:t>Training hours, Patent filings, Digital skills</w:t>
            </w:r>
          </w:p>
        </w:tc>
        <w:tc>
          <w:tcPr>
            <w:tcW w:w="1635" w:type="dxa"/>
            <w:tcMar>
              <w:top w:w="100" w:type="dxa"/>
              <w:left w:w="100" w:type="dxa"/>
              <w:bottom w:w="100" w:type="dxa"/>
              <w:right w:w="100" w:type="dxa"/>
            </w:tcMar>
          </w:tcPr>
          <w:p w14:paraId="1BAD74E2" w14:textId="77777777" w:rsidR="003470DA" w:rsidRDefault="00886E12">
            <w:pPr>
              <w:widowControl w:val="0"/>
              <w:pBdr>
                <w:top w:val="nil"/>
                <w:left w:val="nil"/>
                <w:bottom w:val="nil"/>
                <w:right w:val="nil"/>
                <w:between w:val="nil"/>
              </w:pBdr>
              <w:spacing w:line="360" w:lineRule="auto"/>
              <w:jc w:val="both"/>
            </w:pPr>
            <w:r>
              <w:rPr>
                <w:rFonts w:ascii="Gungsuh" w:eastAsia="Gungsuh" w:hAnsi="Gungsuh" w:cs="Gungsuh"/>
              </w:rPr>
              <w:t>≥40 training hours; &gt;250 patents annually</w:t>
            </w:r>
          </w:p>
        </w:tc>
        <w:tc>
          <w:tcPr>
            <w:tcW w:w="2610" w:type="dxa"/>
            <w:tcMar>
              <w:top w:w="100" w:type="dxa"/>
              <w:left w:w="100" w:type="dxa"/>
              <w:bottom w:w="100" w:type="dxa"/>
              <w:right w:w="100" w:type="dxa"/>
            </w:tcMar>
          </w:tcPr>
          <w:p w14:paraId="6869C190" w14:textId="77777777" w:rsidR="003470DA" w:rsidRDefault="00886E12">
            <w:pPr>
              <w:widowControl w:val="0"/>
              <w:pBdr>
                <w:top w:val="nil"/>
                <w:left w:val="nil"/>
                <w:bottom w:val="nil"/>
                <w:right w:val="nil"/>
                <w:between w:val="nil"/>
              </w:pBdr>
              <w:spacing w:line="360" w:lineRule="auto"/>
              <w:jc w:val="both"/>
            </w:pPr>
            <w:r>
              <w:t>Engineering development, STEM partnerships and leadership programmes</w:t>
            </w:r>
          </w:p>
        </w:tc>
      </w:tr>
    </w:tbl>
    <w:p w14:paraId="25509096" w14:textId="77777777" w:rsidR="003470DA" w:rsidRDefault="003470DA">
      <w:pPr>
        <w:spacing w:line="360" w:lineRule="auto"/>
        <w:jc w:val="both"/>
        <w:rPr>
          <w:lang w:val="en-GB" w:eastAsia="en-IN"/>
        </w:rPr>
      </w:pPr>
    </w:p>
    <w:p w14:paraId="1EC787F0" w14:textId="77777777" w:rsidR="003470DA" w:rsidRDefault="00886E12">
      <w:pPr>
        <w:spacing w:line="360" w:lineRule="auto"/>
        <w:jc w:val="both"/>
        <w:rPr>
          <w:lang w:val="en-GB" w:eastAsia="en-IN"/>
        </w:rPr>
      </w:pPr>
      <w:r>
        <w:rPr>
          <w:lang w:val="en-GB" w:eastAsia="en-IN"/>
        </w:rPr>
        <w:t xml:space="preserve">The Balanced Scorecard ties Dyson's performance with its innovation-based approach, making it easier to use finance as a tool to measure the value of investing in technology, </w:t>
      </w:r>
      <w:r>
        <w:rPr>
          <w:lang w:val="en-GB" w:eastAsia="en-IN"/>
        </w:rPr>
        <w:lastRenderedPageBreak/>
        <w:t>satisfying</w:t>
      </w:r>
      <w:r>
        <w:rPr>
          <w:lang w:val="en-GB" w:eastAsia="en-IN"/>
        </w:rPr>
        <w:t xml:space="preserve"> customers and constantly developing capabilities. The proposed KPIs align with Dyson's premium positioning as they focus specifically on the outcome of innovation, rather than only on short-term business performance. The plan, however, needs to be inclusi</w:t>
      </w:r>
      <w:r>
        <w:rPr>
          <w:lang w:val="en-GB" w:eastAsia="en-IN"/>
        </w:rPr>
        <w:t>ve of ESG indicators such as the use of recycled material, compliance to supplier sustainability measures, or carbon emissions, that align better with the sustainability strategy of Dyson (Patil et al., 2020). In general the scorecard is well aligned to th</w:t>
      </w:r>
      <w:r>
        <w:rPr>
          <w:lang w:val="en-GB" w:eastAsia="en-IN"/>
        </w:rPr>
        <w:t xml:space="preserve">e aims of Dyson's mission, its strategic objectives and its long term competitive advantage. </w:t>
      </w:r>
    </w:p>
    <w:p w14:paraId="67B6B390" w14:textId="77777777" w:rsidR="003470DA" w:rsidRDefault="00886E12">
      <w:pPr>
        <w:spacing w:line="360" w:lineRule="auto"/>
        <w:jc w:val="both"/>
        <w:rPr>
          <w:lang w:val="en-GB" w:eastAsia="en-IN"/>
        </w:rPr>
      </w:pPr>
      <w:r>
        <w:rPr>
          <w:lang w:val="en-GB" w:eastAsia="en-IN"/>
        </w:rPr>
        <w:t>Overall, Dyson's sustainability strategy and Balanced Scorecard are very well aligned with its innovation-led business model. A focus on CSR initiatives underpins</w:t>
      </w:r>
      <w:r>
        <w:rPr>
          <w:lang w:val="en-GB" w:eastAsia="en-IN"/>
        </w:rPr>
        <w:t xml:space="preserve"> technological leadership, premium positioning of the brand and operational excellence, through measurement of performance, which drives continuous improvement. Improvements in ESG metrics related to the Dyson V15 Detect and transparency in its supply chai</w:t>
      </w:r>
      <w:r>
        <w:rPr>
          <w:lang w:val="en-GB" w:eastAsia="en-IN"/>
        </w:rPr>
        <w:t xml:space="preserve">ns would help further increase the long-term resilience, value for stakeholders and sustainable competitive advantage for the Dyson V15 Detect. </w:t>
      </w:r>
    </w:p>
    <w:p w14:paraId="6713900C" w14:textId="77777777" w:rsidR="003470DA" w:rsidRDefault="00886E12">
      <w:pPr>
        <w:keepNext/>
        <w:keepLines/>
        <w:spacing w:line="360" w:lineRule="auto"/>
        <w:jc w:val="both"/>
        <w:outlineLvl w:val="1"/>
        <w:rPr>
          <w:b/>
          <w:bCs/>
          <w:lang w:val="en-GB" w:eastAsia="en-IN"/>
        </w:rPr>
      </w:pPr>
      <w:bookmarkStart w:id="18" w:name="_Toc235549191"/>
      <w:r>
        <w:rPr>
          <w:b/>
          <w:bCs/>
          <w:lang w:val="en-GB" w:eastAsia="en-IN"/>
        </w:rPr>
        <w:t>4. Strategic Choices and Implementation</w:t>
      </w:r>
      <w:bookmarkEnd w:id="18"/>
      <w:r>
        <w:rPr>
          <w:b/>
          <w:bCs/>
          <w:lang w:val="en-GB" w:eastAsia="en-IN"/>
        </w:rPr>
        <w:t xml:space="preserve"> </w:t>
      </w:r>
    </w:p>
    <w:p w14:paraId="748A1C69" w14:textId="77777777" w:rsidR="003470DA" w:rsidRDefault="00886E12">
      <w:pPr>
        <w:spacing w:line="360" w:lineRule="auto"/>
        <w:jc w:val="both"/>
        <w:rPr>
          <w:lang w:val="en-GB" w:eastAsia="en-IN"/>
        </w:rPr>
      </w:pPr>
      <w:r>
        <w:rPr>
          <w:lang w:val="en-GB" w:eastAsia="en-IN"/>
        </w:rPr>
        <w:t>Dyson differentiates their service mainly using Porter's strategy of quality over quantity in the sense that they continue to improve their products with each shortcomings instead of producing them cheaply. Proprietary technology differentiate the Dyson V1</w:t>
      </w:r>
      <w:r>
        <w:rPr>
          <w:lang w:val="en-GB" w:eastAsia="en-IN"/>
        </w:rPr>
        <w:t xml:space="preserve">5 Detect, such as the </w:t>
      </w:r>
      <w:proofErr w:type="spellStart"/>
      <w:r>
        <w:rPr>
          <w:lang w:val="en-GB" w:eastAsia="en-IN"/>
        </w:rPr>
        <w:t>Hyperdymium</w:t>
      </w:r>
      <w:proofErr w:type="spellEnd"/>
      <w:r>
        <w:rPr>
          <w:lang w:val="en-GB" w:eastAsia="en-IN"/>
        </w:rPr>
        <w:t xml:space="preserve"> digital motor, laser dust detection and piezo sensor technology, all of which are challenging for competitors to replicate. Because it's a relatively broad market and prefers to compete with high-end brands, focused differ</w:t>
      </w:r>
      <w:r>
        <w:rPr>
          <w:lang w:val="en-GB" w:eastAsia="en-IN"/>
        </w:rPr>
        <w:t>entiation doesn't make too much sense here, and cost leadership is equally unsuitable, due to Dyson's high R&amp;D investments and high price point. As a result, there can be broad differentiation to justify higher prices and high brand value and brand loyalty</w:t>
      </w:r>
      <w:r>
        <w:rPr>
          <w:lang w:val="en-GB" w:eastAsia="en-IN"/>
        </w:rPr>
        <w:t xml:space="preserve"> in the UK cordless vacuum market over time (</w:t>
      </w:r>
      <w:proofErr w:type="spellStart"/>
      <w:r>
        <w:rPr>
          <w:lang w:val="en-GB" w:eastAsia="en-IN"/>
        </w:rPr>
        <w:t>Tojiri</w:t>
      </w:r>
      <w:proofErr w:type="spellEnd"/>
      <w:r>
        <w:rPr>
          <w:lang w:val="en-GB" w:eastAsia="en-IN"/>
        </w:rPr>
        <w:t xml:space="preserve">, 2023). </w:t>
      </w:r>
    </w:p>
    <w:p w14:paraId="7170D23E" w14:textId="77777777" w:rsidR="003470DA" w:rsidRDefault="00886E12">
      <w:pPr>
        <w:keepNext/>
        <w:keepLines/>
        <w:spacing w:line="360" w:lineRule="auto"/>
        <w:jc w:val="both"/>
        <w:outlineLvl w:val="2"/>
        <w:rPr>
          <w:b/>
          <w:bCs/>
          <w:color w:val="000000"/>
          <w:lang w:val="en-GB" w:eastAsia="en-IN"/>
        </w:rPr>
      </w:pPr>
      <w:bookmarkStart w:id="19" w:name="_Toc235549192"/>
      <w:r>
        <w:rPr>
          <w:b/>
          <w:bCs/>
          <w:color w:val="000000"/>
          <w:lang w:val="en-GB" w:eastAsia="en-IN"/>
        </w:rPr>
        <w:t>4.1 Porter's Five Forces Analysis</w:t>
      </w:r>
      <w:bookmarkEnd w:id="19"/>
      <w:r>
        <w:rPr>
          <w:b/>
          <w:bCs/>
          <w:color w:val="000000"/>
          <w:lang w:val="en-GB" w:eastAsia="en-IN"/>
        </w:rPr>
        <w:t xml:space="preserve"> </w:t>
      </w:r>
    </w:p>
    <w:p w14:paraId="103E7629" w14:textId="77777777" w:rsidR="003470DA" w:rsidRDefault="00886E12">
      <w:pPr>
        <w:spacing w:line="360" w:lineRule="auto"/>
        <w:jc w:val="both"/>
        <w:rPr>
          <w:lang w:val="en-GB" w:eastAsia="en-IN"/>
        </w:rPr>
      </w:pPr>
      <w:r>
        <w:rPr>
          <w:lang w:val="en-GB" w:eastAsia="en-IN"/>
        </w:rPr>
        <w:t xml:space="preserve">The premium cordless vacuum market is moderately attractive in the UK given Porter's Five Forces, and highly competitive, necessitating ongoing </w:t>
      </w:r>
      <w:r>
        <w:rPr>
          <w:lang w:val="en-GB" w:eastAsia="en-IN"/>
        </w:rPr>
        <w:t xml:space="preserve">innovation efforts to continue to differentiate the product. </w:t>
      </w:r>
    </w:p>
    <w:p w14:paraId="4747AA15" w14:textId="77777777" w:rsidR="003470DA" w:rsidRDefault="00886E12">
      <w:pPr>
        <w:spacing w:line="360" w:lineRule="auto"/>
        <w:jc w:val="both"/>
        <w:rPr>
          <w:lang w:val="en-GB" w:eastAsia="en-IN"/>
        </w:rPr>
      </w:pPr>
      <w:r>
        <w:rPr>
          <w:lang w:val="en-GB" w:eastAsia="en-IN"/>
        </w:rPr>
        <w:t>Supplier power is low to moderate. The specialist electronic components, batteries and precision-engineered materials that Dyson uses are sourced across the world (Cullen, 2018). These suppliers</w:t>
      </w:r>
      <w:r>
        <w:rPr>
          <w:lang w:val="en-GB" w:eastAsia="en-IN"/>
        </w:rPr>
        <w:t xml:space="preserve"> have technical knowledge, however, due to Dyson's scale, long supplier relationships, in-house engineering teams and manufacturing capabilities, a lessened reliance </w:t>
      </w:r>
      <w:r>
        <w:rPr>
          <w:lang w:val="en-GB" w:eastAsia="en-IN"/>
        </w:rPr>
        <w:lastRenderedPageBreak/>
        <w:t>on individual suppliers has been reduced (Garrett, 2021). However, the cost of procurement</w:t>
      </w:r>
      <w:r>
        <w:rPr>
          <w:lang w:val="en-GB" w:eastAsia="en-IN"/>
        </w:rPr>
        <w:t xml:space="preserve"> still rises because of tariffs, currency exchange rate changes, and geopolitical disruptions. </w:t>
      </w:r>
    </w:p>
    <w:p w14:paraId="2354C165" w14:textId="77777777" w:rsidR="003470DA" w:rsidRDefault="00886E12">
      <w:pPr>
        <w:spacing w:line="360" w:lineRule="auto"/>
        <w:jc w:val="both"/>
        <w:rPr>
          <w:lang w:val="en-GB" w:eastAsia="en-IN"/>
        </w:rPr>
      </w:pPr>
      <w:r>
        <w:rPr>
          <w:lang w:val="en-GB" w:eastAsia="en-IN"/>
        </w:rPr>
        <w:t xml:space="preserve">The power of buyers is moderate to high. Superior solutions from Shark, Samsung, Bosch, Miele and </w:t>
      </w:r>
      <w:proofErr w:type="spellStart"/>
      <w:r>
        <w:rPr>
          <w:lang w:val="en-GB" w:eastAsia="en-IN"/>
        </w:rPr>
        <w:t>Dreame</w:t>
      </w:r>
      <w:proofErr w:type="spellEnd"/>
      <w:r>
        <w:rPr>
          <w:lang w:val="en-GB" w:eastAsia="en-IN"/>
        </w:rPr>
        <w:t xml:space="preserve"> are at the disposal of consumers, and comparisons in th</w:t>
      </w:r>
      <w:r>
        <w:rPr>
          <w:lang w:val="en-GB" w:eastAsia="en-IN"/>
        </w:rPr>
        <w:t xml:space="preserve">e price and features are common. Dyson has a favourable reputation, patent-innovative products and top-of-the-range post-sales service enhance price insensitivity whilst engendering customer loyalty and constrain purchasing power. </w:t>
      </w:r>
    </w:p>
    <w:p w14:paraId="058C0A66" w14:textId="77777777" w:rsidR="003470DA" w:rsidRDefault="00886E12">
      <w:pPr>
        <w:spacing w:line="360" w:lineRule="auto"/>
        <w:jc w:val="both"/>
        <w:rPr>
          <w:lang w:val="en-GB" w:eastAsia="en-IN"/>
        </w:rPr>
      </w:pPr>
      <w:r>
        <w:rPr>
          <w:lang w:val="en-GB" w:eastAsia="en-IN"/>
        </w:rPr>
        <w:t>Not a lot of threat from</w:t>
      </w:r>
      <w:r>
        <w:rPr>
          <w:lang w:val="en-GB" w:eastAsia="en-IN"/>
        </w:rPr>
        <w:t xml:space="preserve"> new entrants. To gain a foothold in the premium cordless vacuum market, investment in Research and Development (R&amp;D), IP, advanced manufacturing and distribution throughout the world is necessary. With the investment of more than £400 Million into R&amp;D and</w:t>
      </w:r>
      <w:r>
        <w:rPr>
          <w:lang w:val="en-GB" w:eastAsia="en-IN"/>
        </w:rPr>
        <w:t xml:space="preserve"> filing 252 patents in 2025 Dyson had established both high technological and financial barriers for potential entrants (Dyson, 2025). </w:t>
      </w:r>
    </w:p>
    <w:p w14:paraId="6877A233" w14:textId="77777777" w:rsidR="003470DA" w:rsidRDefault="00886E12">
      <w:pPr>
        <w:spacing w:line="360" w:lineRule="auto"/>
        <w:jc w:val="both"/>
        <w:rPr>
          <w:lang w:val="en-GB" w:eastAsia="en-IN"/>
        </w:rPr>
      </w:pPr>
      <w:r>
        <w:rPr>
          <w:lang w:val="en-GB" w:eastAsia="en-IN"/>
        </w:rPr>
        <w:t xml:space="preserve">Moderate threat of substitutes. There are alternative solutions such as traditional vacuum cleaners with cords, robotic </w:t>
      </w:r>
      <w:r>
        <w:rPr>
          <w:lang w:val="en-GB" w:eastAsia="en-IN"/>
        </w:rPr>
        <w:t xml:space="preserve">vacuum cleaners and new multi-functional cleaning systems that connect via a wireless, cordless technology with the rest of the house. The Dyson V15 Detect, however, sets itself apart with three key features: laser dust detection, intelligent dust sensing </w:t>
      </w:r>
      <w:r>
        <w:rPr>
          <w:lang w:val="en-GB" w:eastAsia="en-IN"/>
        </w:rPr>
        <w:t xml:space="preserve">and high suction power, which minimises the need for substitutions when it comes to the up-end end premium customers who value the cleaning technology the most. </w:t>
      </w:r>
    </w:p>
    <w:p w14:paraId="509672BE" w14:textId="77777777" w:rsidR="003470DA" w:rsidRDefault="00886E12">
      <w:pPr>
        <w:spacing w:line="360" w:lineRule="auto"/>
        <w:jc w:val="both"/>
        <w:rPr>
          <w:lang w:val="en-GB" w:eastAsia="en-IN"/>
        </w:rPr>
      </w:pPr>
      <w:r>
        <w:rPr>
          <w:lang w:val="en-GB" w:eastAsia="en-IN"/>
        </w:rPr>
        <w:t>There is a high rivalry among competitors. Continuous innovation, pricing and market share pre</w:t>
      </w:r>
      <w:r>
        <w:rPr>
          <w:lang w:val="en-GB" w:eastAsia="en-IN"/>
        </w:rPr>
        <w:t xml:space="preserve">ssure is generated from companies like </w:t>
      </w:r>
      <w:proofErr w:type="spellStart"/>
      <w:r>
        <w:rPr>
          <w:lang w:val="en-GB" w:eastAsia="en-IN"/>
        </w:rPr>
        <w:t>SharkNinja</w:t>
      </w:r>
      <w:proofErr w:type="spellEnd"/>
      <w:r>
        <w:rPr>
          <w:lang w:val="en-GB" w:eastAsia="en-IN"/>
        </w:rPr>
        <w:t xml:space="preserve">, Samsung, Bosch, Miele, and </w:t>
      </w:r>
      <w:proofErr w:type="spellStart"/>
      <w:r>
        <w:rPr>
          <w:lang w:val="en-GB" w:eastAsia="en-IN"/>
        </w:rPr>
        <w:t>Dreame</w:t>
      </w:r>
      <w:proofErr w:type="spellEnd"/>
      <w:r>
        <w:rPr>
          <w:lang w:val="en-GB" w:eastAsia="en-IN"/>
        </w:rPr>
        <w:t xml:space="preserve"> as they roll out new technologically advanced cordless vacuums into the market for continuous all-out contestation (Miele, 2022).  </w:t>
      </w:r>
    </w:p>
    <w:p w14:paraId="36BCB24C" w14:textId="77777777" w:rsidR="003470DA" w:rsidRDefault="00886E12">
      <w:pPr>
        <w:keepNext/>
        <w:keepLines/>
        <w:spacing w:line="360" w:lineRule="auto"/>
        <w:jc w:val="both"/>
        <w:outlineLvl w:val="2"/>
        <w:rPr>
          <w:b/>
          <w:bCs/>
          <w:color w:val="000000"/>
          <w:lang w:val="en-GB" w:eastAsia="en-IN"/>
        </w:rPr>
      </w:pPr>
      <w:bookmarkStart w:id="20" w:name="_Toc235549193"/>
      <w:r>
        <w:rPr>
          <w:b/>
          <w:bCs/>
          <w:color w:val="000000"/>
          <w:lang w:val="en-GB" w:eastAsia="en-IN"/>
        </w:rPr>
        <w:t>4.2 Recommended Strategy</w:t>
      </w:r>
      <w:bookmarkEnd w:id="20"/>
      <w:r>
        <w:rPr>
          <w:b/>
          <w:bCs/>
          <w:color w:val="000000"/>
          <w:lang w:val="en-GB" w:eastAsia="en-IN"/>
        </w:rPr>
        <w:t xml:space="preserve"> </w:t>
      </w:r>
    </w:p>
    <w:p w14:paraId="0010EE32" w14:textId="77777777" w:rsidR="003470DA" w:rsidRDefault="00886E12">
      <w:pPr>
        <w:spacing w:line="360" w:lineRule="auto"/>
        <w:jc w:val="both"/>
        <w:rPr>
          <w:lang w:val="en-GB" w:eastAsia="en-IN"/>
        </w:rPr>
      </w:pPr>
      <w:r>
        <w:rPr>
          <w:lang w:val="en-GB" w:eastAsia="en-IN"/>
        </w:rPr>
        <w:t>Dyson's value</w:t>
      </w:r>
      <w:r>
        <w:rPr>
          <w:lang w:val="en-GB" w:eastAsia="en-IN"/>
        </w:rPr>
        <w:t xml:space="preserve"> proposition is to offer a wide range of differentiation in the UK market which can be further enhanced by building an improved premium cleaning service ecosystem using an AI-powered Dyson V15 Detect. Dyson ought to add to the hardware as well as use AI, p</w:t>
      </w:r>
      <w:r>
        <w:rPr>
          <w:lang w:val="en-GB" w:eastAsia="en-IN"/>
        </w:rPr>
        <w:t xml:space="preserve">redictive analysis, and interconnectivity in smart homes on the </w:t>
      </w:r>
      <w:proofErr w:type="spellStart"/>
      <w:r>
        <w:rPr>
          <w:lang w:val="en-GB" w:eastAsia="en-IN"/>
        </w:rPr>
        <w:t>MyDyson</w:t>
      </w:r>
      <w:proofErr w:type="spellEnd"/>
      <w:r>
        <w:rPr>
          <w:lang w:val="en-GB" w:eastAsia="en-IN"/>
        </w:rPr>
        <w:t xml:space="preserve"> platform. The V15 Detect might offer cleaning ideas specifically to you, forecast filter and battery life, revolutionise suction according to dust amount, and sync flawlessly with othe</w:t>
      </w:r>
      <w:r>
        <w:rPr>
          <w:lang w:val="en-GB" w:eastAsia="en-IN"/>
        </w:rPr>
        <w:t xml:space="preserve">r Dyson products. This would make the product an intelligent home and enhance the customer value and ongoing digital usage. </w:t>
      </w:r>
    </w:p>
    <w:p w14:paraId="248EACD0" w14:textId="77777777" w:rsidR="003470DA" w:rsidRDefault="00886E12">
      <w:pPr>
        <w:spacing w:line="360" w:lineRule="auto"/>
        <w:jc w:val="both"/>
        <w:rPr>
          <w:lang w:val="en-GB" w:eastAsia="en-IN"/>
        </w:rPr>
      </w:pPr>
      <w:r>
        <w:rPr>
          <w:lang w:val="en-GB" w:eastAsia="en-IN"/>
        </w:rPr>
        <w:t>Strategically, this seems like a feasible move as Dyson lacks no prior know-how in developing such sensors, nor does it need to eng</w:t>
      </w:r>
      <w:r>
        <w:rPr>
          <w:lang w:val="en-GB" w:eastAsia="en-IN"/>
        </w:rPr>
        <w:t xml:space="preserve">age in cost leadership as this might devalue </w:t>
      </w:r>
      <w:r>
        <w:rPr>
          <w:lang w:val="en-GB" w:eastAsia="en-IN"/>
        </w:rPr>
        <w:lastRenderedPageBreak/>
        <w:t>its premium brand image. The strategy leverages directly on the existing competitive advantages of Dyson.</w:t>
      </w:r>
    </w:p>
    <w:p w14:paraId="10886755" w14:textId="77777777" w:rsidR="003470DA" w:rsidRDefault="00886E12">
      <w:pPr>
        <w:spacing w:line="360" w:lineRule="auto"/>
        <w:jc w:val="both"/>
        <w:rPr>
          <w:lang w:val="en-GB" w:eastAsia="en-IN"/>
        </w:rPr>
      </w:pPr>
      <w:r>
        <w:rPr>
          <w:lang w:val="en-GB" w:eastAsia="en-IN"/>
        </w:rPr>
        <w:t>Relevant desired results are enhanced customer loyalty, increased switching costs, better differentiation</w:t>
      </w:r>
      <w:r>
        <w:rPr>
          <w:lang w:val="en-GB" w:eastAsia="en-IN"/>
        </w:rPr>
        <w:t xml:space="preserve"> from Shark and Samsung, more repeat buy and higher long-term profits via ecosystem approach to customer retention. The challenges involved in developing software products and protecting against cyber risks, as well as the delayed adoption of AI functional</w:t>
      </w:r>
      <w:r>
        <w:rPr>
          <w:lang w:val="en-GB" w:eastAsia="en-IN"/>
        </w:rPr>
        <w:t>ities, are potential threats. These can be addressed through incremental rollout, strong cybersecurity, clear data policies, and educating customers, ultimately the most importantly, maintaining a competitive edge in the United Kingdom's high-end corded va</w:t>
      </w:r>
      <w:r>
        <w:rPr>
          <w:lang w:val="en-GB" w:eastAsia="en-IN"/>
        </w:rPr>
        <w:t>cuum market.</w:t>
      </w:r>
    </w:p>
    <w:p w14:paraId="5BF0D8BB" w14:textId="77777777" w:rsidR="003470DA" w:rsidRDefault="00886E12">
      <w:pPr>
        <w:keepNext/>
        <w:keepLines/>
        <w:spacing w:line="360" w:lineRule="auto"/>
        <w:jc w:val="both"/>
        <w:outlineLvl w:val="2"/>
        <w:rPr>
          <w:color w:val="434343"/>
          <w:lang w:val="en-GB" w:eastAsia="en-IN"/>
        </w:rPr>
      </w:pPr>
      <w:bookmarkStart w:id="21" w:name="_Toc235549194"/>
      <w:r>
        <w:rPr>
          <w:b/>
          <w:bCs/>
          <w:color w:val="000000"/>
          <w:lang w:val="en-GB" w:eastAsia="en-IN"/>
        </w:rPr>
        <w:t>4.3 Competitive Advantage</w:t>
      </w:r>
      <w:bookmarkEnd w:id="21"/>
      <w:r>
        <w:rPr>
          <w:b/>
          <w:bCs/>
          <w:color w:val="000000"/>
          <w:lang w:val="en-GB" w:eastAsia="en-IN"/>
        </w:rPr>
        <w:t xml:space="preserve"> </w:t>
      </w:r>
    </w:p>
    <w:p w14:paraId="41B76842" w14:textId="77777777" w:rsidR="003470DA" w:rsidRDefault="00886E12">
      <w:pPr>
        <w:spacing w:line="360" w:lineRule="auto"/>
        <w:jc w:val="both"/>
        <w:rPr>
          <w:lang w:val="en-GB" w:eastAsia="en-IN"/>
        </w:rPr>
      </w:pPr>
      <w:r>
        <w:rPr>
          <w:lang w:val="en-GB" w:eastAsia="en-IN"/>
        </w:rPr>
        <w:t>If the premium cleaning ecosystem model on AI is implemented, Dyson can leverage its differentiator beyond the product hardware to an ongoing digital value creation. Innovation would be speeded up and connectivity be</w:t>
      </w:r>
      <w:r>
        <w:rPr>
          <w:lang w:val="en-GB" w:eastAsia="en-IN"/>
        </w:rPr>
        <w:t xml:space="preserve">tween the Dyson V15 Detect and the </w:t>
      </w:r>
      <w:proofErr w:type="spellStart"/>
      <w:r>
        <w:rPr>
          <w:lang w:val="en-GB" w:eastAsia="en-IN"/>
        </w:rPr>
        <w:t>MyDyson</w:t>
      </w:r>
      <w:proofErr w:type="spellEnd"/>
      <w:r>
        <w:rPr>
          <w:lang w:val="en-GB" w:eastAsia="en-IN"/>
        </w:rPr>
        <w:t xml:space="preserve"> platform made seamless with AI-powered features such as predictive maintenance, and personalised cleaning insights. These capabilities enhance either customer convenience, or product performance, or generate great</w:t>
      </w:r>
      <w:r>
        <w:rPr>
          <w:lang w:val="en-GB" w:eastAsia="en-IN"/>
        </w:rPr>
        <w:t>er switching costs through ecosystem lock-in. This, in turn, would strengthen its brand value, making it more difficult for other manufacturers like Shark and Samsung to imitate. If they could achieve better customer retention and repeat sales of their pro</w:t>
      </w:r>
      <w:r>
        <w:rPr>
          <w:lang w:val="en-GB" w:eastAsia="en-IN"/>
        </w:rPr>
        <w:t>ducts and accessories, this would help the company grow its market share and extend its growth over a longer period which in turn would enable it to achieve sustainable long-term profitability and make innovation a more long-term competitive weapon as oppo</w:t>
      </w:r>
      <w:r>
        <w:rPr>
          <w:lang w:val="en-GB" w:eastAsia="en-IN"/>
        </w:rPr>
        <w:t>sed to a product differentiator for the time being.</w:t>
      </w:r>
    </w:p>
    <w:p w14:paraId="34277C27" w14:textId="77777777" w:rsidR="003470DA" w:rsidRDefault="00886E12">
      <w:pPr>
        <w:keepNext/>
        <w:keepLines/>
        <w:spacing w:line="360" w:lineRule="auto"/>
        <w:jc w:val="both"/>
        <w:outlineLvl w:val="2"/>
        <w:rPr>
          <w:b/>
          <w:bCs/>
          <w:color w:val="000000"/>
          <w:lang w:val="en-GB" w:eastAsia="en-IN"/>
        </w:rPr>
      </w:pPr>
      <w:bookmarkStart w:id="22" w:name="_Toc235549195"/>
      <w:r>
        <w:rPr>
          <w:b/>
          <w:bCs/>
          <w:color w:val="000000"/>
          <w:lang w:val="en-GB" w:eastAsia="en-IN"/>
        </w:rPr>
        <w:t>4.4 Implementation Challenges and Solutions</w:t>
      </w:r>
      <w:bookmarkEnd w:id="22"/>
      <w:r>
        <w:rPr>
          <w:b/>
          <w:bCs/>
          <w:color w:val="000000"/>
          <w:lang w:val="en-GB" w:eastAsia="en-IN"/>
        </w:rPr>
        <w:t xml:space="preserve"> </w:t>
      </w:r>
    </w:p>
    <w:p w14:paraId="69D2A547" w14:textId="77777777" w:rsidR="003470DA" w:rsidRDefault="00886E12">
      <w:pPr>
        <w:spacing w:line="360" w:lineRule="auto"/>
        <w:jc w:val="both"/>
        <w:rPr>
          <w:lang w:val="en-GB" w:eastAsia="en-IN"/>
        </w:rPr>
      </w:pPr>
      <w:r>
        <w:rPr>
          <w:lang w:val="en-GB" w:eastAsia="en-IN"/>
        </w:rPr>
        <w:t>There are a number of strategic issues that need to be tackled during implementation. Supply chain disruption and inflation could raise component cost – need t</w:t>
      </w:r>
      <w:r>
        <w:rPr>
          <w:lang w:val="en-GB" w:eastAsia="en-IN"/>
        </w:rPr>
        <w:t>o diversify critical suppliers and further increase strategic inventory buffers – will require investment in the procurement and supply-chain functions, and high implementation priority, to keep products available. Phased feature deployment will minimise f</w:t>
      </w:r>
      <w:r>
        <w:rPr>
          <w:lang w:val="en-GB" w:eastAsia="en-IN"/>
        </w:rPr>
        <w:t>inancial risk for enterprise businesses and hasten their commercialisation while diminishing the need for AI engineers and funding for developing new technologies surrounding AI. Privacy issues, lack of understanding in features of AI might limit uptake am</w:t>
      </w:r>
      <w:r>
        <w:rPr>
          <w:lang w:val="en-GB" w:eastAsia="en-IN"/>
        </w:rPr>
        <w:t xml:space="preserve">ong customers, while ensuring transparent handling of information and customers' education and continued free software updates will help foster positive responses. Last but not least, innovation should not come to a standstill, with the </w:t>
      </w:r>
      <w:r>
        <w:rPr>
          <w:lang w:val="en-GB" w:eastAsia="en-IN"/>
        </w:rPr>
        <w:lastRenderedPageBreak/>
        <w:t>increasing strong c</w:t>
      </w:r>
      <w:r>
        <w:rPr>
          <w:lang w:val="en-GB" w:eastAsia="en-IN"/>
        </w:rPr>
        <w:t>ybersecurity and regulatory compliance needs in the UK, enhancing consumers' trust in data, ensuring brand reputation and foundation for sustainable growth longer term.</w:t>
      </w:r>
    </w:p>
    <w:p w14:paraId="511B8F13" w14:textId="77777777" w:rsidR="003470DA" w:rsidRPr="00372E61" w:rsidRDefault="00886E12">
      <w:pPr>
        <w:keepNext/>
        <w:keepLines/>
        <w:spacing w:line="360" w:lineRule="auto"/>
        <w:jc w:val="both"/>
        <w:outlineLvl w:val="0"/>
        <w:rPr>
          <w:b/>
          <w:bCs/>
          <w:sz w:val="28"/>
          <w:szCs w:val="28"/>
          <w:lang w:val="en-GB" w:eastAsia="en-IN"/>
        </w:rPr>
      </w:pPr>
      <w:bookmarkStart w:id="23" w:name="_59wgtbr0y6vk" w:colFirst="0" w:colLast="0"/>
      <w:bookmarkStart w:id="24" w:name="_Toc235549196"/>
      <w:bookmarkEnd w:id="23"/>
      <w:r w:rsidRPr="00372E61">
        <w:rPr>
          <w:b/>
          <w:bCs/>
          <w:sz w:val="28"/>
          <w:szCs w:val="28"/>
          <w:lang w:val="en-GB" w:eastAsia="en-IN"/>
        </w:rPr>
        <w:t>Section 2: Reflection using Gibb's Reflective Cycle</w:t>
      </w:r>
      <w:bookmarkEnd w:id="24"/>
      <w:r w:rsidRPr="00372E61">
        <w:rPr>
          <w:b/>
          <w:bCs/>
          <w:sz w:val="28"/>
          <w:szCs w:val="28"/>
          <w:lang w:val="en-GB" w:eastAsia="en-IN"/>
        </w:rPr>
        <w:t xml:space="preserve"> </w:t>
      </w:r>
    </w:p>
    <w:p w14:paraId="294CB687" w14:textId="77777777" w:rsidR="003470DA" w:rsidRDefault="00886E12">
      <w:pPr>
        <w:spacing w:line="360" w:lineRule="auto"/>
        <w:jc w:val="both"/>
        <w:rPr>
          <w:lang w:val="en-GB" w:eastAsia="en-IN"/>
        </w:rPr>
      </w:pPr>
      <w:r>
        <w:rPr>
          <w:b/>
          <w:bCs/>
          <w:i/>
          <w:iCs/>
          <w:lang w:val="en-GB" w:eastAsia="en-IN"/>
        </w:rPr>
        <w:t>Description</w:t>
      </w:r>
      <w:r>
        <w:rPr>
          <w:lang w:val="en-GB" w:eastAsia="en-IN"/>
        </w:rPr>
        <w:t>: The strategic analysi</w:t>
      </w:r>
      <w:r>
        <w:rPr>
          <w:lang w:val="en-GB" w:eastAsia="en-IN"/>
        </w:rPr>
        <w:t>s of Dyson Ltd and Dyson V15 Detect in the UK market involved the application of a blend of academic theory and real-time data from company and industry sources. I needed to take a look at both the external and internal environments and the external one wa</w:t>
      </w:r>
      <w:r>
        <w:rPr>
          <w:lang w:val="en-GB" w:eastAsia="en-IN"/>
        </w:rPr>
        <w:t>s analysed using PESTEL, while the internal environment was analysed using VRIO, then a SWOT analysis was completed. I then appraised the CSR and organisational performance by the means of Balanced Scorecard before using Porter's Generic Strategies and Fiv</w:t>
      </w:r>
      <w:r>
        <w:rPr>
          <w:lang w:val="en-GB" w:eastAsia="en-IN"/>
        </w:rPr>
        <w:t>e forces. The findings were interconnected, and this inspired me to create a Recommendation that involved an AI-powered Premium cleaning Ecosystem with Academic Research, Corporate information, Regulatory and Industry proof.</w:t>
      </w:r>
    </w:p>
    <w:p w14:paraId="7F031EB9" w14:textId="77777777" w:rsidR="003470DA" w:rsidRDefault="00886E12">
      <w:pPr>
        <w:spacing w:line="360" w:lineRule="auto"/>
        <w:jc w:val="both"/>
        <w:rPr>
          <w:lang w:val="en-GB" w:eastAsia="en-IN"/>
        </w:rPr>
      </w:pPr>
      <w:r>
        <w:rPr>
          <w:b/>
          <w:bCs/>
          <w:i/>
          <w:iCs/>
          <w:lang w:val="en-GB" w:eastAsia="en-IN"/>
        </w:rPr>
        <w:t>Feelings</w:t>
      </w:r>
      <w:r>
        <w:rPr>
          <w:lang w:val="en-GB" w:eastAsia="en-IN"/>
        </w:rPr>
        <w:t>: There was some initia</w:t>
      </w:r>
      <w:r>
        <w:rPr>
          <w:lang w:val="en-GB" w:eastAsia="en-IN"/>
        </w:rPr>
        <w:t>l confidence that industry is familiar with Dyson, being a brand of products recognized worldwide, but the extent of serious and detailed strategic analysis was not quite enough, unfortunately. PESTEL was especially difficult as each macro-environmental fa</w:t>
      </w:r>
      <w:r>
        <w:rPr>
          <w:lang w:val="en-GB" w:eastAsia="en-IN"/>
        </w:rPr>
        <w:t>ctor had to be synthesized “on site” for the V15 Detect. In addition, I would emphasise the hazardous influence of confirmation bias that has been introduced in me by Dyson's well-established brand in innovation, which meant I learned to think critically a</w:t>
      </w:r>
      <w:r>
        <w:rPr>
          <w:lang w:val="en-GB" w:eastAsia="en-IN"/>
        </w:rPr>
        <w:t>bout the challenges, particularly premium pricing, supply-chain exposure and growing competition, in an evidence-based and balanced way.</w:t>
      </w:r>
    </w:p>
    <w:p w14:paraId="35BE9C90" w14:textId="77777777" w:rsidR="003470DA" w:rsidRDefault="00886E12">
      <w:pPr>
        <w:spacing w:line="360" w:lineRule="auto"/>
        <w:jc w:val="both"/>
        <w:rPr>
          <w:lang w:val="en-GB" w:eastAsia="en-IN"/>
        </w:rPr>
      </w:pPr>
      <w:r>
        <w:rPr>
          <w:b/>
          <w:bCs/>
          <w:i/>
          <w:iCs/>
          <w:lang w:val="en-GB" w:eastAsia="en-IN"/>
        </w:rPr>
        <w:t>Evaluation</w:t>
      </w:r>
      <w:r>
        <w:rPr>
          <w:lang w:val="en-GB" w:eastAsia="en-IN"/>
        </w:rPr>
        <w:t>: One of my benefits in this was incorporating frameworks. For instance, technological opportunities found un</w:t>
      </w:r>
      <w:r>
        <w:rPr>
          <w:lang w:val="en-GB" w:eastAsia="en-IN"/>
        </w:rPr>
        <w:t>der PESTEL were coupled with Dyson's R&amp;D, patents and innovation culture found under VRIO, and SWOT resulted in strategic implications instead of just a listing of factors. Likewise, the Five Forces showed the need for differentiation in the cases of buyer</w:t>
      </w:r>
      <w:r>
        <w:rPr>
          <w:lang w:val="en-GB" w:eastAsia="en-IN"/>
        </w:rPr>
        <w:t xml:space="preserve"> power and high level of competitive rivalry. My conclusions were strengthened by use of the current evidence. Dyson had invested a significant amount in R&amp;D and had lots of patents already.</w:t>
      </w:r>
    </w:p>
    <w:p w14:paraId="6C8915CE" w14:textId="77777777" w:rsidR="003470DA" w:rsidRDefault="00886E12">
      <w:pPr>
        <w:spacing w:line="360" w:lineRule="auto"/>
        <w:jc w:val="both"/>
        <w:rPr>
          <w:lang w:val="en-GB" w:eastAsia="en-IN"/>
        </w:rPr>
      </w:pPr>
      <w:r>
        <w:rPr>
          <w:lang w:val="en-GB" w:eastAsia="en-IN"/>
        </w:rPr>
        <w:t>However, there were some restrictions in the process. As this was</w:t>
      </w:r>
      <w:r>
        <w:rPr>
          <w:lang w:val="en-GB" w:eastAsia="en-IN"/>
        </w:rPr>
        <w:t xml:space="preserve"> a very strict word count, a lot of industry evidence and competitor comparisons had to be either skimmed or explored in greater depth, but superficial skimping was required. In addition, the main sources of information were secondary data sources which ca</w:t>
      </w:r>
      <w:r>
        <w:rPr>
          <w:lang w:val="en-GB" w:eastAsia="en-IN"/>
        </w:rPr>
        <w:t xml:space="preserve">used limitations, as there was no detailed </w:t>
      </w:r>
      <w:r>
        <w:rPr>
          <w:lang w:val="en-GB" w:eastAsia="en-IN"/>
        </w:rPr>
        <w:lastRenderedPageBreak/>
        <w:t>product information concerning profitability in the UK V15 market share and operational data in the company were available.</w:t>
      </w:r>
    </w:p>
    <w:p w14:paraId="62166357" w14:textId="77777777" w:rsidR="003470DA" w:rsidRDefault="00886E12">
      <w:pPr>
        <w:spacing w:line="360" w:lineRule="auto"/>
        <w:jc w:val="both"/>
        <w:rPr>
          <w:lang w:val="en-GB" w:eastAsia="en-IN"/>
        </w:rPr>
      </w:pPr>
      <w:r>
        <w:rPr>
          <w:b/>
          <w:bCs/>
          <w:i/>
          <w:iCs/>
          <w:lang w:val="en-GB" w:eastAsia="en-IN"/>
        </w:rPr>
        <w:t>Analysis</w:t>
      </w:r>
      <w:r>
        <w:rPr>
          <w:lang w:val="en-GB" w:eastAsia="en-IN"/>
        </w:rPr>
        <w:t>: The core learning was a lack of mechanical use of individual models: appropriat</w:t>
      </w:r>
      <w:r>
        <w:rPr>
          <w:lang w:val="en-GB" w:eastAsia="en-IN"/>
        </w:rPr>
        <w:t>e strategic analysis involves triangulation and synthesis. PESTEL was useful to see what forces are impacting the environment, but VRIO was required to see if Dyson had the ability to respond to them adequately. Technological disruption, for example, is an</w:t>
      </w:r>
      <w:r>
        <w:rPr>
          <w:lang w:val="en-GB" w:eastAsia="en-IN"/>
        </w:rPr>
        <w:t xml:space="preserve"> opportunity and a threat but Dyson's engineering skill set, IP and R&amp;D capability boosts its ability to take advantage of the disruption.</w:t>
      </w:r>
    </w:p>
    <w:p w14:paraId="0FEDE2D7" w14:textId="77777777" w:rsidR="003470DA" w:rsidRDefault="00886E12">
      <w:pPr>
        <w:spacing w:line="360" w:lineRule="auto"/>
        <w:jc w:val="both"/>
        <w:rPr>
          <w:lang w:val="en-GB" w:eastAsia="en-IN"/>
        </w:rPr>
      </w:pPr>
      <w:r>
        <w:rPr>
          <w:lang w:val="en-GB" w:eastAsia="en-IN"/>
        </w:rPr>
        <w:t>I was able to also identify that recommendations should be based on prior evidence in a logical fashion. The new conc</w:t>
      </w:r>
      <w:r>
        <w:rPr>
          <w:lang w:val="en-GB" w:eastAsia="en-IN"/>
        </w:rPr>
        <w:t>ept of cleaning through AI was thus related to Dyson's existing differentiation strategy, the technology of sensors, its digital prowess and its array of tools and resources for innovation, rather than being based on the completely unrelated idea of divers</w:t>
      </w:r>
      <w:r>
        <w:rPr>
          <w:lang w:val="en-GB" w:eastAsia="en-IN"/>
        </w:rPr>
        <w:t>ification. This gave an added degree of strategic viability to the recommendation. The process as a whole has strengthened my competency to differentiate between description, analysis and evaluation more especially by asking "what does each piece of eviden</w:t>
      </w:r>
      <w:r>
        <w:rPr>
          <w:lang w:val="en-GB" w:eastAsia="en-IN"/>
        </w:rPr>
        <w:t>ce mean for competitive advantage and future decision making" for every piece of evidence.</w:t>
      </w:r>
    </w:p>
    <w:p w14:paraId="34240A9A" w14:textId="77777777" w:rsidR="003470DA" w:rsidRDefault="00886E12">
      <w:pPr>
        <w:spacing w:line="360" w:lineRule="auto"/>
        <w:jc w:val="both"/>
        <w:rPr>
          <w:lang w:val="en-GB" w:eastAsia="en-IN"/>
        </w:rPr>
      </w:pPr>
      <w:r>
        <w:rPr>
          <w:b/>
          <w:bCs/>
          <w:i/>
          <w:iCs/>
          <w:lang w:val="en-GB" w:eastAsia="en-IN"/>
        </w:rPr>
        <w:t>Conclusion</w:t>
      </w:r>
      <w:r>
        <w:rPr>
          <w:lang w:val="en-GB" w:eastAsia="en-IN"/>
        </w:rPr>
        <w:t>: As an overall assessment, I'm able to conduct a strategic approach now that is more structured and based on the evidence. I was able to understand that t</w:t>
      </w:r>
      <w:r>
        <w:rPr>
          <w:lang w:val="en-GB" w:eastAsia="en-IN"/>
        </w:rPr>
        <w:t>he recommendations are credible when there are clear linkages between external conditions, internal resources, competitive pressures and implementation capability. Strengths for future work would include starting competitor and quantitative market data col</w:t>
      </w:r>
      <w:r>
        <w:rPr>
          <w:lang w:val="en-GB" w:eastAsia="en-IN"/>
        </w:rPr>
        <w:t>lection at an earlier stage and creating an evidence matrix prior to writing the draft, allowing for increased triangulation.</w:t>
      </w:r>
    </w:p>
    <w:p w14:paraId="65B78E22" w14:textId="77777777" w:rsidR="003470DA" w:rsidRDefault="00886E12">
      <w:pPr>
        <w:spacing w:line="360" w:lineRule="auto"/>
        <w:jc w:val="both"/>
        <w:rPr>
          <w:lang w:val="en-GB" w:eastAsia="en-IN"/>
        </w:rPr>
      </w:pPr>
      <w:r>
        <w:rPr>
          <w:b/>
          <w:bCs/>
          <w:i/>
          <w:iCs/>
          <w:lang w:val="en-GB" w:eastAsia="en-IN"/>
        </w:rPr>
        <w:t>Action Plan</w:t>
      </w:r>
      <w:r>
        <w:rPr>
          <w:lang w:val="en-GB" w:eastAsia="en-IN"/>
        </w:rPr>
        <w:t>: My next strategic assessment I will develop an evidence matrix within the 1st 3 days and include a minimum of 20 cred</w:t>
      </w:r>
      <w:r>
        <w:rPr>
          <w:lang w:val="en-GB" w:eastAsia="en-IN"/>
        </w:rPr>
        <w:t xml:space="preserve">ible sources, which are at least 5 peer-reviewed academic sources, 5 company/industry sources, and 5 government/regulatory sources. If data allows, I will double-check all significant strategic points from at least two different sources prior to drafting. </w:t>
      </w:r>
      <w:r>
        <w:rPr>
          <w:lang w:val="en-GB" w:eastAsia="en-IN"/>
        </w:rPr>
        <w:t>Also, I will spend 7 days before submission for external/internal analyses, which will still provide me with 3 days for critical revision before submission. Finally, I will use a framework-integration checklist to ensure that every recommendation can be li</w:t>
      </w:r>
      <w:r>
        <w:rPr>
          <w:lang w:val="en-GB" w:eastAsia="en-IN"/>
        </w:rPr>
        <w:t>nked to evidence from at least two other analytical frameworks, aiming at increasing analytical coherence, evidence quality and the feasibility of the future strategic recommendations.</w:t>
      </w:r>
    </w:p>
    <w:p w14:paraId="4DD4A689" w14:textId="77777777" w:rsidR="003470DA" w:rsidRDefault="00886E12">
      <w:pPr>
        <w:spacing w:line="360" w:lineRule="auto"/>
        <w:jc w:val="both"/>
        <w:rPr>
          <w:lang w:val="en-GB" w:eastAsia="en-IN"/>
        </w:rPr>
      </w:pPr>
      <w:r>
        <w:rPr>
          <w:rFonts w:ascii="Arial" w:eastAsia="Arial" w:hAnsi="Arial" w:cs="Arial"/>
          <w:sz w:val="22"/>
          <w:szCs w:val="22"/>
          <w:lang w:val="en-GB" w:eastAsia="en-IN"/>
        </w:rPr>
        <w:br w:type="page"/>
      </w:r>
    </w:p>
    <w:p w14:paraId="7205BD18" w14:textId="77777777" w:rsidR="003470DA" w:rsidRDefault="00886E12">
      <w:pPr>
        <w:keepNext/>
        <w:keepLines/>
        <w:spacing w:line="360" w:lineRule="auto"/>
        <w:jc w:val="both"/>
        <w:outlineLvl w:val="0"/>
        <w:rPr>
          <w:rFonts w:ascii="Arial" w:eastAsia="Arial" w:hAnsi="Arial" w:cs="Arial"/>
          <w:sz w:val="40"/>
          <w:szCs w:val="40"/>
          <w:lang w:val="en-GB" w:eastAsia="en-IN"/>
        </w:rPr>
      </w:pPr>
      <w:bookmarkStart w:id="25" w:name="_Toc235549197"/>
      <w:r>
        <w:rPr>
          <w:b/>
          <w:bCs/>
          <w:sz w:val="28"/>
          <w:szCs w:val="28"/>
          <w:lang w:val="en-GB" w:eastAsia="en-IN"/>
        </w:rPr>
        <w:t>References</w:t>
      </w:r>
      <w:bookmarkEnd w:id="25"/>
      <w:r>
        <w:rPr>
          <w:rFonts w:ascii="Arial" w:eastAsia="Arial" w:hAnsi="Arial" w:cs="Arial"/>
          <w:sz w:val="40"/>
          <w:szCs w:val="40"/>
          <w:lang w:val="en-GB" w:eastAsia="en-IN"/>
        </w:rPr>
        <w:t xml:space="preserve"> </w:t>
      </w:r>
    </w:p>
    <w:p w14:paraId="61342E10" w14:textId="77777777" w:rsidR="00447152" w:rsidRDefault="00886E12">
      <w:pPr>
        <w:spacing w:line="360" w:lineRule="auto"/>
        <w:jc w:val="both"/>
        <w:rPr>
          <w:lang w:val="en-GB" w:eastAsia="en-IN"/>
        </w:rPr>
      </w:pPr>
      <w:proofErr w:type="spellStart"/>
      <w:r>
        <w:rPr>
          <w:lang w:val="en-GB" w:eastAsia="en-IN"/>
        </w:rPr>
        <w:t>Alfian</w:t>
      </w:r>
      <w:proofErr w:type="spellEnd"/>
      <w:r>
        <w:rPr>
          <w:lang w:val="en-GB" w:eastAsia="en-IN"/>
        </w:rPr>
        <w:t xml:space="preserve">, A.F., 2021. Technology Entrepreneurship Project (ENT 600): Dyson Ltd. </w:t>
      </w:r>
      <w:hyperlink r:id="rId11">
        <w:r>
          <w:rPr>
            <w:color w:val="1155CC"/>
            <w:u w:val="single"/>
            <w:lang w:val="en-GB" w:eastAsia="en-IN"/>
          </w:rPr>
          <w:t>https://ir.uitm.edu.my/id/eprint/48314/1/48314.pdf</w:t>
        </w:r>
      </w:hyperlink>
      <w:r>
        <w:rPr>
          <w:lang w:val="en-GB" w:eastAsia="en-IN"/>
        </w:rPr>
        <w:t xml:space="preserve"> </w:t>
      </w:r>
    </w:p>
    <w:p w14:paraId="29D80ED4" w14:textId="77777777" w:rsidR="00447152" w:rsidRDefault="00886E12">
      <w:pPr>
        <w:spacing w:line="360" w:lineRule="auto"/>
        <w:jc w:val="both"/>
        <w:rPr>
          <w:lang w:val="en-GB" w:eastAsia="en-IN"/>
        </w:rPr>
      </w:pPr>
      <w:r>
        <w:rPr>
          <w:lang w:val="en-GB" w:eastAsia="en-IN"/>
        </w:rPr>
        <w:t xml:space="preserve">Bailey, D., De </w:t>
      </w:r>
      <w:proofErr w:type="spellStart"/>
      <w:r>
        <w:rPr>
          <w:lang w:val="en-GB" w:eastAsia="en-IN"/>
        </w:rPr>
        <w:t>Propris</w:t>
      </w:r>
      <w:proofErr w:type="spellEnd"/>
      <w:r>
        <w:rPr>
          <w:lang w:val="en-GB" w:eastAsia="en-IN"/>
        </w:rPr>
        <w:t>, L., De Ruyter, A., Hearne, D. and Orte</w:t>
      </w:r>
      <w:r>
        <w:rPr>
          <w:lang w:val="en-GB" w:eastAsia="en-IN"/>
        </w:rPr>
        <w:t>ga-</w:t>
      </w:r>
      <w:proofErr w:type="spellStart"/>
      <w:r>
        <w:rPr>
          <w:lang w:val="en-GB" w:eastAsia="en-IN"/>
        </w:rPr>
        <w:t>Argilés</w:t>
      </w:r>
      <w:proofErr w:type="spellEnd"/>
      <w:r>
        <w:rPr>
          <w:lang w:val="en-GB" w:eastAsia="en-IN"/>
        </w:rPr>
        <w:t xml:space="preserve">, R., 2023. Brexit, trade and UK advanced manufacturing sectors: A Midlands’ perspective. Contemporary Social Science, 18(2), pp.250-265. </w:t>
      </w:r>
      <w:hyperlink r:id="rId12">
        <w:r>
          <w:rPr>
            <w:color w:val="1155CC"/>
            <w:u w:val="single"/>
            <w:lang w:val="en-GB" w:eastAsia="en-IN"/>
          </w:rPr>
          <w:t>https://doi.org/10.1080/21582041.2023.21927</w:t>
        </w:r>
        <w:r>
          <w:rPr>
            <w:color w:val="1155CC"/>
            <w:u w:val="single"/>
            <w:lang w:val="en-GB" w:eastAsia="en-IN"/>
          </w:rPr>
          <w:t>00</w:t>
        </w:r>
      </w:hyperlink>
      <w:r>
        <w:rPr>
          <w:lang w:val="en-GB" w:eastAsia="en-IN"/>
        </w:rPr>
        <w:t xml:space="preserve"> </w:t>
      </w:r>
    </w:p>
    <w:p w14:paraId="60BDADE2" w14:textId="77777777" w:rsidR="00447152" w:rsidRDefault="00886E12">
      <w:pPr>
        <w:spacing w:line="360" w:lineRule="auto"/>
        <w:jc w:val="both"/>
        <w:rPr>
          <w:lang w:val="en-GB" w:eastAsia="en-IN"/>
        </w:rPr>
      </w:pPr>
      <w:r>
        <w:rPr>
          <w:lang w:val="en-GB" w:eastAsia="en-IN"/>
        </w:rPr>
        <w:t xml:space="preserve">Bishop, J. and Abramowski, W., 2025. UKCA, UKNI and CE Standards in Comparison: New regulatory systems after Brexit. </w:t>
      </w:r>
      <w:proofErr w:type="spellStart"/>
      <w:r>
        <w:rPr>
          <w:lang w:val="en-GB" w:eastAsia="en-IN"/>
        </w:rPr>
        <w:t>BoD</w:t>
      </w:r>
      <w:proofErr w:type="spellEnd"/>
      <w:r>
        <w:rPr>
          <w:lang w:val="en-GB" w:eastAsia="en-IN"/>
        </w:rPr>
        <w:t xml:space="preserve">–Books on Demand. </w:t>
      </w:r>
      <w:hyperlink r:id="rId13" w:anchor="v=onepage&amp;q&amp;f=false">
        <w:r>
          <w:rPr>
            <w:color w:val="1155CC"/>
            <w:u w:val="single"/>
            <w:lang w:val="en-GB" w:eastAsia="en-IN"/>
          </w:rPr>
          <w:t>https://books.google.co.in/books?hl=en&amp;lr=&amp;id=hd0-EQAAQBAJ&amp;oi=fnd&amp;pg=PA11&amp;dq=info:eEZhDwmFdnUJ:scholar.google.com/&amp;ots=ZYuH8oX8ge&amp;sig=dRubiOK1FvUcNXewt0</w:t>
        </w:r>
        <w:r>
          <w:rPr>
            <w:color w:val="1155CC"/>
            <w:u w:val="single"/>
            <w:lang w:val="en-GB" w:eastAsia="en-IN"/>
          </w:rPr>
          <w:t>67bdznny8&amp;redir_esc=y#v=onepage&amp;q&amp;f=false</w:t>
        </w:r>
      </w:hyperlink>
      <w:r>
        <w:rPr>
          <w:lang w:val="en-GB" w:eastAsia="en-IN"/>
        </w:rPr>
        <w:t xml:space="preserve"> </w:t>
      </w:r>
    </w:p>
    <w:p w14:paraId="67C4B341" w14:textId="77777777" w:rsidR="00447152" w:rsidRDefault="00886E12">
      <w:pPr>
        <w:spacing w:line="360" w:lineRule="auto"/>
        <w:jc w:val="both"/>
        <w:rPr>
          <w:lang w:val="en-GB" w:eastAsia="en-IN"/>
        </w:rPr>
      </w:pPr>
      <w:r>
        <w:rPr>
          <w:lang w:val="en-GB" w:eastAsia="en-IN"/>
        </w:rPr>
        <w:t xml:space="preserve">Built In, 2026. ‘Dyson company growth, stability &amp; outlook’. Built In, updated 16 April. </w:t>
      </w:r>
      <w:hyperlink r:id="rId14">
        <w:r>
          <w:rPr>
            <w:color w:val="1155CC"/>
            <w:u w:val="single"/>
            <w:lang w:val="en-GB" w:eastAsia="en-IN"/>
          </w:rPr>
          <w:t>https://builtin.com/company/</w:t>
        </w:r>
        <w:proofErr w:type="spellStart"/>
        <w:r>
          <w:rPr>
            <w:color w:val="1155CC"/>
            <w:u w:val="single"/>
            <w:lang w:val="en-GB" w:eastAsia="en-IN"/>
          </w:rPr>
          <w:t>dyson</w:t>
        </w:r>
        <w:proofErr w:type="spellEnd"/>
        <w:r>
          <w:rPr>
            <w:color w:val="1155CC"/>
            <w:u w:val="single"/>
            <w:lang w:val="en-GB" w:eastAsia="en-IN"/>
          </w:rPr>
          <w:t>/</w:t>
        </w:r>
        <w:proofErr w:type="spellStart"/>
        <w:r>
          <w:rPr>
            <w:color w:val="1155CC"/>
            <w:u w:val="single"/>
            <w:lang w:val="en-GB" w:eastAsia="en-IN"/>
          </w:rPr>
          <w:t>faq</w:t>
        </w:r>
        <w:proofErr w:type="spellEnd"/>
        <w:r>
          <w:rPr>
            <w:color w:val="1155CC"/>
            <w:u w:val="single"/>
            <w:lang w:val="en-GB" w:eastAsia="en-IN"/>
          </w:rPr>
          <w:t>/sta</w:t>
        </w:r>
        <w:r>
          <w:rPr>
            <w:color w:val="1155CC"/>
            <w:u w:val="single"/>
            <w:lang w:val="en-GB" w:eastAsia="en-IN"/>
          </w:rPr>
          <w:t>bility-growth</w:t>
        </w:r>
        <w:r>
          <w:rPr>
            <w:rFonts w:ascii="Segoe UI Symbol" w:eastAsia="Segoe UI Symbol" w:hAnsi="Segoe UI Symbol" w:cs="Segoe UI Symbol"/>
            <w:color w:val="1155CC"/>
            <w:u w:val="single"/>
            <w:lang w:val="en-GB" w:eastAsia="en-IN"/>
          </w:rPr>
          <w:t>⁠</w:t>
        </w:r>
      </w:hyperlink>
      <w:r>
        <w:rPr>
          <w:lang w:val="en-GB" w:eastAsia="en-IN"/>
        </w:rPr>
        <w:t xml:space="preserve"> </w:t>
      </w:r>
    </w:p>
    <w:p w14:paraId="001DC3FF" w14:textId="77777777" w:rsidR="00447152" w:rsidRDefault="00886E12">
      <w:pPr>
        <w:spacing w:line="360" w:lineRule="auto"/>
        <w:jc w:val="both"/>
        <w:rPr>
          <w:lang w:val="en-GB" w:eastAsia="en-IN"/>
        </w:rPr>
      </w:pPr>
      <w:r>
        <w:rPr>
          <w:lang w:val="en-GB" w:eastAsia="en-IN"/>
        </w:rPr>
        <w:t xml:space="preserve">Cullen, T. (2018) ‘Dyson’s new Singapore factory reflects new supply chain structures’, Transport Intelligence, 23 October.  </w:t>
      </w:r>
      <w:hyperlink r:id="rId15">
        <w:r>
          <w:rPr>
            <w:color w:val="1155CC"/>
            <w:u w:val="single"/>
            <w:lang w:val="en-GB" w:eastAsia="en-IN"/>
          </w:rPr>
          <w:t>https://ti-insight.com/briefs/dysons-new-singapore-factory-reflects-new-supply-chain-structures/</w:t>
        </w:r>
        <w:r>
          <w:rPr>
            <w:rFonts w:ascii="Segoe UI Symbol" w:eastAsia="Segoe UI Symbol" w:hAnsi="Segoe UI Symbol" w:cs="Segoe UI Symbol"/>
            <w:color w:val="1155CC"/>
            <w:u w:val="single"/>
            <w:lang w:val="en-GB" w:eastAsia="en-IN"/>
          </w:rPr>
          <w:t>⁠</w:t>
        </w:r>
      </w:hyperlink>
      <w:r>
        <w:rPr>
          <w:lang w:val="en-GB" w:eastAsia="en-IN"/>
        </w:rPr>
        <w:t xml:space="preserve"> </w:t>
      </w:r>
    </w:p>
    <w:p w14:paraId="10F4B906" w14:textId="77777777" w:rsidR="00447152" w:rsidRDefault="00886E12">
      <w:pPr>
        <w:spacing w:line="360" w:lineRule="auto"/>
        <w:jc w:val="both"/>
        <w:rPr>
          <w:lang w:val="en-GB" w:eastAsia="en-IN"/>
        </w:rPr>
      </w:pPr>
      <w:r>
        <w:rPr>
          <w:lang w:val="en-GB" w:eastAsia="en-IN"/>
        </w:rPr>
        <w:t xml:space="preserve">Dyson, 2025. Dyson financial results 2025. Dyson News – Press Releases.  </w:t>
      </w:r>
      <w:hyperlink r:id="rId16">
        <w:r>
          <w:rPr>
            <w:color w:val="1155CC"/>
            <w:u w:val="single"/>
            <w:lang w:val="en-GB" w:eastAsia="en-IN"/>
          </w:rPr>
          <w:t>https://www.dyson.co.uk/discover/news/press-releases/dyson-financial-results-2025</w:t>
        </w:r>
        <w:r>
          <w:rPr>
            <w:rFonts w:ascii="Segoe UI Symbol" w:eastAsia="Segoe UI Symbol" w:hAnsi="Segoe UI Symbol" w:cs="Segoe UI Symbol"/>
            <w:color w:val="1155CC"/>
            <w:u w:val="single"/>
            <w:lang w:val="en-GB" w:eastAsia="en-IN"/>
          </w:rPr>
          <w:t>⁠</w:t>
        </w:r>
      </w:hyperlink>
      <w:r>
        <w:rPr>
          <w:lang w:val="en-GB" w:eastAsia="en-IN"/>
        </w:rPr>
        <w:t xml:space="preserve"> </w:t>
      </w:r>
    </w:p>
    <w:p w14:paraId="176AD52E" w14:textId="77777777" w:rsidR="00447152" w:rsidRDefault="00886E12">
      <w:pPr>
        <w:spacing w:line="360" w:lineRule="auto"/>
        <w:jc w:val="both"/>
        <w:rPr>
          <w:lang w:val="en-GB" w:eastAsia="en-IN"/>
        </w:rPr>
      </w:pPr>
      <w:r>
        <w:rPr>
          <w:lang w:val="en-GB" w:eastAsia="en-IN"/>
        </w:rPr>
        <w:t>Dyson, 2026. ‘Never without your Dyson: Experience and own the l</w:t>
      </w:r>
      <w:r>
        <w:rPr>
          <w:lang w:val="en-GB" w:eastAsia="en-IN"/>
        </w:rPr>
        <w:t xml:space="preserve">atest technology during repairs’, Dyson, 13 May.  </w:t>
      </w:r>
      <w:hyperlink r:id="rId17">
        <w:r>
          <w:rPr>
            <w:color w:val="1155CC"/>
            <w:u w:val="single"/>
            <w:lang w:val="en-GB" w:eastAsia="en-IN"/>
          </w:rPr>
          <w:t>https://www.dyson.in/discover/never-without-your-</w:t>
        </w:r>
        <w:proofErr w:type="spellStart"/>
        <w:r>
          <w:rPr>
            <w:color w:val="1155CC"/>
            <w:u w:val="single"/>
            <w:lang w:val="en-GB" w:eastAsia="en-IN"/>
          </w:rPr>
          <w:t>dyson</w:t>
        </w:r>
        <w:proofErr w:type="spellEnd"/>
        <w:r>
          <w:rPr>
            <w:rFonts w:ascii="Segoe UI Symbol" w:eastAsia="Segoe UI Symbol" w:hAnsi="Segoe UI Symbol" w:cs="Segoe UI Symbol"/>
            <w:color w:val="1155CC"/>
            <w:u w:val="single"/>
            <w:lang w:val="en-GB" w:eastAsia="en-IN"/>
          </w:rPr>
          <w:t>⁠</w:t>
        </w:r>
      </w:hyperlink>
      <w:r>
        <w:rPr>
          <w:lang w:val="en-GB" w:eastAsia="en-IN"/>
        </w:rPr>
        <w:t xml:space="preserve"> </w:t>
      </w:r>
    </w:p>
    <w:p w14:paraId="7880F7D1" w14:textId="77777777" w:rsidR="00447152" w:rsidRDefault="00886E12">
      <w:pPr>
        <w:spacing w:line="360" w:lineRule="auto"/>
        <w:jc w:val="both"/>
        <w:rPr>
          <w:lang w:val="en-GB" w:eastAsia="en-IN"/>
        </w:rPr>
      </w:pPr>
      <w:r>
        <w:rPr>
          <w:lang w:val="en-GB" w:eastAsia="en-IN"/>
        </w:rPr>
        <w:t>Dyson, 2026. Dyson V15 Detect Absolute cordless vacuum (Yellow/Iro</w:t>
      </w:r>
      <w:r>
        <w:rPr>
          <w:lang w:val="en-GB" w:eastAsia="en-IN"/>
        </w:rPr>
        <w:t xml:space="preserve">n/Nickel).  </w:t>
      </w:r>
      <w:hyperlink r:id="rId18">
        <w:r>
          <w:rPr>
            <w:color w:val="1155CC"/>
            <w:u w:val="single"/>
            <w:lang w:val="en-GB" w:eastAsia="en-IN"/>
          </w:rPr>
          <w:t>https://www.dyson.ie/vacuum-cleaners/cordless/v15/detect-yellow-nickel</w:t>
        </w:r>
        <w:r>
          <w:rPr>
            <w:rFonts w:ascii="Segoe UI Symbol" w:eastAsia="Segoe UI Symbol" w:hAnsi="Segoe UI Symbol" w:cs="Segoe UI Symbol"/>
            <w:color w:val="1155CC"/>
            <w:u w:val="single"/>
            <w:lang w:val="en-GB" w:eastAsia="en-IN"/>
          </w:rPr>
          <w:t>⁠</w:t>
        </w:r>
      </w:hyperlink>
      <w:r>
        <w:rPr>
          <w:lang w:val="en-GB" w:eastAsia="en-IN"/>
        </w:rPr>
        <w:t xml:space="preserve"> </w:t>
      </w:r>
    </w:p>
    <w:p w14:paraId="06B00279" w14:textId="77777777" w:rsidR="00447152" w:rsidRDefault="00886E12">
      <w:pPr>
        <w:spacing w:line="360" w:lineRule="auto"/>
        <w:jc w:val="both"/>
        <w:rPr>
          <w:lang w:val="en-GB" w:eastAsia="en-IN"/>
        </w:rPr>
      </w:pPr>
      <w:r>
        <w:rPr>
          <w:lang w:val="en-GB" w:eastAsia="en-IN"/>
        </w:rPr>
        <w:t xml:space="preserve">Dyson, 2026. Dyson V15 Detect™ vacuums – Overview. Dyson Oman.  </w:t>
      </w:r>
      <w:hyperlink r:id="rId19">
        <w:r>
          <w:rPr>
            <w:color w:val="1155CC"/>
            <w:u w:val="single"/>
            <w:lang w:val="en-GB" w:eastAsia="en-IN"/>
          </w:rPr>
          <w:t>https://www.dyson.om/en-OM/products/vacuum-cleaners/dyson-v15-vacuums/overview</w:t>
        </w:r>
        <w:r>
          <w:rPr>
            <w:rFonts w:ascii="Segoe UI Symbol" w:eastAsia="Segoe UI Symbol" w:hAnsi="Segoe UI Symbol" w:cs="Segoe UI Symbol"/>
            <w:color w:val="1155CC"/>
            <w:u w:val="single"/>
            <w:lang w:val="en-GB" w:eastAsia="en-IN"/>
          </w:rPr>
          <w:t>⁠</w:t>
        </w:r>
      </w:hyperlink>
      <w:r>
        <w:rPr>
          <w:lang w:val="en-GB" w:eastAsia="en-IN"/>
        </w:rPr>
        <w:t xml:space="preserve"> </w:t>
      </w:r>
    </w:p>
    <w:p w14:paraId="295B9714" w14:textId="77777777" w:rsidR="00447152" w:rsidRDefault="00886E12">
      <w:pPr>
        <w:spacing w:line="360" w:lineRule="auto"/>
        <w:jc w:val="both"/>
        <w:rPr>
          <w:lang w:val="en-GB" w:eastAsia="en-IN"/>
        </w:rPr>
      </w:pPr>
      <w:r>
        <w:rPr>
          <w:lang w:val="en-GB" w:eastAsia="en-IN"/>
        </w:rPr>
        <w:t xml:space="preserve">Dyson, 2026. Our journey towards sustainability. Dyson New Zealand.  </w:t>
      </w:r>
      <w:hyperlink r:id="rId20">
        <w:r>
          <w:rPr>
            <w:color w:val="1155CC"/>
            <w:u w:val="single"/>
            <w:lang w:val="en-GB" w:eastAsia="en-IN"/>
          </w:rPr>
          <w:t>https://www.dyson.co.nz/</w:t>
        </w:r>
        <w:proofErr w:type="spellStart"/>
        <w:r>
          <w:rPr>
            <w:color w:val="1155CC"/>
            <w:u w:val="single"/>
            <w:lang w:val="en-GB" w:eastAsia="en-IN"/>
          </w:rPr>
          <w:t>dyson</w:t>
        </w:r>
        <w:proofErr w:type="spellEnd"/>
        <w:r>
          <w:rPr>
            <w:color w:val="1155CC"/>
            <w:u w:val="single"/>
            <w:lang w:val="en-GB" w:eastAsia="en-IN"/>
          </w:rPr>
          <w:t>-sustainability</w:t>
        </w:r>
        <w:r>
          <w:rPr>
            <w:rFonts w:ascii="Segoe UI Symbol" w:eastAsia="Segoe UI Symbol" w:hAnsi="Segoe UI Symbol" w:cs="Segoe UI Symbol"/>
            <w:color w:val="1155CC"/>
            <w:u w:val="single"/>
            <w:lang w:val="en-GB" w:eastAsia="en-IN"/>
          </w:rPr>
          <w:t>⁠</w:t>
        </w:r>
      </w:hyperlink>
      <w:r>
        <w:rPr>
          <w:lang w:val="en-GB" w:eastAsia="en-IN"/>
        </w:rPr>
        <w:t xml:space="preserve"> </w:t>
      </w:r>
    </w:p>
    <w:p w14:paraId="39BF99CE" w14:textId="77777777" w:rsidR="00447152" w:rsidRDefault="00886E12">
      <w:pPr>
        <w:spacing w:line="360" w:lineRule="auto"/>
        <w:jc w:val="both"/>
        <w:rPr>
          <w:lang w:val="en-GB" w:eastAsia="en-IN"/>
        </w:rPr>
      </w:pPr>
      <w:r>
        <w:rPr>
          <w:lang w:val="en-GB" w:eastAsia="en-IN"/>
        </w:rPr>
        <w:t xml:space="preserve">Dyson, 2026. Research engineering. Dyson Careers.  </w:t>
      </w:r>
      <w:hyperlink r:id="rId21">
        <w:r>
          <w:rPr>
            <w:color w:val="1155CC"/>
            <w:u w:val="single"/>
            <w:lang w:val="en-GB" w:eastAsia="en-IN"/>
          </w:rPr>
          <w:t>https://careers.dyson.com/en-gb/what-you-can-do/engineer/research/</w:t>
        </w:r>
        <w:r>
          <w:rPr>
            <w:rFonts w:ascii="Segoe UI Symbol" w:eastAsia="Segoe UI Symbol" w:hAnsi="Segoe UI Symbol" w:cs="Segoe UI Symbol"/>
            <w:color w:val="1155CC"/>
            <w:u w:val="single"/>
            <w:lang w:val="en-GB" w:eastAsia="en-IN"/>
          </w:rPr>
          <w:t>⁠</w:t>
        </w:r>
      </w:hyperlink>
      <w:r>
        <w:rPr>
          <w:lang w:val="en-GB" w:eastAsia="en-IN"/>
        </w:rPr>
        <w:t xml:space="preserve"> </w:t>
      </w:r>
    </w:p>
    <w:p w14:paraId="067C4EE1" w14:textId="77777777" w:rsidR="00447152" w:rsidRDefault="00886E12">
      <w:pPr>
        <w:spacing w:line="360" w:lineRule="auto"/>
        <w:jc w:val="both"/>
        <w:rPr>
          <w:lang w:val="en-GB" w:eastAsia="en-IN"/>
        </w:rPr>
      </w:pPr>
      <w:r>
        <w:rPr>
          <w:lang w:val="en-GB" w:eastAsia="en-IN"/>
        </w:rPr>
        <w:t xml:space="preserve">Dyson, 2026. Responsible sourcing. Dyson India.  </w:t>
      </w:r>
      <w:hyperlink r:id="rId22">
        <w:r>
          <w:rPr>
            <w:color w:val="1155CC"/>
            <w:u w:val="single"/>
            <w:lang w:val="en-GB" w:eastAsia="en-IN"/>
          </w:rPr>
          <w:t>https://www.dyson.in</w:t>
        </w:r>
        <w:r>
          <w:rPr>
            <w:color w:val="1155CC"/>
            <w:u w:val="single"/>
            <w:lang w:val="en-GB" w:eastAsia="en-IN"/>
          </w:rPr>
          <w:t>/inside-dyson/corporate-social-responsibility/responsible-sourcing</w:t>
        </w:r>
        <w:r>
          <w:rPr>
            <w:rFonts w:ascii="Segoe UI Symbol" w:eastAsia="Segoe UI Symbol" w:hAnsi="Segoe UI Symbol" w:cs="Segoe UI Symbol"/>
            <w:color w:val="1155CC"/>
            <w:u w:val="single"/>
            <w:lang w:val="en-GB" w:eastAsia="en-IN"/>
          </w:rPr>
          <w:t>⁠</w:t>
        </w:r>
      </w:hyperlink>
      <w:r>
        <w:rPr>
          <w:lang w:val="en-GB" w:eastAsia="en-IN"/>
        </w:rPr>
        <w:t xml:space="preserve"> </w:t>
      </w:r>
    </w:p>
    <w:p w14:paraId="69EAB573" w14:textId="77777777" w:rsidR="00447152" w:rsidRDefault="00886E12">
      <w:pPr>
        <w:spacing w:line="360" w:lineRule="auto"/>
        <w:jc w:val="both"/>
        <w:rPr>
          <w:lang w:val="en-GB" w:eastAsia="en-IN"/>
        </w:rPr>
      </w:pPr>
      <w:r>
        <w:rPr>
          <w:lang w:val="en-GB" w:eastAsia="en-IN"/>
        </w:rPr>
        <w:lastRenderedPageBreak/>
        <w:t xml:space="preserve">Dyson, J., 2020. ‘Doing more with less’. Dyson.  </w:t>
      </w:r>
      <w:hyperlink r:id="rId23">
        <w:r>
          <w:rPr>
            <w:color w:val="1155CC"/>
            <w:u w:val="single"/>
            <w:lang w:val="en-GB" w:eastAsia="en-IN"/>
          </w:rPr>
          <w:t>https://www.dyson.co.uk/discover/archive/2020/sus</w:t>
        </w:r>
        <w:r>
          <w:rPr>
            <w:color w:val="1155CC"/>
            <w:u w:val="single"/>
            <w:lang w:val="en-GB" w:eastAsia="en-IN"/>
          </w:rPr>
          <w:t>tainability</w:t>
        </w:r>
        <w:r>
          <w:rPr>
            <w:rFonts w:ascii="Segoe UI Symbol" w:eastAsia="Segoe UI Symbol" w:hAnsi="Segoe UI Symbol" w:cs="Segoe UI Symbol"/>
            <w:color w:val="1155CC"/>
            <w:u w:val="single"/>
            <w:lang w:val="en-GB" w:eastAsia="en-IN"/>
          </w:rPr>
          <w:t>⁠</w:t>
        </w:r>
      </w:hyperlink>
      <w:r>
        <w:rPr>
          <w:lang w:val="en-GB" w:eastAsia="en-IN"/>
        </w:rPr>
        <w:t xml:space="preserve"> </w:t>
      </w:r>
    </w:p>
    <w:p w14:paraId="6C3FE0F4" w14:textId="77777777" w:rsidR="00447152" w:rsidRDefault="00886E12">
      <w:pPr>
        <w:spacing w:line="360" w:lineRule="auto"/>
        <w:jc w:val="both"/>
        <w:rPr>
          <w:lang w:val="en-GB" w:eastAsia="en-IN"/>
        </w:rPr>
      </w:pPr>
      <w:proofErr w:type="spellStart"/>
      <w:r>
        <w:rPr>
          <w:lang w:val="en-GB" w:eastAsia="en-IN"/>
        </w:rPr>
        <w:t>FundsforNGOs</w:t>
      </w:r>
      <w:proofErr w:type="spellEnd"/>
      <w:r>
        <w:rPr>
          <w:lang w:val="en-GB" w:eastAsia="en-IN"/>
        </w:rPr>
        <w:t xml:space="preserve">, 2026. ‘James Dyson Foundation: Inspiring innovation and engineering education worldwide’, </w:t>
      </w:r>
      <w:proofErr w:type="spellStart"/>
      <w:r>
        <w:rPr>
          <w:lang w:val="en-GB" w:eastAsia="en-IN"/>
        </w:rPr>
        <w:t>FundsforNGOs</w:t>
      </w:r>
      <w:proofErr w:type="spellEnd"/>
      <w:r>
        <w:rPr>
          <w:lang w:val="en-GB" w:eastAsia="en-IN"/>
        </w:rPr>
        <w:t xml:space="preserve">, 1 May.  </w:t>
      </w:r>
      <w:hyperlink r:id="rId24">
        <w:r>
          <w:rPr>
            <w:color w:val="1155CC"/>
            <w:u w:val="single"/>
            <w:lang w:val="en-GB" w:eastAsia="en-IN"/>
          </w:rPr>
          <w:t>https://donors.fundsforngos.org/education/james-dyson-foundation-inspiring-innovation-and-engineering-education-worldwide/</w:t>
        </w:r>
        <w:r>
          <w:rPr>
            <w:rFonts w:ascii="Segoe UI Symbol" w:eastAsia="Segoe UI Symbol" w:hAnsi="Segoe UI Symbol" w:cs="Segoe UI Symbol"/>
            <w:color w:val="1155CC"/>
            <w:u w:val="single"/>
            <w:lang w:val="en-GB" w:eastAsia="en-IN"/>
          </w:rPr>
          <w:t>⁠</w:t>
        </w:r>
      </w:hyperlink>
      <w:r>
        <w:rPr>
          <w:lang w:val="en-GB" w:eastAsia="en-IN"/>
        </w:rPr>
        <w:t xml:space="preserve"> </w:t>
      </w:r>
    </w:p>
    <w:p w14:paraId="69A5EB39" w14:textId="77777777" w:rsidR="00447152" w:rsidRDefault="00886E12">
      <w:pPr>
        <w:spacing w:line="360" w:lineRule="auto"/>
        <w:jc w:val="both"/>
        <w:rPr>
          <w:lang w:val="en-GB" w:eastAsia="en-IN"/>
        </w:rPr>
      </w:pPr>
      <w:r>
        <w:rPr>
          <w:lang w:val="en-GB" w:eastAsia="en-IN"/>
        </w:rPr>
        <w:t xml:space="preserve">Garrett, J., 2021. ‘Learning from James Dyson’, Investment Masters Class, 22 November. </w:t>
      </w:r>
      <w:hyperlink r:id="rId25">
        <w:r>
          <w:rPr>
            <w:color w:val="1155CC"/>
            <w:u w:val="single"/>
            <w:lang w:val="en-GB" w:eastAsia="en-IN"/>
          </w:rPr>
          <w:t>https://mastersinvest.com/newblog/2021/10/17/learning-from-james-dyson</w:t>
        </w:r>
        <w:r>
          <w:rPr>
            <w:rFonts w:ascii="Segoe UI Symbol" w:eastAsia="Segoe UI Symbol" w:hAnsi="Segoe UI Symbol" w:cs="Segoe UI Symbol"/>
            <w:color w:val="1155CC"/>
            <w:u w:val="single"/>
            <w:lang w:val="en-GB" w:eastAsia="en-IN"/>
          </w:rPr>
          <w:t>⁠</w:t>
        </w:r>
      </w:hyperlink>
      <w:r>
        <w:rPr>
          <w:lang w:val="en-GB" w:eastAsia="en-IN"/>
        </w:rPr>
        <w:t xml:space="preserve"> </w:t>
      </w:r>
    </w:p>
    <w:p w14:paraId="1D3DC9D8" w14:textId="77777777" w:rsidR="00447152" w:rsidRDefault="00886E12">
      <w:pPr>
        <w:spacing w:line="360" w:lineRule="auto"/>
        <w:jc w:val="both"/>
        <w:rPr>
          <w:lang w:val="en-GB" w:eastAsia="en-IN"/>
        </w:rPr>
      </w:pPr>
      <w:r>
        <w:rPr>
          <w:lang w:val="en-GB" w:eastAsia="en-IN"/>
        </w:rPr>
        <w:t xml:space="preserve">Lees-Maffei, G. ed., 2014. Iconic designs: 50 stories about 50 things. Bloomsbury Publishing. </w:t>
      </w:r>
      <w:hyperlink r:id="rId26">
        <w:r>
          <w:rPr>
            <w:color w:val="1155CC"/>
            <w:u w:val="single"/>
            <w:lang w:val="en-GB" w:eastAsia="en-IN"/>
          </w:rPr>
          <w:t>https://books.google.co.in/books?hl=en&amp;lr=&amp;id=Hq3DAwAAQBAJ&amp;oi=fnd&amp;pg=PP1&amp;dq=info:OAzZsUukB-EJ:scholar.google.com/&amp;ots=KozMDfLwXs&amp;sig=5o0i_4NR9GgxNCodXPTmFczuGnQ&amp;redir_esc=y</w:t>
        </w:r>
      </w:hyperlink>
      <w:r>
        <w:rPr>
          <w:lang w:val="en-GB" w:eastAsia="en-IN"/>
        </w:rPr>
        <w:t xml:space="preserve"> </w:t>
      </w:r>
    </w:p>
    <w:p w14:paraId="667518AA" w14:textId="77777777" w:rsidR="00447152" w:rsidRDefault="00886E12">
      <w:pPr>
        <w:spacing w:line="360" w:lineRule="auto"/>
        <w:jc w:val="both"/>
        <w:rPr>
          <w:lang w:val="en-GB" w:eastAsia="en-IN"/>
        </w:rPr>
      </w:pPr>
      <w:proofErr w:type="spellStart"/>
      <w:r>
        <w:rPr>
          <w:lang w:val="en-GB" w:eastAsia="en-IN"/>
        </w:rPr>
        <w:t>Maitre</w:t>
      </w:r>
      <w:proofErr w:type="spellEnd"/>
      <w:r>
        <w:rPr>
          <w:lang w:val="en-GB" w:eastAsia="en-IN"/>
        </w:rPr>
        <w:t>-Ekern, E., 2021. Re-thinking producer respons</w:t>
      </w:r>
      <w:r>
        <w:rPr>
          <w:lang w:val="en-GB" w:eastAsia="en-IN"/>
        </w:rPr>
        <w:t>ibility for a sustainable circular economy from extended producer responsibility to pre-market producer responsibility. Journal of Cleaner Production, 286, p.125454.</w:t>
      </w:r>
    </w:p>
    <w:p w14:paraId="3540309D" w14:textId="77777777" w:rsidR="00447152" w:rsidRDefault="00886E12">
      <w:pPr>
        <w:spacing w:line="360" w:lineRule="auto"/>
        <w:jc w:val="both"/>
        <w:rPr>
          <w:lang w:val="en-GB" w:eastAsia="en-IN"/>
        </w:rPr>
      </w:pPr>
      <w:r>
        <w:rPr>
          <w:lang w:val="en-GB" w:eastAsia="en-IN"/>
        </w:rPr>
        <w:t xml:space="preserve">Miele, 2022. ‘Which? confirms that Miele’s new cordless vacuum cleaner, the </w:t>
      </w:r>
      <w:proofErr w:type="spellStart"/>
      <w:r>
        <w:rPr>
          <w:lang w:val="en-GB" w:eastAsia="en-IN"/>
        </w:rPr>
        <w:t>Triflex</w:t>
      </w:r>
      <w:proofErr w:type="spellEnd"/>
      <w:r>
        <w:rPr>
          <w:lang w:val="en-GB" w:eastAsia="en-IN"/>
        </w:rPr>
        <w:t xml:space="preserve"> HX2, i</w:t>
      </w:r>
      <w:r>
        <w:rPr>
          <w:lang w:val="en-GB" w:eastAsia="en-IN"/>
        </w:rPr>
        <w:t xml:space="preserve">s “the best we’ve ever tested”’, Miele, 13 October.  </w:t>
      </w:r>
      <w:hyperlink r:id="rId27">
        <w:r>
          <w:rPr>
            <w:color w:val="1155CC"/>
            <w:u w:val="single"/>
            <w:lang w:val="en-GB" w:eastAsia="en-IN"/>
          </w:rPr>
          <w:t>https://www.miele.co.uk/m/1165.htm</w:t>
        </w:r>
        <w:r>
          <w:rPr>
            <w:rFonts w:ascii="Segoe UI Symbol" w:eastAsia="Segoe UI Symbol" w:hAnsi="Segoe UI Symbol" w:cs="Segoe UI Symbol"/>
            <w:color w:val="1155CC"/>
            <w:u w:val="single"/>
            <w:lang w:val="en-GB" w:eastAsia="en-IN"/>
          </w:rPr>
          <w:t>⁠</w:t>
        </w:r>
      </w:hyperlink>
      <w:r>
        <w:rPr>
          <w:lang w:val="en-GB" w:eastAsia="en-IN"/>
        </w:rPr>
        <w:t xml:space="preserve"> </w:t>
      </w:r>
    </w:p>
    <w:p w14:paraId="7A95BE5D" w14:textId="77777777" w:rsidR="00447152" w:rsidRDefault="00886E12">
      <w:pPr>
        <w:spacing w:line="360" w:lineRule="auto"/>
        <w:jc w:val="both"/>
        <w:rPr>
          <w:lang w:val="en-GB" w:eastAsia="en-IN"/>
        </w:rPr>
      </w:pPr>
      <w:r>
        <w:rPr>
          <w:lang w:val="en-GB" w:eastAsia="en-IN"/>
        </w:rPr>
        <w:t xml:space="preserve">Patil, R.A., </w:t>
      </w:r>
      <w:proofErr w:type="spellStart"/>
      <w:r>
        <w:rPr>
          <w:lang w:val="en-GB" w:eastAsia="en-IN"/>
        </w:rPr>
        <w:t>Ghisellini</w:t>
      </w:r>
      <w:proofErr w:type="spellEnd"/>
      <w:r>
        <w:rPr>
          <w:lang w:val="en-GB" w:eastAsia="en-IN"/>
        </w:rPr>
        <w:t>, P. and Ramakrishna, S., 2020. Towards sustainable business strategies for a ci</w:t>
      </w:r>
      <w:r>
        <w:rPr>
          <w:lang w:val="en-GB" w:eastAsia="en-IN"/>
        </w:rPr>
        <w:t xml:space="preserve">rcular economy: environmental, social and governance (ESG) performance and evaluation. In An introduction to circular economy (pp. 527-554). Singapore: Springer Singapore. </w:t>
      </w:r>
      <w:hyperlink r:id="rId28">
        <w:r>
          <w:rPr>
            <w:color w:val="1155CC"/>
            <w:u w:val="single"/>
            <w:lang w:val="en-GB" w:eastAsia="en-IN"/>
          </w:rPr>
          <w:t>https://doi.org/10.1</w:t>
        </w:r>
        <w:r>
          <w:rPr>
            <w:color w:val="1155CC"/>
            <w:u w:val="single"/>
            <w:lang w:val="en-GB" w:eastAsia="en-IN"/>
          </w:rPr>
          <w:t>007/978-981-15-8510-4_26</w:t>
        </w:r>
      </w:hyperlink>
      <w:r>
        <w:rPr>
          <w:lang w:val="en-GB" w:eastAsia="en-IN"/>
        </w:rPr>
        <w:t xml:space="preserve"> </w:t>
      </w:r>
    </w:p>
    <w:p w14:paraId="5DB4F2FD" w14:textId="77777777" w:rsidR="00447152" w:rsidRDefault="00886E12">
      <w:pPr>
        <w:spacing w:line="360" w:lineRule="auto"/>
        <w:jc w:val="both"/>
        <w:rPr>
          <w:lang w:val="en-GB" w:eastAsia="en-IN"/>
        </w:rPr>
      </w:pPr>
      <w:r>
        <w:rPr>
          <w:lang w:val="en-GB" w:eastAsia="en-IN"/>
        </w:rPr>
        <w:t>Salma, S., Begum, A. and Syed, H., 2024. Practical and Innovative Applications of IoT and IoT Networks (Smart Cities, Smart Mobility, Smart Home, Smart Health, Smart Grid, etc.). In AI for Climate Change and Environmental Sustaina</w:t>
      </w:r>
      <w:r>
        <w:rPr>
          <w:lang w:val="en-GB" w:eastAsia="en-IN"/>
        </w:rPr>
        <w:t xml:space="preserve">bility (pp. 121-144). CRC Press. </w:t>
      </w:r>
      <w:hyperlink r:id="rId29">
        <w:r>
          <w:rPr>
            <w:color w:val="1155CC"/>
            <w:u w:val="single"/>
            <w:lang w:val="en-GB" w:eastAsia="en-IN"/>
          </w:rPr>
          <w:t>https://doi.org/10.1201/9781003452393</w:t>
        </w:r>
      </w:hyperlink>
      <w:r>
        <w:rPr>
          <w:lang w:val="en-GB" w:eastAsia="en-IN"/>
        </w:rPr>
        <w:t xml:space="preserve"> </w:t>
      </w:r>
    </w:p>
    <w:p w14:paraId="01DAC1D6" w14:textId="77777777" w:rsidR="00447152" w:rsidRDefault="00886E12">
      <w:pPr>
        <w:spacing w:line="360" w:lineRule="auto"/>
        <w:jc w:val="both"/>
        <w:rPr>
          <w:lang w:val="en-GB" w:eastAsia="en-IN"/>
        </w:rPr>
      </w:pPr>
      <w:r>
        <w:rPr>
          <w:lang w:val="en-GB" w:eastAsia="en-IN"/>
        </w:rPr>
        <w:t xml:space="preserve">Sammut-Bonnici, T. and Galea, D., 2015. SWOT analysis. Wiley </w:t>
      </w:r>
      <w:proofErr w:type="spellStart"/>
      <w:r>
        <w:rPr>
          <w:lang w:val="en-GB" w:eastAsia="en-IN"/>
        </w:rPr>
        <w:t>Encyclopedia</w:t>
      </w:r>
      <w:proofErr w:type="spellEnd"/>
      <w:r>
        <w:rPr>
          <w:lang w:val="en-GB" w:eastAsia="en-IN"/>
        </w:rPr>
        <w:t xml:space="preserve"> of management, 12(1), pp.1-8. </w:t>
      </w:r>
      <w:hyperlink r:id="rId30">
        <w:r>
          <w:rPr>
            <w:color w:val="1155CC"/>
            <w:u w:val="single"/>
            <w:lang w:val="en-GB" w:eastAsia="en-IN"/>
          </w:rPr>
          <w:t>https://kobbytamakloe.wordpress.com/wp-content/uploads/2020/07/swot-analysis-kjm.pdf</w:t>
        </w:r>
      </w:hyperlink>
      <w:r>
        <w:rPr>
          <w:lang w:val="en-GB" w:eastAsia="en-IN"/>
        </w:rPr>
        <w:t xml:space="preserve"> </w:t>
      </w:r>
    </w:p>
    <w:p w14:paraId="404ACDC3" w14:textId="77777777" w:rsidR="00447152" w:rsidRDefault="00886E12">
      <w:pPr>
        <w:spacing w:line="360" w:lineRule="auto"/>
        <w:jc w:val="both"/>
        <w:rPr>
          <w:lang w:val="en-GB" w:eastAsia="en-IN"/>
        </w:rPr>
      </w:pPr>
      <w:r>
        <w:rPr>
          <w:lang w:val="en-GB" w:eastAsia="en-IN"/>
        </w:rPr>
        <w:t xml:space="preserve">Tarafdar, P. and Bose, I., 2021. How should </w:t>
      </w:r>
      <w:proofErr w:type="spellStart"/>
      <w:r>
        <w:rPr>
          <w:lang w:val="en-GB" w:eastAsia="en-IN"/>
        </w:rPr>
        <w:t>mydbots</w:t>
      </w:r>
      <w:proofErr w:type="spellEnd"/>
      <w:r>
        <w:rPr>
          <w:lang w:val="en-GB" w:eastAsia="en-IN"/>
        </w:rPr>
        <w:t xml:space="preserve"> manage innovations in consumer roboti</w:t>
      </w:r>
      <w:r>
        <w:rPr>
          <w:lang w:val="en-GB" w:eastAsia="en-IN"/>
        </w:rPr>
        <w:t xml:space="preserve">cs?. Communications of the Association for Information Systems, 49(1), p.13. </w:t>
      </w:r>
      <w:hyperlink r:id="rId31">
        <w:r>
          <w:rPr>
            <w:color w:val="1155CC"/>
            <w:u w:val="single"/>
            <w:lang w:val="en-GB" w:eastAsia="en-IN"/>
          </w:rPr>
          <w:t>https://doi.org/10.17705/1CAIS.04911</w:t>
        </w:r>
      </w:hyperlink>
      <w:r>
        <w:rPr>
          <w:lang w:val="en-GB" w:eastAsia="en-IN"/>
        </w:rPr>
        <w:t xml:space="preserve"> </w:t>
      </w:r>
    </w:p>
    <w:p w14:paraId="10C49354" w14:textId="77777777" w:rsidR="00447152" w:rsidRDefault="00886E12">
      <w:pPr>
        <w:spacing w:line="360" w:lineRule="auto"/>
        <w:jc w:val="both"/>
        <w:rPr>
          <w:lang w:val="en-GB" w:eastAsia="en-IN"/>
        </w:rPr>
      </w:pPr>
      <w:r>
        <w:rPr>
          <w:lang w:val="en-GB" w:eastAsia="en-IN"/>
        </w:rPr>
        <w:lastRenderedPageBreak/>
        <w:t>Tech Observer Desk, 2022. ‘Global tech company Dyson brings new cordless dust detecti</w:t>
      </w:r>
      <w:r>
        <w:rPr>
          <w:lang w:val="en-GB" w:eastAsia="en-IN"/>
        </w:rPr>
        <w:t xml:space="preserve">on tech to India’, Tech Observer Magazine, 27 July.  </w:t>
      </w:r>
      <w:hyperlink r:id="rId32">
        <w:r>
          <w:rPr>
            <w:color w:val="1155CC"/>
            <w:u w:val="single"/>
            <w:lang w:val="en-GB" w:eastAsia="en-IN"/>
          </w:rPr>
          <w:t>https://techobserver.in/news/business/global-tech-comp</w:t>
        </w:r>
        <w:r>
          <w:rPr>
            <w:color w:val="1155CC"/>
            <w:u w:val="single"/>
            <w:lang w:val="en-GB" w:eastAsia="en-IN"/>
          </w:rPr>
          <w:t>any-dyson-brings-new-cordless-dust-detection-tech-to-india-267312/</w:t>
        </w:r>
        <w:r>
          <w:rPr>
            <w:rFonts w:ascii="Segoe UI Symbol" w:eastAsia="Segoe UI Symbol" w:hAnsi="Segoe UI Symbol" w:cs="Segoe UI Symbol"/>
            <w:color w:val="1155CC"/>
            <w:u w:val="single"/>
            <w:lang w:val="en-GB" w:eastAsia="en-IN"/>
          </w:rPr>
          <w:t>⁠</w:t>
        </w:r>
      </w:hyperlink>
      <w:r>
        <w:rPr>
          <w:lang w:val="en-GB" w:eastAsia="en-IN"/>
        </w:rPr>
        <w:t xml:space="preserve"> </w:t>
      </w:r>
    </w:p>
    <w:p w14:paraId="6054ADB1" w14:textId="77777777" w:rsidR="00447152" w:rsidRDefault="00886E12">
      <w:pPr>
        <w:spacing w:line="360" w:lineRule="auto"/>
        <w:jc w:val="both"/>
        <w:rPr>
          <w:lang w:val="en-GB" w:eastAsia="en-IN"/>
        </w:rPr>
      </w:pPr>
      <w:r>
        <w:rPr>
          <w:lang w:val="en-GB" w:eastAsia="en-IN"/>
        </w:rPr>
        <w:t xml:space="preserve">Titcomb, J., 2026. ‘Dyson suffers $440m sales hit as consumers rein in spending’, Yahoo Finance, 26 March.  </w:t>
      </w:r>
      <w:hyperlink r:id="rId33">
        <w:r>
          <w:rPr>
            <w:color w:val="1155CC"/>
            <w:u w:val="single"/>
            <w:lang w:val="en-GB" w:eastAsia="en-IN"/>
          </w:rPr>
          <w:t>https://finance.yahoo.com/economy/policy/articles/dyson-suffers-440m-sales-hit-170237181.html</w:t>
        </w:r>
        <w:r>
          <w:rPr>
            <w:rFonts w:ascii="Segoe UI Symbol" w:eastAsia="Segoe UI Symbol" w:hAnsi="Segoe UI Symbol" w:cs="Segoe UI Symbol"/>
            <w:color w:val="1155CC"/>
            <w:u w:val="single"/>
            <w:lang w:val="en-GB" w:eastAsia="en-IN"/>
          </w:rPr>
          <w:t>⁠</w:t>
        </w:r>
      </w:hyperlink>
      <w:r>
        <w:rPr>
          <w:lang w:val="en-GB" w:eastAsia="en-IN"/>
        </w:rPr>
        <w:t xml:space="preserve"> </w:t>
      </w:r>
    </w:p>
    <w:p w14:paraId="2B9857A3" w14:textId="77777777" w:rsidR="00447152" w:rsidRDefault="00886E12">
      <w:pPr>
        <w:spacing w:line="360" w:lineRule="auto"/>
        <w:jc w:val="both"/>
        <w:rPr>
          <w:lang w:val="en-GB" w:eastAsia="en-IN"/>
        </w:rPr>
      </w:pPr>
      <w:proofErr w:type="spellStart"/>
      <w:r>
        <w:rPr>
          <w:lang w:val="en-GB" w:eastAsia="en-IN"/>
        </w:rPr>
        <w:t>Tojiri</w:t>
      </w:r>
      <w:proofErr w:type="spellEnd"/>
      <w:r>
        <w:rPr>
          <w:lang w:val="en-GB" w:eastAsia="en-IN"/>
        </w:rPr>
        <w:t xml:space="preserve">, Y., 2023. Product differentiation strategy for organizational financial profitability: </w:t>
      </w:r>
      <w:proofErr w:type="spellStart"/>
      <w:r>
        <w:rPr>
          <w:lang w:val="en-GB" w:eastAsia="en-IN"/>
        </w:rPr>
        <w:t>Enchancing</w:t>
      </w:r>
      <w:proofErr w:type="spellEnd"/>
      <w:r>
        <w:rPr>
          <w:lang w:val="en-GB" w:eastAsia="en-IN"/>
        </w:rPr>
        <w:t xml:space="preserve"> market shar</w:t>
      </w:r>
      <w:r>
        <w:rPr>
          <w:lang w:val="en-GB" w:eastAsia="en-IN"/>
        </w:rPr>
        <w:t xml:space="preserve">e and profitability-A comprehensive literature review. </w:t>
      </w:r>
      <w:proofErr w:type="spellStart"/>
      <w:r>
        <w:rPr>
          <w:lang w:val="en-GB" w:eastAsia="en-IN"/>
        </w:rPr>
        <w:t>Atestasi</w:t>
      </w:r>
      <w:proofErr w:type="spellEnd"/>
      <w:r>
        <w:rPr>
          <w:lang w:val="en-GB" w:eastAsia="en-IN"/>
        </w:rPr>
        <w:t xml:space="preserve">: </w:t>
      </w:r>
      <w:proofErr w:type="spellStart"/>
      <w:r>
        <w:rPr>
          <w:lang w:val="en-GB" w:eastAsia="en-IN"/>
        </w:rPr>
        <w:t>Jurnal</w:t>
      </w:r>
      <w:proofErr w:type="spellEnd"/>
      <w:r>
        <w:rPr>
          <w:lang w:val="en-GB" w:eastAsia="en-IN"/>
        </w:rPr>
        <w:t xml:space="preserve"> </w:t>
      </w:r>
      <w:proofErr w:type="spellStart"/>
      <w:r>
        <w:rPr>
          <w:lang w:val="en-GB" w:eastAsia="en-IN"/>
        </w:rPr>
        <w:t>Ilmiah</w:t>
      </w:r>
      <w:proofErr w:type="spellEnd"/>
      <w:r>
        <w:rPr>
          <w:lang w:val="en-GB" w:eastAsia="en-IN"/>
        </w:rPr>
        <w:t xml:space="preserve"> </w:t>
      </w:r>
      <w:proofErr w:type="spellStart"/>
      <w:r>
        <w:rPr>
          <w:lang w:val="en-GB" w:eastAsia="en-IN"/>
        </w:rPr>
        <w:t>Akuntansi</w:t>
      </w:r>
      <w:proofErr w:type="spellEnd"/>
      <w:r>
        <w:rPr>
          <w:lang w:val="en-GB" w:eastAsia="en-IN"/>
        </w:rPr>
        <w:t>, 6(2), pp.856-876.</w:t>
      </w:r>
    </w:p>
    <w:p w14:paraId="0E66D71E" w14:textId="77777777" w:rsidR="00447152" w:rsidRDefault="00886E12">
      <w:pPr>
        <w:spacing w:line="360" w:lineRule="auto"/>
        <w:jc w:val="both"/>
        <w:rPr>
          <w:lang w:val="en-GB" w:eastAsia="en-IN"/>
        </w:rPr>
      </w:pPr>
      <w:r>
        <w:rPr>
          <w:lang w:val="en-GB" w:eastAsia="en-IN"/>
        </w:rPr>
        <w:t xml:space="preserve">Wang, K.C., 2007, July. A process view of SWOT analysis. In Proceedings of the 51st annual meeting of the ISSS-2007, Tokyo, Japan. </w:t>
      </w:r>
      <w:hyperlink r:id="rId34">
        <w:r>
          <w:rPr>
            <w:color w:val="1155CC"/>
            <w:u w:val="single"/>
            <w:lang w:val="en-GB" w:eastAsia="en-IN"/>
          </w:rPr>
          <w:t>https://journals.isss.org/index.php/proceedings51st/article/view/470</w:t>
        </w:r>
      </w:hyperlink>
      <w:r>
        <w:rPr>
          <w:lang w:val="en-GB" w:eastAsia="en-IN"/>
        </w:rPr>
        <w:t xml:space="preserve"> </w:t>
      </w:r>
    </w:p>
    <w:p w14:paraId="1A5757A4" w14:textId="77777777" w:rsidR="00447152" w:rsidRDefault="00886E12">
      <w:pPr>
        <w:spacing w:line="360" w:lineRule="auto"/>
        <w:jc w:val="both"/>
        <w:rPr>
          <w:lang w:val="en-GB" w:eastAsia="en-IN"/>
        </w:rPr>
      </w:pPr>
      <w:r>
        <w:rPr>
          <w:lang w:val="en-GB" w:eastAsia="en-IN"/>
        </w:rPr>
        <w:t xml:space="preserve">Ward, M., Allwood, J.M., Azevedo, J., Cleaver, C., Cullen, J., Dunant, C., Fellin, T., Hawkins, W., Horrocks, I., Horton, P. and </w:t>
      </w:r>
      <w:proofErr w:type="spellStart"/>
      <w:r>
        <w:rPr>
          <w:lang w:val="en-GB" w:eastAsia="en-IN"/>
        </w:rPr>
        <w:t>Ibell</w:t>
      </w:r>
      <w:proofErr w:type="spellEnd"/>
      <w:r>
        <w:rPr>
          <w:lang w:val="en-GB" w:eastAsia="en-IN"/>
        </w:rPr>
        <w:t>, T., 2019. Absolute zero: delivering the UK's climate change commitment with incremental changes to today's technologies.</w:t>
      </w:r>
      <w:r>
        <w:rPr>
          <w:lang w:val="en-GB" w:eastAsia="en-IN"/>
        </w:rPr>
        <w:t xml:space="preserve"> </w:t>
      </w:r>
      <w:hyperlink r:id="rId35">
        <w:r>
          <w:rPr>
            <w:color w:val="1155CC"/>
            <w:u w:val="single"/>
            <w:lang w:val="en-GB" w:eastAsia="en-IN"/>
          </w:rPr>
          <w:t>https://strathprints.strath.ac.uk/80178/</w:t>
        </w:r>
      </w:hyperlink>
      <w:r>
        <w:rPr>
          <w:lang w:val="en-GB" w:eastAsia="en-IN"/>
        </w:rPr>
        <w:t xml:space="preserve"> </w:t>
      </w:r>
    </w:p>
    <w:p w14:paraId="23C9FBD5" w14:textId="77777777" w:rsidR="00447152" w:rsidRDefault="00886E12">
      <w:pPr>
        <w:spacing w:line="360" w:lineRule="auto"/>
        <w:jc w:val="both"/>
        <w:rPr>
          <w:lang w:val="en-GB" w:eastAsia="en-IN"/>
        </w:rPr>
      </w:pPr>
      <w:proofErr w:type="spellStart"/>
      <w:r>
        <w:rPr>
          <w:lang w:val="en-GB" w:eastAsia="en-IN"/>
        </w:rPr>
        <w:t>Yidana</w:t>
      </w:r>
      <w:proofErr w:type="spellEnd"/>
      <w:r>
        <w:rPr>
          <w:lang w:val="en-GB" w:eastAsia="en-IN"/>
        </w:rPr>
        <w:t xml:space="preserve">, N., 2025. Quality Requirements of Goods Under English Law: Resolving the Shortfalls of the Law in Ghana. In Consumer Law and Policy on Faulty Goods: A Comparative Analysis of the Law in Ghana and the UK (pp. 53-96). Cham: Springer Nature Switzerland. </w:t>
      </w:r>
      <w:hyperlink r:id="rId36">
        <w:r>
          <w:rPr>
            <w:color w:val="1155CC"/>
            <w:u w:val="single"/>
            <w:lang w:val="en-GB" w:eastAsia="en-IN"/>
          </w:rPr>
          <w:t>https://doi.org/10.1007/978-3-032-08700-3_3</w:t>
        </w:r>
      </w:hyperlink>
      <w:r>
        <w:rPr>
          <w:lang w:val="en-GB" w:eastAsia="en-IN"/>
        </w:rPr>
        <w:t xml:space="preserve"> </w:t>
      </w:r>
    </w:p>
    <w:p w14:paraId="16CED846" w14:textId="77777777" w:rsidR="003470DA" w:rsidRDefault="003470DA">
      <w:pPr>
        <w:spacing w:line="360" w:lineRule="auto"/>
        <w:jc w:val="both"/>
        <w:rPr>
          <w:lang w:val="en-GB" w:eastAsia="en-IN"/>
        </w:rPr>
      </w:pPr>
    </w:p>
    <w:sectPr w:rsidR="003470DA" w:rsidSect="00447152">
      <w:footerReference w:type="default" r:id="rId37"/>
      <w:footerReference w:type="first" r:id="rId3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1F5CB2" w14:textId="77777777" w:rsidR="00886E12" w:rsidRDefault="00886E12">
      <w:r>
        <w:separator/>
      </w:r>
    </w:p>
  </w:endnote>
  <w:endnote w:type="continuationSeparator" w:id="0">
    <w:p w14:paraId="0E4F54FE" w14:textId="77777777" w:rsidR="00886E12" w:rsidRDefault="00886E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Unicode MS">
    <w:altName w:val="Arial"/>
    <w:panose1 w:val="020B0604020202020204"/>
    <w:charset w:val="00"/>
    <w:family w:val="auto"/>
    <w:pitch w:val="default"/>
  </w:font>
  <w:font w:name="Gungsuh">
    <w:charset w:val="81"/>
    <w:family w:val="roman"/>
    <w:pitch w:val="variable"/>
    <w:sig w:usb0="B00002AF" w:usb1="69D77CFB" w:usb2="00000030" w:usb3="00000000" w:csb0="0008009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492C98" w14:textId="77777777" w:rsidR="003470DA" w:rsidRDefault="00886E12">
    <w:pPr>
      <w:jc w:val="right"/>
    </w:pPr>
    <w:r>
      <w:fldChar w:fldCharType="begin"/>
    </w:r>
    <w:r>
      <w:instrText>PAGE</w:instrText>
    </w:r>
    <w:r>
      <w:fldChar w:fldCharType="separate"/>
    </w:r>
    <w:r>
      <w:t>19</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606AF0" w14:textId="77777777" w:rsidR="003470DA" w:rsidRDefault="003470D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E7FFFC" w14:textId="77777777" w:rsidR="00886E12" w:rsidRDefault="00886E12">
      <w:r>
        <w:separator/>
      </w:r>
    </w:p>
  </w:footnote>
  <w:footnote w:type="continuationSeparator" w:id="0">
    <w:p w14:paraId="0F612C3A" w14:textId="77777777" w:rsidR="00886E12" w:rsidRDefault="00886E1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370B8"/>
    <w:multiLevelType w:val="multilevel"/>
    <w:tmpl w:val="35CC45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06A430A"/>
    <w:multiLevelType w:val="multilevel"/>
    <w:tmpl w:val="4A5044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20B2A18"/>
    <w:multiLevelType w:val="multilevel"/>
    <w:tmpl w:val="207ED5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65E0C27"/>
    <w:multiLevelType w:val="multilevel"/>
    <w:tmpl w:val="B5B6B5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43F799C"/>
    <w:multiLevelType w:val="multilevel"/>
    <w:tmpl w:val="9B441E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DF82127"/>
    <w:multiLevelType w:val="multilevel"/>
    <w:tmpl w:val="3EFCA6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 w:numId="3">
    <w:abstractNumId w:val="4"/>
  </w:num>
  <w:num w:numId="4">
    <w:abstractNumId w:val="3"/>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2"/>
    <w:compatSetting w:name="useWord2013TrackBottomHyphenation" w:uri="http://schemas.microsoft.com/office/word" w:val="1"/>
  </w:compat>
  <w:rsids>
    <w:rsidRoot w:val="00A77B3E"/>
    <w:rsid w:val="00020426"/>
    <w:rsid w:val="003470DA"/>
    <w:rsid w:val="00371486"/>
    <w:rsid w:val="00372E61"/>
    <w:rsid w:val="00447152"/>
    <w:rsid w:val="00704436"/>
    <w:rsid w:val="00886E12"/>
    <w:rsid w:val="00A77B3E"/>
    <w:rsid w:val="00CA2A5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31"/>
    <o:shapelayout v:ext="edit">
      <o:idmap v:ext="edit" data="1"/>
    </o:shapelayout>
  </w:shapeDefaults>
  <w:decimalSymbol w:val="."/>
  <w:listSeparator w:val=","/>
  <w14:docId w14:val="1FC8660E"/>
  <w15:docId w15:val="{16DB972E-522E-45E8-AFD1-5354021624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macro" w:semiHidden="1" w:unhideWhenUsed="1"/>
    <w:lsdException w:name="toa heading"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uiPriority w:val="9"/>
    <w:qFormat/>
    <w:pPr>
      <w:keepNext/>
      <w:keepLines/>
      <w:spacing w:before="400" w:after="120" w:line="276" w:lineRule="auto"/>
      <w:outlineLvl w:val="0"/>
    </w:pPr>
    <w:rPr>
      <w:rFonts w:ascii="Arial" w:eastAsia="Arial" w:hAnsi="Arial" w:cs="Arial"/>
      <w:sz w:val="40"/>
      <w:szCs w:val="40"/>
      <w:lang w:val="en-GB" w:eastAsia="en-IN"/>
    </w:rPr>
  </w:style>
  <w:style w:type="paragraph" w:styleId="Heading2">
    <w:name w:val="heading 2"/>
    <w:basedOn w:val="Normal"/>
    <w:next w:val="Normal"/>
    <w:uiPriority w:val="9"/>
    <w:unhideWhenUsed/>
    <w:qFormat/>
    <w:pPr>
      <w:keepNext/>
      <w:keepLines/>
      <w:spacing w:before="360" w:after="120" w:line="276" w:lineRule="auto"/>
      <w:outlineLvl w:val="1"/>
    </w:pPr>
    <w:rPr>
      <w:rFonts w:ascii="Arial" w:eastAsia="Arial" w:hAnsi="Arial" w:cs="Arial"/>
      <w:sz w:val="32"/>
      <w:szCs w:val="32"/>
      <w:lang w:val="en-GB" w:eastAsia="en-IN"/>
    </w:rPr>
  </w:style>
  <w:style w:type="paragraph" w:styleId="Heading3">
    <w:name w:val="heading 3"/>
    <w:basedOn w:val="Normal"/>
    <w:next w:val="Normal"/>
    <w:uiPriority w:val="9"/>
    <w:unhideWhenUsed/>
    <w:qFormat/>
    <w:pPr>
      <w:keepNext/>
      <w:keepLines/>
      <w:spacing w:before="320" w:after="80" w:line="276" w:lineRule="auto"/>
      <w:outlineLvl w:val="2"/>
    </w:pPr>
    <w:rPr>
      <w:rFonts w:ascii="Arial" w:eastAsia="Arial" w:hAnsi="Arial" w:cs="Arial"/>
      <w:color w:val="434343"/>
      <w:sz w:val="28"/>
      <w:szCs w:val="28"/>
      <w:lang w:val="en-GB"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pPr>
      <w:widowControl w:val="0"/>
      <w:autoSpaceDE w:val="0"/>
      <w:autoSpaceDN w:val="0"/>
    </w:pPr>
    <w:rPr>
      <w:rFonts w:ascii="Arial Black" w:eastAsia="Arial Black" w:hAnsi="Arial Black" w:cs="Arial Black"/>
      <w:b/>
      <w:bCs/>
      <w:sz w:val="46"/>
      <w:szCs w:val="46"/>
    </w:rPr>
  </w:style>
  <w:style w:type="character" w:styleId="Hyperlink">
    <w:name w:val="Hyperlink"/>
    <w:basedOn w:val="DefaultParagraphFont"/>
    <w:uiPriority w:val="99"/>
    <w:unhideWhenUsed/>
    <w:rsid w:val="00447152"/>
    <w:rPr>
      <w:color w:val="0000FF"/>
      <w:u w:val="single"/>
    </w:rPr>
  </w:style>
  <w:style w:type="paragraph" w:styleId="TOC1">
    <w:name w:val="toc 1"/>
    <w:basedOn w:val="Normal"/>
    <w:next w:val="Normal"/>
    <w:autoRedefine/>
    <w:uiPriority w:val="39"/>
    <w:unhideWhenUsed/>
    <w:rsid w:val="00447152"/>
    <w:pPr>
      <w:spacing w:after="100" w:line="276" w:lineRule="auto"/>
    </w:pPr>
    <w:rPr>
      <w:rFonts w:ascii="Arial" w:eastAsia="Arial" w:hAnsi="Arial" w:cs="Arial"/>
      <w:sz w:val="22"/>
      <w:szCs w:val="22"/>
      <w:lang w:val="en-GB" w:eastAsia="en-IN"/>
    </w:rPr>
  </w:style>
  <w:style w:type="paragraph" w:styleId="TOC2">
    <w:name w:val="toc 2"/>
    <w:basedOn w:val="Normal"/>
    <w:next w:val="Normal"/>
    <w:autoRedefine/>
    <w:uiPriority w:val="39"/>
    <w:unhideWhenUsed/>
    <w:rsid w:val="00447152"/>
    <w:pPr>
      <w:spacing w:after="100" w:line="276" w:lineRule="auto"/>
      <w:ind w:left="220"/>
    </w:pPr>
    <w:rPr>
      <w:rFonts w:ascii="Arial" w:eastAsia="Arial" w:hAnsi="Arial" w:cs="Arial"/>
      <w:sz w:val="22"/>
      <w:szCs w:val="22"/>
      <w:lang w:val="en-GB" w:eastAsia="en-IN"/>
    </w:rPr>
  </w:style>
  <w:style w:type="paragraph" w:styleId="TOC3">
    <w:name w:val="toc 3"/>
    <w:basedOn w:val="Normal"/>
    <w:next w:val="Normal"/>
    <w:autoRedefine/>
    <w:uiPriority w:val="39"/>
    <w:unhideWhenUsed/>
    <w:rsid w:val="00447152"/>
    <w:pPr>
      <w:spacing w:after="100" w:line="276" w:lineRule="auto"/>
      <w:ind w:left="440"/>
    </w:pPr>
    <w:rPr>
      <w:rFonts w:ascii="Arial" w:eastAsia="Arial" w:hAnsi="Arial" w:cs="Arial"/>
      <w:sz w:val="22"/>
      <w:szCs w:val="22"/>
      <w:lang w:val="en-GB" w:eastAsia="en-IN"/>
    </w:rPr>
  </w:style>
  <w:style w:type="table" w:customStyle="1" w:styleId="TableNormal0">
    <w:name w:val="TableNormal"/>
    <w:pPr>
      <w:spacing w:line="276" w:lineRule="auto"/>
    </w:pPr>
    <w:rPr>
      <w:rFonts w:ascii="Arial" w:eastAsia="Arial" w:hAnsi="Arial" w:cs="Arial"/>
      <w:sz w:val="22"/>
      <w:szCs w:val="22"/>
      <w:lang w:val="en-GB" w:eastAsia="en-IN"/>
    </w:rPr>
    <w:tblPr>
      <w:tblCellMar>
        <w:top w:w="100" w:type="dxa"/>
        <w:left w:w="100" w:type="dxa"/>
        <w:bottom w:w="100" w:type="dxa"/>
        <w:right w:w="100" w:type="dxa"/>
      </w:tblCellMar>
    </w:tblPr>
  </w:style>
  <w:style w:type="table" w:customStyle="1" w:styleId="a">
    <w:name w:val="a"/>
    <w:basedOn w:val="TableNormal0"/>
    <w:tblPr>
      <w:tblStyleRowBandSize w:val="1"/>
      <w:tblStyleColBandSize w:val="1"/>
    </w:tblPr>
  </w:style>
  <w:style w:type="table" w:customStyle="1" w:styleId="a0">
    <w:name w:val="a0"/>
    <w:basedOn w:val="TableNormal0"/>
    <w:tblPr>
      <w:tblStyleRowBandSize w:val="1"/>
      <w:tblStyleColBandSize w:val="1"/>
    </w:tblPr>
  </w:style>
  <w:style w:type="table" w:customStyle="1" w:styleId="a1">
    <w:name w:val="a1"/>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books.google.co.in/books?hl=en&amp;lr=&amp;id=hd0-EQAAQBAJ&amp;oi=fnd&amp;pg=PA11&amp;dq=info:eEZhDwmFdnUJ:scholar.google.com/&amp;ots=ZYuH8oX8ge&amp;sig=dRubiOK1FvUcNXewt067bdznny8&amp;redir_esc=y" TargetMode="External"/><Relationship Id="rId18" Type="http://schemas.openxmlformats.org/officeDocument/2006/relationships/hyperlink" Target="https://www.dyson.ie/vacuum-cleaners/cordless/v15/detect-yellow-nickel%E2%81%A0" TargetMode="External"/><Relationship Id="rId26" Type="http://schemas.openxmlformats.org/officeDocument/2006/relationships/hyperlink" Target="https://books.google.co.in/books?hl=en&amp;lr=&amp;id=Hq3DAwAAQBAJ&amp;oi=fnd&amp;pg=PP1&amp;dq=info:OAzZsUukB-EJ:scholar.google.com/&amp;ots=KozMDfLwXs&amp;sig=5o0i_4NR9GgxNCodXPTmFczuGnQ&amp;redir_esc=y" TargetMode="External"/><Relationship Id="rId39" Type="http://schemas.openxmlformats.org/officeDocument/2006/relationships/fontTable" Target="fontTable.xml"/><Relationship Id="rId21" Type="http://schemas.openxmlformats.org/officeDocument/2006/relationships/hyperlink" Target="https://careers.dyson.com/en-gb/what-you-can-do/engineer/research/%E2%81%A0" TargetMode="External"/><Relationship Id="rId34" Type="http://schemas.openxmlformats.org/officeDocument/2006/relationships/hyperlink" Target="https://journals.isss.org/index.php/proceedings51st/article/view/470" TargetMode="External"/><Relationship Id="rId7" Type="http://schemas.openxmlformats.org/officeDocument/2006/relationships/image" Target="media/image1.png"/><Relationship Id="rId12" Type="http://schemas.openxmlformats.org/officeDocument/2006/relationships/hyperlink" Target="https://doi.org/10.1080/21582041.2023.2192700" TargetMode="External"/><Relationship Id="rId17" Type="http://schemas.openxmlformats.org/officeDocument/2006/relationships/hyperlink" Target="https://www.dyson.in/discover/never-without-your-dyson%E2%81%A0" TargetMode="External"/><Relationship Id="rId25" Type="http://schemas.openxmlformats.org/officeDocument/2006/relationships/hyperlink" Target="https://mastersinvest.com/newblog/2021/10/17/learning-from-james-dyson%E2%81%A0" TargetMode="External"/><Relationship Id="rId33" Type="http://schemas.openxmlformats.org/officeDocument/2006/relationships/hyperlink" Target="https://finance.yahoo.com/economy/policy/articles/dyson-suffers-440m-sales-hit-170237181.html%E2%81%A0" TargetMode="External"/><Relationship Id="rId38"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www.dyson.co.uk/discover/news/press-releases/dyson-financial-results-2025%E2%81%A0" TargetMode="External"/><Relationship Id="rId20" Type="http://schemas.openxmlformats.org/officeDocument/2006/relationships/hyperlink" Target="https://www.dyson.co.nz/dyson-sustainability%E2%81%A0" TargetMode="External"/><Relationship Id="rId29" Type="http://schemas.openxmlformats.org/officeDocument/2006/relationships/hyperlink" Target="https://doi.org/10.1201/978100345239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ir.uitm.edu.my/id/eprint/48314/1/48314.pdf" TargetMode="External"/><Relationship Id="rId24" Type="http://schemas.openxmlformats.org/officeDocument/2006/relationships/hyperlink" Target="https://donors.fundsforngos.org/education/james-dyson-foundation-inspiring-innovation-and-engineering-education-worldwide/%E2%81%A0" TargetMode="External"/><Relationship Id="rId32" Type="http://schemas.openxmlformats.org/officeDocument/2006/relationships/hyperlink" Target="https://techobserver.in/news/business/global-tech-company-dyson-brings-new-cordless-dust-detection-tech-to-india-267312/%E2%81%A0" TargetMode="External"/><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ti-insight.com/briefs/dysons-new-singapore-factory-reflects-new-supply-chain-structures/%E2%81%A0" TargetMode="External"/><Relationship Id="rId23" Type="http://schemas.openxmlformats.org/officeDocument/2006/relationships/hyperlink" Target="https://www.dyson.co.uk/discover/archive/2020/sustainability%E2%81%A0" TargetMode="External"/><Relationship Id="rId28" Type="http://schemas.openxmlformats.org/officeDocument/2006/relationships/hyperlink" Target="https://doi.org/10.1007/978-981-15-8510-4_26" TargetMode="External"/><Relationship Id="rId36" Type="http://schemas.openxmlformats.org/officeDocument/2006/relationships/hyperlink" Target="https://doi.org/10.1007/978-3-032-08700-3_3" TargetMode="External"/><Relationship Id="rId10" Type="http://schemas.openxmlformats.org/officeDocument/2006/relationships/image" Target="media/image4.png"/><Relationship Id="rId19" Type="http://schemas.openxmlformats.org/officeDocument/2006/relationships/hyperlink" Target="https://www.dyson.om/en-OM/products/vacuum-cleaners/dyson-v15-vacuums/overview%E2%81%A0" TargetMode="External"/><Relationship Id="rId31" Type="http://schemas.openxmlformats.org/officeDocument/2006/relationships/hyperlink" Target="https://doi.org/10.17705/1CAIS.04911"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builtin.com/company/dyson/faq/stability-growth%E2%81%A0" TargetMode="External"/><Relationship Id="rId22" Type="http://schemas.openxmlformats.org/officeDocument/2006/relationships/hyperlink" Target="https://www.dyson.in/inside-dyson/corporate-social-responsibility/responsible-sourcing%E2%81%A0" TargetMode="External"/><Relationship Id="rId27" Type="http://schemas.openxmlformats.org/officeDocument/2006/relationships/hyperlink" Target="https://www.miele.co.uk/m/1165.htm%E2%81%A0" TargetMode="External"/><Relationship Id="rId30" Type="http://schemas.openxmlformats.org/officeDocument/2006/relationships/hyperlink" Target="https://kobbytamakloe.wordpress.com/wp-content/uploads/2020/07/swot-analysis-kjm.pdf" TargetMode="External"/><Relationship Id="rId35" Type="http://schemas.openxmlformats.org/officeDocument/2006/relationships/hyperlink" Target="https://strathprints.strath.ac.uk/80178/" TargetMode="Externa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19</Pages>
  <Words>6675</Words>
  <Characters>38049</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Komal Thummar</cp:lastModifiedBy>
  <cp:revision>2</cp:revision>
  <dcterms:created xsi:type="dcterms:W3CDTF">2026-08-12T09:59:00Z</dcterms:created>
  <dcterms:modified xsi:type="dcterms:W3CDTF">2026-08-12T09:59:00Z</dcterms:modified>
</cp:coreProperties>
</file>