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210" w:rsidRDefault="008B0210" w:rsidP="008428A4">
      <w:pPr>
        <w:pStyle w:val="Title"/>
        <w:spacing w:line="360" w:lineRule="auto"/>
        <w:jc w:val="center"/>
        <w:rPr>
          <w:b/>
        </w:rPr>
      </w:pPr>
      <w:r>
        <w:rPr>
          <w:b/>
        </w:rPr>
        <w:t xml:space="preserve"> </w:t>
      </w:r>
    </w:p>
    <w:p w:rsidR="008B0210" w:rsidRDefault="008B0210" w:rsidP="008428A4">
      <w:pPr>
        <w:pStyle w:val="Title"/>
        <w:spacing w:line="360" w:lineRule="auto"/>
        <w:jc w:val="center"/>
        <w:rPr>
          <w:b/>
        </w:rPr>
      </w:pPr>
    </w:p>
    <w:p w:rsidR="008B0210" w:rsidRDefault="008B0210" w:rsidP="008428A4">
      <w:pPr>
        <w:pStyle w:val="Title"/>
        <w:spacing w:line="360" w:lineRule="auto"/>
        <w:jc w:val="center"/>
        <w:rPr>
          <w:b/>
        </w:rPr>
      </w:pPr>
    </w:p>
    <w:p w:rsidR="008B0210" w:rsidRDefault="008B0210" w:rsidP="008428A4">
      <w:pPr>
        <w:pStyle w:val="Title"/>
        <w:spacing w:line="360" w:lineRule="auto"/>
        <w:jc w:val="center"/>
        <w:rPr>
          <w:b/>
        </w:rPr>
      </w:pPr>
    </w:p>
    <w:p w:rsidR="008B0210" w:rsidRPr="008B0210" w:rsidRDefault="008B0210" w:rsidP="008428A4">
      <w:pPr>
        <w:pStyle w:val="Title"/>
        <w:spacing w:line="360" w:lineRule="auto"/>
        <w:jc w:val="center"/>
        <w:rPr>
          <w:b/>
          <w:u w:val="single"/>
        </w:rPr>
      </w:pPr>
      <w:r w:rsidRPr="008B0210">
        <w:rPr>
          <w:b/>
          <w:u w:val="single"/>
        </w:rPr>
        <w:t>samina bashir 1816450</w:t>
      </w:r>
    </w:p>
    <w:p w:rsidR="008B0210" w:rsidRPr="008B0210" w:rsidRDefault="008B0210" w:rsidP="008428A4">
      <w:pPr>
        <w:pStyle w:val="Title"/>
        <w:spacing w:line="360" w:lineRule="auto"/>
        <w:jc w:val="center"/>
        <w:rPr>
          <w:b/>
          <w:u w:val="single"/>
        </w:rPr>
      </w:pPr>
    </w:p>
    <w:p w:rsidR="008B0210" w:rsidRPr="008B0210" w:rsidRDefault="008B0210" w:rsidP="008428A4">
      <w:pPr>
        <w:pStyle w:val="Title"/>
        <w:spacing w:line="360" w:lineRule="auto"/>
        <w:jc w:val="center"/>
        <w:rPr>
          <w:b/>
          <w:u w:val="single"/>
        </w:rPr>
      </w:pPr>
      <w:r w:rsidRPr="008B0210">
        <w:rPr>
          <w:b/>
          <w:u w:val="single"/>
        </w:rPr>
        <w:t>children,young people and families</w:t>
      </w:r>
    </w:p>
    <w:p w:rsidR="008B0210" w:rsidRPr="008B0210" w:rsidRDefault="008B0210" w:rsidP="008428A4">
      <w:pPr>
        <w:pStyle w:val="Title"/>
        <w:spacing w:line="360" w:lineRule="auto"/>
        <w:jc w:val="center"/>
        <w:rPr>
          <w:b/>
          <w:u w:val="single"/>
        </w:rPr>
      </w:pPr>
    </w:p>
    <w:p w:rsidR="008B0210" w:rsidRPr="008B0210" w:rsidRDefault="008B0210" w:rsidP="008428A4">
      <w:pPr>
        <w:pStyle w:val="Title"/>
        <w:spacing w:line="360" w:lineRule="auto"/>
        <w:jc w:val="center"/>
        <w:rPr>
          <w:b/>
          <w:u w:val="single"/>
        </w:rPr>
      </w:pPr>
      <w:r w:rsidRPr="008B0210">
        <w:rPr>
          <w:b/>
          <w:u w:val="single"/>
        </w:rPr>
        <w:t>bmhp5004</w:t>
      </w:r>
    </w:p>
    <w:p w:rsidR="008B0210" w:rsidRPr="008B0210" w:rsidRDefault="008B0210" w:rsidP="008428A4">
      <w:pPr>
        <w:pStyle w:val="Title"/>
        <w:spacing w:line="360" w:lineRule="auto"/>
        <w:jc w:val="center"/>
        <w:rPr>
          <w:b/>
          <w:u w:val="single"/>
        </w:rPr>
      </w:pPr>
      <w:r w:rsidRPr="008B0210">
        <w:rPr>
          <w:b/>
          <w:u w:val="single"/>
        </w:rPr>
        <w:t>dr chris chogugudza</w:t>
      </w:r>
    </w:p>
    <w:p w:rsidR="008B0210" w:rsidRPr="008B0210" w:rsidRDefault="008B0210" w:rsidP="008428A4">
      <w:pPr>
        <w:pStyle w:val="Title"/>
        <w:spacing w:line="360" w:lineRule="auto"/>
        <w:jc w:val="center"/>
        <w:rPr>
          <w:b/>
          <w:u w:val="single"/>
        </w:rPr>
      </w:pPr>
    </w:p>
    <w:p w:rsidR="00DE1817" w:rsidRDefault="008B0210" w:rsidP="008428A4">
      <w:pPr>
        <w:pStyle w:val="Title"/>
        <w:spacing w:line="360" w:lineRule="auto"/>
        <w:jc w:val="center"/>
        <w:rPr>
          <w:b/>
          <w:u w:val="single"/>
        </w:rPr>
      </w:pPr>
      <w:r w:rsidRPr="008B0210">
        <w:rPr>
          <w:b/>
          <w:u w:val="single"/>
        </w:rPr>
        <w:t>supporting paper</w:t>
      </w:r>
    </w:p>
    <w:p w:rsidR="008B0210" w:rsidRDefault="008B0210" w:rsidP="008428A4">
      <w:pPr>
        <w:spacing w:line="360" w:lineRule="auto"/>
        <w:jc w:val="left"/>
      </w:pPr>
      <w:r>
        <w:br w:type="page"/>
      </w:r>
    </w:p>
    <w:p w:rsidR="00467FDA" w:rsidRDefault="00467FDA" w:rsidP="008428A4">
      <w:pPr>
        <w:pStyle w:val="Heading1"/>
        <w:spacing w:line="360" w:lineRule="auto"/>
        <w:jc w:val="center"/>
        <w:rPr>
          <w:b/>
          <w:u w:val="single"/>
        </w:rPr>
      </w:pPr>
      <w:r w:rsidRPr="007E0080">
        <w:rPr>
          <w:b/>
          <w:u w:val="single"/>
        </w:rPr>
        <w:lastRenderedPageBreak/>
        <w:t>Supporting Papers discussion</w:t>
      </w:r>
    </w:p>
    <w:p w:rsidR="00497301" w:rsidRDefault="00497301" w:rsidP="00497301">
      <w:pPr>
        <w:spacing w:line="360" w:lineRule="auto"/>
      </w:pPr>
      <w:r>
        <w:t>A family of five with well-being issues and other difficulties needs multi-agency help. Parents' untreated mental health concerns are affecting their children's mental health. How do parents' activities effect children's emotional health? Unmet emotional needs in infancy and early childhood may affect a child's development and lead to behavioural issues. Early in a child's life, the brain's evolutionary process may be disturbed, leading to behavioural issues, dysfunctional behaviors, and poor academic performance. Instability may harm a child's mental health. Mental wellness is a person's ability to reach their greatest potential. I've analysed the case. I can see how the family's low money affects their mental, emotional, and physical health. Problems may cause frustration. Violence and neglect may have long-lasting harmful impacts on children. Risk factors affect children's psychological needs. Mental illness and disruptive conduct stem from this.</w:t>
      </w:r>
    </w:p>
    <w:p w:rsidR="00602C3D" w:rsidRDefault="00602C3D" w:rsidP="008428A4">
      <w:pPr>
        <w:spacing w:line="360" w:lineRule="auto"/>
      </w:pPr>
      <w:r w:rsidRPr="00602C3D">
        <w:t>Victims of child abuse and neglect often suffer permanent damage to their physical, mental, emotional, behavioural, and social development. Abuse and neglect may do permanent harm to a kid, hindering his or her capacity to form healthy attachments and relationships, and even inhibit sexual development. The inaction (neglect) of another person, often an adult responsible for the child's care, might put them at danger of physical, psychological, or emotional damage</w:t>
      </w:r>
      <w:r w:rsidR="00EB2B33">
        <w:t xml:space="preserve"> </w:t>
      </w:r>
      <w:r w:rsidR="00EB2B33" w:rsidRPr="00EB2B33">
        <w:t>(Abela, 2018)</w:t>
      </w:r>
      <w:r w:rsidRPr="00602C3D">
        <w:t>. Environmental circumstances (such as homelessness) and self-harming behaviours may also put youth at risk of physical, psychological, sexual, or emotional harm. Abuse and neglect of children are not often isolated events, but rather occur repeatedly, with potentially compounding consequences. Some parents may be unable to give their children with enough supervision, love, and care due to circumstances beyond their control, such as family violence, drug and alcohol addiction, mental illness, or intellectual handicap</w:t>
      </w:r>
      <w:r w:rsidR="00EB2B33">
        <w:t xml:space="preserve"> </w:t>
      </w:r>
      <w:r w:rsidR="00EB2B33" w:rsidRPr="00EB2B33">
        <w:t>(Aldridge, J., 2012)</w:t>
      </w:r>
      <w:r w:rsidRPr="00602C3D">
        <w:t>.</w:t>
      </w:r>
    </w:p>
    <w:p w:rsidR="004158BF" w:rsidRPr="00602C3D" w:rsidRDefault="004158BF" w:rsidP="008428A4">
      <w:pPr>
        <w:spacing w:line="360" w:lineRule="auto"/>
      </w:pPr>
      <w:r>
        <w:t xml:space="preserve">Children 5-19 were more likely to have a diagnosable mental health condition in 2020, but the adults involved seem caught in a rut that might affect the children's growing brains. Since kids' days aren't scheduled, they're more prone to act out, and parents' inexperience and ignorance are to blame. Children from an unbalanced family may have bad repercussions later in life, thus it's vital to analyse the family to see whether they can raise children. Children must be protected from parental troubles. A youngster shouldn't be forced to remain in a dangerous or unhealthy environment against his or her choice or best interests. With appropriate psychological help, </w:t>
      </w:r>
      <w:r>
        <w:lastRenderedPageBreak/>
        <w:t>children will be able to build good relationships at home and in the school and will suffer less stress from maintaining personal hygiene. Therefore, supplemental education is needed so kids may have a better start in life, such as greater work options.</w:t>
      </w:r>
    </w:p>
    <w:p w:rsidR="00602C3D" w:rsidRPr="00602C3D" w:rsidRDefault="00602C3D" w:rsidP="008428A4">
      <w:pPr>
        <w:spacing w:line="360" w:lineRule="auto"/>
      </w:pPr>
      <w:r w:rsidRPr="00602C3D">
        <w:t>Toddlers and young children are more vulnerable to physical damage because of the lack of supervision and environmental neglect. Negative effects on development and the capacity to create close connections may occur if children do not feel comfortable in their interactions with their main caretakers and do not get adequate stimulation</w:t>
      </w:r>
      <w:r w:rsidR="00EB2B33">
        <w:t xml:space="preserve"> </w:t>
      </w:r>
      <w:r w:rsidR="00EB2B33" w:rsidRPr="00EB2B33">
        <w:t>(Allshouse, 2018)</w:t>
      </w:r>
      <w:r w:rsidRPr="00602C3D">
        <w:t>. For this reason, proper care and attention throughout infancy and childhood are crucial. Young children in elementary school are especially vulnerable to sexual and physical abuse. Some children are more likely to be physically harmed if they are subjected to emotional abuse, such as through forceful parenting practises or a lack of monitoring</w:t>
      </w:r>
      <w:r w:rsidR="00EB2B33">
        <w:t xml:space="preserve"> </w:t>
      </w:r>
      <w:r w:rsidR="00EB2B33" w:rsidRPr="00EB2B33">
        <w:t>(Bradbury, 2018)</w:t>
      </w:r>
      <w:r w:rsidRPr="00602C3D">
        <w:t>. A child's capacity to transition into puberty might be negatively impacted by neglecting their social, emotional, and academic development.</w:t>
      </w:r>
      <w:r w:rsidR="00EB2B33">
        <w:t xml:space="preserve"> </w:t>
      </w:r>
      <w:r w:rsidR="00EB2B33" w:rsidRPr="00EB2B33">
        <w:t>(Drane, 2020)</w:t>
      </w:r>
      <w:r w:rsidRPr="00602C3D">
        <w:t xml:space="preserve"> Adolescence is a period of increasing risk taking, especially for youngsters who are interested in trying out new substances. Young individuals whose ties with older family members are weak are particularly vulnerable. Understanding and addressing the problem of child abuse and neglect in Australia's Indigenous communities requires an approach that takes into account both the past and the present</w:t>
      </w:r>
      <w:r w:rsidR="00EB2B33">
        <w:t xml:space="preserve"> </w:t>
      </w:r>
      <w:r w:rsidR="00EB2B33" w:rsidRPr="00EB2B33">
        <w:t>(Imran, 2020)</w:t>
      </w:r>
      <w:r w:rsidRPr="00602C3D">
        <w:t>.</w:t>
      </w:r>
    </w:p>
    <w:p w:rsidR="00467FDA" w:rsidRDefault="00602C3D" w:rsidP="008428A4">
      <w:pPr>
        <w:spacing w:line="360" w:lineRule="auto"/>
      </w:pPr>
      <w:r w:rsidRPr="00602C3D">
        <w:t>The history of prejudice and brutality towards Aboriginal people from the earliest days of European colonisation is a major contributor to the issues that certain Indigenous communities face today</w:t>
      </w:r>
      <w:r w:rsidR="00EB2B33">
        <w:t xml:space="preserve"> </w:t>
      </w:r>
      <w:r w:rsidR="00EB2B33" w:rsidRPr="00EB2B33">
        <w:t>(Nevard, 2021)</w:t>
      </w:r>
      <w:r w:rsidRPr="00602C3D">
        <w:t>. Displacement of Indigenous communities from their land and the separation of children from their families and communities as a result of government policies of dispossession, segregation, and assimilation all led to the current disadvantage. These "stolen generations" of children were denied the love and support of their families and communities</w:t>
      </w:r>
      <w:r w:rsidR="00EB2B33">
        <w:t xml:space="preserve"> </w:t>
      </w:r>
      <w:r w:rsidR="00EB2B33" w:rsidRPr="00EB2B33">
        <w:t>(Rosenthal, 2020)</w:t>
      </w:r>
      <w:r w:rsidRPr="00602C3D">
        <w:t>. This contributes to modern socioeconomic issues such as alcoholism, poverty, drug addiction, and familial violence, as well as the loss of identity for children, their families, and their communities. Abuse and neglect are major problems in the lives of children with disabilitie</w:t>
      </w:r>
      <w:r w:rsidR="00EB2B33">
        <w:t xml:space="preserve"> </w:t>
      </w:r>
      <w:r w:rsidR="00EB2B33" w:rsidRPr="00EB2B33">
        <w:t>(Tohidast, 2020)</w:t>
      </w:r>
      <w:r w:rsidRPr="00602C3D">
        <w:t>s. Their precarious position is exacerbated by their long-term reliance on others and the prevalence of communication difficulties. Children who are deaf or severely physically disabled are also at high risk. This is especially troublesome if the kid’s ‘interpreter’ or caretaker is actually a child abuser</w:t>
      </w:r>
      <w:r w:rsidR="00EB2B33">
        <w:t xml:space="preserve"> </w:t>
      </w:r>
      <w:r w:rsidR="00EB2B33" w:rsidRPr="00EB2B33">
        <w:t>(Thabrew, 2018)</w:t>
      </w:r>
      <w:r w:rsidRPr="00602C3D">
        <w:t>.</w:t>
      </w:r>
    </w:p>
    <w:p w:rsidR="003D4250" w:rsidRDefault="003D4250" w:rsidP="008428A4">
      <w:pPr>
        <w:spacing w:line="360" w:lineRule="auto"/>
      </w:pPr>
      <w:r>
        <w:lastRenderedPageBreak/>
        <w:t>Vulnerability in children results from a complex interplay of several, interrelated, and evolving causes. As these elements shift and develop, so too do the types and levels of vulnerability that children face. For instance, as children age, their requirements change, and they become more vulnerable to different types of harm</w:t>
      </w:r>
      <w:r w:rsidR="00EB2B33">
        <w:t xml:space="preserve"> </w:t>
      </w:r>
      <w:r w:rsidR="00EB2B33" w:rsidRPr="00EB2B33">
        <w:t>(Vostanis, 2007)</w:t>
      </w:r>
      <w:r>
        <w:t>. Infants are highly attuned to their parents' health and material deprivation since they are wholly reliant and demand responsive and consistent caring. Due to the quick rate of early brain development, children under the age of three are particularly vulnerable to the negative effects of familial stress and material hardship. Interventions in the form of early childhood education and care (ECEC) and time spent in a setting other than the home may have positive effects on young children</w:t>
      </w:r>
      <w:r w:rsidR="00EB2B33">
        <w:t xml:space="preserve"> </w:t>
      </w:r>
      <w:r w:rsidR="00EB2B33" w:rsidRPr="00EB2B33">
        <w:t>(Warren, 2021)</w:t>
      </w:r>
      <w:r>
        <w:t>. Because of their growing sense of autonomy, older teenagers are more likely to be affected by the advantages and disadvantages of their surrounding community; thus, access to caring people, good educational institutions, and economic possibilities are crucial to their success. Disabled children include a wide spectrum of functional limitations due to physical, intellectual, communicative, and sensory impairments, as well as other long-term health issues. Despite the fact that the future for children with disabilities is brighter than it was even a few decades ago, these children are still disproportionately housed in institutions and are more likely to be victims of abuse and neglect</w:t>
      </w:r>
      <w:r w:rsidR="00EB2B33">
        <w:t xml:space="preserve"> </w:t>
      </w:r>
      <w:r w:rsidR="00EB2B33" w:rsidRPr="00EB2B33">
        <w:t>(Warren, 2021)</w:t>
      </w:r>
      <w:r>
        <w:t xml:space="preserve">. </w:t>
      </w:r>
    </w:p>
    <w:p w:rsidR="003D4250" w:rsidRDefault="003D4250" w:rsidP="008428A4">
      <w:pPr>
        <w:spacing w:line="360" w:lineRule="auto"/>
      </w:pPr>
      <w:r>
        <w:t>When compared to their non-disabled peers, children with disabilities are disproportionately represented in low-income homes and are more likely to be bullied. Poverty, living in a poor neighbourhood, overcrowded housing, intimate partner violence, and parental drug usage are all environmental risk factors for maltreatment. Disadvantaged bond between parents and children is a major element in children. Due to the fact that many children who are exposed to identical dangers are not maltreated, identifying children at risk may be challenging.</w:t>
      </w:r>
      <w:r w:rsidR="00EB2B33">
        <w:t xml:space="preserve"> </w:t>
      </w:r>
      <w:r w:rsidR="00EB2B33" w:rsidRPr="00EB2B33">
        <w:t>(Wilke, 2020)</w:t>
      </w:r>
    </w:p>
    <w:p w:rsidR="003D4250" w:rsidRDefault="003D4250" w:rsidP="008428A4">
      <w:pPr>
        <w:spacing w:line="360" w:lineRule="auto"/>
      </w:pPr>
      <w:r>
        <w:t>Economic costs to victims and society of abuse are high and persist over time. People who experienced childhood abuse are more likely to have lower levels of education, poorer incomes, and less assets as adults. Adult mental illness and nonviolent criminal convictions are both inversely correlated with childhood maltreatment</w:t>
      </w:r>
      <w:r w:rsidR="00EB2B33">
        <w:t xml:space="preserve"> </w:t>
      </w:r>
      <w:r w:rsidR="00EB2B33" w:rsidRPr="00EB2B33">
        <w:t>(Wilke, 2020)</w:t>
      </w:r>
      <w:r>
        <w:t>. Children who are placed in institutional care are especially at risk. The number of children entering and exiting the care system is shaped differently by the various child protection systems in OECD nations. The resources and limitations of the child protection system, as well as the education and decision-</w:t>
      </w:r>
      <w:r>
        <w:lastRenderedPageBreak/>
        <w:t>making abilities of the individuals who work in this field, all contribute to the wide range of approaches used by different nations</w:t>
      </w:r>
      <w:r w:rsidR="00EB2B33">
        <w:t xml:space="preserve"> </w:t>
      </w:r>
      <w:r w:rsidR="00EB2B33" w:rsidRPr="00EB2B33">
        <w:t>(Abela, 2018)</w:t>
      </w:r>
      <w:r>
        <w:t>.</w:t>
      </w:r>
    </w:p>
    <w:p w:rsidR="003D4250" w:rsidRDefault="003D4250" w:rsidP="008428A4">
      <w:pPr>
        <w:spacing w:line="360" w:lineRule="auto"/>
      </w:pPr>
      <w:r>
        <w:t>When compared to children who remain in their biological families, children who are placed in institutional care have worse educational, health, occupational, and economic results. These kids can be helped if they are placed with caring adults who are given the resources they need to do their jobs. Support for young persons ageing out of the care system may be essential for future labour market involvement. Vulnerable families benefit from access to a variety of interventions to minimise stresses and enhance protective factors</w:t>
      </w:r>
      <w:r w:rsidR="00EB2B33">
        <w:t xml:space="preserve"> </w:t>
      </w:r>
      <w:r w:rsidR="00EB2B33" w:rsidRPr="00EB2B33">
        <w:t>(Allshouse, 2018)</w:t>
      </w:r>
      <w:r>
        <w:t>. Home visiting programmes and other forms of family-based intervention are effective in creating a more nurturing environment for children because they teach parents how to better care for their kids and provide them with information on child development and community resources. Parenting programmes for various age groups allow parents to learn from one other as they work together to meet the unique needs of their children. Schools have a critical role in promoting children’s social and emotional well-being, and identifying and aiding children who need assistance</w:t>
      </w:r>
      <w:r w:rsidR="00EB2B33">
        <w:t xml:space="preserve"> </w:t>
      </w:r>
      <w:r w:rsidR="00EB2B33" w:rsidRPr="00EB2B33">
        <w:t>(Drane, 2020)</w:t>
      </w:r>
      <w:r>
        <w:t xml:space="preserve">. </w:t>
      </w:r>
    </w:p>
    <w:p w:rsidR="00467FDA" w:rsidRDefault="00811534" w:rsidP="008428A4">
      <w:pPr>
        <w:spacing w:line="360" w:lineRule="auto"/>
      </w:pPr>
      <w:r>
        <w:t xml:space="preserve">Hence, </w:t>
      </w:r>
      <w:r w:rsidRPr="003D4250">
        <w:t xml:space="preserve">many </w:t>
      </w:r>
      <w:r w:rsidR="003D4250" w:rsidRPr="003D4250">
        <w:t>countries are including emotional and social learning into their curricula. France, Ireland, Norway, Portugal, Koran, and Scotland (UK) have built emotional well-being frameworks that include health services and protective aspects in the school environment. Child protection services shouldn't be delayed. OECD child protection policies and practises safeguard children from danger, advocate for their best interests, and preserve intact families</w:t>
      </w:r>
      <w:r>
        <w:t xml:space="preserve"> </w:t>
      </w:r>
      <w:r w:rsidRPr="00811534">
        <w:t>(Imran, 2020)</w:t>
      </w:r>
      <w:r w:rsidR="003D4250" w:rsidRPr="003D4250">
        <w:t>. "Child protection systems" in Australia, Ireland, New Zealand, the UK, and the US and "family welfare systems" in Denmark, Finland, and Norway make up most OECD child protection programmes. Certain countries have embraced the DR model to improve their healthcare systems' accessibility and timeliness. This includes the US, NZ, AU, and IR. DR aims to increase the quality of services offered to low-risk and willing families in need.</w:t>
      </w:r>
      <w:r>
        <w:t xml:space="preserve"> </w:t>
      </w:r>
      <w:r w:rsidRPr="00811534">
        <w:t>(Nevard, 2021)</w:t>
      </w:r>
    </w:p>
    <w:p w:rsidR="003D4250" w:rsidRDefault="003D4250" w:rsidP="008428A4">
      <w:pPr>
        <w:spacing w:line="360" w:lineRule="auto"/>
        <w:jc w:val="left"/>
      </w:pPr>
      <w:r>
        <w:br w:type="page"/>
      </w:r>
    </w:p>
    <w:p w:rsidR="003D4250" w:rsidRDefault="003D4250" w:rsidP="008428A4">
      <w:pPr>
        <w:pStyle w:val="Heading1"/>
        <w:spacing w:line="360" w:lineRule="auto"/>
        <w:rPr>
          <w:b/>
        </w:rPr>
      </w:pPr>
      <w:r w:rsidRPr="003D4250">
        <w:rPr>
          <w:b/>
        </w:rPr>
        <w:lastRenderedPageBreak/>
        <w:t>References</w:t>
      </w:r>
    </w:p>
    <w:p w:rsidR="007E0080" w:rsidRDefault="007E0080" w:rsidP="008428A4">
      <w:pPr>
        <w:spacing w:line="360" w:lineRule="auto"/>
        <w:ind w:left="720" w:hanging="720"/>
        <w:rPr>
          <w:shd w:val="clear" w:color="auto" w:fill="FFFFFF"/>
        </w:rPr>
      </w:pPr>
      <w:r>
        <w:rPr>
          <w:shd w:val="clear" w:color="auto" w:fill="FFFFFF"/>
        </w:rPr>
        <w:t>Abela, A., Ainsworth, F., Atwool, N., Bamblett, M., Buckley, H., Fernandez, E., Frederico, M., Gaffney, M., Gair, S., Goddard, C. and Gupta, A., 2018. Children Australia is a quarterly journal which aims to provide an opportunity for service providers, academics and others concerned with children, young people and families to report on their work, to raise issues and to share their views.</w:t>
      </w:r>
    </w:p>
    <w:p w:rsidR="007E0080" w:rsidRDefault="007E0080" w:rsidP="008428A4">
      <w:pPr>
        <w:spacing w:line="360" w:lineRule="auto"/>
        <w:ind w:left="720" w:hanging="720"/>
        <w:rPr>
          <w:shd w:val="clear" w:color="auto" w:fill="FFFFFF"/>
        </w:rPr>
      </w:pPr>
      <w:r>
        <w:rPr>
          <w:shd w:val="clear" w:color="auto" w:fill="FFFFFF"/>
        </w:rPr>
        <w:t>Aldridge, J., 2012. The participation of vulnerable children in photographic research. </w:t>
      </w:r>
      <w:r>
        <w:rPr>
          <w:i/>
          <w:iCs/>
          <w:shd w:val="clear" w:color="auto" w:fill="FFFFFF"/>
        </w:rPr>
        <w:t>Visual Studies</w:t>
      </w:r>
      <w:r>
        <w:rPr>
          <w:shd w:val="clear" w:color="auto" w:fill="FFFFFF"/>
        </w:rPr>
        <w:t>, </w:t>
      </w:r>
      <w:r>
        <w:rPr>
          <w:i/>
          <w:iCs/>
          <w:shd w:val="clear" w:color="auto" w:fill="FFFFFF"/>
        </w:rPr>
        <w:t>27</w:t>
      </w:r>
      <w:r>
        <w:rPr>
          <w:shd w:val="clear" w:color="auto" w:fill="FFFFFF"/>
        </w:rPr>
        <w:t>(1), pp.48-58.</w:t>
      </w:r>
    </w:p>
    <w:p w:rsidR="007E0080" w:rsidRDefault="007E0080" w:rsidP="008428A4">
      <w:pPr>
        <w:spacing w:line="360" w:lineRule="auto"/>
        <w:ind w:left="720" w:hanging="720"/>
        <w:rPr>
          <w:shd w:val="clear" w:color="auto" w:fill="FFFFFF"/>
        </w:rPr>
      </w:pPr>
      <w:r>
        <w:rPr>
          <w:shd w:val="clear" w:color="auto" w:fill="FFFFFF"/>
        </w:rPr>
        <w:t>Allshouse, C., Comeau, M., Rodgers, R. and Wells, N., 2018. Families of children with medical complexity: a view from the front lines. </w:t>
      </w:r>
      <w:r>
        <w:rPr>
          <w:i/>
          <w:iCs/>
          <w:shd w:val="clear" w:color="auto" w:fill="FFFFFF"/>
        </w:rPr>
        <w:t>Pediatrics</w:t>
      </w:r>
      <w:r>
        <w:rPr>
          <w:shd w:val="clear" w:color="auto" w:fill="FFFFFF"/>
        </w:rPr>
        <w:t>, </w:t>
      </w:r>
      <w:r>
        <w:rPr>
          <w:i/>
          <w:iCs/>
          <w:shd w:val="clear" w:color="auto" w:fill="FFFFFF"/>
        </w:rPr>
        <w:t>141</w:t>
      </w:r>
      <w:r>
        <w:rPr>
          <w:shd w:val="clear" w:color="auto" w:fill="FFFFFF"/>
        </w:rPr>
        <w:t>(Supplement_3), pp.S195-S201.</w:t>
      </w:r>
    </w:p>
    <w:p w:rsidR="007E0080" w:rsidRDefault="007E0080" w:rsidP="008428A4">
      <w:pPr>
        <w:spacing w:line="360" w:lineRule="auto"/>
        <w:ind w:left="720" w:hanging="720"/>
        <w:rPr>
          <w:shd w:val="clear" w:color="auto" w:fill="FFFFFF"/>
        </w:rPr>
      </w:pPr>
      <w:r>
        <w:rPr>
          <w:shd w:val="clear" w:color="auto" w:fill="FFFFFF"/>
        </w:rPr>
        <w:t>Bradbury-Jones, C., Isham, L. and Taylor, J., 2018. The complexities and contradictions in participatory research with vulnerable children and young people: A qualitative systematic review. </w:t>
      </w:r>
      <w:r>
        <w:rPr>
          <w:i/>
          <w:iCs/>
          <w:shd w:val="clear" w:color="auto" w:fill="FFFFFF"/>
        </w:rPr>
        <w:t>Social Science &amp; Medicine</w:t>
      </w:r>
      <w:r>
        <w:rPr>
          <w:shd w:val="clear" w:color="auto" w:fill="FFFFFF"/>
        </w:rPr>
        <w:t>, </w:t>
      </w:r>
      <w:r>
        <w:rPr>
          <w:i/>
          <w:iCs/>
          <w:shd w:val="clear" w:color="auto" w:fill="FFFFFF"/>
        </w:rPr>
        <w:t>215</w:t>
      </w:r>
      <w:r>
        <w:rPr>
          <w:shd w:val="clear" w:color="auto" w:fill="FFFFFF"/>
        </w:rPr>
        <w:t>, pp.80-91.</w:t>
      </w:r>
    </w:p>
    <w:p w:rsidR="007E0080" w:rsidRDefault="007E0080" w:rsidP="008428A4">
      <w:pPr>
        <w:spacing w:line="360" w:lineRule="auto"/>
        <w:ind w:left="720" w:hanging="720"/>
        <w:rPr>
          <w:shd w:val="clear" w:color="auto" w:fill="FFFFFF"/>
        </w:rPr>
      </w:pPr>
      <w:r>
        <w:rPr>
          <w:shd w:val="clear" w:color="auto" w:fill="FFFFFF"/>
        </w:rPr>
        <w:t>Drane, C., Vernon, L. and O’Shea, S., 2020. The impact of ‘learning at home’on the educational outcomes of vulnerable children in Australia during the COVID-19 pandemic. </w:t>
      </w:r>
      <w:r>
        <w:rPr>
          <w:i/>
          <w:iCs/>
          <w:shd w:val="clear" w:color="auto" w:fill="FFFFFF"/>
        </w:rPr>
        <w:t>Literature Review Prepared by the National Centre for Student Equity in Higher Education. Curtin University, Australia</w:t>
      </w:r>
      <w:r>
        <w:rPr>
          <w:shd w:val="clear" w:color="auto" w:fill="FFFFFF"/>
        </w:rPr>
        <w:t>.</w:t>
      </w:r>
    </w:p>
    <w:p w:rsidR="007E0080" w:rsidRDefault="007E0080" w:rsidP="008428A4">
      <w:pPr>
        <w:spacing w:line="360" w:lineRule="auto"/>
        <w:ind w:left="720" w:hanging="720"/>
        <w:rPr>
          <w:shd w:val="clear" w:color="auto" w:fill="FFFFFF"/>
        </w:rPr>
      </w:pPr>
      <w:r>
        <w:rPr>
          <w:shd w:val="clear" w:color="auto" w:fill="FFFFFF"/>
        </w:rPr>
        <w:t>Imran, N., Aamer, I., Sharif, M.I., Bodla, Z.H. and Naveed, S., 2020. Psychological burden of quarantine in children and adolescents: A rapid systematic review and proposed solutions. </w:t>
      </w:r>
      <w:r>
        <w:rPr>
          <w:i/>
          <w:iCs/>
          <w:shd w:val="clear" w:color="auto" w:fill="FFFFFF"/>
        </w:rPr>
        <w:t>Pakistan journal of medical sciences</w:t>
      </w:r>
      <w:r>
        <w:rPr>
          <w:shd w:val="clear" w:color="auto" w:fill="FFFFFF"/>
        </w:rPr>
        <w:t>, </w:t>
      </w:r>
      <w:r>
        <w:rPr>
          <w:i/>
          <w:iCs/>
          <w:shd w:val="clear" w:color="auto" w:fill="FFFFFF"/>
        </w:rPr>
        <w:t>36</w:t>
      </w:r>
      <w:r>
        <w:rPr>
          <w:shd w:val="clear" w:color="auto" w:fill="FFFFFF"/>
        </w:rPr>
        <w:t>(5), p.1106.</w:t>
      </w:r>
    </w:p>
    <w:p w:rsidR="007E0080" w:rsidRDefault="007E0080" w:rsidP="008428A4">
      <w:pPr>
        <w:spacing w:line="360" w:lineRule="auto"/>
        <w:ind w:left="720" w:hanging="720"/>
        <w:rPr>
          <w:shd w:val="clear" w:color="auto" w:fill="FFFFFF"/>
        </w:rPr>
      </w:pPr>
      <w:r>
        <w:rPr>
          <w:shd w:val="clear" w:color="auto" w:fill="FFFFFF"/>
        </w:rPr>
        <w:t>Nevard, I., Green, C., Bell, V., Gellatly, J., Brooks, H. and Bee, P., 2021. Conceptualising the social networks of vulnerable children and young people: a systematic review and narrative synthesis. </w:t>
      </w:r>
      <w:r>
        <w:rPr>
          <w:i/>
          <w:iCs/>
          <w:shd w:val="clear" w:color="auto" w:fill="FFFFFF"/>
        </w:rPr>
        <w:t>Social psychiatry and psychiatric epidemiology</w:t>
      </w:r>
      <w:r>
        <w:rPr>
          <w:shd w:val="clear" w:color="auto" w:fill="FFFFFF"/>
        </w:rPr>
        <w:t>, </w:t>
      </w:r>
      <w:r>
        <w:rPr>
          <w:i/>
          <w:iCs/>
          <w:shd w:val="clear" w:color="auto" w:fill="FFFFFF"/>
        </w:rPr>
        <w:t>56</w:t>
      </w:r>
      <w:r>
        <w:rPr>
          <w:shd w:val="clear" w:color="auto" w:fill="FFFFFF"/>
        </w:rPr>
        <w:t>(2), pp.169-182.</w:t>
      </w:r>
    </w:p>
    <w:p w:rsidR="007E0080" w:rsidRPr="003D4250" w:rsidRDefault="007E0080" w:rsidP="008428A4">
      <w:pPr>
        <w:spacing w:line="360" w:lineRule="auto"/>
        <w:ind w:left="720" w:hanging="720"/>
      </w:pPr>
      <w:r>
        <w:rPr>
          <w:shd w:val="clear" w:color="auto" w:fill="FFFFFF"/>
        </w:rPr>
        <w:t>Rosenthal, D.M., Ucci, M., Heys, M., Hayward, A. and Lakhanpaul, M., 2020. Impacts of COVID-19 on vulnerable children in temporary accommodation in the UK. </w:t>
      </w:r>
      <w:r>
        <w:rPr>
          <w:i/>
          <w:iCs/>
          <w:shd w:val="clear" w:color="auto" w:fill="FFFFFF"/>
        </w:rPr>
        <w:t>The Lancet Public Health</w:t>
      </w:r>
      <w:r>
        <w:rPr>
          <w:shd w:val="clear" w:color="auto" w:fill="FFFFFF"/>
        </w:rPr>
        <w:t>, </w:t>
      </w:r>
      <w:r>
        <w:rPr>
          <w:i/>
          <w:iCs/>
          <w:shd w:val="clear" w:color="auto" w:fill="FFFFFF"/>
        </w:rPr>
        <w:t>5</w:t>
      </w:r>
      <w:r>
        <w:rPr>
          <w:shd w:val="clear" w:color="auto" w:fill="FFFFFF"/>
        </w:rPr>
        <w:t>(5), pp.e241-e242.</w:t>
      </w:r>
    </w:p>
    <w:p w:rsidR="007E0080" w:rsidRDefault="007E0080" w:rsidP="008428A4">
      <w:pPr>
        <w:spacing w:line="360" w:lineRule="auto"/>
        <w:ind w:left="720" w:hanging="720"/>
        <w:rPr>
          <w:shd w:val="clear" w:color="auto" w:fill="FFFFFF"/>
        </w:rPr>
      </w:pPr>
      <w:r>
        <w:rPr>
          <w:shd w:val="clear" w:color="auto" w:fill="FFFFFF"/>
        </w:rPr>
        <w:lastRenderedPageBreak/>
        <w:t>Thabrew, H., Fleming, T., Hetrick, S. and Merry, S., 2018. Co-design of eHealth interventions with children and young people. </w:t>
      </w:r>
      <w:r>
        <w:rPr>
          <w:i/>
          <w:iCs/>
          <w:shd w:val="clear" w:color="auto" w:fill="FFFFFF"/>
        </w:rPr>
        <w:t>Frontiers in psychiatry</w:t>
      </w:r>
      <w:r>
        <w:rPr>
          <w:shd w:val="clear" w:color="auto" w:fill="FFFFFF"/>
        </w:rPr>
        <w:t>, </w:t>
      </w:r>
      <w:r>
        <w:rPr>
          <w:i/>
          <w:iCs/>
          <w:shd w:val="clear" w:color="auto" w:fill="FFFFFF"/>
        </w:rPr>
        <w:t>9</w:t>
      </w:r>
      <w:r>
        <w:rPr>
          <w:shd w:val="clear" w:color="auto" w:fill="FFFFFF"/>
        </w:rPr>
        <w:t>, p.481.</w:t>
      </w:r>
    </w:p>
    <w:p w:rsidR="007E0080" w:rsidRDefault="007E0080" w:rsidP="008428A4">
      <w:pPr>
        <w:spacing w:line="360" w:lineRule="auto"/>
        <w:ind w:left="720" w:hanging="720"/>
        <w:rPr>
          <w:shd w:val="clear" w:color="auto" w:fill="FFFFFF"/>
        </w:rPr>
      </w:pPr>
      <w:r>
        <w:rPr>
          <w:shd w:val="clear" w:color="auto" w:fill="FFFFFF"/>
        </w:rPr>
        <w:t>Tohidast, S.A., Mansuri, B., Bagheri, R. and Azimi, H., 2020. Provision of speech-language pathology services for the treatment of speech and language disorders in children during the COVID-19 pandemic: Problems, concerns, and solutions. </w:t>
      </w:r>
      <w:r>
        <w:rPr>
          <w:i/>
          <w:iCs/>
          <w:shd w:val="clear" w:color="auto" w:fill="FFFFFF"/>
        </w:rPr>
        <w:t>International journal of pediatric otorhinolaryngology</w:t>
      </w:r>
      <w:r>
        <w:rPr>
          <w:shd w:val="clear" w:color="auto" w:fill="FFFFFF"/>
        </w:rPr>
        <w:t>, </w:t>
      </w:r>
      <w:r>
        <w:rPr>
          <w:i/>
          <w:iCs/>
          <w:shd w:val="clear" w:color="auto" w:fill="FFFFFF"/>
        </w:rPr>
        <w:t>138</w:t>
      </w:r>
      <w:r>
        <w:rPr>
          <w:shd w:val="clear" w:color="auto" w:fill="FFFFFF"/>
        </w:rPr>
        <w:t>, p.110262.</w:t>
      </w:r>
    </w:p>
    <w:p w:rsidR="007E0080" w:rsidRDefault="007E0080" w:rsidP="008428A4">
      <w:pPr>
        <w:spacing w:line="360" w:lineRule="auto"/>
        <w:ind w:left="720" w:hanging="720"/>
        <w:rPr>
          <w:shd w:val="clear" w:color="auto" w:fill="FFFFFF"/>
        </w:rPr>
      </w:pPr>
      <w:r>
        <w:rPr>
          <w:shd w:val="clear" w:color="auto" w:fill="FFFFFF"/>
        </w:rPr>
        <w:t>Vostanis, P., 2007. </w:t>
      </w:r>
      <w:r>
        <w:rPr>
          <w:i/>
          <w:iCs/>
          <w:shd w:val="clear" w:color="auto" w:fill="FFFFFF"/>
        </w:rPr>
        <w:t>Mental health interventions and services for vulnerable children and young people</w:t>
      </w:r>
      <w:r>
        <w:rPr>
          <w:shd w:val="clear" w:color="auto" w:fill="FFFFFF"/>
        </w:rPr>
        <w:t>. Jessica Kingsley Publishers.</w:t>
      </w:r>
    </w:p>
    <w:p w:rsidR="007E0080" w:rsidRDefault="007E0080" w:rsidP="008428A4">
      <w:pPr>
        <w:spacing w:line="360" w:lineRule="auto"/>
        <w:ind w:left="720" w:hanging="720"/>
        <w:rPr>
          <w:shd w:val="clear" w:color="auto" w:fill="FFFFFF"/>
        </w:rPr>
      </w:pPr>
      <w:r>
        <w:rPr>
          <w:shd w:val="clear" w:color="auto" w:fill="FFFFFF"/>
        </w:rPr>
        <w:t>Warren, S. and Barnes, A., 2021. Beyond the Homelessness, Crisis Accommodation, Poverty and Child Protection Cycle: Supportive housing for families with children and young people. </w:t>
      </w:r>
      <w:r>
        <w:rPr>
          <w:i/>
          <w:iCs/>
          <w:shd w:val="clear" w:color="auto" w:fill="FFFFFF"/>
        </w:rPr>
        <w:t>Social Alternatives</w:t>
      </w:r>
      <w:r>
        <w:rPr>
          <w:shd w:val="clear" w:color="auto" w:fill="FFFFFF"/>
        </w:rPr>
        <w:t>, </w:t>
      </w:r>
      <w:r>
        <w:rPr>
          <w:i/>
          <w:iCs/>
          <w:shd w:val="clear" w:color="auto" w:fill="FFFFFF"/>
        </w:rPr>
        <w:t>40</w:t>
      </w:r>
      <w:r>
        <w:rPr>
          <w:shd w:val="clear" w:color="auto" w:fill="FFFFFF"/>
        </w:rPr>
        <w:t>(4), pp.48-55.</w:t>
      </w:r>
    </w:p>
    <w:p w:rsidR="007E0080" w:rsidRDefault="007E0080" w:rsidP="008428A4">
      <w:pPr>
        <w:spacing w:line="360" w:lineRule="auto"/>
        <w:ind w:left="720" w:hanging="720"/>
        <w:rPr>
          <w:shd w:val="clear" w:color="auto" w:fill="FFFFFF"/>
        </w:rPr>
      </w:pPr>
      <w:r>
        <w:rPr>
          <w:shd w:val="clear" w:color="auto" w:fill="FFFFFF"/>
        </w:rPr>
        <w:t>Wilke, N.G., Howard, A.H. and Pop, D., 2020. Data-informed recommendations for services providers working with vulnerable children and families during the COVID-19 pandemic. </w:t>
      </w:r>
      <w:r>
        <w:rPr>
          <w:i/>
          <w:iCs/>
          <w:shd w:val="clear" w:color="auto" w:fill="FFFFFF"/>
        </w:rPr>
        <w:t>Child Abuse &amp; Neglect</w:t>
      </w:r>
      <w:r>
        <w:rPr>
          <w:shd w:val="clear" w:color="auto" w:fill="FFFFFF"/>
        </w:rPr>
        <w:t>, </w:t>
      </w:r>
      <w:r>
        <w:rPr>
          <w:i/>
          <w:iCs/>
          <w:shd w:val="clear" w:color="auto" w:fill="FFFFFF"/>
        </w:rPr>
        <w:t>110</w:t>
      </w:r>
      <w:r>
        <w:rPr>
          <w:shd w:val="clear" w:color="auto" w:fill="FFFFFF"/>
        </w:rPr>
        <w:t>, p.104642.</w:t>
      </w:r>
    </w:p>
    <w:p w:rsidR="008B0210" w:rsidRPr="008B0210" w:rsidRDefault="008B0210" w:rsidP="008428A4">
      <w:pPr>
        <w:pStyle w:val="NormalWeb"/>
        <w:shd w:val="clear" w:color="auto" w:fill="FFFFFF"/>
        <w:spacing w:line="360" w:lineRule="auto"/>
      </w:pPr>
    </w:p>
    <w:sectPr w:rsidR="008B0210" w:rsidRPr="008B0210" w:rsidSect="00DE1817">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176D" w:rsidRDefault="00B7176D" w:rsidP="008B0210">
      <w:pPr>
        <w:spacing w:after="0"/>
      </w:pPr>
      <w:r>
        <w:separator/>
      </w:r>
    </w:p>
  </w:endnote>
  <w:endnote w:type="continuationSeparator" w:id="1">
    <w:p w:rsidR="00B7176D" w:rsidRDefault="00B7176D" w:rsidP="008B021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176D" w:rsidRDefault="00B7176D" w:rsidP="008B0210">
      <w:pPr>
        <w:spacing w:after="0"/>
      </w:pPr>
      <w:r>
        <w:separator/>
      </w:r>
    </w:p>
  </w:footnote>
  <w:footnote w:type="continuationSeparator" w:id="1">
    <w:p w:rsidR="00B7176D" w:rsidRDefault="00B7176D" w:rsidP="008B0210">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4800016"/>
      <w:docPartObj>
        <w:docPartGallery w:val="Page Numbers (Top of Page)"/>
        <w:docPartUnique/>
      </w:docPartObj>
    </w:sdtPr>
    <w:sdtContent>
      <w:p w:rsidR="008B0210" w:rsidRDefault="00DD6333">
        <w:pPr>
          <w:pStyle w:val="Header"/>
          <w:jc w:val="right"/>
        </w:pPr>
        <w:fldSimple w:instr=" PAGE   \* MERGEFORMAT ">
          <w:r w:rsidR="004158BF">
            <w:rPr>
              <w:noProof/>
            </w:rPr>
            <w:t>5</w:t>
          </w:r>
        </w:fldSimple>
      </w:p>
    </w:sdtContent>
  </w:sdt>
  <w:p w:rsidR="008B0210" w:rsidRDefault="008B021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characterSpacingControl w:val="doNotCompres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2MLW0NAAiUxNzA0tTIyUdpeDU4uLM/DyQAsNaAP/g400sAAAA"/>
  </w:docVars>
  <w:rsids>
    <w:rsidRoot w:val="008B0210"/>
    <w:rsid w:val="000010FD"/>
    <w:rsid w:val="002416D5"/>
    <w:rsid w:val="003D4250"/>
    <w:rsid w:val="004158BF"/>
    <w:rsid w:val="00422D55"/>
    <w:rsid w:val="00467FDA"/>
    <w:rsid w:val="00490C31"/>
    <w:rsid w:val="00497301"/>
    <w:rsid w:val="00594046"/>
    <w:rsid w:val="00602C3D"/>
    <w:rsid w:val="007E0080"/>
    <w:rsid w:val="007F52BE"/>
    <w:rsid w:val="00811534"/>
    <w:rsid w:val="008428A4"/>
    <w:rsid w:val="008B0210"/>
    <w:rsid w:val="00987876"/>
    <w:rsid w:val="00AF3693"/>
    <w:rsid w:val="00B17448"/>
    <w:rsid w:val="00B3152D"/>
    <w:rsid w:val="00B7176D"/>
    <w:rsid w:val="00B86525"/>
    <w:rsid w:val="00CB5A70"/>
    <w:rsid w:val="00DA0B11"/>
    <w:rsid w:val="00DC0D47"/>
    <w:rsid w:val="00DD6333"/>
    <w:rsid w:val="00DE1817"/>
    <w:rsid w:val="00EB2B33"/>
    <w:rsid w:val="00F934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210"/>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8B0210"/>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semiHidden/>
    <w:unhideWhenUsed/>
    <w:qFormat/>
    <w:rsid w:val="008B0210"/>
    <w:pPr>
      <w:spacing w:before="200" w:after="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8B0210"/>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8B0210"/>
    <w:pPr>
      <w:spacing w:after="0" w:line="271" w:lineRule="auto"/>
      <w:outlineLvl w:val="3"/>
    </w:pPr>
    <w:rPr>
      <w:b/>
      <w:bCs/>
      <w:spacing w:val="5"/>
      <w:szCs w:val="24"/>
    </w:rPr>
  </w:style>
  <w:style w:type="paragraph" w:styleId="Heading5">
    <w:name w:val="heading 5"/>
    <w:basedOn w:val="Normal"/>
    <w:next w:val="Normal"/>
    <w:link w:val="Heading5Char"/>
    <w:uiPriority w:val="9"/>
    <w:semiHidden/>
    <w:unhideWhenUsed/>
    <w:qFormat/>
    <w:rsid w:val="008B0210"/>
    <w:pPr>
      <w:spacing w:after="0" w:line="271" w:lineRule="auto"/>
      <w:outlineLvl w:val="4"/>
    </w:pPr>
    <w:rPr>
      <w:i/>
      <w:iCs/>
      <w:szCs w:val="24"/>
    </w:rPr>
  </w:style>
  <w:style w:type="paragraph" w:styleId="Heading6">
    <w:name w:val="heading 6"/>
    <w:basedOn w:val="Normal"/>
    <w:next w:val="Normal"/>
    <w:link w:val="Heading6Char"/>
    <w:uiPriority w:val="9"/>
    <w:semiHidden/>
    <w:unhideWhenUsed/>
    <w:qFormat/>
    <w:rsid w:val="008B0210"/>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8B0210"/>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8B0210"/>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8B0210"/>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210"/>
    <w:rPr>
      <w:smallCaps/>
      <w:spacing w:val="5"/>
      <w:sz w:val="36"/>
      <w:szCs w:val="36"/>
    </w:rPr>
  </w:style>
  <w:style w:type="character" w:customStyle="1" w:styleId="Heading2Char">
    <w:name w:val="Heading 2 Char"/>
    <w:basedOn w:val="DefaultParagraphFont"/>
    <w:link w:val="Heading2"/>
    <w:uiPriority w:val="9"/>
    <w:semiHidden/>
    <w:rsid w:val="008B0210"/>
    <w:rPr>
      <w:smallCaps/>
      <w:sz w:val="28"/>
      <w:szCs w:val="28"/>
    </w:rPr>
  </w:style>
  <w:style w:type="character" w:customStyle="1" w:styleId="Heading3Char">
    <w:name w:val="Heading 3 Char"/>
    <w:basedOn w:val="DefaultParagraphFont"/>
    <w:link w:val="Heading3"/>
    <w:uiPriority w:val="9"/>
    <w:semiHidden/>
    <w:rsid w:val="008B0210"/>
    <w:rPr>
      <w:i/>
      <w:iCs/>
      <w:smallCaps/>
      <w:spacing w:val="5"/>
      <w:sz w:val="26"/>
      <w:szCs w:val="26"/>
    </w:rPr>
  </w:style>
  <w:style w:type="character" w:customStyle="1" w:styleId="Heading4Char">
    <w:name w:val="Heading 4 Char"/>
    <w:basedOn w:val="DefaultParagraphFont"/>
    <w:link w:val="Heading4"/>
    <w:uiPriority w:val="9"/>
    <w:semiHidden/>
    <w:rsid w:val="008B0210"/>
    <w:rPr>
      <w:b/>
      <w:bCs/>
      <w:spacing w:val="5"/>
      <w:sz w:val="24"/>
      <w:szCs w:val="24"/>
    </w:rPr>
  </w:style>
  <w:style w:type="character" w:customStyle="1" w:styleId="Heading5Char">
    <w:name w:val="Heading 5 Char"/>
    <w:basedOn w:val="DefaultParagraphFont"/>
    <w:link w:val="Heading5"/>
    <w:uiPriority w:val="9"/>
    <w:semiHidden/>
    <w:rsid w:val="008B0210"/>
    <w:rPr>
      <w:i/>
      <w:iCs/>
      <w:sz w:val="24"/>
      <w:szCs w:val="24"/>
    </w:rPr>
  </w:style>
  <w:style w:type="character" w:customStyle="1" w:styleId="Heading6Char">
    <w:name w:val="Heading 6 Char"/>
    <w:basedOn w:val="DefaultParagraphFont"/>
    <w:link w:val="Heading6"/>
    <w:uiPriority w:val="9"/>
    <w:semiHidden/>
    <w:rsid w:val="008B0210"/>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8B0210"/>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8B0210"/>
    <w:rPr>
      <w:b/>
      <w:bCs/>
      <w:color w:val="7F7F7F" w:themeColor="text1" w:themeTint="80"/>
      <w:sz w:val="20"/>
      <w:szCs w:val="20"/>
    </w:rPr>
  </w:style>
  <w:style w:type="character" w:customStyle="1" w:styleId="Heading9Char">
    <w:name w:val="Heading 9 Char"/>
    <w:basedOn w:val="DefaultParagraphFont"/>
    <w:link w:val="Heading9"/>
    <w:uiPriority w:val="9"/>
    <w:semiHidden/>
    <w:rsid w:val="008B0210"/>
    <w:rPr>
      <w:b/>
      <w:bCs/>
      <w:i/>
      <w:iCs/>
      <w:color w:val="7F7F7F" w:themeColor="text1" w:themeTint="80"/>
      <w:sz w:val="18"/>
      <w:szCs w:val="18"/>
    </w:rPr>
  </w:style>
  <w:style w:type="paragraph" w:styleId="Title">
    <w:name w:val="Title"/>
    <w:basedOn w:val="Normal"/>
    <w:next w:val="Normal"/>
    <w:link w:val="TitleChar"/>
    <w:uiPriority w:val="10"/>
    <w:qFormat/>
    <w:rsid w:val="008B0210"/>
    <w:pPr>
      <w:spacing w:after="300"/>
      <w:contextualSpacing/>
    </w:pPr>
    <w:rPr>
      <w:smallCaps/>
      <w:sz w:val="52"/>
      <w:szCs w:val="52"/>
    </w:rPr>
  </w:style>
  <w:style w:type="character" w:customStyle="1" w:styleId="TitleChar">
    <w:name w:val="Title Char"/>
    <w:basedOn w:val="DefaultParagraphFont"/>
    <w:link w:val="Title"/>
    <w:uiPriority w:val="10"/>
    <w:rsid w:val="008B0210"/>
    <w:rPr>
      <w:smallCaps/>
      <w:sz w:val="52"/>
      <w:szCs w:val="52"/>
    </w:rPr>
  </w:style>
  <w:style w:type="paragraph" w:styleId="Subtitle">
    <w:name w:val="Subtitle"/>
    <w:basedOn w:val="Normal"/>
    <w:next w:val="Normal"/>
    <w:link w:val="SubtitleChar"/>
    <w:uiPriority w:val="11"/>
    <w:qFormat/>
    <w:rsid w:val="008B0210"/>
    <w:rPr>
      <w:i/>
      <w:iCs/>
      <w:smallCaps/>
      <w:spacing w:val="10"/>
      <w:sz w:val="28"/>
      <w:szCs w:val="28"/>
    </w:rPr>
  </w:style>
  <w:style w:type="character" w:customStyle="1" w:styleId="SubtitleChar">
    <w:name w:val="Subtitle Char"/>
    <w:basedOn w:val="DefaultParagraphFont"/>
    <w:link w:val="Subtitle"/>
    <w:uiPriority w:val="11"/>
    <w:rsid w:val="008B0210"/>
    <w:rPr>
      <w:i/>
      <w:iCs/>
      <w:smallCaps/>
      <w:spacing w:val="10"/>
      <w:sz w:val="28"/>
      <w:szCs w:val="28"/>
    </w:rPr>
  </w:style>
  <w:style w:type="character" w:styleId="Strong">
    <w:name w:val="Strong"/>
    <w:uiPriority w:val="22"/>
    <w:qFormat/>
    <w:rsid w:val="008B0210"/>
    <w:rPr>
      <w:b/>
      <w:bCs/>
    </w:rPr>
  </w:style>
  <w:style w:type="character" w:styleId="Emphasis">
    <w:name w:val="Emphasis"/>
    <w:uiPriority w:val="20"/>
    <w:qFormat/>
    <w:rsid w:val="008B0210"/>
    <w:rPr>
      <w:b/>
      <w:bCs/>
      <w:i/>
      <w:iCs/>
      <w:spacing w:val="10"/>
    </w:rPr>
  </w:style>
  <w:style w:type="paragraph" w:styleId="NoSpacing">
    <w:name w:val="No Spacing"/>
    <w:basedOn w:val="Normal"/>
    <w:uiPriority w:val="1"/>
    <w:qFormat/>
    <w:rsid w:val="008B0210"/>
    <w:pPr>
      <w:spacing w:after="0"/>
    </w:pPr>
  </w:style>
  <w:style w:type="paragraph" w:styleId="ListParagraph">
    <w:name w:val="List Paragraph"/>
    <w:basedOn w:val="Normal"/>
    <w:uiPriority w:val="34"/>
    <w:qFormat/>
    <w:rsid w:val="008B0210"/>
    <w:pPr>
      <w:ind w:left="720"/>
      <w:contextualSpacing/>
    </w:pPr>
  </w:style>
  <w:style w:type="paragraph" w:styleId="Quote">
    <w:name w:val="Quote"/>
    <w:basedOn w:val="Normal"/>
    <w:next w:val="Normal"/>
    <w:link w:val="QuoteChar"/>
    <w:uiPriority w:val="29"/>
    <w:qFormat/>
    <w:rsid w:val="008B0210"/>
    <w:rPr>
      <w:i/>
      <w:iCs/>
    </w:rPr>
  </w:style>
  <w:style w:type="character" w:customStyle="1" w:styleId="QuoteChar">
    <w:name w:val="Quote Char"/>
    <w:basedOn w:val="DefaultParagraphFont"/>
    <w:link w:val="Quote"/>
    <w:uiPriority w:val="29"/>
    <w:rsid w:val="008B0210"/>
    <w:rPr>
      <w:i/>
      <w:iCs/>
    </w:rPr>
  </w:style>
  <w:style w:type="paragraph" w:styleId="IntenseQuote">
    <w:name w:val="Intense Quote"/>
    <w:basedOn w:val="Normal"/>
    <w:next w:val="Normal"/>
    <w:link w:val="IntenseQuoteChar"/>
    <w:uiPriority w:val="30"/>
    <w:qFormat/>
    <w:rsid w:val="008B0210"/>
    <w:pPr>
      <w:pBdr>
        <w:top w:val="single" w:sz="4" w:space="10" w:color="auto"/>
        <w:bottom w:val="single" w:sz="4" w:space="10" w:color="auto"/>
      </w:pBdr>
      <w:spacing w:before="240" w:after="240" w:line="300" w:lineRule="auto"/>
      <w:ind w:left="1152" w:right="1152"/>
    </w:pPr>
    <w:rPr>
      <w:i/>
      <w:iCs/>
    </w:rPr>
  </w:style>
  <w:style w:type="character" w:customStyle="1" w:styleId="IntenseQuoteChar">
    <w:name w:val="Intense Quote Char"/>
    <w:basedOn w:val="DefaultParagraphFont"/>
    <w:link w:val="IntenseQuote"/>
    <w:uiPriority w:val="30"/>
    <w:rsid w:val="008B0210"/>
    <w:rPr>
      <w:i/>
      <w:iCs/>
    </w:rPr>
  </w:style>
  <w:style w:type="character" w:styleId="SubtleEmphasis">
    <w:name w:val="Subtle Emphasis"/>
    <w:uiPriority w:val="19"/>
    <w:qFormat/>
    <w:rsid w:val="008B0210"/>
    <w:rPr>
      <w:i/>
      <w:iCs/>
    </w:rPr>
  </w:style>
  <w:style w:type="character" w:styleId="IntenseEmphasis">
    <w:name w:val="Intense Emphasis"/>
    <w:uiPriority w:val="21"/>
    <w:qFormat/>
    <w:rsid w:val="008B0210"/>
    <w:rPr>
      <w:b/>
      <w:bCs/>
      <w:i/>
      <w:iCs/>
    </w:rPr>
  </w:style>
  <w:style w:type="character" w:styleId="SubtleReference">
    <w:name w:val="Subtle Reference"/>
    <w:basedOn w:val="DefaultParagraphFont"/>
    <w:uiPriority w:val="31"/>
    <w:qFormat/>
    <w:rsid w:val="008B0210"/>
    <w:rPr>
      <w:smallCaps/>
    </w:rPr>
  </w:style>
  <w:style w:type="character" w:styleId="IntenseReference">
    <w:name w:val="Intense Reference"/>
    <w:uiPriority w:val="32"/>
    <w:qFormat/>
    <w:rsid w:val="008B0210"/>
    <w:rPr>
      <w:b/>
      <w:bCs/>
      <w:smallCaps/>
    </w:rPr>
  </w:style>
  <w:style w:type="character" w:styleId="BookTitle">
    <w:name w:val="Book Title"/>
    <w:basedOn w:val="DefaultParagraphFont"/>
    <w:uiPriority w:val="33"/>
    <w:qFormat/>
    <w:rsid w:val="008B0210"/>
    <w:rPr>
      <w:i/>
      <w:iCs/>
      <w:smallCaps/>
      <w:spacing w:val="5"/>
    </w:rPr>
  </w:style>
  <w:style w:type="paragraph" w:styleId="TOCHeading">
    <w:name w:val="TOC Heading"/>
    <w:basedOn w:val="Heading1"/>
    <w:next w:val="Normal"/>
    <w:uiPriority w:val="39"/>
    <w:semiHidden/>
    <w:unhideWhenUsed/>
    <w:qFormat/>
    <w:rsid w:val="008B0210"/>
    <w:pPr>
      <w:outlineLvl w:val="9"/>
    </w:pPr>
  </w:style>
  <w:style w:type="paragraph" w:styleId="Header">
    <w:name w:val="header"/>
    <w:basedOn w:val="Normal"/>
    <w:link w:val="HeaderChar"/>
    <w:uiPriority w:val="99"/>
    <w:unhideWhenUsed/>
    <w:rsid w:val="008B0210"/>
    <w:pPr>
      <w:tabs>
        <w:tab w:val="center" w:pos="4680"/>
        <w:tab w:val="right" w:pos="9360"/>
      </w:tabs>
      <w:spacing w:after="0"/>
    </w:pPr>
  </w:style>
  <w:style w:type="character" w:customStyle="1" w:styleId="HeaderChar">
    <w:name w:val="Header Char"/>
    <w:basedOn w:val="DefaultParagraphFont"/>
    <w:link w:val="Header"/>
    <w:uiPriority w:val="99"/>
    <w:rsid w:val="008B0210"/>
    <w:rPr>
      <w:rFonts w:ascii="Times New Roman" w:hAnsi="Times New Roman"/>
      <w:sz w:val="24"/>
    </w:rPr>
  </w:style>
  <w:style w:type="paragraph" w:styleId="Footer">
    <w:name w:val="footer"/>
    <w:basedOn w:val="Normal"/>
    <w:link w:val="FooterChar"/>
    <w:uiPriority w:val="99"/>
    <w:semiHidden/>
    <w:unhideWhenUsed/>
    <w:rsid w:val="008B0210"/>
    <w:pPr>
      <w:tabs>
        <w:tab w:val="center" w:pos="4680"/>
        <w:tab w:val="right" w:pos="9360"/>
      </w:tabs>
      <w:spacing w:after="0"/>
    </w:pPr>
  </w:style>
  <w:style w:type="character" w:customStyle="1" w:styleId="FooterChar">
    <w:name w:val="Footer Char"/>
    <w:basedOn w:val="DefaultParagraphFont"/>
    <w:link w:val="Footer"/>
    <w:uiPriority w:val="99"/>
    <w:semiHidden/>
    <w:rsid w:val="008B0210"/>
    <w:rPr>
      <w:rFonts w:ascii="Times New Roman" w:hAnsi="Times New Roman"/>
      <w:sz w:val="24"/>
    </w:rPr>
  </w:style>
  <w:style w:type="paragraph" w:styleId="NormalWeb">
    <w:name w:val="Normal (Web)"/>
    <w:basedOn w:val="Normal"/>
    <w:uiPriority w:val="99"/>
    <w:unhideWhenUsed/>
    <w:rsid w:val="00467FDA"/>
    <w:pPr>
      <w:spacing w:before="100" w:beforeAutospacing="1" w:after="100" w:afterAutospacing="1"/>
      <w:jc w:val="left"/>
    </w:pPr>
    <w:rPr>
      <w:rFonts w:eastAsia="Times New Roman" w:cs="Times New Roman"/>
      <w:szCs w:val="24"/>
      <w:lang w:bidi="ar-SA"/>
    </w:rPr>
  </w:style>
</w:styles>
</file>

<file path=word/webSettings.xml><?xml version="1.0" encoding="utf-8"?>
<w:webSettings xmlns:r="http://schemas.openxmlformats.org/officeDocument/2006/relationships" xmlns:w="http://schemas.openxmlformats.org/wordprocessingml/2006/main">
  <w:divs>
    <w:div w:id="939265855">
      <w:bodyDiv w:val="1"/>
      <w:marLeft w:val="0"/>
      <w:marRight w:val="0"/>
      <w:marTop w:val="0"/>
      <w:marBottom w:val="0"/>
      <w:divBdr>
        <w:top w:val="none" w:sz="0" w:space="0" w:color="auto"/>
        <w:left w:val="none" w:sz="0" w:space="0" w:color="auto"/>
        <w:bottom w:val="none" w:sz="0" w:space="0" w:color="auto"/>
        <w:right w:val="none" w:sz="0" w:space="0" w:color="auto"/>
      </w:divBdr>
    </w:div>
    <w:div w:id="1002662962">
      <w:bodyDiv w:val="1"/>
      <w:marLeft w:val="0"/>
      <w:marRight w:val="0"/>
      <w:marTop w:val="0"/>
      <w:marBottom w:val="0"/>
      <w:divBdr>
        <w:top w:val="none" w:sz="0" w:space="0" w:color="auto"/>
        <w:left w:val="none" w:sz="0" w:space="0" w:color="auto"/>
        <w:bottom w:val="none" w:sz="0" w:space="0" w:color="auto"/>
        <w:right w:val="none" w:sz="0" w:space="0" w:color="auto"/>
      </w:divBdr>
    </w:div>
    <w:div w:id="1593969458">
      <w:bodyDiv w:val="1"/>
      <w:marLeft w:val="0"/>
      <w:marRight w:val="0"/>
      <w:marTop w:val="0"/>
      <w:marBottom w:val="0"/>
      <w:divBdr>
        <w:top w:val="none" w:sz="0" w:space="0" w:color="auto"/>
        <w:left w:val="none" w:sz="0" w:space="0" w:color="auto"/>
        <w:bottom w:val="none" w:sz="0" w:space="0" w:color="auto"/>
        <w:right w:val="none" w:sz="0" w:space="0" w:color="auto"/>
      </w:divBdr>
    </w:div>
    <w:div w:id="1754088576">
      <w:bodyDiv w:val="1"/>
      <w:marLeft w:val="0"/>
      <w:marRight w:val="0"/>
      <w:marTop w:val="0"/>
      <w:marBottom w:val="0"/>
      <w:divBdr>
        <w:top w:val="none" w:sz="0" w:space="0" w:color="auto"/>
        <w:left w:val="none" w:sz="0" w:space="0" w:color="auto"/>
        <w:bottom w:val="none" w:sz="0" w:space="0" w:color="auto"/>
        <w:right w:val="none" w:sz="0" w:space="0" w:color="auto"/>
      </w:divBdr>
    </w:div>
    <w:div w:id="203996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2013</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3</cp:revision>
  <dcterms:created xsi:type="dcterms:W3CDTF">2022-08-26T06:35:00Z</dcterms:created>
  <dcterms:modified xsi:type="dcterms:W3CDTF">2022-08-26T12:40:00Z</dcterms:modified>
</cp:coreProperties>
</file>