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tbl>
      <w:tblPr>
        <w:tblW w:w="885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423"/>
        <w:gridCol w:w="1557"/>
        <w:gridCol w:w="285"/>
        <w:gridCol w:w="1803"/>
      </w:tblGrid>
      <w:tr>
        <w:tblPrEx>
          <w:shd w:val="clear" w:color="auto" w:fill="ced7e7"/>
        </w:tblPrEx>
        <w:trPr>
          <w:trHeight w:val="454"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For completion by the student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w:t>
            </w:r>
          </w:p>
        </w:tc>
      </w:tr>
      <w:tr>
        <w:tblPrEx>
          <w:shd w:val="clear" w:color="auto" w:fill="ced7e7"/>
        </w:tblPrEx>
        <w:trPr>
          <w:trHeight w:val="7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Student Name: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 xml:space="preserve"> Alberto Alessandro Berio</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 xml:space="preserve">Student </w:t>
            </w: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single" w:color="000000"/>
                <w:vertAlign w:val="baseline"/>
                <w:rtl w:val="0"/>
                <w:lang w:val="en-US"/>
                <w14:textOutline>
                  <w14:noFill/>
                </w14:textOutline>
                <w14:textFill>
                  <w14:solidFill>
                    <w14:srgbClr w14:val="000000"/>
                  </w14:solidFill>
                </w14:textFill>
              </w:rPr>
              <w:t>University</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single" w:color="000000"/>
                <w:vertAlign w:val="baseline"/>
                <w:rtl w:val="0"/>
                <w:lang w:val="en-US"/>
                <w14:textOutline>
                  <w14:noFill/>
                </w14:textOutline>
                <w14:textFill>
                  <w14:solidFill>
                    <w14:srgbClr w14:val="000000"/>
                  </w14:solidFill>
                </w14:textFill>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 xml:space="preserve">Email: </w:t>
            </w:r>
            <w:r>
              <w:rPr>
                <w:rStyle w:val="Hyperlink.0"/>
                <w:rFonts w:ascii="Arial" w:cs="Arial" w:hAnsi="Arial" w:eastAsia="Arial"/>
                <w:b w:val="0"/>
                <w:bCs w:val="0"/>
                <w:i w:val="0"/>
                <w:iCs w:val="0"/>
                <w:caps w:val="0"/>
                <w:smallCaps w:val="0"/>
                <w:strike w:val="0"/>
                <w:dstrike w:val="0"/>
                <w:outline w:val="0"/>
                <w:color w:val="000000"/>
                <w:spacing w:val="0"/>
                <w:kern w:val="0"/>
                <w:position w:val="0"/>
                <w:sz w:val="22"/>
                <w:szCs w:val="22"/>
                <w:u w:val="single" w:color="000000"/>
                <w:vertAlign w:val="baseline"/>
                <w14:textOutline>
                  <w14:noFill/>
                </w14:textOutline>
                <w14:textFill>
                  <w14:solidFill>
                    <w14:srgbClr w14:val="000000"/>
                  </w14:solidFill>
                </w14:textFill>
              </w:rPr>
              <w:fldChar w:fldCharType="begin" w:fldLock="0"/>
            </w:r>
            <w:r>
              <w:rPr>
                <w:rStyle w:val="Hyperlink.0"/>
                <w:rFonts w:ascii="Arial" w:cs="Arial" w:hAnsi="Arial" w:eastAsia="Arial"/>
                <w:b w:val="0"/>
                <w:bCs w:val="0"/>
                <w:i w:val="0"/>
                <w:iCs w:val="0"/>
                <w:caps w:val="0"/>
                <w:smallCaps w:val="0"/>
                <w:strike w:val="0"/>
                <w:dstrike w:val="0"/>
                <w:outline w:val="0"/>
                <w:color w:val="000000"/>
                <w:spacing w:val="0"/>
                <w:kern w:val="0"/>
                <w:position w:val="0"/>
                <w:sz w:val="22"/>
                <w:szCs w:val="22"/>
                <w:u w:val="single" w:color="000000"/>
                <w:vertAlign w:val="baseline"/>
                <w14:textOutline>
                  <w14:noFill/>
                </w14:textOutline>
                <w14:textFill>
                  <w14:solidFill>
                    <w14:srgbClr w14:val="000000"/>
                  </w14:solidFill>
                </w14:textFill>
              </w:rPr>
              <w:instrText xml:space="preserve"> HYPERLINK "mailto:1907991@students.utwsd.ac.uk"</w:instrText>
            </w:r>
            <w:r>
              <w:rPr>
                <w:rStyle w:val="Hyperlink.0"/>
                <w:rFonts w:ascii="Arial" w:cs="Arial" w:hAnsi="Arial" w:eastAsia="Arial"/>
                <w:b w:val="0"/>
                <w:bCs w:val="0"/>
                <w:i w:val="0"/>
                <w:iCs w:val="0"/>
                <w:caps w:val="0"/>
                <w:smallCaps w:val="0"/>
                <w:strike w:val="0"/>
                <w:dstrike w:val="0"/>
                <w:outline w:val="0"/>
                <w:color w:val="000000"/>
                <w:spacing w:val="0"/>
                <w:kern w:val="0"/>
                <w:position w:val="0"/>
                <w:sz w:val="22"/>
                <w:szCs w:val="22"/>
                <w:u w:val="single" w:color="000000"/>
                <w:vertAlign w:val="baseline"/>
                <w14:textOutline>
                  <w14:noFill/>
                </w14:textOutline>
                <w14:textFill>
                  <w14:solidFill>
                    <w14:srgbClr w14:val="000000"/>
                  </w14:solidFill>
                </w14:textFill>
              </w:rPr>
              <w:fldChar w:fldCharType="separate" w:fldLock="0"/>
            </w:r>
            <w:r>
              <w:rPr>
                <w:rStyle w:val="Hyperlink.0"/>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single" w:color="000000"/>
                <w:vertAlign w:val="baseline"/>
                <w:rtl w:val="0"/>
                <w14:textOutline>
                  <w14:noFill/>
                </w14:textOutline>
                <w14:textFill>
                  <w14:solidFill>
                    <w14:srgbClr w14:val="000000"/>
                  </w14:solidFill>
                </w14:textFill>
              </w:rPr>
              <w:t>1907991</w:t>
            </w:r>
            <w:r>
              <w:rPr>
                <w:rStyle w:val="Hyperlink.0"/>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single" w:color="000000"/>
                <w:vertAlign w:val="baseline"/>
                <w:rtl w:val="0"/>
                <w:lang w:val="en-US"/>
                <w14:textOutline>
                  <w14:noFill/>
                </w14:textOutline>
                <w14:textFill>
                  <w14:solidFill>
                    <w14:srgbClr w14:val="000000"/>
                  </w14:solidFill>
                </w14:textFill>
              </w:rPr>
              <w:t>@students.utwsd.ac.uk</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14:textOutline>
                  <w14:noFill/>
                </w14:textOutline>
                <w14:textFill>
                  <w14:solidFill>
                    <w14:srgbClr w14:val="000000"/>
                  </w14:solidFill>
                </w14:textFill>
              </w:rPr>
              <w:fldChar w:fldCharType="end" w:fldLock="0"/>
            </w:r>
          </w:p>
        </w:tc>
      </w:tr>
      <w:tr>
        <w:tblPrEx>
          <w:shd w:val="clear" w:color="auto" w:fill="ced7e7"/>
        </w:tblPrEx>
        <w:trPr>
          <w:trHeight w:val="120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Module code: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 xml:space="preserve"> HPCA7003</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Module title: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 xml:space="preserve"> History of Astrology</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r>
          </w:p>
        </w:tc>
        <w:tc>
          <w:tcPr>
            <w:tcW w:type="dxa" w:w="22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Student ID number:</w:t>
            </w:r>
          </w:p>
          <w:p>
            <w:pPr>
              <w:pStyle w:val="Header &amp; Footer"/>
              <w:tabs>
                <w:tab w:val="clear" w:pos="9020"/>
              </w:tabs>
            </w:pPr>
            <w:r>
              <w:rPr>
                <w:rtl w:val="0"/>
                <w:lang w:val="en-US"/>
              </w:rPr>
              <w:t>1907991</w:t>
            </w:r>
          </w:p>
        </w:tc>
        <w:tc>
          <w:tcPr>
            <w:tcW w:type="dxa" w:w="18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Educational support needs:</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No</w:t>
            </w:r>
          </w:p>
        </w:tc>
      </w:tr>
      <w:tr>
        <w:tblPrEx>
          <w:shd w:val="clear" w:color="auto" w:fill="ced7e7"/>
        </w:tblPrEx>
        <w:trPr>
          <w:trHeight w:val="979"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Assignment title: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A Critical Comparison of Two JSTOR Papers</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Assignment due date: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 xml:space="preserve"> November, 11th, 2019</w:t>
            </w:r>
          </w:p>
        </w:tc>
      </w:tr>
      <w:tr>
        <w:tblPrEx>
          <w:shd w:val="clear" w:color="auto" w:fill="ced7e7"/>
        </w:tblPrEx>
        <w:trPr>
          <w:trHeight w:val="81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2"/>
              <w:bidi w:val="0"/>
              <w:spacing w:after="0" w:line="240" w:lineRule="auto"/>
              <w:ind w:left="0" w:right="0" w:firstLine="0"/>
              <w:jc w:val="left"/>
              <w:rPr>
                <w:rtl w:val="0"/>
              </w:rPr>
            </w:pPr>
            <w:r>
              <w:rPr>
                <w:rFonts w:ascii="Arial" w:hAnsi="Arial"/>
                <w:outline w:val="0"/>
                <w:color w:val="000000"/>
                <w:sz w:val="22"/>
                <w:szCs w:val="22"/>
                <w:u w:color="000000"/>
                <w:rtl w:val="0"/>
                <w:lang w:val="en-US"/>
                <w14:textFill>
                  <w14:solidFill>
                    <w14:srgbClr w14:val="000000"/>
                  </w14:solidFill>
                </w14:textFill>
              </w:rPr>
              <w:t>This assignment is for the       1</w:t>
            </w:r>
            <w:r>
              <w:rPr>
                <w:rFonts w:ascii="Arial" w:hAnsi="Arial"/>
                <w:outline w:val="0"/>
                <w:color w:val="000000"/>
                <w:sz w:val="22"/>
                <w:szCs w:val="22"/>
                <w:u w:color="000000"/>
                <w:vertAlign w:val="superscript"/>
                <w:rtl w:val="0"/>
                <w:lang w:val="en-US"/>
                <w14:textFill>
                  <w14:solidFill>
                    <w14:srgbClr w14:val="000000"/>
                  </w14:solidFill>
                </w14:textFill>
              </w:rPr>
              <w:t xml:space="preserve">st </w:t>
            </w:r>
            <w:r>
              <w:rPr>
                <w:rFonts w:ascii="Arial" w:hAnsi="Arial"/>
                <w:outline w:val="0"/>
                <w:color w:val="000000"/>
                <w:sz w:val="22"/>
                <w:szCs w:val="22"/>
                <w:u w:color="000000"/>
                <w:rtl w:val="0"/>
                <w:lang w:val="en-US"/>
                <w14:textFill>
                  <w14:solidFill>
                    <w14:srgbClr w14:val="000000"/>
                  </w14:solidFill>
                </w14:textFill>
              </w:rPr>
              <w:t xml:space="preserve">    2</w:t>
            </w:r>
            <w:r>
              <w:rPr>
                <w:rFonts w:ascii="Arial" w:hAnsi="Arial"/>
                <w:outline w:val="0"/>
                <w:color w:val="000000"/>
                <w:sz w:val="22"/>
                <w:szCs w:val="22"/>
                <w:u w:color="000000"/>
                <w:vertAlign w:val="superscript"/>
                <w:rtl w:val="0"/>
                <w:lang w:val="en-US"/>
                <w14:textFill>
                  <w14:solidFill>
                    <w14:srgbClr w14:val="000000"/>
                  </w14:solidFill>
                </w14:textFill>
              </w:rPr>
              <w:t>nd</w:t>
            </w:r>
            <w:r>
              <w:rPr>
                <w:rFonts w:ascii="Arial" w:hAnsi="Arial"/>
                <w:outline w:val="0"/>
                <w:color w:val="000000"/>
                <w:sz w:val="22"/>
                <w:szCs w:val="22"/>
                <w:u w:color="000000"/>
                <w:rtl w:val="0"/>
                <w:lang w:val="en-US"/>
                <w14:textFill>
                  <w14:solidFill>
                    <w14:srgbClr w14:val="000000"/>
                  </w14:solidFill>
                </w14:textFill>
              </w:rPr>
              <w:t xml:space="preserve">       3</w:t>
            </w:r>
            <w:r>
              <w:rPr>
                <w:rFonts w:ascii="Arial" w:hAnsi="Arial"/>
                <w:outline w:val="0"/>
                <w:color w:val="000000"/>
                <w:sz w:val="22"/>
                <w:szCs w:val="22"/>
                <w:u w:color="000000"/>
                <w:vertAlign w:val="superscript"/>
                <w:rtl w:val="0"/>
                <w:lang w:val="en-US"/>
                <w14:textFill>
                  <w14:solidFill>
                    <w14:srgbClr w14:val="000000"/>
                  </w14:solidFill>
                </w14:textFill>
              </w:rPr>
              <w:t>rd</w:t>
            </w:r>
            <w:r>
              <w:rPr>
                <w:rFonts w:ascii="Arial" w:hAnsi="Arial"/>
                <w:outline w:val="0"/>
                <w:color w:val="000000"/>
                <w:sz w:val="22"/>
                <w:szCs w:val="22"/>
                <w:u w:color="000000"/>
                <w:rtl w:val="0"/>
                <w:lang w:val="en-US"/>
                <w14:textFill>
                  <w14:solidFill>
                    <w14:srgbClr w14:val="000000"/>
                  </w14:solidFill>
                </w14:textFill>
              </w:rPr>
              <w:t xml:space="preserve">        4</w:t>
            </w:r>
            <w:r>
              <w:rPr>
                <w:rFonts w:ascii="Arial" w:hAnsi="Arial"/>
                <w:outline w:val="0"/>
                <w:color w:val="000000"/>
                <w:sz w:val="22"/>
                <w:szCs w:val="22"/>
                <w:u w:color="000000"/>
                <w:vertAlign w:val="superscript"/>
                <w:rtl w:val="0"/>
                <w:lang w:val="en-US"/>
                <w14:textFill>
                  <w14:solidFill>
                    <w14:srgbClr w14:val="000000"/>
                  </w14:solidFill>
                </w14:textFill>
              </w:rPr>
              <w:t>th</w:t>
            </w:r>
            <w:r>
              <w:rPr>
                <w:rFonts w:ascii="Arial" w:hAnsi="Arial"/>
                <w:outline w:val="0"/>
                <w:color w:val="000000"/>
                <w:sz w:val="22"/>
                <w:szCs w:val="22"/>
                <w:u w:color="000000"/>
                <w:rtl w:val="0"/>
                <w:lang w:val="en-US"/>
                <w14:textFill>
                  <w14:solidFill>
                    <w14:srgbClr w14:val="000000"/>
                  </w14:solidFill>
                </w14:textFill>
              </w:rPr>
              <w:t xml:space="preserve">       5</w:t>
            </w:r>
            <w:r>
              <w:rPr>
                <w:rFonts w:ascii="Arial" w:hAnsi="Arial"/>
                <w:outline w:val="0"/>
                <w:color w:val="000000"/>
                <w:sz w:val="22"/>
                <w:szCs w:val="22"/>
                <w:u w:color="000000"/>
                <w:vertAlign w:val="superscript"/>
                <w:rtl w:val="0"/>
                <w:lang w:val="en-US"/>
                <w14:textFill>
                  <w14:solidFill>
                    <w14:srgbClr w14:val="000000"/>
                  </w14:solidFill>
                </w14:textFill>
              </w:rPr>
              <w:t>th</w:t>
            </w:r>
            <w:r>
              <w:rPr>
                <w:rFonts w:ascii="Arial" w:hAnsi="Arial"/>
                <w:outline w:val="0"/>
                <w:color w:val="000000"/>
                <w:sz w:val="22"/>
                <w:szCs w:val="22"/>
                <w:u w:color="000000"/>
                <w:rtl w:val="0"/>
                <w:lang w:val="en-US"/>
                <w14:textFill>
                  <w14:solidFill>
                    <w14:srgbClr w14:val="000000"/>
                  </w14:solidFill>
                </w14:textFill>
              </w:rPr>
              <w:t xml:space="preserve">       6</w:t>
            </w:r>
            <w:r>
              <w:rPr>
                <w:rFonts w:ascii="Arial" w:hAnsi="Arial"/>
                <w:outline w:val="0"/>
                <w:color w:val="000000"/>
                <w:sz w:val="22"/>
                <w:szCs w:val="22"/>
                <w:u w:color="000000"/>
                <w:vertAlign w:val="superscript"/>
                <w:rtl w:val="0"/>
                <w:lang w:val="en-US"/>
                <w14:textFill>
                  <w14:solidFill>
                    <w14:srgbClr w14:val="000000"/>
                  </w14:solidFill>
                </w14:textFill>
              </w:rPr>
              <w:t>th</w:t>
            </w:r>
            <w:r>
              <w:rPr>
                <w:rFonts w:ascii="Arial" w:hAnsi="Arial"/>
                <w:outline w:val="0"/>
                <w:color w:val="000000"/>
                <w:sz w:val="22"/>
                <w:szCs w:val="22"/>
                <w:u w:color="000000"/>
                <w:rtl w:val="0"/>
                <w:lang w:val="en-US"/>
                <w14:textFill>
                  <w14:solidFill>
                    <w14:srgbClr w14:val="000000"/>
                  </w14:solidFill>
                </w14:textFill>
              </w:rPr>
              <w:t xml:space="preserve"> </w:t>
            </w:r>
            <w:r>
              <w:rPr>
                <w:rFonts w:ascii="Arial" w:hAnsi="Arial"/>
                <w:b w:val="1"/>
                <w:bCs w:val="1"/>
                <w:outline w:val="0"/>
                <w:color w:val="000000"/>
                <w:sz w:val="22"/>
                <w:szCs w:val="22"/>
                <w:u w:color="000000"/>
                <w:rtl w:val="0"/>
                <w:lang w:val="en-US"/>
                <w14:textFill>
                  <w14:solidFill>
                    <w14:srgbClr w14:val="000000"/>
                  </w14:solidFill>
                </w14:textFill>
              </w:rPr>
              <w:t xml:space="preserve">   </w:t>
            </w:r>
            <w:r>
              <w:rPr>
                <w:rFonts w:ascii="Arial" w:hAnsi="Arial"/>
                <w:outline w:val="0"/>
                <w:color w:val="000000"/>
                <w:sz w:val="22"/>
                <w:szCs w:val="22"/>
                <w:u w:color="000000"/>
                <w:rtl w:val="0"/>
                <w:lang w:val="en-US"/>
                <w14:textFill>
                  <w14:solidFill>
                    <w14:srgbClr w14:val="000000"/>
                  </w14:solidFill>
                </w14:textFill>
              </w:rPr>
              <w:t>module of the degree</w:t>
            </w:r>
          </w:p>
        </w:tc>
      </w:tr>
      <w:tr>
        <w:tblPrEx>
          <w:shd w:val="clear" w:color="auto" w:fill="ced7e7"/>
        </w:tblPrEx>
        <w:trPr>
          <w:trHeight w:val="1550"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I confirm that this is my original work and that I have adhered to the University policy on plagiarism.</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 xml:space="preserve">Signed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Calibri" w:cs="Calibri" w:hAnsi="Calibri" w:eastAsia="Calibri"/>
                <w:b w:val="1"/>
                <w:bCs w:val="1"/>
                <w:i w:val="0"/>
                <w:iCs w:val="0"/>
                <w:caps w:val="0"/>
                <w:smallCaps w:val="0"/>
                <w:strike w:val="0"/>
                <w:dstrike w:val="0"/>
                <w:outline w:val="0"/>
                <w:color w:val="000000"/>
                <w:spacing w:val="0"/>
                <w:kern w:val="0"/>
                <w:position w:val="0"/>
                <w:sz w:val="44"/>
                <w:szCs w:val="44"/>
                <w:u w:val="none" w:color="000000"/>
                <w:vertAlign w:val="baseline"/>
                <w:rtl w:val="0"/>
                <w14:textOutline>
                  <w14:noFill/>
                </w14:textOutline>
                <w14:textFill>
                  <w14:solidFill>
                    <w14:srgbClr w14:val="000000"/>
                  </w14:solidFill>
                </w14:textFill>
              </w:rPr>
            </w:pPr>
            <w:r>
              <w:rPr>
                <w:rFonts w:ascii="Calibri" w:cs="Arial Unicode MS" w:hAnsi="Calibri" w:eastAsia="Arial Unicode MS"/>
                <w:b w:val="1"/>
                <w:bCs w:val="1"/>
                <w:i w:val="0"/>
                <w:iCs w:val="0"/>
                <w:caps w:val="0"/>
                <w:smallCaps w:val="0"/>
                <w:strike w:val="0"/>
                <w:dstrike w:val="0"/>
                <w:outline w:val="0"/>
                <w:color w:val="000000"/>
                <w:spacing w:val="0"/>
                <w:kern w:val="0"/>
                <w:position w:val="0"/>
                <w:sz w:val="24"/>
                <w:szCs w:val="24"/>
                <w:u w:val="none" w:color="000000"/>
                <w:vertAlign w:val="baseline"/>
                <w:rtl w:val="0"/>
                <w:lang w:val="en-US"/>
                <w14:textOutline>
                  <w14:noFill/>
                </w14:textOutline>
                <w14:textFill>
                  <w14:solidFill>
                    <w14:srgbClr w14:val="000000"/>
                  </w14:solidFill>
                </w14:textFill>
              </w:rPr>
              <w:t xml:space="preserve">Email submission:if you are submitting this form via email, please tick this box </w:t>
            </w:r>
            <w:r>
              <w:rPr>
                <w:rFonts w:ascii="Calibri" w:cs="Arial Unicode MS" w:hAnsi="Calibri" w:eastAsia="Arial Unicode MS" w:hint="default"/>
                <w:b w:val="1"/>
                <w:bCs w:val="1"/>
                <w:i w:val="0"/>
                <w:iCs w:val="0"/>
                <w:caps w:val="0"/>
                <w:smallCaps w:val="0"/>
                <w:strike w:val="0"/>
                <w:dstrike w:val="0"/>
                <w:outline w:val="0"/>
                <w:color w:val="000000"/>
                <w:spacing w:val="0"/>
                <w:kern w:val="0"/>
                <w:position w:val="0"/>
                <w:sz w:val="44"/>
                <w:szCs w:val="44"/>
                <w:u w:val="none" w:color="000000"/>
                <w:vertAlign w:val="baseline"/>
                <w:rtl w:val="0"/>
                <w:lang w:val="en-US"/>
                <w14:textOutline>
                  <w14:noFill/>
                </w14:textOutline>
                <w14:textFill>
                  <w14:solidFill>
                    <w14:srgbClr w14:val="000000"/>
                  </w14:solidFill>
                </w14:textFill>
              </w:rPr>
              <w:t>□</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Calibri" w:cs="Arial Unicode MS" w:hAnsi="Calibri" w:eastAsia="Arial Unicode MS"/>
                <w:b w:val="1"/>
                <w:bCs w:val="1"/>
                <w:i w:val="0"/>
                <w:iCs w:val="0"/>
                <w:caps w:val="0"/>
                <w:smallCaps w:val="0"/>
                <w:strike w:val="0"/>
                <w:dstrike w:val="0"/>
                <w:outline w:val="0"/>
                <w:color w:val="000000"/>
                <w:spacing w:val="0"/>
                <w:kern w:val="0"/>
                <w:position w:val="0"/>
                <w:sz w:val="24"/>
                <w:szCs w:val="24"/>
                <w:u w:val="none" w:color="000000"/>
                <w:vertAlign w:val="baseline"/>
                <w:rtl w:val="0"/>
                <w:lang w:val="en-US"/>
                <w14:textOutline>
                  <w14:noFill/>
                </w14:textOutline>
                <w14:textFill>
                  <w14:solidFill>
                    <w14:srgbClr w14:val="000000"/>
                  </w14:solidFill>
                </w14:textFill>
              </w:rPr>
              <w:t>(as a substitute for your signature) to confirm that you agree to the above declaration.</w:t>
            </w:r>
          </w:p>
        </w:tc>
      </w:tr>
      <w:tr>
        <w:tblPrEx>
          <w:shd w:val="clear" w:color="auto" w:fill="ced7e7"/>
        </w:tblPrEx>
        <w:trPr>
          <w:trHeight w:val="51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2"/>
              <w:bidi w:val="0"/>
              <w:spacing w:after="0" w:line="240" w:lineRule="auto"/>
              <w:ind w:left="0" w:right="0" w:firstLine="0"/>
              <w:jc w:val="left"/>
              <w:rPr>
                <w:rFonts w:ascii="Arial" w:cs="Arial" w:hAnsi="Arial" w:eastAsia="Arial"/>
                <w:b w:val="1"/>
                <w:bCs w:val="1"/>
                <w:outline w:val="0"/>
                <w:color w:val="000000"/>
                <w:u w:color="000000"/>
                <w:rtl w:val="0"/>
                <w:lang w:val="en-US"/>
                <w14:textFill>
                  <w14:solidFill>
                    <w14:srgbClr w14:val="000000"/>
                  </w14:solidFill>
                </w14:textFill>
              </w:rPr>
            </w:pPr>
          </w:p>
          <w:p>
            <w:pPr>
              <w:pStyle w:val="Body 2"/>
              <w:spacing w:after="0" w:line="240" w:lineRule="auto"/>
              <w:jc w:val="left"/>
              <w:rPr>
                <w:rFonts w:ascii="Arial" w:cs="Arial" w:hAnsi="Arial" w:eastAsia="Arial"/>
                <w:outline w:val="0"/>
                <w:color w:val="000000"/>
                <w:u w:color="000000"/>
                <w14:textFill>
                  <w14:solidFill>
                    <w14:srgbClr w14:val="000000"/>
                  </w14:solidFill>
                </w14:textFill>
              </w:rPr>
            </w:pPr>
            <w:r>
              <w:rPr>
                <w:rFonts w:ascii="Arial" w:hAnsi="Arial"/>
                <w:b w:val="1"/>
                <w:bCs w:val="1"/>
                <w:outline w:val="0"/>
                <w:color w:val="000000"/>
                <w:u w:color="000000"/>
                <w:rtl w:val="0"/>
                <w:lang w:val="en-US"/>
                <w14:textFill>
                  <w14:solidFill>
                    <w14:srgbClr w14:val="000000"/>
                  </w14:solidFill>
                </w14:textFill>
              </w:rPr>
              <w:t>Assignment Mark</w:t>
            </w:r>
          </w:p>
          <w:p>
            <w:pPr>
              <w:pStyle w:val="Body 2"/>
              <w:bidi w:val="0"/>
              <w:spacing w:after="0" w:line="240" w:lineRule="auto"/>
              <w:ind w:left="0" w:right="0" w:firstLine="0"/>
              <w:jc w:val="left"/>
              <w:rPr>
                <w:rFonts w:ascii="Arial" w:cs="Arial" w:hAnsi="Arial" w:eastAsia="Arial"/>
                <w:outline w:val="0"/>
                <w:color w:val="000000"/>
                <w:sz w:val="20"/>
                <w:szCs w:val="20"/>
                <w:u w:color="000000"/>
                <w:rtl w:val="0"/>
                <w:lang w:val="en-US"/>
                <w14:textFill>
                  <w14:solidFill>
                    <w14:srgbClr w14:val="000000"/>
                  </w14:solidFill>
                </w14:textFill>
              </w:rPr>
            </w:pPr>
          </w:p>
          <w:p>
            <w:pPr>
              <w:pStyle w:val="Body 2"/>
              <w:bidi w:val="0"/>
              <w:spacing w:after="0" w:line="240" w:lineRule="auto"/>
              <w:ind w:left="0" w:right="0" w:firstLine="0"/>
              <w:jc w:val="left"/>
              <w:rPr>
                <w:rFonts w:ascii="Arial" w:cs="Arial" w:hAnsi="Arial" w:eastAsia="Arial"/>
                <w:outline w:val="0"/>
                <w:color w:val="000000"/>
                <w:sz w:val="20"/>
                <w:szCs w:val="20"/>
                <w:u w:color="000000"/>
                <w:rtl w:val="0"/>
                <w:lang w:val="en-US"/>
                <w14:textFill>
                  <w14:solidFill>
                    <w14:srgbClr w14:val="000000"/>
                  </w14:solidFill>
                </w14:textFill>
              </w:rPr>
            </w:pPr>
            <w:r>
              <w:rPr>
                <w:rFonts w:ascii="Arial" w:hAnsi="Arial"/>
                <w:outline w:val="0"/>
                <w:color w:val="000000"/>
                <w:sz w:val="20"/>
                <w:szCs w:val="20"/>
                <w:u w:color="000000"/>
                <w:rtl w:val="0"/>
                <w:lang w:val="en-US"/>
                <w14:textFill>
                  <w14:solidFill>
                    <w14:srgbClr w14:val="000000"/>
                  </w14:solidFill>
                </w14:textFill>
              </w:rPr>
              <w:t>1</w:t>
            </w:r>
            <w:r>
              <w:rPr>
                <w:rFonts w:ascii="Arial" w:hAnsi="Arial"/>
                <w:outline w:val="0"/>
                <w:color w:val="000000"/>
                <w:sz w:val="20"/>
                <w:szCs w:val="20"/>
                <w:u w:color="000000"/>
                <w:vertAlign w:val="superscript"/>
                <w:rtl w:val="0"/>
                <w:lang w:val="en-US"/>
                <w14:textFill>
                  <w14:solidFill>
                    <w14:srgbClr w14:val="000000"/>
                  </w14:solidFill>
                </w14:textFill>
              </w:rPr>
              <w:t>st</w:t>
            </w:r>
            <w:r>
              <w:rPr>
                <w:rFonts w:ascii="Arial" w:hAnsi="Arial"/>
                <w:outline w:val="0"/>
                <w:color w:val="000000"/>
                <w:sz w:val="20"/>
                <w:szCs w:val="20"/>
                <w:u w:color="000000"/>
                <w:rtl w:val="0"/>
                <w:lang w:val="en-US"/>
                <w14:textFill>
                  <w14:solidFill>
                    <w14:srgbClr w14:val="000000"/>
                  </w14:solidFill>
                </w14:textFill>
              </w:rPr>
              <w:t xml:space="preserve"> Marker</w:t>
            </w:r>
            <w:r>
              <w:rPr>
                <w:rFonts w:ascii="Arial" w:hAnsi="Arial" w:hint="default"/>
                <w:outline w:val="0"/>
                <w:color w:val="000000"/>
                <w:sz w:val="20"/>
                <w:szCs w:val="20"/>
                <w:u w:color="000000"/>
                <w:rtl w:val="0"/>
                <w:lang w:val="en-US"/>
                <w14:textFill>
                  <w14:solidFill>
                    <w14:srgbClr w14:val="000000"/>
                  </w14:solidFill>
                </w14:textFill>
              </w:rPr>
              <w:t>’</w:t>
            </w:r>
            <w:r>
              <w:rPr>
                <w:rFonts w:ascii="Arial" w:hAnsi="Arial"/>
                <w:outline w:val="0"/>
                <w:color w:val="000000"/>
                <w:sz w:val="20"/>
                <w:szCs w:val="20"/>
                <w:u w:color="000000"/>
                <w:rtl w:val="0"/>
                <w:lang w:val="en-US"/>
                <w14:textFill>
                  <w14:solidFill>
                    <w14:srgbClr w14:val="000000"/>
                  </w14:solidFill>
                </w14:textFill>
              </w:rPr>
              <w:t>s Provisional mark</w:t>
              <w:tab/>
            </w:r>
          </w:p>
          <w:p>
            <w:pPr>
              <w:pStyle w:val="Body 2"/>
              <w:bidi w:val="0"/>
              <w:spacing w:after="0" w:line="240" w:lineRule="auto"/>
              <w:ind w:left="0" w:right="0" w:firstLine="0"/>
              <w:jc w:val="left"/>
              <w:rPr>
                <w:rFonts w:ascii="Arial" w:cs="Arial" w:hAnsi="Arial" w:eastAsia="Arial"/>
                <w:outline w:val="0"/>
                <w:color w:val="000000"/>
                <w:sz w:val="20"/>
                <w:szCs w:val="20"/>
                <w:u w:color="000000"/>
                <w:rtl w:val="0"/>
                <w:lang w:val="en-US"/>
                <w14:textFill>
                  <w14:solidFill>
                    <w14:srgbClr w14:val="000000"/>
                  </w14:solidFill>
                </w14:textFill>
              </w:rPr>
            </w:pPr>
          </w:p>
          <w:p>
            <w:pPr>
              <w:pStyle w:val="Body 2"/>
              <w:bidi w:val="0"/>
              <w:spacing w:after="0" w:line="240" w:lineRule="auto"/>
              <w:ind w:left="0" w:right="0" w:firstLine="0"/>
              <w:jc w:val="left"/>
              <w:rPr>
                <w:rFonts w:ascii="Arial" w:cs="Arial" w:hAnsi="Arial" w:eastAsia="Arial"/>
                <w:outline w:val="0"/>
                <w:color w:val="000000"/>
                <w:sz w:val="20"/>
                <w:szCs w:val="20"/>
                <w:u w:color="000000"/>
                <w:rtl w:val="0"/>
                <w:lang w:val="en-US"/>
                <w14:textFill>
                  <w14:solidFill>
                    <w14:srgbClr w14:val="000000"/>
                  </w14:solidFill>
                </w14:textFill>
              </w:rPr>
            </w:pPr>
            <w:r>
              <w:rPr>
                <w:rFonts w:ascii="Arial" w:hAnsi="Arial"/>
                <w:outline w:val="0"/>
                <w:color w:val="000000"/>
                <w:sz w:val="20"/>
                <w:szCs w:val="20"/>
                <w:u w:color="000000"/>
                <w:rtl w:val="0"/>
                <w:lang w:val="en-US"/>
                <w14:textFill>
                  <w14:solidFill>
                    <w14:srgbClr w14:val="000000"/>
                  </w14:solidFill>
                </w14:textFill>
              </w:rPr>
              <w:t>2</w:t>
            </w:r>
            <w:r>
              <w:rPr>
                <w:rFonts w:ascii="Arial" w:hAnsi="Arial"/>
                <w:outline w:val="0"/>
                <w:color w:val="000000"/>
                <w:sz w:val="20"/>
                <w:szCs w:val="20"/>
                <w:u w:color="000000"/>
                <w:vertAlign w:val="superscript"/>
                <w:rtl w:val="0"/>
                <w:lang w:val="en-US"/>
                <w14:textFill>
                  <w14:solidFill>
                    <w14:srgbClr w14:val="000000"/>
                  </w14:solidFill>
                </w14:textFill>
              </w:rPr>
              <w:t>nd</w:t>
            </w:r>
            <w:r>
              <w:rPr>
                <w:rFonts w:ascii="Arial" w:hAnsi="Arial"/>
                <w:outline w:val="0"/>
                <w:color w:val="000000"/>
                <w:sz w:val="20"/>
                <w:szCs w:val="20"/>
                <w:u w:color="000000"/>
                <w:rtl w:val="0"/>
                <w:lang w:val="en-US"/>
                <w14:textFill>
                  <w14:solidFill>
                    <w14:srgbClr w14:val="000000"/>
                  </w14:solidFill>
                </w14:textFill>
              </w:rPr>
              <w:t xml:space="preserve"> Marker</w:t>
            </w:r>
            <w:r>
              <w:rPr>
                <w:rFonts w:ascii="Arial" w:hAnsi="Arial" w:hint="default"/>
                <w:outline w:val="0"/>
                <w:color w:val="000000"/>
                <w:sz w:val="20"/>
                <w:szCs w:val="20"/>
                <w:u w:color="000000"/>
                <w:rtl w:val="0"/>
                <w:lang w:val="en-US"/>
                <w14:textFill>
                  <w14:solidFill>
                    <w14:srgbClr w14:val="000000"/>
                  </w14:solidFill>
                </w14:textFill>
              </w:rPr>
              <w:t>’</w:t>
            </w:r>
            <w:r>
              <w:rPr>
                <w:rFonts w:ascii="Arial" w:hAnsi="Arial"/>
                <w:outline w:val="0"/>
                <w:color w:val="000000"/>
                <w:sz w:val="20"/>
                <w:szCs w:val="20"/>
                <w:u w:color="000000"/>
                <w:rtl w:val="0"/>
                <w:lang w:val="en-US"/>
                <w14:textFill>
                  <w14:solidFill>
                    <w14:srgbClr w14:val="000000"/>
                  </w14:solidFill>
                </w14:textFill>
              </w:rPr>
              <w:t>s/Moderator</w:t>
            </w:r>
            <w:r>
              <w:rPr>
                <w:rFonts w:ascii="Arial" w:hAnsi="Arial" w:hint="default"/>
                <w:outline w:val="0"/>
                <w:color w:val="000000"/>
                <w:sz w:val="20"/>
                <w:szCs w:val="20"/>
                <w:u w:color="000000"/>
                <w:rtl w:val="0"/>
                <w:lang w:val="en-US"/>
                <w14:textFill>
                  <w14:solidFill>
                    <w14:srgbClr w14:val="000000"/>
                  </w14:solidFill>
                </w14:textFill>
              </w:rPr>
              <w:t>’</w:t>
            </w:r>
            <w:r>
              <w:rPr>
                <w:rFonts w:ascii="Arial" w:hAnsi="Arial"/>
                <w:outline w:val="0"/>
                <w:color w:val="000000"/>
                <w:sz w:val="20"/>
                <w:szCs w:val="20"/>
                <w:u w:color="000000"/>
                <w:rtl w:val="0"/>
                <w:lang w:val="en-US"/>
                <w14:textFill>
                  <w14:solidFill>
                    <w14:srgbClr w14:val="000000"/>
                  </w14:solidFill>
                </w14:textFill>
              </w:rPr>
              <w:t>s provisional mark</w:t>
              <w:tab/>
            </w:r>
          </w:p>
          <w:p>
            <w:pPr>
              <w:pStyle w:val="Body 2"/>
              <w:bidi w:val="0"/>
              <w:spacing w:after="0" w:line="240" w:lineRule="auto"/>
              <w:ind w:left="0" w:right="0" w:firstLine="0"/>
              <w:jc w:val="left"/>
              <w:rPr>
                <w:rFonts w:ascii="Arial" w:cs="Arial" w:hAnsi="Arial" w:eastAsia="Arial"/>
                <w:outline w:val="0"/>
                <w:color w:val="000000"/>
                <w:sz w:val="20"/>
                <w:szCs w:val="20"/>
                <w:u w:color="000000"/>
                <w:rtl w:val="0"/>
                <w:lang w:val="en-US"/>
                <w14:textFill>
                  <w14:solidFill>
                    <w14:srgbClr w14:val="000000"/>
                  </w14:solidFill>
                </w14:textFill>
              </w:rPr>
            </w:pPr>
          </w:p>
          <w:p>
            <w:pPr>
              <w:pStyle w:val="Body 2"/>
              <w:bidi w:val="0"/>
              <w:spacing w:after="0" w:line="240" w:lineRule="auto"/>
              <w:ind w:left="0" w:right="0" w:firstLine="0"/>
              <w:jc w:val="left"/>
              <w:rPr>
                <w:rFonts w:ascii="Arial" w:cs="Arial" w:hAnsi="Arial" w:eastAsia="Arial"/>
                <w:outline w:val="0"/>
                <w:color w:val="000000"/>
                <w:sz w:val="20"/>
                <w:szCs w:val="20"/>
                <w:u w:color="000000"/>
                <w:rtl w:val="0"/>
                <w:lang w:val="en-US"/>
                <w14:textFill>
                  <w14:solidFill>
                    <w14:srgbClr w14:val="000000"/>
                  </w14:solidFill>
                </w14:textFill>
              </w:rPr>
            </w:pPr>
            <w:r>
              <w:rPr>
                <w:rFonts w:ascii="Arial" w:hAnsi="Arial"/>
                <w:outline w:val="0"/>
                <w:color w:val="000000"/>
                <w:sz w:val="20"/>
                <w:szCs w:val="20"/>
                <w:u w:color="000000"/>
                <w:rtl w:val="0"/>
                <w:lang w:val="en-US"/>
                <w14:textFill>
                  <w14:solidFill>
                    <w14:srgbClr w14:val="000000"/>
                  </w14:solidFill>
                </w14:textFill>
              </w:rPr>
              <w:t>External Examiner</w:t>
            </w:r>
            <w:r>
              <w:rPr>
                <w:rFonts w:ascii="Arial" w:hAnsi="Arial" w:hint="default"/>
                <w:outline w:val="0"/>
                <w:color w:val="000000"/>
                <w:sz w:val="20"/>
                <w:szCs w:val="20"/>
                <w:u w:color="000000"/>
                <w:rtl w:val="0"/>
                <w:lang w:val="en-US"/>
                <w14:textFill>
                  <w14:solidFill>
                    <w14:srgbClr w14:val="000000"/>
                  </w14:solidFill>
                </w14:textFill>
              </w:rPr>
              <w:t>’</w:t>
            </w:r>
            <w:r>
              <w:rPr>
                <w:rFonts w:ascii="Arial" w:hAnsi="Arial"/>
                <w:outline w:val="0"/>
                <w:color w:val="000000"/>
                <w:sz w:val="20"/>
                <w:szCs w:val="20"/>
                <w:u w:color="000000"/>
                <w:rtl w:val="0"/>
                <w:lang w:val="en-US"/>
                <w14:textFill>
                  <w14:solidFill>
                    <w14:srgbClr w14:val="000000"/>
                  </w14:solidFill>
                </w14:textFill>
              </w:rPr>
              <w:t>s mark (if relevant)</w:t>
              <w:tab/>
            </w:r>
          </w:p>
          <w:p>
            <w:pPr>
              <w:pStyle w:val="Body 2"/>
              <w:bidi w:val="0"/>
              <w:spacing w:after="0" w:line="240" w:lineRule="auto"/>
              <w:ind w:left="0" w:right="0" w:firstLine="0"/>
              <w:jc w:val="left"/>
              <w:rPr>
                <w:rFonts w:ascii="Arial" w:cs="Arial" w:hAnsi="Arial" w:eastAsia="Arial"/>
                <w:outline w:val="0"/>
                <w:color w:val="000000"/>
                <w:sz w:val="20"/>
                <w:szCs w:val="20"/>
                <w:u w:color="000000"/>
                <w:rtl w:val="0"/>
                <w:lang w:val="en-US"/>
                <w14:textFill>
                  <w14:solidFill>
                    <w14:srgbClr w14:val="000000"/>
                  </w14:solidFill>
                </w14:textFill>
              </w:rPr>
            </w:pPr>
          </w:p>
          <w:p>
            <w:pPr>
              <w:pStyle w:val="Body 2"/>
              <w:bidi w:val="0"/>
              <w:spacing w:after="0" w:line="240" w:lineRule="auto"/>
              <w:ind w:left="0" w:right="0" w:firstLine="0"/>
              <w:jc w:val="left"/>
              <w:rPr>
                <w:rFonts w:ascii="Arial" w:cs="Arial" w:hAnsi="Arial" w:eastAsia="Arial"/>
                <w:b w:val="1"/>
                <w:bCs w:val="1"/>
                <w:outline w:val="0"/>
                <w:color w:val="000000"/>
                <w:sz w:val="20"/>
                <w:szCs w:val="20"/>
                <w:u w:color="000000"/>
                <w:rtl w:val="0"/>
                <w14:textFill>
                  <w14:solidFill>
                    <w14:srgbClr w14:val="000000"/>
                  </w14:solidFill>
                </w14:textFill>
              </w:rPr>
            </w:pPr>
            <w:r>
              <w:rPr>
                <w:rFonts w:ascii="Arial" w:hAnsi="Arial"/>
                <w:b w:val="1"/>
                <w:bCs w:val="1"/>
                <w:outline w:val="0"/>
                <w:color w:val="000000"/>
                <w:sz w:val="20"/>
                <w:szCs w:val="20"/>
                <w:u w:color="000000"/>
                <w:rtl w:val="0"/>
                <w:lang w:val="en-US"/>
                <w14:textFill>
                  <w14:solidFill>
                    <w14:srgbClr w14:val="000000"/>
                  </w14:solidFill>
                </w14:textFill>
              </w:rPr>
              <w:t>Final Mark</w:t>
            </w:r>
          </w:p>
          <w:p>
            <w:pPr>
              <w:pStyle w:val="Body 2"/>
              <w:bidi w:val="0"/>
              <w:spacing w:after="0" w:line="240" w:lineRule="auto"/>
              <w:ind w:left="0" w:right="0" w:firstLine="0"/>
              <w:jc w:val="left"/>
              <w:rPr>
                <w:rFonts w:ascii="Arial" w:cs="Arial" w:hAnsi="Arial" w:eastAsia="Arial"/>
                <w:b w:val="1"/>
                <w:bCs w:val="1"/>
                <w:outline w:val="0"/>
                <w:color w:val="000000"/>
                <w:sz w:val="20"/>
                <w:szCs w:val="20"/>
                <w:u w:color="000000"/>
                <w:rtl w:val="0"/>
                <w14:textFill>
                  <w14:solidFill>
                    <w14:srgbClr w14:val="000000"/>
                  </w14:solidFill>
                </w14:textFill>
              </w:rPr>
            </w:pPr>
            <w:r>
              <w:rPr>
                <w:rFonts w:ascii="Arial" w:cs="Arial" w:hAnsi="Arial" w:eastAsia="Arial"/>
                <w:b w:val="1"/>
                <w:bCs w:val="1"/>
                <w:outline w:val="0"/>
                <w:color w:val="000000"/>
                <w:sz w:val="20"/>
                <w:szCs w:val="20"/>
                <w:u w:color="000000"/>
                <w:rtl w:val="0"/>
                <w14:textFill>
                  <w14:solidFill>
                    <w14:srgbClr w14:val="000000"/>
                  </w14:solidFill>
                </w14:textFill>
              </w:rPr>
              <w:tab/>
            </w: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NB.</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 xml:space="preserve">  All marks are provisional until confirmed by the Final Examination Board.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For completion by Marker 1 :</w:t>
            </w: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Comments:</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14:textOutline>
                  <w14:noFill/>
                </w14:textOutline>
                <w14:textFill>
                  <w14:solidFill>
                    <w14:srgbClr w14:val="000000"/>
                  </w14:solidFill>
                </w14:textFill>
              </w:rPr>
            </w:r>
          </w:p>
        </w:tc>
      </w:tr>
      <w:tr>
        <w:tblPrEx>
          <w:shd w:val="clear" w:color="auto" w:fill="ced7e7"/>
        </w:tblPrEx>
        <w:trPr>
          <w:trHeight w:val="332" w:hRule="atLeast"/>
        </w:trPr>
        <w:tc>
          <w:tcPr>
            <w:tcW w:type="dxa" w:w="676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Marker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s signature:</w:t>
            </w:r>
          </w:p>
        </w:tc>
        <w:tc>
          <w:tcPr>
            <w:tcW w:type="dxa" w:w="208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Date:</w:t>
            </w:r>
          </w:p>
        </w:tc>
      </w:tr>
      <w:tr>
        <w:tblPrEx>
          <w:shd w:val="clear" w:color="auto" w:fill="ced7e7"/>
        </w:tblPrEx>
        <w:trPr>
          <w:trHeight w:val="38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1"/>
                <w:iCs w:val="1"/>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For completion by Marker 2/Moderator:</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Comments: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Marker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t>Date:</w:t>
            </w:r>
          </w:p>
        </w:tc>
      </w:tr>
      <w:tr>
        <w:tblPrEx>
          <w:shd w:val="clear" w:color="auto" w:fill="ced7e7"/>
        </w:tblPrEx>
        <w:trPr>
          <w:trHeight w:val="288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2"/>
              <w:bidi w:val="0"/>
              <w:spacing w:after="0" w:line="240" w:lineRule="auto"/>
              <w:ind w:left="0" w:right="0" w:firstLine="0"/>
              <w:jc w:val="left"/>
              <w:rPr>
                <w:rFonts w:ascii="Arial" w:cs="Arial" w:hAnsi="Arial" w:eastAsia="Arial"/>
                <w:b w:val="1"/>
                <w:bCs w:val="1"/>
                <w:outline w:val="0"/>
                <w:color w:val="000000"/>
                <w:sz w:val="22"/>
                <w:szCs w:val="22"/>
                <w:u w:color="000000"/>
                <w:rtl w:val="0"/>
                <w14:textFill>
                  <w14:solidFill>
                    <w14:srgbClr w14:val="000000"/>
                  </w14:solidFill>
                </w14:textFill>
              </w:rPr>
            </w:pPr>
            <w:r>
              <w:rPr>
                <w:rFonts w:ascii="Arial" w:hAnsi="Arial"/>
                <w:b w:val="1"/>
                <w:bCs w:val="1"/>
                <w:outline w:val="0"/>
                <w:color w:val="000000"/>
                <w:sz w:val="22"/>
                <w:szCs w:val="22"/>
                <w:u w:color="000000"/>
                <w:rtl w:val="0"/>
                <w:lang w:val="en-US"/>
                <w14:textFill>
                  <w14:solidFill>
                    <w14:srgbClr w14:val="000000"/>
                  </w14:solidFill>
                </w14:textFill>
              </w:rPr>
              <w:t>External Examiner</w:t>
            </w:r>
            <w:r>
              <w:rPr>
                <w:rFonts w:ascii="Arial" w:hAnsi="Arial" w:hint="default"/>
                <w:b w:val="1"/>
                <w:bCs w:val="1"/>
                <w:outline w:val="0"/>
                <w:color w:val="000000"/>
                <w:sz w:val="22"/>
                <w:szCs w:val="22"/>
                <w:u w:color="000000"/>
                <w:rtl w:val="0"/>
                <w:lang w:val="en-US"/>
                <w14:textFill>
                  <w14:solidFill>
                    <w14:srgbClr w14:val="000000"/>
                  </w14:solidFill>
                </w14:textFill>
              </w:rPr>
              <w:t>’</w:t>
            </w:r>
            <w:r>
              <w:rPr>
                <w:rFonts w:ascii="Arial" w:hAnsi="Arial"/>
                <w:b w:val="1"/>
                <w:bCs w:val="1"/>
                <w:outline w:val="0"/>
                <w:color w:val="000000"/>
                <w:sz w:val="22"/>
                <w:szCs w:val="22"/>
                <w:u w:color="000000"/>
                <w:rtl w:val="0"/>
                <w:lang w:val="en-US"/>
                <w14:textFill>
                  <w14:solidFill>
                    <w14:srgbClr w14:val="000000"/>
                  </w14:solidFill>
                </w14:textFill>
              </w:rPr>
              <w:t>s comments (if relevant)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14:textOutline>
                  <w14:noFill/>
                </w14:textOutline>
                <w14:textFill>
                  <w14:solidFill>
                    <w14:srgbClr w14:val="000000"/>
                  </w14:solidFill>
                </w14:textFill>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2"/>
              <w:bidi w:val="0"/>
              <w:spacing w:after="0" w:line="240" w:lineRule="auto"/>
              <w:ind w:left="0" w:right="0" w:firstLine="0"/>
              <w:jc w:val="left"/>
              <w:rPr>
                <w:rtl w:val="0"/>
              </w:rPr>
            </w:pPr>
            <w:r>
              <w:rPr>
                <w:rFonts w:ascii="Arial" w:hAnsi="Arial"/>
                <w:outline w:val="0"/>
                <w:color w:val="000000"/>
                <w:sz w:val="22"/>
                <w:szCs w:val="22"/>
                <w:u w:color="000000"/>
                <w:rtl w:val="0"/>
                <w:lang w:val="en-US"/>
                <w14:textFill>
                  <w14:solidFill>
                    <w14:srgbClr w14:val="000000"/>
                  </w14:solidFill>
                </w14:textFill>
              </w:rPr>
              <w:t>External Examiner</w:t>
            </w:r>
            <w:r>
              <w:rPr>
                <w:rFonts w:ascii="Arial" w:hAnsi="Arial" w:hint="default"/>
                <w:outline w:val="0"/>
                <w:color w:val="000000"/>
                <w:sz w:val="22"/>
                <w:szCs w:val="22"/>
                <w:u w:color="000000"/>
                <w:rtl w:val="0"/>
                <w:lang w:val="en-US"/>
                <w14:textFill>
                  <w14:solidFill>
                    <w14:srgbClr w14:val="000000"/>
                  </w14:solidFill>
                </w14:textFill>
              </w:rPr>
              <w:t>’</w:t>
            </w:r>
            <w:r>
              <w:rPr>
                <w:rFonts w:ascii="Arial" w:hAnsi="Arial"/>
                <w:outline w:val="0"/>
                <w:color w:val="000000"/>
                <w:sz w:val="22"/>
                <w:szCs w:val="22"/>
                <w:u w:color="000000"/>
                <w:rtl w:val="0"/>
                <w:lang w:val="en-US"/>
                <w14:textFill>
                  <w14:solidFill>
                    <w14:srgbClr w14:val="000000"/>
                  </w14:solidFill>
                </w14:textFill>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2"/>
              <w:bidi w:val="0"/>
              <w:spacing w:after="0" w:line="240" w:lineRule="auto"/>
              <w:ind w:left="0" w:right="0" w:firstLine="0"/>
              <w:jc w:val="left"/>
              <w:rPr>
                <w:rtl w:val="0"/>
              </w:rPr>
            </w:pPr>
            <w:r>
              <w:rPr>
                <w:rFonts w:ascii="Arial" w:hAnsi="Arial"/>
                <w:outline w:val="0"/>
                <w:color w:val="000000"/>
                <w:sz w:val="22"/>
                <w:szCs w:val="22"/>
                <w:u w:color="000000"/>
                <w:rtl w:val="0"/>
                <w:lang w:val="en-US"/>
                <w14:textFill>
                  <w14:solidFill>
                    <w14:srgbClr w14:val="000000"/>
                  </w14:solidFill>
                </w14:textFill>
              </w:rPr>
              <w:t>Date:</w:t>
            </w:r>
          </w:p>
        </w:tc>
      </w:tr>
    </w:tbl>
    <w:p>
      <w:pPr>
        <w:pStyle w:val="Default"/>
        <w:keepNext w:val="1"/>
        <w:widowControl w:val="0"/>
        <w:bidi w:val="0"/>
        <w:spacing w:after="0" w:line="240" w:lineRule="auto"/>
        <w:ind w:left="0" w:right="0" w:firstLine="0"/>
        <w:jc w:val="center"/>
        <w:outlineLvl w:val="2"/>
        <w:rPr>
          <w:rFonts w:ascii="Trebuchet MS" w:cs="Trebuchet MS" w:hAnsi="Trebuchet MS" w:eastAsia="Trebuchet MS"/>
          <w:b w:val="1"/>
          <w:bCs w:val="1"/>
          <w:outline w:val="0"/>
          <w:color w:val="000000"/>
          <w:sz w:val="20"/>
          <w:szCs w:val="20"/>
          <w:u w:color="000000"/>
          <w:rtl w:val="0"/>
          <w:lang w:val="en-US"/>
          <w14:textFill>
            <w14:solidFill>
              <w14:srgbClr w14:val="000000"/>
            </w14:solidFill>
          </w14:textFill>
        </w:rPr>
      </w:pPr>
    </w:p>
    <w:p>
      <w:pPr>
        <w:pStyle w:val="Default"/>
        <w:keepNext w:val="1"/>
        <w:widowControl w:val="0"/>
        <w:bidi w:val="0"/>
        <w:spacing w:after="0" w:line="240" w:lineRule="auto"/>
        <w:ind w:left="0" w:right="0" w:firstLine="0"/>
        <w:jc w:val="center"/>
        <w:outlineLvl w:val="2"/>
        <w:rPr>
          <w:rtl w:val="0"/>
        </w:rPr>
      </w:pPr>
      <w:r>
        <w:rPr>
          <w:rFonts w:ascii="Arial Unicode MS" w:cs="Arial Unicode MS" w:hAnsi="Arial Unicode MS" w:eastAsia="Arial Unicode MS"/>
          <w:b w:val="0"/>
          <w:bCs w:val="0"/>
          <w:i w:val="0"/>
          <w:iCs w:val="0"/>
          <w:outline w:val="0"/>
          <w:color w:val="000000"/>
          <w:sz w:val="20"/>
          <w:szCs w:val="20"/>
          <w:u w:color="000000"/>
          <w:rtl w:val="0"/>
          <w:lang w:val="en-US"/>
          <w14:textFill>
            <w14:solidFill>
              <w14:srgbClr w14:val="000000"/>
            </w14:solidFill>
          </w14:textFill>
        </w:rPr>
        <w:br w:type="page"/>
      </w:r>
    </w:p>
    <w:p>
      <w:pPr>
        <w:pStyle w:val="Subtitle"/>
        <w:rPr>
          <w:caps w:val="0"/>
          <w:smallCaps w:val="0"/>
          <w:outline w:val="0"/>
          <w:color w:val="000000"/>
          <w:sz w:val="44"/>
          <w:szCs w:val="44"/>
          <w14:textFill>
            <w14:solidFill>
              <w14:srgbClr w14:val="000000"/>
            </w14:solidFill>
          </w14:textFill>
        </w:rPr>
      </w:pPr>
      <w:r>
        <w:rPr>
          <w:caps w:val="0"/>
          <w:smallCaps w:val="0"/>
          <w:outline w:val="0"/>
          <w:color w:val="000000"/>
          <w:sz w:val="44"/>
          <w:szCs w:val="44"/>
          <w:rtl w:val="0"/>
          <w:lang w:val="en-US"/>
          <w14:textFill>
            <w14:solidFill>
              <w14:srgbClr w14:val="000000"/>
            </w14:solidFill>
          </w14:textFill>
        </w:rPr>
        <w:t xml:space="preserve">A Critical Comparison of </w:t>
      </w:r>
      <w:r>
        <w:rPr>
          <w:caps w:val="0"/>
          <w:smallCaps w:val="0"/>
          <w:outline w:val="0"/>
          <w:color w:val="000000"/>
          <w:sz w:val="44"/>
          <w:szCs w:val="44"/>
          <w:rtl w:val="0"/>
          <w:lang w:val="en-US"/>
          <w14:textFill>
            <w14:solidFill>
              <w14:srgbClr w14:val="000000"/>
            </w14:solidFill>
          </w14:textFill>
        </w:rPr>
        <w:t>Jupiter</w:t>
      </w:r>
      <w:r>
        <w:rPr>
          <w:caps w:val="0"/>
          <w:smallCaps w:val="0"/>
          <w:outline w:val="0"/>
          <w:color w:val="000000"/>
          <w:sz w:val="44"/>
          <w:szCs w:val="44"/>
          <w:rtl w:val="0"/>
          <w:lang w:val="en-US"/>
          <w14:textFill>
            <w14:solidFill>
              <w14:srgbClr w14:val="000000"/>
            </w14:solidFill>
          </w14:textFill>
        </w:rPr>
        <w:t xml:space="preserve"> in three primary source documents</w:t>
      </w:r>
    </w:p>
    <w:p>
      <w:pPr>
        <w:pStyle w:val="Subheading"/>
        <w:rPr>
          <w:outline w:val="0"/>
          <w:color w:val="605777"/>
          <w:sz w:val="28"/>
          <w:szCs w:val="28"/>
          <w14:textFill>
            <w14:solidFill>
              <w14:srgbClr w14:val="605878"/>
            </w14:solidFill>
          </w14:textFill>
        </w:rPr>
      </w:pPr>
      <w:r>
        <w:rPr>
          <w:outline w:val="0"/>
          <w:color w:val="605777"/>
          <w:sz w:val="28"/>
          <w:szCs w:val="28"/>
          <w:rtl w:val="0"/>
          <w:lang w:val="en-US"/>
          <w14:textFill>
            <w14:solidFill>
              <w14:srgbClr w14:val="605878"/>
            </w14:solidFill>
          </w14:textFill>
        </w:rPr>
        <w:t xml:space="preserve">Word Count: </w:t>
      </w:r>
      <w:r>
        <w:rPr>
          <w:outline w:val="0"/>
          <w:color w:val="605777"/>
          <w:sz w:val="28"/>
          <w:szCs w:val="28"/>
          <w:rtl w:val="0"/>
          <w:lang w:val="en-US"/>
          <w14:textFill>
            <w14:solidFill>
              <w14:srgbClr w14:val="605878"/>
            </w14:solidFill>
          </w14:textFill>
        </w:rPr>
        <w:t>1606</w:t>
      </w:r>
    </w:p>
    <w:p>
      <w:pPr>
        <w:pStyle w:val="Body"/>
        <w:bidi w:val="0"/>
      </w:pPr>
    </w:p>
    <w:p>
      <w:pPr>
        <w:pStyle w:val="Body"/>
        <w:bidi w:val="0"/>
      </w:pPr>
      <w:r>
        <w:rPr>
          <w:rFonts w:cs="Arial Unicode MS" w:eastAsia="Arial Unicode MS"/>
          <w:rtl w:val="0"/>
          <w:lang w:val="en-US"/>
        </w:rPr>
        <w:t xml:space="preserve">This paper will compare and contrast the treatment of the astrological use of </w:t>
      </w:r>
      <w:r>
        <w:rPr>
          <w:rFonts w:cs="Arial Unicode MS" w:eastAsia="Arial Unicode MS"/>
          <w:rtl w:val="0"/>
          <w:lang w:val="en-US"/>
        </w:rPr>
        <w:t>Jupiter</w:t>
      </w:r>
      <w:r>
        <w:rPr>
          <w:rFonts w:cs="Arial Unicode MS" w:eastAsia="Arial Unicode MS"/>
          <w:rtl w:val="0"/>
          <w:lang w:val="en-US"/>
        </w:rPr>
        <w:t xml:space="preserve"> in the following three sources: </w:t>
      </w:r>
      <w:r>
        <w:rPr>
          <w:rFonts w:cs="Arial Unicode MS" w:eastAsia="Arial Unicode MS"/>
          <w:rtl w:val="0"/>
          <w:lang w:val="en-US"/>
        </w:rPr>
        <w:t>Otto Neugebauer</w:t>
      </w:r>
      <w:r>
        <w:rPr>
          <w:rFonts w:cs="Arial Unicode MS" w:eastAsia="Arial Unicode MS" w:hint="default"/>
          <w:rtl w:val="0"/>
          <w:lang w:val="en-US"/>
        </w:rPr>
        <w:t>’</w:t>
      </w:r>
      <w:r>
        <w:rPr>
          <w:rFonts w:cs="Arial Unicode MS" w:eastAsia="Arial Unicode MS"/>
          <w:rtl w:val="0"/>
          <w:lang w:val="en-US"/>
        </w:rPr>
        <w:t>s 'Demotic Horoscopes', Journal of the American Oriental Society: (1943), pp. 115-27; Ptolemy</w:t>
      </w:r>
      <w:r>
        <w:rPr>
          <w:rFonts w:cs="Arial Unicode MS" w:eastAsia="Arial Unicode MS" w:hint="default"/>
          <w:rtl w:val="0"/>
          <w:lang w:val="en-US"/>
        </w:rPr>
        <w:t>’</w:t>
      </w:r>
      <w:r>
        <w:rPr>
          <w:rFonts w:cs="Arial Unicode MS" w:eastAsia="Arial Unicode MS"/>
          <w:rtl w:val="0"/>
          <w:lang w:val="en-US"/>
        </w:rPr>
        <w:t xml:space="preserve">s, </w:t>
      </w:r>
      <w:r>
        <w:rPr>
          <w:rFonts w:cs="Arial Unicode MS" w:eastAsia="Arial Unicode MS"/>
          <w:i w:val="1"/>
          <w:iCs w:val="1"/>
          <w:rtl w:val="0"/>
          <w:lang w:val="en-US"/>
        </w:rPr>
        <w:t>Tetrabiblos</w:t>
      </w:r>
      <w:r>
        <w:rPr>
          <w:rFonts w:cs="Arial Unicode MS" w:eastAsia="Arial Unicode MS"/>
          <w:rtl w:val="0"/>
          <w:lang w:val="en-US"/>
        </w:rPr>
        <w:t xml:space="preserve"> (Harvard university press, 1940); and Alan Leo</w:t>
      </w:r>
      <w:r>
        <w:rPr>
          <w:rFonts w:cs="Arial Unicode MS" w:eastAsia="Arial Unicode MS" w:hint="default"/>
          <w:rtl w:val="0"/>
          <w:lang w:val="en-US"/>
        </w:rPr>
        <w:t>’</w:t>
      </w:r>
      <w:r>
        <w:rPr>
          <w:rFonts w:cs="Arial Unicode MS" w:eastAsia="Arial Unicode MS"/>
          <w:rtl w:val="0"/>
          <w:lang w:val="en-US"/>
        </w:rPr>
        <w:t xml:space="preserve">s, </w:t>
      </w:r>
      <w:r>
        <w:rPr>
          <w:rFonts w:cs="Arial Unicode MS" w:eastAsia="Arial Unicode MS"/>
          <w:i w:val="1"/>
          <w:iCs w:val="1"/>
          <w:rtl w:val="0"/>
          <w:lang w:val="en-US"/>
        </w:rPr>
        <w:t>Astrology for All</w:t>
      </w:r>
      <w:r>
        <w:rPr>
          <w:rFonts w:cs="Arial Unicode MS" w:eastAsia="Arial Unicode MS"/>
          <w:rtl w:val="0"/>
          <w:lang w:val="en-US"/>
        </w:rPr>
        <w:t xml:space="preserve"> ("Modern astrology" office: London,, 1921). The texts presently discussed span circa 2000 thousand years of human history, and demonstrate peculiar similarities and differences in the presentation of their astrological content regarding Jupiter. The demotic horoscopes analyzed by Neuegbauer date to around the reign of Augustus and Tiberius in the first century of the common era.</w:t>
      </w:r>
      <w:r>
        <w:rPr>
          <w:rFonts w:ascii="Lora Regular" w:cs="Lora Regular" w:hAnsi="Lora Regular" w:eastAsia="Lora Regular"/>
          <w:b w:val="0"/>
          <w:bCs w:val="0"/>
          <w:i w:val="0"/>
          <w:iCs w:val="0"/>
          <w:vertAlign w:val="superscript"/>
        </w:rPr>
        <w:footnoteReference w:id="1"/>
      </w:r>
      <w:r>
        <w:rPr>
          <w:rFonts w:cs="Arial Unicode MS" w:eastAsia="Arial Unicode MS"/>
          <w:rtl w:val="0"/>
          <w:lang w:val="en-US"/>
        </w:rPr>
        <w:t xml:space="preserve"> According to his analysis of the horoscopes, they may have been drawn for four men by the same astrologer in Medinet Habu.</w:t>
      </w:r>
      <w:r>
        <w:rPr>
          <w:rFonts w:ascii="Lora Regular" w:cs="Lora Regular" w:hAnsi="Lora Regular" w:eastAsia="Lora Regular"/>
          <w:b w:val="0"/>
          <w:bCs w:val="0"/>
          <w:i w:val="0"/>
          <w:iCs w:val="0"/>
          <w:vertAlign w:val="superscript"/>
        </w:rPr>
        <w:footnoteReference w:id="2"/>
      </w:r>
      <w:r>
        <w:rPr>
          <w:rFonts w:cs="Arial Unicode MS" w:eastAsia="Arial Unicode MS"/>
          <w:rtl w:val="0"/>
          <w:lang w:val="en-US"/>
        </w:rPr>
        <w:t xml:space="preserve"> Ptolemy</w:t>
      </w:r>
      <w:r>
        <w:rPr>
          <w:rFonts w:cs="Arial Unicode MS" w:eastAsia="Arial Unicode MS" w:hint="default"/>
          <w:rtl w:val="0"/>
          <w:lang w:val="en-US"/>
        </w:rPr>
        <w:t>’</w:t>
      </w:r>
      <w:r>
        <w:rPr>
          <w:rFonts w:cs="Arial Unicode MS" w:eastAsia="Arial Unicode MS"/>
          <w:rtl w:val="0"/>
          <w:lang w:val="en-US"/>
        </w:rPr>
        <w:t xml:space="preserve">s Tetrabiblos, also known as </w:t>
      </w:r>
      <w:r>
        <w:rPr>
          <w:rFonts w:cs="Arial Unicode MS" w:eastAsia="Arial Unicode MS"/>
          <w:i w:val="1"/>
          <w:iCs w:val="1"/>
          <w:rtl w:val="0"/>
          <w:lang w:val="en-US"/>
        </w:rPr>
        <w:t>Quadripartum</w:t>
      </w:r>
      <w:r>
        <w:rPr>
          <w:rFonts w:cs="Arial Unicode MS" w:eastAsia="Arial Unicode MS"/>
          <w:rtl w:val="0"/>
          <w:lang w:val="en-US"/>
        </w:rPr>
        <w:t xml:space="preserve"> in Latin, was an influential theoretical work on all aspects of Hellenistic astrology, structured almost like an encyclopedic compendium of knowledge, which remained influential on learned audiences from the Middle Ages on to the Renaissance. Alan Leo, the 19</w:t>
      </w:r>
      <w:r>
        <w:rPr>
          <w:rFonts w:cs="Arial Unicode MS" w:eastAsia="Arial Unicode MS"/>
          <w:vertAlign w:val="superscript"/>
          <w:rtl w:val="0"/>
          <w:lang w:val="en-US"/>
        </w:rPr>
        <w:t>th</w:t>
      </w:r>
      <w:r>
        <w:rPr>
          <w:rFonts w:cs="Arial Unicode MS" w:eastAsia="Arial Unicode MS"/>
          <w:rtl w:val="0"/>
          <w:lang w:val="en-US"/>
        </w:rPr>
        <w:t xml:space="preserve"> century British astrologer, helped popularize and codify a modern psychological Western astrology with his Astrology for All, intended for a wide-reaching public, which like Tetrabiblos, also contained an encyclopedic overview of astrological knowledge.</w:t>
      </w:r>
    </w:p>
    <w:p>
      <w:pPr>
        <w:pStyle w:val="Body"/>
        <w:bidi w:val="0"/>
      </w:pPr>
      <w:r>
        <w:rPr>
          <w:rFonts w:cs="Arial Unicode MS" w:eastAsia="Arial Unicode MS"/>
          <w:rtl w:val="0"/>
          <w:lang w:val="en-US"/>
        </w:rPr>
        <w:t>The Demotic horoscopes are very bare documents, listing mostly the planetary alignments of the individual</w:t>
      </w:r>
      <w:r>
        <w:rPr>
          <w:rFonts w:cs="Arial Unicode MS" w:eastAsia="Arial Unicode MS" w:hint="default"/>
          <w:rtl w:val="0"/>
          <w:lang w:val="en-US"/>
        </w:rPr>
        <w:t>’</w:t>
      </w:r>
      <w:r>
        <w:rPr>
          <w:rFonts w:cs="Arial Unicode MS" w:eastAsia="Arial Unicode MS"/>
          <w:rtl w:val="0"/>
          <w:lang w:val="en-US"/>
        </w:rPr>
        <w:t>s horoscopes, such as:</w:t>
      </w:r>
    </w:p>
    <w:p>
      <w:pPr>
        <w:pStyle w:val="Body"/>
        <w:bidi w:val="0"/>
      </w:pPr>
    </w:p>
    <w:p>
      <w:pPr>
        <w:pStyle w:val="Body"/>
        <w:bidi w:val="0"/>
      </w:pPr>
      <w:r>
        <w:rPr>
          <w:rFonts w:cs="Arial Unicode MS" w:eastAsia="Arial Unicode MS"/>
          <w:rtl w:val="0"/>
          <w:lang w:val="en-US"/>
        </w:rPr>
        <w:tab/>
        <w:tab/>
        <w:tab/>
        <w:t>Jupiter and Saturn in Leo</w:t>
      </w:r>
    </w:p>
    <w:p>
      <w:pPr>
        <w:pStyle w:val="Body"/>
        <w:bidi w:val="0"/>
      </w:pPr>
      <w:r>
        <w:rPr>
          <w:rFonts w:cs="Arial Unicode MS" w:eastAsia="Arial Unicode MS"/>
          <w:rtl w:val="0"/>
          <w:lang w:val="en-US"/>
        </w:rPr>
        <w:tab/>
        <w:tab/>
        <w:tab/>
        <w:t>End of Scorpio: Mars</w:t>
      </w:r>
    </w:p>
    <w:p>
      <w:pPr>
        <w:pStyle w:val="Body"/>
        <w:bidi w:val="0"/>
      </w:pPr>
      <w:r>
        <w:rPr>
          <w:rFonts w:cs="Arial Unicode MS" w:eastAsia="Arial Unicode MS"/>
          <w:rtl w:val="0"/>
          <w:lang w:val="en-US"/>
        </w:rPr>
        <w:tab/>
        <w:tab/>
        <w:tab/>
        <w:t>Mercury in Scorpius</w:t>
      </w:r>
    </w:p>
    <w:p>
      <w:pPr>
        <w:pStyle w:val="Body"/>
        <w:bidi w:val="0"/>
      </w:pPr>
      <w:r>
        <w:rPr>
          <w:rFonts w:cs="Arial Unicode MS" w:eastAsia="Arial Unicode MS"/>
          <w:rtl w:val="0"/>
          <w:lang w:val="en-US"/>
        </w:rPr>
        <w:tab/>
        <w:tab/>
        <w:tab/>
        <w:t>Above Scorpius: the ascendant</w:t>
      </w:r>
    </w:p>
    <w:p>
      <w:pPr>
        <w:pStyle w:val="Body"/>
        <w:bidi w:val="0"/>
      </w:pPr>
      <w:r>
        <w:rPr>
          <w:rFonts w:cs="Arial Unicode MS" w:eastAsia="Arial Unicode MS"/>
          <w:rtl w:val="0"/>
          <w:lang w:val="en-US"/>
        </w:rPr>
        <w:tab/>
        <w:tab/>
        <w:tab/>
        <w:t>Between Scorpius and Sagittarius:</w:t>
      </w:r>
    </w:p>
    <w:p>
      <w:pPr>
        <w:pStyle w:val="Body"/>
        <w:bidi w:val="0"/>
      </w:pPr>
      <w:r>
        <w:rPr>
          <w:rFonts w:cs="Arial Unicode MS" w:eastAsia="Arial Unicode MS"/>
          <w:rtl w:val="0"/>
          <w:lang w:val="en-US"/>
        </w:rPr>
        <w:tab/>
        <w:tab/>
        <w:tab/>
        <w:t>The morning star</w:t>
      </w:r>
      <w:r>
        <w:rPr>
          <w:rFonts w:ascii="Lora Regular" w:cs="Lora Regular" w:hAnsi="Lora Regular" w:eastAsia="Lora Regular"/>
          <w:b w:val="0"/>
          <w:bCs w:val="0"/>
          <w:i w:val="0"/>
          <w:iCs w:val="0"/>
          <w:vertAlign w:val="superscript"/>
        </w:rPr>
        <w:footnoteReference w:id="3"/>
      </w:r>
    </w:p>
    <w:p>
      <w:pPr>
        <w:pStyle w:val="Body"/>
        <w:bidi w:val="0"/>
      </w:pPr>
    </w:p>
    <w:p>
      <w:pPr>
        <w:pStyle w:val="Post Quote"/>
        <w:bidi w:val="0"/>
      </w:pPr>
      <w:r>
        <w:rPr>
          <w:rtl w:val="0"/>
        </w:rPr>
        <w:t xml:space="preserve">Meanwhile, Ptolemy and Leo, take a more didactic approach to educating the reader about the qualities of the planets and the signs. </w:t>
      </w:r>
      <w:r>
        <w:rPr>
          <w:rtl w:val="0"/>
        </w:rPr>
        <w:t>Ptolemy</w:t>
      </w:r>
      <w:r>
        <w:rPr>
          <w:rtl w:val="1"/>
        </w:rPr>
        <w:t>’</w:t>
      </w:r>
      <w:r>
        <w:rPr>
          <w:rtl w:val="0"/>
        </w:rPr>
        <w:t>s Tetrabiblos, exposes the minutiae of astrological knowledge from his era, discussing the maleficent and beneficent planets</w:t>
      </w:r>
      <w:r>
        <w:rPr>
          <w:rtl w:val="0"/>
        </w:rPr>
        <w:t xml:space="preserve"> such as Jupiter</w:t>
      </w:r>
      <w:r>
        <w:rPr>
          <w:rtl w:val="0"/>
        </w:rPr>
        <w:t>, natural astrology and its influence on the weather, aspects of the signs, the influences of the signs on the human body, the countries and their signs, and a plethora of other subjects. Alan Leo defines for a modern reader, what are the personal characteristics of the zodiac signs, the ruling signs of various countries, the combinations of the planets and the signs, and delves into techniques for casting horoscopes.</w:t>
      </w:r>
      <w:r>
        <w:rPr>
          <w:rtl w:val="0"/>
        </w:rPr>
        <w:t xml:space="preserve"> Therefore, while the Demotic horoscopes were intended as a bare-bones horoscope made for an individual, both the Tetrabiblos and Astrology for All, were likely intended for aspiring astrologers themselves.</w:t>
      </w:r>
    </w:p>
    <w:p>
      <w:pPr>
        <w:pStyle w:val="Body"/>
        <w:bidi w:val="0"/>
      </w:pPr>
      <w:r>
        <w:rPr>
          <w:rFonts w:cs="Arial Unicode MS" w:eastAsia="Arial Unicode MS"/>
          <w:rtl w:val="0"/>
          <w:lang w:val="en-US"/>
        </w:rPr>
        <w:t>However, this does not mean that the Demotic horoscopes are devoid of deeper meaning concerning astrology</w:t>
      </w:r>
      <w:r>
        <w:rPr>
          <w:rFonts w:cs="Arial Unicode MS" w:eastAsia="Arial Unicode MS"/>
          <w:rtl w:val="0"/>
          <w:lang w:val="en-US"/>
        </w:rPr>
        <w:t xml:space="preserve"> and Jupiter</w:t>
      </w:r>
      <w:r>
        <w:rPr>
          <w:rFonts w:cs="Arial Unicode MS" w:eastAsia="Arial Unicode MS"/>
          <w:rtl w:val="0"/>
        </w:rPr>
        <w:t xml:space="preserve">. </w:t>
      </w:r>
      <w:r>
        <w:rPr>
          <w:rFonts w:cs="Arial Unicode MS" w:eastAsia="Arial Unicode MS"/>
          <w:rtl w:val="0"/>
          <w:lang w:val="en-US"/>
        </w:rPr>
        <w:t xml:space="preserve">Keeping in mind questions of historiography, complex translations often complicate analysis and comparisons with ancient texts. As Evans writes, </w:t>
      </w:r>
      <w:r>
        <w:rPr>
          <w:rFonts w:cs="Arial Unicode MS" w:eastAsia="Arial Unicode MS" w:hint="default"/>
          <w:rtl w:val="0"/>
          <w:lang w:val="en-US"/>
        </w:rPr>
        <w:t>“</w:t>
      </w:r>
      <w:r>
        <w:rPr>
          <w:rFonts w:cs="Arial Unicode MS" w:eastAsia="Arial Unicode MS"/>
          <w:rtl w:val="0"/>
          <w:lang w:val="en-US"/>
        </w:rPr>
        <w:t xml:space="preserve">If different historians translate historical sources in two different ways, how do we know which translation is </w:t>
      </w:r>
      <w:r>
        <w:rPr>
          <w:rFonts w:cs="Arial Unicode MS" w:eastAsia="Arial Unicode MS" w:hint="default"/>
          <w:rtl w:val="0"/>
          <w:lang w:val="en-US"/>
        </w:rPr>
        <w:t>“</w:t>
      </w:r>
      <w:r>
        <w:rPr>
          <w:rFonts w:cs="Arial Unicode MS" w:eastAsia="Arial Unicode MS"/>
          <w:rtl w:val="0"/>
          <w:lang w:val="en-US"/>
        </w:rPr>
        <w:t>correct</w:t>
      </w:r>
      <w:r>
        <w:rPr>
          <w:rFonts w:cs="Arial Unicode MS" w:eastAsia="Arial Unicode MS" w:hint="default"/>
          <w:rtl w:val="0"/>
          <w:lang w:val="en-US"/>
        </w:rPr>
        <w:t>”</w:t>
      </w:r>
      <w:r>
        <w:rPr>
          <w:rFonts w:cs="Arial Unicode MS" w:eastAsia="Arial Unicode MS"/>
          <w:rtl w:val="0"/>
          <w:lang w:val="en-US"/>
        </w:rPr>
        <w:t>?</w:t>
      </w:r>
      <w:r>
        <w:rPr>
          <w:rFonts w:cs="Arial Unicode MS" w:eastAsia="Arial Unicode MS" w:hint="default"/>
          <w:rtl w:val="0"/>
          <w:lang w:val="en-US"/>
        </w:rPr>
        <w:t>’</w:t>
      </w:r>
      <w:r>
        <w:rPr>
          <w:rFonts w:ascii="Lora Regular" w:cs="Lora Regular" w:hAnsi="Lora Regular" w:eastAsia="Lora Regular"/>
          <w:b w:val="0"/>
          <w:bCs w:val="0"/>
          <w:i w:val="0"/>
          <w:iCs w:val="0"/>
          <w:vertAlign w:val="superscript"/>
        </w:rPr>
        <w:footnoteReference w:id="4"/>
      </w:r>
      <w:r>
        <w:rPr>
          <w:rFonts w:cs="Arial Unicode MS" w:eastAsia="Arial Unicode MS"/>
          <w:rtl w:val="0"/>
          <w:lang w:val="en-US"/>
        </w:rPr>
        <w:t xml:space="preserve"> Any such analysis is fraught with perils, as when Neugebauer discusses one of the Demotic horoscopes, </w:t>
      </w:r>
      <w:r>
        <w:rPr>
          <w:rFonts w:cs="Arial Unicode MS" w:eastAsia="Arial Unicode MS" w:hint="default"/>
          <w:rtl w:val="0"/>
          <w:lang w:val="en-US"/>
        </w:rPr>
        <w:t>‘</w:t>
      </w:r>
      <w:r>
        <w:rPr>
          <w:rFonts w:cs="Arial Unicode MS" w:eastAsia="Arial Unicode MS"/>
          <w:rtl w:val="0"/>
          <w:lang w:val="en-US"/>
        </w:rPr>
        <w:t>Dr. Hughes, however, carefully inspected the original and found that the "sign" in question is not ink at all but only a small depression in the surface of the clay.</w:t>
      </w:r>
      <w:r>
        <w:rPr>
          <w:rFonts w:cs="Arial Unicode MS" w:eastAsia="Arial Unicode MS" w:hint="default"/>
          <w:rtl w:val="0"/>
          <w:lang w:val="en-US"/>
        </w:rPr>
        <w:t>’</w:t>
      </w:r>
      <w:r>
        <w:rPr>
          <w:rFonts w:ascii="Lora Regular" w:cs="Lora Regular" w:hAnsi="Lora Regular" w:eastAsia="Lora Regular"/>
          <w:b w:val="0"/>
          <w:bCs w:val="0"/>
          <w:i w:val="0"/>
          <w:iCs w:val="0"/>
          <w:vertAlign w:val="superscript"/>
        </w:rPr>
        <w:footnoteReference w:id="5"/>
      </w:r>
      <w:r>
        <w:rPr>
          <w:rFonts w:cs="Arial Unicode MS" w:eastAsia="Arial Unicode MS"/>
          <w:rtl w:val="0"/>
          <w:lang w:val="en-US"/>
        </w:rPr>
        <w:t xml:space="preserve"> Nonetheless, as Evans points, out by comparing words and concepts in various documents, </w:t>
      </w:r>
      <w:r>
        <w:rPr>
          <w:rFonts w:cs="Arial Unicode MS" w:eastAsia="Arial Unicode MS" w:hint="default"/>
          <w:rtl w:val="0"/>
          <w:lang w:val="en-US"/>
        </w:rPr>
        <w:t>‘</w:t>
      </w:r>
      <w:r>
        <w:rPr>
          <w:rFonts w:cs="Arial Unicode MS" w:eastAsia="Arial Unicode MS"/>
          <w:rtl w:val="0"/>
          <w:lang w:val="en-US"/>
        </w:rPr>
        <w:t>we can isolate their meaning.</w:t>
      </w:r>
      <w:r>
        <w:rPr>
          <w:rFonts w:cs="Arial Unicode MS" w:eastAsia="Arial Unicode MS" w:hint="default"/>
          <w:rtl w:val="0"/>
          <w:lang w:val="en-US"/>
        </w:rPr>
        <w:t>’</w:t>
      </w:r>
      <w:r>
        <w:rPr>
          <w:rFonts w:ascii="Lora Regular" w:cs="Lora Regular" w:hAnsi="Lora Regular" w:eastAsia="Lora Regular"/>
          <w:b w:val="0"/>
          <w:bCs w:val="0"/>
          <w:i w:val="0"/>
          <w:iCs w:val="0"/>
          <w:vertAlign w:val="superscript"/>
        </w:rPr>
        <w:footnoteReference w:id="6"/>
      </w:r>
      <w:r>
        <w:rPr>
          <w:rFonts w:cs="Arial Unicode MS" w:eastAsia="Arial Unicode MS"/>
          <w:rtl w:val="0"/>
          <w:lang w:val="en-US"/>
        </w:rPr>
        <w:t xml:space="preserve"> </w:t>
      </w:r>
    </w:p>
    <w:p>
      <w:pPr>
        <w:pStyle w:val="Body"/>
        <w:bidi w:val="0"/>
      </w:pPr>
      <w:r>
        <w:rPr>
          <w:rFonts w:cs="Arial Unicode MS" w:eastAsia="Arial Unicode MS"/>
          <w:rtl w:val="0"/>
          <w:lang w:val="en-US"/>
        </w:rPr>
        <w:t xml:space="preserve">With this in mind, </w:t>
      </w:r>
      <w:r>
        <w:rPr>
          <w:rFonts w:cs="Arial Unicode MS" w:eastAsia="Arial Unicode MS"/>
          <w:rtl w:val="0"/>
          <w:lang w:val="en-US"/>
        </w:rPr>
        <w:t>o</w:t>
      </w:r>
      <w:r>
        <w:rPr>
          <w:rFonts w:cs="Arial Unicode MS" w:eastAsia="Arial Unicode MS"/>
          <w:rtl w:val="0"/>
          <w:lang w:val="en-US"/>
        </w:rPr>
        <w:t xml:space="preserve">ne aspect that merits attention in the Demotic horoscopes are the religious ideas which appear to be encoded into the highly metaphorical Egyptian language, as can be read from the hieroglyphic nomenclature used for the planet Jupiter. </w:t>
      </w:r>
      <w:r>
        <w:rPr>
          <w:rFonts w:cs="Arial Unicode MS" w:eastAsia="Arial Unicode MS"/>
          <w:rtl w:val="0"/>
          <w:lang w:val="en-US"/>
        </w:rPr>
        <w:t xml:space="preserve">One name for Jupiter as written in Demotic horoscopes opens new possibilities for comparison with other sources. Some forms of his name use the ending </w:t>
      </w:r>
      <w:r>
        <w:rPr>
          <w:rFonts w:ascii="Transliteration" w:hAnsi="Transliteration"/>
          <w:rtl w:val="0"/>
          <w:lang w:val="en-US"/>
        </w:rPr>
        <w:t>TAw</w:t>
      </w:r>
      <w:r>
        <w:rPr>
          <w:rFonts w:cs="Arial Unicode MS" w:eastAsia="Arial Unicode MS"/>
          <w:rtl w:val="0"/>
          <w:lang w:val="en-US"/>
        </w:rPr>
        <w:t xml:space="preserve">, which according to Hughes, in its demotic form </w:t>
      </w:r>
      <w:r>
        <w:drawing>
          <wp:inline distT="0" distB="0" distL="0" distR="0">
            <wp:extent cx="220499" cy="269083"/>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pasted-image.png"/>
                    <pic:cNvPicPr>
                      <a:picLocks noChangeAspect="1"/>
                    </pic:cNvPicPr>
                  </pic:nvPicPr>
                  <pic:blipFill>
                    <a:blip r:embed="rId4">
                      <a:extLst/>
                    </a:blip>
                    <a:stretch>
                      <a:fillRect/>
                    </a:stretch>
                  </pic:blipFill>
                  <pic:spPr>
                    <a:xfrm>
                      <a:off x="0" y="0"/>
                      <a:ext cx="220499" cy="269083"/>
                    </a:xfrm>
                    <a:prstGeom prst="rect">
                      <a:avLst/>
                    </a:prstGeom>
                    <a:ln w="12700" cap="flat">
                      <a:noFill/>
                      <a:miter lim="400000"/>
                    </a:ln>
                    <a:effectLst/>
                  </pic:spPr>
                </pic:pic>
              </a:graphicData>
            </a:graphic>
          </wp:inline>
        </w:drawing>
      </w:r>
      <w:r>
        <w:rPr>
          <w:rFonts w:cs="Arial Unicode MS" w:eastAsia="Arial Unicode MS"/>
          <w:rtl w:val="0"/>
          <w:lang w:val="en-US"/>
        </w:rPr>
        <w:t xml:space="preserve"> was the origin of the planetary symbol of Jupiter that became popular in Medieval times through to the present day.</w:t>
      </w:r>
      <w:r>
        <w:rPr>
          <w:rFonts w:ascii="Lora Regular" w:cs="Lora Regular" w:hAnsi="Lora Regular" w:eastAsia="Lora Regular"/>
          <w:b w:val="0"/>
          <w:bCs w:val="0"/>
          <w:i w:val="0"/>
          <w:iCs w:val="0"/>
          <w:vertAlign w:val="superscript"/>
        </w:rPr>
        <w:footnoteReference w:id="7"/>
      </w:r>
      <w:r>
        <w:rPr>
          <w:rFonts w:cs="Arial Unicode MS" w:eastAsia="Arial Unicode MS"/>
          <w:rtl w:val="0"/>
          <w:lang w:val="en-US"/>
        </w:rPr>
        <w:t xml:space="preserve"> The </w:t>
      </w:r>
      <w:r>
        <w:rPr>
          <w:rFonts w:ascii="Transliteration" w:hAnsi="Transliteration"/>
          <w:rtl w:val="0"/>
          <w:lang w:val="en-US"/>
        </w:rPr>
        <w:t>TAw</w:t>
      </w:r>
      <w:r>
        <w:rPr>
          <w:rFonts w:cs="Arial Unicode MS" w:eastAsia="Arial Unicode MS"/>
          <w:rtl w:val="0"/>
          <w:lang w:val="en-US"/>
        </w:rPr>
        <w:t xml:space="preserve"> hieroglyph </w:t>
      </w:r>
      <w:r>
        <w:drawing>
          <wp:inline distT="0" distB="0" distL="0" distR="0">
            <wp:extent cx="259619" cy="249022"/>
            <wp:effectExtent l="0" t="0" r="0" b="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pasted-image.png"/>
                    <pic:cNvPicPr>
                      <a:picLocks noChangeAspect="1"/>
                    </pic:cNvPicPr>
                  </pic:nvPicPr>
                  <pic:blipFill>
                    <a:blip r:embed="rId5">
                      <a:extLst/>
                    </a:blip>
                    <a:stretch>
                      <a:fillRect/>
                    </a:stretch>
                  </pic:blipFill>
                  <pic:spPr>
                    <a:xfrm>
                      <a:off x="0" y="0"/>
                      <a:ext cx="259619" cy="249022"/>
                    </a:xfrm>
                    <a:prstGeom prst="rect">
                      <a:avLst/>
                    </a:prstGeom>
                    <a:ln w="12700" cap="flat">
                      <a:noFill/>
                      <a:miter lim="400000"/>
                    </a:ln>
                    <a:effectLst/>
                  </pic:spPr>
                </pic:pic>
              </a:graphicData>
            </a:graphic>
          </wp:inline>
        </w:drawing>
      </w:r>
      <w:r>
        <w:rPr>
          <w:rFonts w:cs="Arial Unicode MS" w:eastAsia="Arial Unicode MS"/>
          <w:rtl w:val="0"/>
          <w:lang w:val="en-US"/>
        </w:rPr>
        <w:t xml:space="preserve">, depicting a sail, means </w:t>
      </w:r>
      <w:r>
        <w:rPr>
          <w:rFonts w:cs="Arial Unicode MS" w:eastAsia="Arial Unicode MS" w:hint="default"/>
          <w:rtl w:val="0"/>
          <w:lang w:val="en-US"/>
        </w:rPr>
        <w:t>“</w:t>
      </w:r>
      <w:r>
        <w:rPr>
          <w:rFonts w:cs="Arial Unicode MS" w:eastAsia="Arial Unicode MS"/>
          <w:rtl w:val="0"/>
          <w:lang w:val="en-US"/>
        </w:rPr>
        <w:t>wind, breath</w:t>
      </w:r>
      <w:r>
        <w:rPr>
          <w:rFonts w:cs="Arial Unicode MS" w:eastAsia="Arial Unicode MS" w:hint="default"/>
          <w:rtl w:val="0"/>
          <w:lang w:val="en-US"/>
        </w:rPr>
        <w:t>”</w:t>
      </w:r>
      <w:r>
        <w:rPr>
          <w:rFonts w:cs="Arial Unicode MS" w:eastAsia="Arial Unicode MS"/>
          <w:rtl w:val="0"/>
          <w:lang w:val="en-US"/>
        </w:rPr>
        <w:t xml:space="preserve">. The Tetrabiblos associates Jupiter not just with </w:t>
      </w:r>
      <w:r>
        <w:rPr>
          <w:rFonts w:cs="Arial Unicode MS" w:eastAsia="Arial Unicode MS" w:hint="default"/>
          <w:rtl w:val="0"/>
          <w:lang w:val="en-US"/>
        </w:rPr>
        <w:t>‘</w:t>
      </w:r>
      <w:r>
        <w:rPr>
          <w:rFonts w:cs="Arial Unicode MS" w:eastAsia="Arial Unicode MS"/>
          <w:rtl w:val="0"/>
          <w:lang w:val="en-US"/>
        </w:rPr>
        <w:t>fertilizing winds</w:t>
      </w:r>
      <w:r>
        <w:rPr>
          <w:rFonts w:cs="Arial Unicode MS" w:eastAsia="Arial Unicode MS" w:hint="default"/>
          <w:rtl w:val="0"/>
          <w:lang w:val="en-US"/>
        </w:rPr>
        <w:t xml:space="preserve">’ </w:t>
      </w:r>
      <w:r>
        <w:rPr>
          <w:rFonts w:cs="Arial Unicode MS" w:eastAsia="Arial Unicode MS"/>
          <w:rtl w:val="0"/>
          <w:lang w:val="en-US"/>
        </w:rPr>
        <w:t xml:space="preserve">but the </w:t>
      </w:r>
      <w:r>
        <w:rPr>
          <w:rFonts w:cs="Arial Unicode MS" w:eastAsia="Arial Unicode MS" w:hint="default"/>
          <w:rtl w:val="0"/>
          <w:lang w:val="en-US"/>
        </w:rPr>
        <w:t>‘</w:t>
      </w:r>
      <w:r>
        <w:rPr>
          <w:rFonts w:cs="Arial Unicode MS" w:eastAsia="Arial Unicode MS"/>
          <w:rtl w:val="0"/>
          <w:lang w:val="en-US"/>
        </w:rPr>
        <w:t>the fortunate sailing of fleets</w:t>
      </w:r>
      <w:r>
        <w:rPr>
          <w:rFonts w:cs="Arial Unicode MS" w:eastAsia="Arial Unicode MS" w:hint="default"/>
          <w:rtl w:val="0"/>
          <w:lang w:val="en-US"/>
        </w:rPr>
        <w:t>’</w:t>
      </w:r>
      <w:r>
        <w:rPr>
          <w:rFonts w:cs="Arial Unicode MS" w:eastAsia="Arial Unicode MS"/>
          <w:rtl w:val="0"/>
          <w:lang w:val="en-US"/>
        </w:rPr>
        <w:t>.</w:t>
      </w:r>
      <w:r>
        <w:rPr>
          <w:rFonts w:ascii="Lora Regular" w:cs="Lora Regular" w:hAnsi="Lora Regular" w:eastAsia="Lora Regular"/>
          <w:b w:val="0"/>
          <w:bCs w:val="0"/>
          <w:i w:val="0"/>
          <w:iCs w:val="0"/>
          <w:vertAlign w:val="superscript"/>
        </w:rPr>
        <w:footnoteReference w:id="8"/>
      </w:r>
      <w:r>
        <w:rPr>
          <w:rFonts w:cs="Arial Unicode MS" w:eastAsia="Arial Unicode MS"/>
          <w:rtl w:val="0"/>
          <w:lang w:val="en-US"/>
        </w:rPr>
        <w:t xml:space="preserve"> More interestingly though, is that Ptolemy claims that Jupiter rules the lungs and that 'Jupiter causes death through strangulation, pneumonia, apoplexy, spasms, headaches, and cardiac affections, and such conditions as are accompanied by irregularity or foulness of breath,</w:t>
      </w:r>
      <w:r>
        <w:rPr>
          <w:rFonts w:cs="Arial Unicode MS" w:eastAsia="Arial Unicode MS" w:hint="default"/>
          <w:rtl w:val="0"/>
          <w:lang w:val="en-US"/>
        </w:rPr>
        <w:t xml:space="preserve">’ </w:t>
      </w:r>
      <w:r>
        <w:rPr>
          <w:rFonts w:cs="Arial Unicode MS" w:eastAsia="Arial Unicode MS"/>
          <w:rtl w:val="0"/>
          <w:lang w:val="en-US"/>
        </w:rPr>
        <w:t xml:space="preserve">most of these being ailments related to the lungs or breathing. It is unclear if the hieroglyphic name for Jupiter, </w:t>
      </w:r>
      <w:r>
        <w:rPr>
          <w:rFonts w:ascii="Transliteration" w:hAnsi="Transliteration"/>
          <w:rtl w:val="0"/>
          <w:lang w:val="en-US"/>
        </w:rPr>
        <w:t>TAw</w:t>
      </w:r>
      <w:r>
        <w:rPr>
          <w:rFonts w:cs="Arial Unicode MS" w:eastAsia="Arial Unicode MS"/>
          <w:rtl w:val="0"/>
          <w:lang w:val="en-US"/>
        </w:rPr>
        <w:t xml:space="preserve">, meaning breath, can be directly traced as an origin for these associations present in the Tetrabiblos, however, if the association is true, then the Tetrabiblos, made explicit and expounded upon a linguistic characteristic of one of the Egyptian names for the planet. Alan Leo, on the other hand, provides an etymology for the symbol of Jupiter, which is divorced from historical fact, </w:t>
      </w:r>
      <w:r>
        <w:rPr>
          <w:rFonts w:cs="Arial Unicode MS" w:eastAsia="Arial Unicode MS" w:hint="default"/>
          <w:rtl w:val="0"/>
          <w:lang w:val="en-US"/>
        </w:rPr>
        <w:t>‘</w:t>
      </w:r>
      <w:r>
        <w:rPr>
          <w:rFonts w:cs="Arial Unicode MS" w:eastAsia="Arial Unicode MS"/>
          <w:rtl w:val="0"/>
          <w:lang w:val="en-US"/>
        </w:rPr>
        <w:t>In Saturn, the crescent (half-circle) or soul is beneath the cross or body; and you find it gives a cold, earthy nature[</w:t>
      </w:r>
      <w:r>
        <w:rPr>
          <w:rFonts w:cs="Arial Unicode MS" w:eastAsia="Arial Unicode MS" w:hint="default"/>
          <w:rtl w:val="0"/>
          <w:lang w:val="en-US"/>
        </w:rPr>
        <w:t>…</w:t>
      </w:r>
      <w:r>
        <w:rPr>
          <w:rFonts w:cs="Arial Unicode MS" w:eastAsia="Arial Unicode MS"/>
          <w:rtl w:val="0"/>
          <w:lang w:val="en-US"/>
        </w:rPr>
        <w:t>] In Jupiter we find just the reverse, the half-circle or soul over the cross or body.</w:t>
      </w:r>
      <w:r>
        <w:rPr>
          <w:rFonts w:cs="Arial Unicode MS" w:eastAsia="Arial Unicode MS" w:hint="default"/>
          <w:rtl w:val="0"/>
          <w:lang w:val="en-US"/>
        </w:rPr>
        <w:t xml:space="preserve">’ </w:t>
      </w:r>
      <w:r>
        <w:rPr>
          <w:rFonts w:cs="Arial Unicode MS" w:eastAsia="Arial Unicode MS"/>
          <w:rtl w:val="0"/>
          <w:lang w:val="en-US"/>
        </w:rPr>
        <w:t>He provides a fanciful and imaginative explanation for the planetary symbol, which appears, instead, to have origins in the Demotic script.</w:t>
      </w:r>
    </w:p>
    <w:p>
      <w:pPr>
        <w:pStyle w:val="Body"/>
        <w:bidi w:val="0"/>
      </w:pPr>
      <w:r>
        <w:rPr>
          <w:rFonts w:cs="Arial Unicode MS" w:eastAsia="Arial Unicode MS"/>
          <w:rtl w:val="0"/>
          <w:lang w:val="en-US"/>
        </w:rPr>
        <w:t xml:space="preserve">Unlike the Greek Zeus (Roman Jupiter), the Egyptians had a variety of names for the planet, which assumed different forms of theriomorphic falcon-headed god Horus. A text reads, </w:t>
      </w:r>
      <w:r>
        <w:rPr>
          <w:rFonts w:cs="Arial Unicode MS" w:eastAsia="Arial Unicode MS" w:hint="default"/>
          <w:rtl w:val="0"/>
          <w:lang w:val="en-US"/>
        </w:rPr>
        <w:t>’</w:t>
      </w:r>
      <w:r>
        <w:rPr>
          <w:rFonts w:cs="Arial Unicode MS" w:eastAsia="Arial Unicode MS"/>
          <w:rtl w:val="0"/>
          <w:lang w:val="en-US"/>
        </w:rPr>
        <w:t>I am Horus, the (great) Falcon who is on (or 'above') the battlements of the mansion of Him-whose-name-is-hidden</w:t>
      </w:r>
      <w:r>
        <w:rPr>
          <w:rFonts w:cs="Arial Unicode MS" w:eastAsia="Arial Unicode MS"/>
          <w:rtl w:val="0"/>
          <w:lang w:val="en-US"/>
        </w:rPr>
        <w:t>.</w:t>
      </w:r>
      <w:r>
        <w:rPr>
          <w:rFonts w:cs="Arial Unicode MS" w:eastAsia="Arial Unicode MS" w:hint="default"/>
          <w:rtl w:val="0"/>
          <w:lang w:val="en-US"/>
        </w:rPr>
        <w:t>’</w:t>
      </w:r>
      <w:r>
        <w:rPr>
          <w:rFonts w:ascii="Lora Regular" w:cs="Lora Regular" w:hAnsi="Lora Regular" w:eastAsia="Lora Regular"/>
          <w:b w:val="0"/>
          <w:bCs w:val="0"/>
          <w:i w:val="0"/>
          <w:iCs w:val="0"/>
          <w:vertAlign w:val="superscript"/>
        </w:rPr>
        <w:footnoteReference w:id="9"/>
      </w:r>
      <w:r>
        <w:rPr>
          <w:rFonts w:cs="Arial Unicode MS" w:eastAsia="Arial Unicode MS"/>
          <w:rtl w:val="0"/>
          <w:lang w:val="en-US"/>
        </w:rPr>
        <w:t xml:space="preserve"> As Campion has stated, the influence of Egypt on astrology has in recent years been re-evaluated since </w:t>
      </w:r>
      <w:r>
        <w:rPr>
          <w:rFonts w:cs="Arial Unicode MS" w:eastAsia="Arial Unicode MS" w:hint="default"/>
          <w:rtl w:val="0"/>
          <w:lang w:val="en-US"/>
        </w:rPr>
        <w:t>‘</w:t>
      </w:r>
      <w:r>
        <w:rPr>
          <w:rFonts w:cs="Arial Unicode MS" w:eastAsia="Arial Unicode MS"/>
          <w:rtl w:val="0"/>
          <w:lang w:val="en-US"/>
        </w:rPr>
        <w:t>it is clear that there was considerable religious syncretism.</w:t>
      </w:r>
      <w:r>
        <w:rPr>
          <w:rFonts w:cs="Arial Unicode MS" w:eastAsia="Arial Unicode MS" w:hint="default"/>
          <w:rtl w:val="0"/>
          <w:lang w:val="en-US"/>
        </w:rPr>
        <w:t>’</w:t>
      </w:r>
      <w:r>
        <w:rPr>
          <w:rFonts w:ascii="Lora Regular" w:cs="Lora Regular" w:hAnsi="Lora Regular" w:eastAsia="Lora Regular"/>
          <w:b w:val="0"/>
          <w:bCs w:val="0"/>
          <w:i w:val="0"/>
          <w:iCs w:val="0"/>
          <w:vertAlign w:val="superscript"/>
        </w:rPr>
        <w:footnoteReference w:id="10"/>
      </w:r>
      <w:r>
        <w:rPr>
          <w:rFonts w:cs="Arial Unicode MS" w:eastAsia="Arial Unicode MS"/>
          <w:rtl w:val="0"/>
          <w:lang w:val="en-US"/>
        </w:rPr>
        <w:t xml:space="preserve"> In accordance with the syncretism, greek iconography and mythography often represented Zeus as being accompanied by an eagle, images which survived in Christian planetary imagery (fig. x) and uniquely even in some late Vedic astronomical texts.</w:t>
      </w:r>
      <w:r>
        <w:rPr>
          <w:rFonts w:ascii="Lora Regular" w:cs="Lora Regular" w:hAnsi="Lora Regular" w:eastAsia="Lora Regular"/>
          <w:b w:val="0"/>
          <w:bCs w:val="0"/>
          <w:i w:val="0"/>
          <w:iCs w:val="0"/>
          <w:vertAlign w:val="superscript"/>
        </w:rPr>
        <w:footnoteReference w:id="11"/>
      </w:r>
      <w:r>
        <w:rPr>
          <w:rFonts w:cs="Arial Unicode MS" w:eastAsia="Arial Unicode MS"/>
          <w:rtl w:val="0"/>
          <w:lang w:val="en-US"/>
        </w:rPr>
        <w:t xml:space="preserve"> According to Neugebauer and Parker, in Ptolemaic era zodiac, such as those of Edfu and Dendera, Jupiter is often depicted as a falcon-headed deity.</w:t>
      </w:r>
      <w:r>
        <w:rPr>
          <w:rFonts w:ascii="Lora Regular" w:cs="Lora Regular" w:hAnsi="Lora Regular" w:eastAsia="Lora Regular"/>
          <w:b w:val="0"/>
          <w:bCs w:val="0"/>
          <w:i w:val="0"/>
          <w:iCs w:val="0"/>
          <w:vertAlign w:val="superscript"/>
        </w:rPr>
        <w:footnoteReference w:id="12"/>
      </w:r>
      <w:r>
        <w:rPr>
          <w:rFonts w:cs="Arial Unicode MS" w:eastAsia="Arial Unicode MS"/>
          <w:rtl w:val="0"/>
          <w:lang w:val="en-US"/>
        </w:rPr>
        <w:t xml:space="preserve"> A Roman-era altar stone found in Gabii, explicitly associates Jupiter with the eagles, in the month of Cancer, it</w:t>
      </w:r>
      <w:r>
        <w:rPr>
          <w:rFonts w:cs="Arial Unicode MS" w:eastAsia="Arial Unicode MS" w:hint="default"/>
          <w:rtl w:val="0"/>
          <w:lang w:val="en-US"/>
        </w:rPr>
        <w:t>’</w:t>
      </w:r>
      <w:r>
        <w:rPr>
          <w:rFonts w:cs="Arial Unicode MS" w:eastAsia="Arial Unicode MS"/>
          <w:rtl w:val="0"/>
          <w:lang w:val="en-US"/>
        </w:rPr>
        <w:t>s exaltation.</w:t>
      </w:r>
      <w:r>
        <w:rPr>
          <w:rFonts w:ascii="Lora Regular" w:cs="Lora Regular" w:hAnsi="Lora Regular" w:eastAsia="Lora Regular"/>
          <w:b w:val="0"/>
          <w:bCs w:val="0"/>
          <w:i w:val="0"/>
          <w:iCs w:val="0"/>
          <w:vertAlign w:val="superscript"/>
        </w:rPr>
        <w:footnoteReference w:id="13"/>
      </w:r>
      <w:r>
        <w:rPr>
          <w:rFonts w:cs="Arial Unicode MS" w:eastAsia="Arial Unicode MS"/>
          <w:rtl w:val="0"/>
          <w:lang w:val="en-US"/>
        </w:rPr>
        <w:t xml:space="preserve"> Although the Tetrabiblos does not associate Jupiter specifically with the eagle, it does link it with the North Wind, '</w:t>
      </w:r>
      <w:r>
        <w:rPr>
          <w:rFonts w:cs="Arial Unicode MS" w:eastAsia="Arial Unicode MS"/>
          <w:rtl w:val="0"/>
          <w:lang w:val="en-US"/>
        </w:rPr>
        <w:t>Then Jupiter, which produces the fecund north winds, reaches farthest north in Cancer and brings his own power to fullness; they therefore made this sign his exaltation and Capricorn his depression.</w:t>
      </w:r>
      <w:r>
        <w:rPr>
          <w:rFonts w:cs="Arial Unicode MS" w:eastAsia="Arial Unicode MS" w:hint="default"/>
          <w:rtl w:val="0"/>
          <w:lang w:val="en-US"/>
        </w:rPr>
        <w:t>’</w:t>
      </w:r>
      <w:r>
        <w:rPr>
          <w:rFonts w:ascii="Lora Regular" w:cs="Lora Regular" w:hAnsi="Lora Regular" w:eastAsia="Lora Regular"/>
          <w:b w:val="0"/>
          <w:bCs w:val="0"/>
          <w:i w:val="0"/>
          <w:iCs w:val="0"/>
          <w:vertAlign w:val="superscript"/>
        </w:rPr>
        <w:footnoteReference w:id="14"/>
      </w:r>
      <w:r>
        <w:rPr>
          <w:rFonts w:cs="Arial Unicode MS" w:eastAsia="Arial Unicode MS"/>
          <w:rtl w:val="0"/>
          <w:lang w:val="en-US"/>
        </w:rPr>
        <w:t xml:space="preserve"> The roman equivalent of the Greek north wind, Boreas, was called Aquilo, the masculine form for the Latin word for eagle, a curious coincidence to say the least. In modern astrology, as exemplified by Alan Leo</w:t>
      </w:r>
      <w:r>
        <w:rPr>
          <w:rFonts w:cs="Arial Unicode MS" w:eastAsia="Arial Unicode MS" w:hint="default"/>
          <w:rtl w:val="0"/>
          <w:lang w:val="en-US"/>
        </w:rPr>
        <w:t>’</w:t>
      </w:r>
      <w:r>
        <w:rPr>
          <w:rFonts w:cs="Arial Unicode MS" w:eastAsia="Arial Unicode MS"/>
          <w:rtl w:val="0"/>
          <w:lang w:val="en-US"/>
        </w:rPr>
        <w:t xml:space="preserve">s book, the association of the planet with the eagle seems to have vanished. Instead, Leo replaces the absent mythology with modern scientific data about the actual planet, </w:t>
      </w:r>
      <w:r>
        <w:rPr>
          <w:rFonts w:cs="Arial Unicode MS" w:eastAsia="Arial Unicode MS" w:hint="default"/>
          <w:rtl w:val="0"/>
          <w:lang w:val="en-US"/>
        </w:rPr>
        <w:t>‘</w:t>
      </w:r>
      <w:r>
        <w:rPr>
          <w:rFonts w:cs="Arial Unicode MS" w:eastAsia="Arial Unicode MS"/>
          <w:rtl w:val="0"/>
          <w:lang w:val="en-US"/>
        </w:rPr>
        <w:t>In Jupiter, we come to the largest orb (except the Sun) in our solar system. He is about 476 million miles from the center</w:t>
      </w:r>
      <w:r>
        <w:rPr>
          <w:rFonts w:cs="Arial Unicode MS" w:eastAsia="Arial Unicode MS" w:hint="default"/>
          <w:rtl w:val="0"/>
          <w:lang w:val="en-US"/>
        </w:rPr>
        <w:t>…”</w:t>
      </w:r>
      <w:r>
        <w:rPr>
          <w:rFonts w:ascii="Lora Regular" w:cs="Lora Regular" w:hAnsi="Lora Regular" w:eastAsia="Lora Regular"/>
          <w:b w:val="0"/>
          <w:bCs w:val="0"/>
          <w:i w:val="0"/>
          <w:iCs w:val="0"/>
          <w:vertAlign w:val="superscript"/>
        </w:rPr>
        <w:footnoteReference w:id="15"/>
      </w:r>
      <w:r>
        <w:rPr>
          <w:rFonts w:cs="Arial Unicode MS" w:eastAsia="Arial Unicode MS"/>
          <w:rtl w:val="0"/>
          <w:lang w:val="en-US"/>
        </w:rPr>
        <w:t xml:space="preserve"> As demonstrated by Alan Leo, Mythological iconography and divinities were replaced by modern scientific fact, which were absent from the ancient sources.</w:t>
      </w:r>
    </w:p>
    <w:p>
      <w:pPr>
        <w:pStyle w:val="Body"/>
        <w:bidi w:val="0"/>
      </w:pPr>
      <w:r>
        <w:rPr>
          <w:rFonts w:cs="Arial Unicode MS" w:eastAsia="Arial Unicode MS"/>
          <w:rtl w:val="0"/>
          <w:lang w:val="en-US"/>
        </w:rPr>
        <w:t xml:space="preserve">Finally, the notion of planetary exaltations in the zodiac should be compared. </w:t>
      </w:r>
      <w:r>
        <w:rPr>
          <w:rFonts w:cs="Arial Unicode MS" w:eastAsia="Arial Unicode MS"/>
          <w:rtl w:val="0"/>
          <w:lang w:val="en-US"/>
        </w:rPr>
        <w:t>Both the Tetrabiblos and Alan Leo</w:t>
      </w:r>
      <w:r>
        <w:rPr>
          <w:rFonts w:cs="Arial Unicode MS" w:eastAsia="Arial Unicode MS" w:hint="default"/>
          <w:rtl w:val="1"/>
        </w:rPr>
        <w:t>’</w:t>
      </w:r>
      <w:r>
        <w:rPr>
          <w:rFonts w:cs="Arial Unicode MS" w:eastAsia="Arial Unicode MS"/>
          <w:rtl w:val="0"/>
          <w:lang w:val="en-US"/>
        </w:rPr>
        <w:t xml:space="preserve">s work </w:t>
      </w:r>
      <w:r>
        <w:rPr>
          <w:rFonts w:cs="Arial Unicode MS" w:eastAsia="Arial Unicode MS"/>
          <w:rtl w:val="0"/>
          <w:lang w:val="en-US"/>
        </w:rPr>
        <w:t>identify</w:t>
      </w:r>
      <w:r>
        <w:rPr>
          <w:rFonts w:cs="Arial Unicode MS" w:eastAsia="Arial Unicode MS"/>
          <w:rtl w:val="0"/>
        </w:rPr>
        <w:t xml:space="preserve"> </w:t>
      </w:r>
      <w:r>
        <w:rPr>
          <w:rFonts w:cs="Arial Unicode MS" w:eastAsia="Arial Unicode MS"/>
          <w:rtl w:val="0"/>
          <w:lang w:val="en-US"/>
        </w:rPr>
        <w:t>the planets</w:t>
      </w:r>
      <w:r>
        <w:rPr>
          <w:rFonts w:cs="Arial Unicode MS" w:eastAsia="Arial Unicode MS"/>
          <w:rtl w:val="0"/>
          <w:lang w:val="en-US"/>
        </w:rPr>
        <w:t xml:space="preserve"> with </w:t>
      </w:r>
      <w:r>
        <w:rPr>
          <w:rFonts w:cs="Arial Unicode MS" w:eastAsia="Arial Unicode MS"/>
          <w:rtl w:val="0"/>
          <w:lang w:val="en-US"/>
        </w:rPr>
        <w:t>their</w:t>
      </w:r>
      <w:r>
        <w:rPr>
          <w:rFonts w:cs="Arial Unicode MS" w:eastAsia="Arial Unicode MS"/>
          <w:rtl w:val="0"/>
          <w:lang w:val="fr-FR"/>
        </w:rPr>
        <w:t xml:space="preserve"> exaltation</w:t>
      </w:r>
      <w:r>
        <w:rPr>
          <w:rFonts w:cs="Arial Unicode MS" w:eastAsia="Arial Unicode MS"/>
          <w:rtl w:val="0"/>
          <w:lang w:val="en-US"/>
        </w:rPr>
        <w:t xml:space="preserve">s. As stated by Leo, </w:t>
      </w:r>
      <w:r>
        <w:rPr>
          <w:rFonts w:cs="Arial Unicode MS" w:eastAsia="Arial Unicode MS" w:hint="default"/>
          <w:rtl w:val="0"/>
          <w:lang w:val="en-US"/>
        </w:rPr>
        <w:t>‘</w:t>
      </w:r>
      <w:r>
        <w:rPr>
          <w:rFonts w:cs="Arial Unicode MS" w:eastAsia="Arial Unicode MS"/>
          <w:rtl w:val="0"/>
          <w:lang w:val="en-US"/>
        </w:rPr>
        <w:t xml:space="preserve">Every planet has its </w:t>
      </w:r>
      <w:r>
        <w:rPr>
          <w:rFonts w:cs="Arial Unicode MS" w:eastAsia="Arial Unicode MS" w:hint="default"/>
          <w:rtl w:val="0"/>
          <w:lang w:val="en-US"/>
        </w:rPr>
        <w:t>“</w:t>
      </w:r>
      <w:r>
        <w:rPr>
          <w:rFonts w:cs="Arial Unicode MS" w:eastAsia="Arial Unicode MS"/>
          <w:rtl w:val="0"/>
          <w:lang w:val="en-US"/>
        </w:rPr>
        <w:t>exaltation</w:t>
      </w:r>
      <w:r>
        <w:rPr>
          <w:rFonts w:cs="Arial Unicode MS" w:eastAsia="Arial Unicode MS" w:hint="default"/>
          <w:rtl w:val="0"/>
          <w:lang w:val="en-US"/>
        </w:rPr>
        <w:t xml:space="preserve">” </w:t>
      </w:r>
      <w:r>
        <w:rPr>
          <w:rFonts w:cs="Arial Unicode MS" w:eastAsia="Arial Unicode MS"/>
          <w:rtl w:val="0"/>
          <w:lang w:val="en-US"/>
        </w:rPr>
        <w:t xml:space="preserve">and </w:t>
      </w:r>
      <w:r>
        <w:rPr>
          <w:rFonts w:cs="Arial Unicode MS" w:eastAsia="Arial Unicode MS" w:hint="default"/>
          <w:rtl w:val="0"/>
          <w:lang w:val="en-US"/>
        </w:rPr>
        <w:t>“</w:t>
      </w:r>
      <w:r>
        <w:rPr>
          <w:rFonts w:cs="Arial Unicode MS" w:eastAsia="Arial Unicode MS"/>
          <w:rtl w:val="0"/>
          <w:lang w:val="en-US"/>
        </w:rPr>
        <w:t>fall</w:t>
      </w:r>
      <w:r>
        <w:rPr>
          <w:rFonts w:cs="Arial Unicode MS" w:eastAsia="Arial Unicode MS" w:hint="default"/>
          <w:rtl w:val="0"/>
          <w:lang w:val="en-US"/>
        </w:rPr>
        <w:t xml:space="preserve">” </w:t>
      </w:r>
      <w:r>
        <w:rPr>
          <w:rFonts w:cs="Arial Unicode MS" w:eastAsia="Arial Unicode MS"/>
          <w:rtl w:val="0"/>
          <w:lang w:val="en-US"/>
        </w:rPr>
        <w:t>in some appropriate sign</w:t>
      </w:r>
      <w:r>
        <w:rPr>
          <w:rFonts w:cs="Arial Unicode MS" w:eastAsia="Arial Unicode MS"/>
          <w:rtl w:val="0"/>
        </w:rPr>
        <w:t>.</w:t>
      </w:r>
      <w:r>
        <w:rPr>
          <w:rFonts w:cs="Arial Unicode MS" w:eastAsia="Arial Unicode MS" w:hint="default"/>
          <w:rtl w:val="0"/>
          <w:lang w:val="en-US"/>
        </w:rPr>
        <w:t>’</w:t>
      </w:r>
      <w:r>
        <w:rPr>
          <w:rFonts w:ascii="Lora Regular" w:cs="Lora Regular" w:hAnsi="Lora Regular" w:eastAsia="Lora Regular"/>
          <w:b w:val="0"/>
          <w:bCs w:val="0"/>
          <w:i w:val="0"/>
          <w:iCs w:val="0"/>
          <w:vertAlign w:val="superscript"/>
        </w:rPr>
        <w:footnoteReference w:id="16"/>
      </w:r>
      <w:r>
        <w:rPr>
          <w:rFonts w:cs="Arial Unicode MS" w:eastAsia="Arial Unicode MS"/>
          <w:rtl w:val="0"/>
          <w:lang w:val="en-US"/>
        </w:rPr>
        <w:t xml:space="preserve"> It has been claimed by Assyriologist Francesca Rochberg that the Babylonian </w:t>
      </w:r>
      <w:r>
        <w:rPr>
          <w:rFonts w:cs="Arial Unicode MS" w:eastAsia="Arial Unicode MS"/>
          <w:i w:val="1"/>
          <w:iCs w:val="1"/>
          <w:rtl w:val="0"/>
          <w:lang w:val="en-US"/>
        </w:rPr>
        <w:t>b</w:t>
      </w:r>
      <w:r>
        <w:rPr>
          <w:rFonts w:cs="Arial Unicode MS" w:eastAsia="Arial Unicode MS" w:hint="default"/>
          <w:i w:val="1"/>
          <w:iCs w:val="1"/>
          <w:rtl w:val="0"/>
          <w:lang w:val="en-US"/>
        </w:rPr>
        <w:t>ī</w:t>
      </w:r>
      <w:r>
        <w:rPr>
          <w:rFonts w:cs="Arial Unicode MS" w:eastAsia="Arial Unicode MS"/>
          <w:i w:val="1"/>
          <w:iCs w:val="1"/>
          <w:rtl w:val="0"/>
          <w:lang w:val="en-US"/>
        </w:rPr>
        <w:t>t ni</w:t>
      </w:r>
      <w:r>
        <w:rPr>
          <w:rFonts w:ascii="Arial Unicode MS" w:cs="Arial Unicode MS" w:hAnsi="Arial Unicode MS" w:eastAsia="Arial Unicode MS" w:hint="default"/>
          <w:b w:val="0"/>
          <w:bCs w:val="0"/>
          <w:i w:val="0"/>
          <w:iCs w:val="0"/>
          <w:rtl w:val="0"/>
          <w:lang w:val="en-US"/>
        </w:rPr>
        <w:t>ṣ</w:t>
      </w:r>
      <w:r>
        <w:rPr>
          <w:rFonts w:cs="Arial Unicode MS" w:eastAsia="Arial Unicode MS"/>
          <w:i w:val="1"/>
          <w:iCs w:val="1"/>
          <w:rtl w:val="0"/>
          <w:lang w:val="en-US"/>
        </w:rPr>
        <w:t>irti</w:t>
      </w:r>
      <w:r>
        <w:rPr>
          <w:rFonts w:cs="Arial Unicode MS" w:eastAsia="Arial Unicode MS"/>
          <w:rtl w:val="0"/>
          <w:lang w:val="en-US"/>
        </w:rPr>
        <w:t xml:space="preserve">, secret houses, were the precursors of the Greek exaltations, </w:t>
      </w:r>
      <w:r>
        <w:rPr>
          <w:rFonts w:cs="Arial Unicode MS" w:eastAsia="Arial Unicode MS" w:hint="default"/>
          <w:rtl w:val="0"/>
          <w:lang w:val="en-US"/>
        </w:rPr>
        <w:t>‘</w:t>
      </w:r>
      <w:r>
        <w:rPr>
          <w:rFonts w:cs="Arial Unicode MS" w:eastAsia="Arial Unicode MS"/>
          <w:rtl w:val="0"/>
          <w:lang w:val="en-US"/>
        </w:rPr>
        <w:t xml:space="preserve">Indirect evidence from a Seleucid Babylonian planetary text supports the identification of the Babylonian </w:t>
      </w:r>
      <w:r>
        <w:rPr>
          <w:rFonts w:cs="Arial Unicode MS" w:eastAsia="Arial Unicode MS"/>
          <w:i w:val="1"/>
          <w:iCs w:val="1"/>
          <w:rtl w:val="0"/>
          <w:lang w:val="en-US"/>
        </w:rPr>
        <w:t>b</w:t>
      </w:r>
      <w:r>
        <w:rPr>
          <w:rFonts w:cs="Arial Unicode MS" w:eastAsia="Arial Unicode MS" w:hint="default"/>
          <w:i w:val="1"/>
          <w:iCs w:val="1"/>
          <w:rtl w:val="0"/>
          <w:lang w:val="en-US"/>
        </w:rPr>
        <w:t>ī</w:t>
      </w:r>
      <w:r>
        <w:rPr>
          <w:rFonts w:cs="Arial Unicode MS" w:eastAsia="Arial Unicode MS"/>
          <w:i w:val="1"/>
          <w:iCs w:val="1"/>
          <w:rtl w:val="0"/>
          <w:lang w:val="en-US"/>
        </w:rPr>
        <w:t>t ni</w:t>
      </w:r>
      <w:r>
        <w:rPr>
          <w:rFonts w:ascii="Arial Unicode MS" w:cs="Arial Unicode MS" w:hAnsi="Arial Unicode MS" w:eastAsia="Arial Unicode MS" w:hint="default"/>
          <w:b w:val="0"/>
          <w:bCs w:val="0"/>
          <w:i w:val="0"/>
          <w:iCs w:val="0"/>
          <w:rtl w:val="0"/>
          <w:lang w:val="en-US"/>
        </w:rPr>
        <w:t>ṣ</w:t>
      </w:r>
      <w:r>
        <w:rPr>
          <w:rFonts w:cs="Arial Unicode MS" w:eastAsia="Arial Unicode MS"/>
          <w:i w:val="1"/>
          <w:iCs w:val="1"/>
          <w:rtl w:val="0"/>
          <w:lang w:val="en-US"/>
        </w:rPr>
        <w:t>irti</w:t>
      </w:r>
      <w:r>
        <w:rPr>
          <w:rFonts w:cs="Arial Unicode MS" w:eastAsia="Arial Unicode MS"/>
          <w:rtl w:val="0"/>
          <w:lang w:val="en-US"/>
        </w:rPr>
        <w:t xml:space="preserve"> in the same zodiacal signs as the Greek Hypsomata.</w:t>
      </w:r>
      <w:r>
        <w:rPr>
          <w:rFonts w:cs="Arial Unicode MS" w:eastAsia="Arial Unicode MS" w:hint="default"/>
          <w:rtl w:val="0"/>
          <w:lang w:val="en-US"/>
        </w:rPr>
        <w:t>’</w:t>
      </w:r>
      <w:r>
        <w:rPr>
          <w:rFonts w:ascii="Lora Regular" w:cs="Lora Regular" w:hAnsi="Lora Regular" w:eastAsia="Lora Regular"/>
          <w:b w:val="0"/>
          <w:bCs w:val="0"/>
          <w:i w:val="0"/>
          <w:iCs w:val="0"/>
          <w:vertAlign w:val="superscript"/>
        </w:rPr>
        <w:footnoteReference w:id="17"/>
      </w:r>
      <w:r>
        <w:rPr>
          <w:rFonts w:cs="Arial Unicode MS" w:eastAsia="Arial Unicode MS"/>
          <w:rtl w:val="0"/>
          <w:lang w:val="en-US"/>
        </w:rPr>
        <w:t xml:space="preserve"> Joanne Conman later claimed that the Egyptian decans may precede the Babylonian secret houses, as containing the original exaltations.</w:t>
      </w:r>
      <w:r>
        <w:rPr>
          <w:rFonts w:ascii="Lora Regular" w:cs="Lora Regular" w:hAnsi="Lora Regular" w:eastAsia="Lora Regular"/>
          <w:b w:val="0"/>
          <w:bCs w:val="0"/>
          <w:i w:val="0"/>
          <w:iCs w:val="0"/>
          <w:vertAlign w:val="superscript"/>
        </w:rPr>
        <w:footnoteReference w:id="18"/>
      </w:r>
      <w:r>
        <w:rPr>
          <w:rFonts w:cs="Arial Unicode MS" w:eastAsia="Arial Unicode MS"/>
          <w:rtl w:val="0"/>
          <w:lang w:val="en-US"/>
        </w:rPr>
        <w:t xml:space="preserve"> Therefore, Jupiter</w:t>
      </w:r>
      <w:r>
        <w:rPr>
          <w:rFonts w:cs="Arial Unicode MS" w:eastAsia="Arial Unicode MS" w:hint="default"/>
          <w:rtl w:val="0"/>
          <w:lang w:val="en-US"/>
        </w:rPr>
        <w:t>’</w:t>
      </w:r>
      <w:r>
        <w:rPr>
          <w:rFonts w:cs="Arial Unicode MS" w:eastAsia="Arial Unicode MS"/>
          <w:rtl w:val="0"/>
          <w:lang w:val="en-US"/>
        </w:rPr>
        <w:t xml:space="preserve">s exaltation would occur at the 15th degree of Cancer, a tradition that is maintained to this day in modern astrology. Conman attributes some minor discrepancies of the exaltation of Jupiter in the decans to the fact that </w:t>
      </w:r>
      <w:r>
        <w:rPr>
          <w:rFonts w:cs="Arial Unicode MS" w:eastAsia="Arial Unicode MS" w:hint="default"/>
          <w:rtl w:val="0"/>
          <w:lang w:val="en-US"/>
        </w:rPr>
        <w:t>‘</w:t>
      </w:r>
      <w:r>
        <w:rPr>
          <w:rFonts w:cs="Arial Unicode MS" w:eastAsia="Arial Unicode MS"/>
          <w:rtl w:val="0"/>
          <w:lang w:val="en-US"/>
        </w:rPr>
        <w:t>Sirius is the true origin of Jupiter</w:t>
      </w:r>
      <w:r>
        <w:rPr>
          <w:rFonts w:cs="Arial Unicode MS" w:eastAsia="Arial Unicode MS" w:hint="default"/>
          <w:rtl w:val="0"/>
          <w:lang w:val="en-US"/>
        </w:rPr>
        <w:t>’</w:t>
      </w:r>
      <w:r>
        <w:rPr>
          <w:rFonts w:cs="Arial Unicode MS" w:eastAsia="Arial Unicode MS"/>
          <w:rtl w:val="0"/>
          <w:lang w:val="en-US"/>
        </w:rPr>
        <w:t>s hypsomata.</w:t>
      </w:r>
      <w:r>
        <w:rPr>
          <w:rFonts w:cs="Arial Unicode MS" w:eastAsia="Arial Unicode MS" w:hint="default"/>
          <w:rtl w:val="0"/>
          <w:lang w:val="en-US"/>
        </w:rPr>
        <w:t>’</w:t>
      </w:r>
      <w:r>
        <w:rPr>
          <w:rFonts w:ascii="Lora Regular" w:cs="Lora Regular" w:hAnsi="Lora Regular" w:eastAsia="Lora Regular"/>
          <w:b w:val="0"/>
          <w:bCs w:val="0"/>
          <w:i w:val="0"/>
          <w:iCs w:val="0"/>
          <w:vertAlign w:val="superscript"/>
        </w:rPr>
        <w:footnoteReference w:id="19"/>
      </w:r>
      <w:r>
        <w:rPr>
          <w:rFonts w:cs="Arial Unicode MS" w:eastAsia="Arial Unicode MS"/>
          <w:rtl w:val="0"/>
          <w:lang w:val="en-US"/>
        </w:rPr>
        <w:t xml:space="preserve"> This is significant because one of the most common words used in the name of the planet Jupiter in the Demotic horoscopes is </w:t>
      </w:r>
      <w:r>
        <w:rPr>
          <w:rFonts w:ascii="Transliteration" w:hAnsi="Transliteration"/>
          <w:rtl w:val="0"/>
          <w:lang w:val="en-US"/>
        </w:rPr>
        <w:t>wp</w:t>
      </w:r>
      <w:r>
        <w:rPr>
          <w:rFonts w:cs="Arial Unicode MS" w:eastAsia="Arial Unicode MS"/>
          <w:rtl w:val="0"/>
          <w:lang w:val="en-US"/>
        </w:rPr>
        <w:t xml:space="preserve">, which means </w:t>
      </w:r>
      <w:r>
        <w:rPr>
          <w:rFonts w:cs="Arial Unicode MS" w:eastAsia="Arial Unicode MS" w:hint="default"/>
          <w:rtl w:val="0"/>
          <w:lang w:val="en-US"/>
        </w:rPr>
        <w:t>‘</w:t>
      </w:r>
      <w:r>
        <w:rPr>
          <w:rFonts w:cs="Arial Unicode MS" w:eastAsia="Arial Unicode MS"/>
          <w:rtl w:val="0"/>
          <w:lang w:val="en-US"/>
        </w:rPr>
        <w:t>to open</w:t>
      </w:r>
      <w:r>
        <w:rPr>
          <w:rFonts w:cs="Arial Unicode MS" w:eastAsia="Arial Unicode MS" w:hint="default"/>
          <w:rtl w:val="0"/>
          <w:lang w:val="en-US"/>
        </w:rPr>
        <w:t>’</w:t>
      </w:r>
      <w:r>
        <w:rPr>
          <w:rFonts w:cs="Arial Unicode MS" w:eastAsia="Arial Unicode MS"/>
          <w:rtl w:val="0"/>
          <w:lang w:val="en-US"/>
        </w:rPr>
        <w:t xml:space="preserve">, such as in </w:t>
      </w:r>
      <w:r>
        <w:rPr>
          <w:rFonts w:ascii="Transliteration" w:hAnsi="Transliteration"/>
          <w:rtl w:val="0"/>
          <w:lang w:val="en-US"/>
        </w:rPr>
        <w:t>wp-StA</w:t>
      </w:r>
      <w:r>
        <w:rPr>
          <w:rFonts w:cs="Arial Unicode MS" w:eastAsia="Arial Unicode MS"/>
          <w:rtl w:val="0"/>
          <w:lang w:val="en-US"/>
        </w:rPr>
        <w:t xml:space="preserve">, </w:t>
      </w:r>
      <w:r>
        <w:rPr>
          <w:rFonts w:cs="Arial Unicode MS" w:eastAsia="Arial Unicode MS" w:hint="default"/>
          <w:rtl w:val="0"/>
          <w:lang w:val="en-US"/>
        </w:rPr>
        <w:t>‘</w:t>
      </w:r>
      <w:r>
        <w:rPr>
          <w:rFonts w:cs="Arial Unicode MS" w:eastAsia="Arial Unicode MS"/>
          <w:rtl w:val="0"/>
          <w:lang w:val="en-US"/>
        </w:rPr>
        <w:t>who opens mystery</w:t>
      </w:r>
      <w:r>
        <w:rPr>
          <w:rFonts w:cs="Arial Unicode MS" w:eastAsia="Arial Unicode MS" w:hint="default"/>
          <w:rtl w:val="0"/>
          <w:lang w:val="en-US"/>
        </w:rPr>
        <w:t>’</w:t>
      </w:r>
      <w:r>
        <w:rPr>
          <w:rFonts w:cs="Arial Unicode MS" w:eastAsia="Arial Unicode MS"/>
          <w:rtl w:val="0"/>
          <w:lang w:val="en-US"/>
        </w:rPr>
        <w:t>.</w:t>
      </w:r>
      <w:r>
        <w:rPr>
          <w:rFonts w:ascii="Lora Regular" w:cs="Lora Regular" w:hAnsi="Lora Regular" w:eastAsia="Lora Regular"/>
          <w:b w:val="0"/>
          <w:bCs w:val="0"/>
          <w:i w:val="0"/>
          <w:iCs w:val="0"/>
          <w:vertAlign w:val="superscript"/>
        </w:rPr>
        <w:footnoteReference w:id="20"/>
      </w:r>
      <w:r>
        <w:rPr>
          <w:rFonts w:cs="Arial Unicode MS" w:eastAsia="Arial Unicode MS"/>
          <w:rtl w:val="0"/>
          <w:lang w:val="en-US"/>
        </w:rPr>
        <w:t xml:space="preserve"> If Jupiter was in exaltation in Cancer, this was when the decan of Sopdet, or Sirius, occurred. The helical rising of Sirius, of course, marked the ancient Egyptian New Year with a festival called </w:t>
      </w:r>
      <w:r>
        <w:rPr>
          <w:rFonts w:ascii="Transliteration" w:hAnsi="Transliteration"/>
          <w:rtl w:val="0"/>
          <w:lang w:val="en-US"/>
        </w:rPr>
        <w:t>wp-rnpt</w:t>
      </w:r>
      <w:r>
        <w:rPr>
          <w:rFonts w:cs="Arial Unicode MS" w:eastAsia="Arial Unicode MS"/>
          <w:rtl w:val="0"/>
          <w:lang w:val="en-US"/>
        </w:rPr>
        <w:t xml:space="preserve">, or </w:t>
      </w:r>
      <w:r>
        <w:rPr>
          <w:rFonts w:cs="Arial Unicode MS" w:eastAsia="Arial Unicode MS" w:hint="default"/>
          <w:rtl w:val="0"/>
          <w:lang w:val="en-US"/>
        </w:rPr>
        <w:t>‘</w:t>
      </w:r>
      <w:r>
        <w:rPr>
          <w:rFonts w:cs="Arial Unicode MS" w:eastAsia="Arial Unicode MS"/>
          <w:rtl w:val="0"/>
          <w:lang w:val="en-US"/>
        </w:rPr>
        <w:t>Opening of the Year</w:t>
      </w:r>
      <w:r>
        <w:rPr>
          <w:rFonts w:cs="Arial Unicode MS" w:eastAsia="Arial Unicode MS" w:hint="default"/>
          <w:rtl w:val="0"/>
          <w:lang w:val="en-US"/>
        </w:rPr>
        <w:t>’</w:t>
      </w:r>
      <w:r>
        <w:rPr>
          <w:rFonts w:cs="Arial Unicode MS" w:eastAsia="Arial Unicode MS"/>
          <w:rtl w:val="0"/>
          <w:lang w:val="en-US"/>
        </w:rPr>
        <w:t>.</w:t>
      </w:r>
      <w:r>
        <w:rPr>
          <w:rFonts w:ascii="Lora Regular" w:cs="Lora Regular" w:hAnsi="Lora Regular" w:eastAsia="Lora Regular"/>
          <w:b w:val="0"/>
          <w:bCs w:val="0"/>
          <w:i w:val="0"/>
          <w:iCs w:val="0"/>
          <w:vertAlign w:val="superscript"/>
        </w:rPr>
        <w:footnoteReference w:id="21"/>
      </w:r>
      <w:r>
        <w:rPr>
          <w:rFonts w:cs="Arial Unicode MS" w:eastAsia="Arial Unicode MS"/>
          <w:rtl w:val="0"/>
          <w:lang w:val="en-US"/>
        </w:rPr>
        <w:t xml:space="preserve"> Therefore, the question remains open if the word </w:t>
      </w:r>
      <w:r>
        <w:rPr>
          <w:rFonts w:ascii="Transliteration" w:hAnsi="Transliteration"/>
          <w:rtl w:val="0"/>
          <w:lang w:val="en-US"/>
        </w:rPr>
        <w:t>wp</w:t>
      </w:r>
      <w:r>
        <w:rPr>
          <w:rFonts w:cs="Arial Unicode MS" w:eastAsia="Arial Unicode MS"/>
          <w:rtl w:val="0"/>
          <w:lang w:val="en-US"/>
        </w:rPr>
        <w:t xml:space="preserve">, </w:t>
      </w:r>
      <w:r>
        <w:rPr>
          <w:rFonts w:cs="Arial Unicode MS" w:eastAsia="Arial Unicode MS" w:hint="default"/>
          <w:rtl w:val="0"/>
          <w:lang w:val="en-US"/>
        </w:rPr>
        <w:t>‘</w:t>
      </w:r>
      <w:r>
        <w:rPr>
          <w:rFonts w:cs="Arial Unicode MS" w:eastAsia="Arial Unicode MS"/>
          <w:rtl w:val="0"/>
          <w:lang w:val="en-US"/>
        </w:rPr>
        <w:t>to open</w:t>
      </w:r>
      <w:r>
        <w:rPr>
          <w:rFonts w:cs="Arial Unicode MS" w:eastAsia="Arial Unicode MS" w:hint="default"/>
          <w:rtl w:val="0"/>
          <w:lang w:val="en-US"/>
        </w:rPr>
        <w:t>’</w:t>
      </w:r>
      <w:r>
        <w:rPr>
          <w:rFonts w:cs="Arial Unicode MS" w:eastAsia="Arial Unicode MS"/>
          <w:rtl w:val="0"/>
          <w:lang w:val="en-US"/>
        </w:rPr>
        <w:t>, in Jupiter</w:t>
      </w:r>
      <w:r>
        <w:rPr>
          <w:rFonts w:cs="Arial Unicode MS" w:eastAsia="Arial Unicode MS" w:hint="default"/>
          <w:rtl w:val="0"/>
          <w:lang w:val="en-US"/>
        </w:rPr>
        <w:t>’</w:t>
      </w:r>
      <w:r>
        <w:rPr>
          <w:rFonts w:cs="Arial Unicode MS" w:eastAsia="Arial Unicode MS"/>
          <w:rtl w:val="0"/>
          <w:lang w:val="en-US"/>
        </w:rPr>
        <w:t xml:space="preserve">s Demotic names, is a reference to his exaltation in Cancer, wherein the </w:t>
      </w:r>
      <w:r>
        <w:rPr>
          <w:rFonts w:cs="Arial Unicode MS" w:eastAsia="Arial Unicode MS" w:hint="default"/>
          <w:rtl w:val="0"/>
          <w:lang w:val="en-US"/>
        </w:rPr>
        <w:t>‘</w:t>
      </w:r>
      <w:r>
        <w:rPr>
          <w:rFonts w:cs="Arial Unicode MS" w:eastAsia="Arial Unicode MS"/>
          <w:rtl w:val="0"/>
          <w:lang w:val="en-US"/>
        </w:rPr>
        <w:t>Opening of the Year</w:t>
      </w:r>
      <w:r>
        <w:rPr>
          <w:rFonts w:cs="Arial Unicode MS" w:eastAsia="Arial Unicode MS" w:hint="default"/>
          <w:rtl w:val="0"/>
          <w:lang w:val="en-US"/>
        </w:rPr>
        <w:t xml:space="preserve">’ </w:t>
      </w:r>
      <w:r>
        <w:rPr>
          <w:rFonts w:cs="Arial Unicode MS" w:eastAsia="Arial Unicode MS"/>
          <w:rtl w:val="0"/>
          <w:lang w:val="en-US"/>
        </w:rPr>
        <w:t>occurred. Again, a close reading of the Demotic names for the Egyptian names of Jupiter may indicate similarities between the three texts, wherein, all three sources potentially make at least indirect references to the planetary exaltations.</w:t>
      </w:r>
    </w:p>
    <w:p>
      <w:pPr>
        <w:pStyle w:val="Body"/>
        <w:bidi w:val="0"/>
      </w:pPr>
      <w:r>
        <w:rPr>
          <w:rFonts w:cs="Arial Unicode MS" w:eastAsia="Arial Unicode MS"/>
          <w:rtl w:val="0"/>
          <w:lang w:val="en-US"/>
        </w:rPr>
        <w:t xml:space="preserve">The Demotic horoscopes are documents which reflect their time, where Hellenistic astrology was being influenced by Egypt, and exist as early examples of cast horoscopes. Although as Evans has discussed, </w:t>
      </w:r>
      <w:r>
        <w:rPr>
          <w:rFonts w:cs="Arial Unicode MS" w:eastAsia="Arial Unicode MS" w:hint="default"/>
          <w:rtl w:val="0"/>
          <w:lang w:val="en-US"/>
        </w:rPr>
        <w:t>“</w:t>
      </w:r>
      <w:r>
        <w:rPr>
          <w:rFonts w:cs="Arial Unicode MS" w:eastAsia="Arial Unicode MS"/>
          <w:rtl w:val="0"/>
          <w:lang w:val="en-US"/>
        </w:rPr>
        <w:t>Some writers on history have argued that historians are deceiving themselves if they imagine their documents to be a kind of transparent window through which larger truths about the past become visible.</w:t>
      </w:r>
      <w:r>
        <w:rPr>
          <w:rFonts w:cs="Arial Unicode MS" w:eastAsia="Arial Unicode MS" w:hint="default"/>
          <w:rtl w:val="0"/>
          <w:lang w:val="en-US"/>
        </w:rPr>
        <w:t>’</w:t>
      </w:r>
      <w:r>
        <w:rPr>
          <w:rFonts w:ascii="Lora Regular" w:cs="Lora Regular" w:hAnsi="Lora Regular" w:eastAsia="Lora Regular"/>
          <w:b w:val="0"/>
          <w:bCs w:val="0"/>
          <w:i w:val="0"/>
          <w:iCs w:val="0"/>
          <w:vertAlign w:val="superscript"/>
        </w:rPr>
        <w:footnoteReference w:id="22"/>
      </w:r>
      <w:r>
        <w:rPr>
          <w:rFonts w:cs="Arial Unicode MS" w:eastAsia="Arial Unicode MS"/>
          <w:rtl w:val="0"/>
          <w:lang w:val="en-US"/>
        </w:rPr>
        <w:t xml:space="preserve"> Nonetheless, comparisons between texts of different eras may reveal interesting new avenues of research, which may not have become apparent when looking at isolated texts. Both the Tetrabiblos and Astrology for All, are also clearly indicative of their eras, as perhaps compendiums of astrological knowledge which may be seen as training manuals for aspiring astrologers. Although the content, it markedly different, similarities between the three may still be gleaned, once a deeper linguistic analysis of the Demotic horoscopes is undertaken.</w:t>
      </w:r>
      <w:r>
        <w:rPr>
          <w:rFonts w:ascii="Arial Unicode MS" w:cs="Arial Unicode MS" w:hAnsi="Arial Unicode MS" w:eastAsia="Arial Unicode MS"/>
          <w:b w:val="0"/>
          <w:bCs w:val="0"/>
          <w:i w:val="0"/>
          <w:iCs w:val="0"/>
        </w:rPr>
        <w:br w:type="page"/>
      </w:r>
    </w:p>
    <w:p>
      <w:pPr>
        <w:pStyle w:val="Heading 2"/>
        <w:bidi w:val="0"/>
      </w:pPr>
      <w:r>
        <w:rPr>
          <w:rtl w:val="0"/>
        </w:rPr>
        <w:t>Bibliography</w:t>
      </w:r>
    </w:p>
    <w:p>
      <w:pPr>
        <w:pStyle w:val="Body 2"/>
        <w:bidi w:val="0"/>
      </w:pPr>
      <w:r>
        <w:rPr/>
        <w:fldChar w:fldCharType="begin" w:fldLock="0"/>
      </w:r>
      <w:r>
        <w:instrText xml:space="preserve"> ADDIN EN.REFLIST </w:instrText>
      </w:r>
      <w:r>
        <w:rPr/>
        <w:fldChar w:fldCharType="separate" w:fldLock="0"/>
      </w:r>
    </w:p>
    <w:p>
      <w:pPr>
        <w:pStyle w:val="Body 2"/>
        <w:bidi w:val="0"/>
      </w:pPr>
      <w:r>
        <w:rPr>
          <w:rtl w:val="0"/>
          <w:lang w:val="nl-NL"/>
        </w:rPr>
        <w:t xml:space="preserve">Campion, Nick, 'Was There a Ptolemaic Revolution in Ancient Egyptian Astronomy?', </w:t>
      </w:r>
      <w:r>
        <w:rPr>
          <w:i w:val="1"/>
          <w:iCs w:val="1"/>
          <w:rtl w:val="0"/>
          <w:lang w:val="en-US"/>
        </w:rPr>
        <w:t>Journal of Cosmology</w:t>
      </w:r>
      <w:r>
        <w:rPr>
          <w:rtl w:val="0"/>
        </w:rPr>
        <w:t>, Vol 13: (2011).</w:t>
      </w:r>
    </w:p>
    <w:p>
      <w:pPr>
        <w:pStyle w:val="Body 2"/>
        <w:bidi w:val="0"/>
      </w:pPr>
    </w:p>
    <w:p>
      <w:pPr>
        <w:pStyle w:val="Body 2"/>
        <w:bidi w:val="0"/>
      </w:pPr>
      <w:r>
        <w:rPr>
          <w:rtl w:val="0"/>
        </w:rPr>
        <w:t xml:space="preserve">Clagett, M., </w:t>
      </w:r>
      <w:r>
        <w:rPr>
          <w:rtl w:val="0"/>
        </w:rPr>
        <w:t>Ancient Egyptian Science : A Source Book (Vol. 2, Calendars, Clocks, and Astronomy)</w:t>
      </w:r>
      <w:r>
        <w:rPr>
          <w:rtl w:val="0"/>
          <w:lang w:val="en-US"/>
        </w:rPr>
        <w:t xml:space="preserve"> (Philadelphia: American Philosophical Society, 1995).</w:t>
      </w:r>
    </w:p>
    <w:p>
      <w:pPr>
        <w:pStyle w:val="Body 2"/>
        <w:bidi w:val="0"/>
      </w:pPr>
    </w:p>
    <w:p>
      <w:pPr>
        <w:pStyle w:val="Body 2"/>
        <w:bidi w:val="0"/>
      </w:pPr>
      <w:r>
        <w:rPr>
          <w:rtl w:val="0"/>
        </w:rPr>
        <w:t xml:space="preserve">Conman, Joanne, 'The Egyptian Origins of Planetary Hypsomata', </w:t>
      </w:r>
      <w:r>
        <w:rPr>
          <w:i w:val="1"/>
          <w:iCs w:val="1"/>
          <w:rtl w:val="0"/>
          <w:lang w:val="en-US"/>
        </w:rPr>
        <w:t>Discussions in Egyptology</w:t>
      </w:r>
      <w:r>
        <w:rPr>
          <w:rtl w:val="0"/>
        </w:rPr>
        <w:t>, 64: (2006-2009).</w:t>
      </w:r>
    </w:p>
    <w:p>
      <w:pPr>
        <w:pStyle w:val="Body 2"/>
        <w:bidi w:val="0"/>
      </w:pPr>
    </w:p>
    <w:p>
      <w:pPr>
        <w:pStyle w:val="Body 2"/>
        <w:bidi w:val="0"/>
      </w:pPr>
      <w:r>
        <w:rPr>
          <w:rtl w:val="0"/>
          <w:lang w:val="de-DE"/>
        </w:rPr>
        <w:t xml:space="preserve">Evans, Richard J., </w:t>
      </w:r>
      <w:r>
        <w:rPr>
          <w:i w:val="1"/>
          <w:iCs w:val="1"/>
          <w:rtl w:val="0"/>
          <w:lang w:val="en-US"/>
        </w:rPr>
        <w:t>In Defence of History</w:t>
      </w:r>
      <w:r>
        <w:rPr>
          <w:rtl w:val="0"/>
        </w:rPr>
        <w:t xml:space="preserve"> (Granta Books: London, 1997).</w:t>
      </w:r>
    </w:p>
    <w:p>
      <w:pPr>
        <w:pStyle w:val="Body 2"/>
        <w:bidi w:val="0"/>
      </w:pPr>
    </w:p>
    <w:p>
      <w:pPr>
        <w:pStyle w:val="Body 2"/>
        <w:bidi w:val="0"/>
      </w:pPr>
      <w:r>
        <w:rPr>
          <w:rtl w:val="0"/>
        </w:rPr>
        <w:t xml:space="preserve">Gilula, Mordechai, 'An Egyptian Etymology of the Name of Horus?', </w:t>
      </w:r>
      <w:r>
        <w:rPr>
          <w:i w:val="1"/>
          <w:iCs w:val="1"/>
          <w:rtl w:val="0"/>
          <w:lang w:val="en-US"/>
        </w:rPr>
        <w:t>The Journal of Egyptian Archaeology</w:t>
      </w:r>
      <w:r>
        <w:rPr>
          <w:rtl w:val="0"/>
        </w:rPr>
        <w:t>, 68: (1982), 259-65.</w:t>
      </w:r>
    </w:p>
    <w:p>
      <w:pPr>
        <w:pStyle w:val="Body 2"/>
        <w:bidi w:val="0"/>
      </w:pPr>
    </w:p>
    <w:p>
      <w:pPr>
        <w:pStyle w:val="Body 2"/>
        <w:bidi w:val="0"/>
      </w:pPr>
      <w:r>
        <w:rPr>
          <w:rtl w:val="0"/>
        </w:rPr>
        <w:t xml:space="preserve">Hughes, George R., 'A Demotic Astrological Text', </w:t>
      </w:r>
      <w:r>
        <w:rPr>
          <w:i w:val="1"/>
          <w:iCs w:val="1"/>
          <w:rtl w:val="0"/>
          <w:lang w:val="en-US"/>
        </w:rPr>
        <w:t>Journal of Near Eastern Studies</w:t>
      </w:r>
      <w:r>
        <w:rPr>
          <w:rtl w:val="0"/>
        </w:rPr>
        <w:t>, 10: (1951), 256-64.</w:t>
      </w:r>
    </w:p>
    <w:p>
      <w:pPr>
        <w:pStyle w:val="Body 2"/>
        <w:bidi w:val="0"/>
      </w:pPr>
    </w:p>
    <w:p>
      <w:pPr>
        <w:pStyle w:val="Body 2"/>
        <w:bidi w:val="0"/>
      </w:pPr>
      <w:r>
        <w:rPr>
          <w:rtl w:val="0"/>
          <w:lang w:val="it-IT"/>
        </w:rPr>
        <w:t xml:space="preserve">Leo, Alan, </w:t>
      </w:r>
      <w:r>
        <w:rPr>
          <w:i w:val="1"/>
          <w:iCs w:val="1"/>
          <w:rtl w:val="0"/>
        </w:rPr>
        <w:t>Astrology for All</w:t>
      </w:r>
      <w:r>
        <w:rPr>
          <w:rtl w:val="0"/>
        </w:rPr>
        <w:t xml:space="preserve"> ("Modern astrology" office: London,, 1921).</w:t>
      </w:r>
    </w:p>
    <w:p>
      <w:pPr>
        <w:pStyle w:val="Body 2"/>
        <w:bidi w:val="0"/>
      </w:pPr>
    </w:p>
    <w:p>
      <w:pPr>
        <w:pStyle w:val="Body 2"/>
        <w:bidi w:val="0"/>
      </w:pPr>
      <w:r>
        <w:rPr>
          <w:rtl w:val="0"/>
        </w:rPr>
        <w:t xml:space="preserve">Lippincott, Kristen, 'Two Astrological Ceilings Reconsidered: The Sala Di Galatea in the Villa Farnesina and the Sala Del Mappamondo at Caprarola', </w:t>
      </w:r>
      <w:r>
        <w:rPr>
          <w:i w:val="1"/>
          <w:iCs w:val="1"/>
          <w:rtl w:val="0"/>
          <w:lang w:val="en-US"/>
        </w:rPr>
        <w:t>Journal of the Warburg and Courtauld Institutes</w:t>
      </w:r>
      <w:r>
        <w:rPr>
          <w:rtl w:val="0"/>
        </w:rPr>
        <w:t>, 53: (1990), 185-207.</w:t>
      </w:r>
    </w:p>
    <w:p>
      <w:pPr>
        <w:pStyle w:val="Body 2"/>
        <w:bidi w:val="0"/>
      </w:pPr>
    </w:p>
    <w:p>
      <w:pPr>
        <w:pStyle w:val="Body 2"/>
        <w:bidi w:val="0"/>
      </w:pPr>
      <w:r>
        <w:rPr>
          <w:rtl w:val="0"/>
        </w:rPr>
        <w:t xml:space="preserve">Long, Charlotte R., 'The Gods of the Months in Ancient Art', </w:t>
      </w:r>
      <w:r>
        <w:rPr>
          <w:i w:val="1"/>
          <w:iCs w:val="1"/>
          <w:rtl w:val="0"/>
          <w:lang w:val="en-US"/>
        </w:rPr>
        <w:t>American Journal of Archaeology</w:t>
      </w:r>
      <w:r>
        <w:rPr>
          <w:rtl w:val="0"/>
        </w:rPr>
        <w:t>, 93: (1989), 589-95.</w:t>
      </w:r>
    </w:p>
    <w:p>
      <w:pPr>
        <w:pStyle w:val="Body 2"/>
        <w:bidi w:val="0"/>
      </w:pPr>
    </w:p>
    <w:p>
      <w:pPr>
        <w:pStyle w:val="Body 2"/>
        <w:bidi w:val="0"/>
      </w:pPr>
      <w:r>
        <w:rPr>
          <w:rtl w:val="0"/>
          <w:lang w:val="nl-NL"/>
        </w:rPr>
        <w:t xml:space="preserve">Neugebauer, O., 'Demotic Horoscopes', </w:t>
      </w:r>
      <w:r>
        <w:rPr>
          <w:rtl w:val="0"/>
        </w:rPr>
        <w:t>Journal of the American Oriental Society</w:t>
      </w:r>
      <w:r>
        <w:rPr>
          <w:rtl w:val="0"/>
        </w:rPr>
        <w:t>: (1943), 115-27.</w:t>
      </w:r>
    </w:p>
    <w:p>
      <w:pPr>
        <w:pStyle w:val="Body 2"/>
        <w:bidi w:val="0"/>
      </w:pPr>
    </w:p>
    <w:p>
      <w:pPr>
        <w:pStyle w:val="Body 2"/>
        <w:bidi w:val="0"/>
      </w:pPr>
      <w:r>
        <w:rPr>
          <w:rtl w:val="0"/>
          <w:lang w:val="de-DE"/>
        </w:rPr>
        <w:t xml:space="preserve">Neugebauer, O., and Richard Anthony Parker, </w:t>
      </w:r>
      <w:r>
        <w:rPr>
          <w:i w:val="1"/>
          <w:iCs w:val="1"/>
          <w:rtl w:val="0"/>
          <w:lang w:val="de-DE"/>
        </w:rPr>
        <w:t>Egyptian Astronomical Texts</w:t>
      </w:r>
      <w:r>
        <w:rPr>
          <w:rtl w:val="0"/>
        </w:rPr>
        <w:t xml:space="preserve"> (Published for Brown University Press, by L. Humphries, London: Providence,, 1960).</w:t>
      </w:r>
    </w:p>
    <w:p>
      <w:pPr>
        <w:pStyle w:val="Body 2"/>
        <w:bidi w:val="0"/>
      </w:pPr>
    </w:p>
    <w:p>
      <w:pPr>
        <w:pStyle w:val="Body 2"/>
        <w:bidi w:val="0"/>
      </w:pPr>
      <w:r>
        <w:rPr>
          <w:rtl w:val="0"/>
        </w:rPr>
        <w:t xml:space="preserve">Pingree, David, 'Indian Planetary Images and the Tradition of Astral Magic', </w:t>
      </w:r>
      <w:r>
        <w:rPr>
          <w:i w:val="1"/>
          <w:iCs w:val="1"/>
          <w:rtl w:val="0"/>
          <w:lang w:val="en-US"/>
        </w:rPr>
        <w:t>Journal of the Warburg and Courtauld Institutes</w:t>
      </w:r>
      <w:r>
        <w:rPr>
          <w:rtl w:val="0"/>
        </w:rPr>
        <w:t>, 52: (1989), 1-13.</w:t>
      </w:r>
    </w:p>
    <w:p>
      <w:pPr>
        <w:pStyle w:val="Body 2"/>
        <w:bidi w:val="0"/>
      </w:pPr>
    </w:p>
    <w:p>
      <w:pPr>
        <w:pStyle w:val="Body 2"/>
        <w:bidi w:val="0"/>
      </w:pPr>
      <w:r>
        <w:rPr>
          <w:rtl w:val="0"/>
        </w:rPr>
        <w:t xml:space="preserve">Ptolemy, and Frank Egleston Robbins, </w:t>
      </w:r>
      <w:r>
        <w:rPr>
          <w:i w:val="1"/>
          <w:iCs w:val="1"/>
          <w:rtl w:val="0"/>
          <w:lang w:val="es-ES_tradnl"/>
        </w:rPr>
        <w:t>Tetrabiblos</w:t>
      </w:r>
      <w:r>
        <w:rPr>
          <w:rtl w:val="0"/>
        </w:rPr>
        <w:t xml:space="preserve"> (Harvard university press, 1940).</w:t>
      </w:r>
    </w:p>
    <w:p>
      <w:pPr>
        <w:pStyle w:val="Body 2"/>
        <w:bidi w:val="0"/>
      </w:pPr>
    </w:p>
    <w:p>
      <w:pPr>
        <w:pStyle w:val="Body 2"/>
        <w:bidi w:val="0"/>
      </w:pPr>
      <w:r>
        <w:rPr>
          <w:rtl w:val="0"/>
        </w:rPr>
        <w:t xml:space="preserve">Rochberg-Halton, F., 'Elements of the Babylonian Contribution to Hellenistic Astrology', </w:t>
      </w:r>
      <w:r>
        <w:rPr>
          <w:i w:val="1"/>
          <w:iCs w:val="1"/>
          <w:rtl w:val="0"/>
          <w:lang w:val="en-US"/>
        </w:rPr>
        <w:t>Journal of the American Oriental Society</w:t>
      </w:r>
      <w:r>
        <w:rPr>
          <w:rtl w:val="0"/>
        </w:rPr>
        <w:t>, 108: (1988), 51-62.</w:t>
      </w:r>
    </w:p>
    <w:p>
      <w:pPr>
        <w:pStyle w:val="Body 2"/>
        <w:bidi w:val="0"/>
      </w:pPr>
      <w:r/>
      <w:r>
        <w:rPr/>
        <w:fldChar w:fldCharType="end" w:fldLock="0"/>
      </w:r>
    </w:p>
    <w:sectPr>
      <w:headerReference w:type="default" r:id="rId6"/>
      <w:footerReference w:type="default" r:id="rId7"/>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Lora Regular">
    <w:charset w:val="00"/>
    <w:family w:val="roman"/>
    <w:pitch w:val="default"/>
  </w:font>
  <w:font w:name="Helvetica Neue">
    <w:charset w:val="00"/>
    <w:family w:val="roman"/>
    <w:pitch w:val="default"/>
  </w:font>
  <w:font w:name="Cambria">
    <w:charset w:val="00"/>
    <w:family w:val="roman"/>
    <w:pitch w:val="default"/>
  </w:font>
  <w:font w:name="Calibri">
    <w:charset w:val="00"/>
    <w:family w:val="roman"/>
    <w:pitch w:val="default"/>
  </w:font>
  <w:font w:name="Trebuchet MS">
    <w:charset w:val="00"/>
    <w:family w:val="roman"/>
    <w:pitch w:val="default"/>
  </w:font>
  <w:font w:name="Transliteratio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Otto Neugebauer, 'Demotic Horoscopes', Journal of the American Oriental Society: (1943), p. 119</w:t>
      </w:r>
    </w:p>
  </w:footnote>
  <w:footnote w:id="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Neugebauer, </w:t>
      </w:r>
      <w:r>
        <w:rPr>
          <w:rFonts w:cs="Arial Unicode MS" w:eastAsia="Arial Unicode MS" w:hint="default"/>
          <w:rtl w:val="0"/>
          <w:lang w:val="en-US"/>
        </w:rPr>
        <w:t>‘</w:t>
      </w:r>
      <w:r>
        <w:rPr>
          <w:rFonts w:cs="Arial Unicode MS" w:eastAsia="Arial Unicode MS"/>
          <w:rtl w:val="0"/>
          <w:lang w:val="en-US"/>
        </w:rPr>
        <w:t>Demotic</w:t>
      </w:r>
      <w:r>
        <w:rPr>
          <w:rFonts w:cs="Arial Unicode MS" w:eastAsia="Arial Unicode MS" w:hint="default"/>
          <w:rtl w:val="0"/>
          <w:lang w:val="en-US"/>
        </w:rPr>
        <w:t>’</w:t>
      </w:r>
      <w:r>
        <w:rPr>
          <w:rFonts w:cs="Arial Unicode MS" w:eastAsia="Arial Unicode MS"/>
          <w:rtl w:val="0"/>
          <w:lang w:val="en-US"/>
        </w:rPr>
        <w:t>, p. 119</w:t>
      </w:r>
    </w:p>
  </w:footnote>
  <w:footnote w:id="3">
    <w:p>
      <w:pPr>
        <w:pStyle w:val="Footnote"/>
        <w:bidi w:val="0"/>
      </w:pPr>
      <w:r>
        <w:rPr>
          <w:vertAlign w:val="superscript"/>
        </w:rPr>
        <w:footnoteRef/>
      </w:r>
      <w:r>
        <w:rPr>
          <w:rFonts w:cs="Arial Unicode MS" w:eastAsia="Arial Unicode MS"/>
          <w:rtl w:val="0"/>
          <w:lang w:val="de-DE"/>
        </w:rPr>
        <w:t xml:space="preserve"> Neugebauer, </w:t>
      </w:r>
      <w:r>
        <w:rPr>
          <w:rFonts w:cs="Arial Unicode MS" w:eastAsia="Arial Unicode MS" w:hint="default"/>
          <w:rtl w:val="1"/>
        </w:rPr>
        <w:t>‘</w:t>
      </w:r>
      <w:r>
        <w:rPr>
          <w:rFonts w:cs="Arial Unicode MS" w:eastAsia="Arial Unicode MS"/>
          <w:rtl w:val="0"/>
          <w:lang w:val="en-US"/>
        </w:rPr>
        <w:t>Demotic</w:t>
      </w:r>
      <w:r>
        <w:rPr>
          <w:rFonts w:cs="Arial Unicode MS" w:eastAsia="Arial Unicode MS" w:hint="default"/>
          <w:rtl w:val="1"/>
        </w:rPr>
        <w:t>’</w:t>
      </w:r>
      <w:r>
        <w:rPr>
          <w:rFonts w:cs="Arial Unicode MS" w:eastAsia="Arial Unicode MS"/>
          <w:rtl w:val="0"/>
        </w:rPr>
        <w:t>, p. 11</w:t>
      </w:r>
      <w:r>
        <w:rPr>
          <w:rFonts w:cs="Arial Unicode MS" w:eastAsia="Arial Unicode MS"/>
          <w:rtl w:val="0"/>
          <w:lang w:val="en-US"/>
        </w:rPr>
        <w:t>5</w:t>
      </w:r>
    </w:p>
  </w:footnote>
  <w:footnote w:id="4">
    <w:p>
      <w:pPr>
        <w:pStyle w:val="Footnote"/>
        <w:bidi w:val="0"/>
      </w:pPr>
      <w:r>
        <w:rPr>
          <w:vertAlign w:val="superscript"/>
        </w:rPr>
        <w:footnoteRef/>
      </w:r>
      <w:r>
        <w:rPr>
          <w:rFonts w:cs="Arial Unicode MS" w:eastAsia="Arial Unicode MS"/>
          <w:rtl w:val="0"/>
          <w:lang w:val="de-DE"/>
        </w:rPr>
        <w:t xml:space="preserve"> Richard J.</w:t>
      </w:r>
      <w:r>
        <w:rPr>
          <w:rFonts w:cs="Arial Unicode MS" w:eastAsia="Arial Unicode MS"/>
          <w:rtl w:val="0"/>
          <w:lang w:val="en-US"/>
        </w:rPr>
        <w:t xml:space="preserve"> Evans, </w:t>
      </w:r>
      <w:r>
        <w:rPr>
          <w:rFonts w:cs="Arial Unicode MS" w:eastAsia="Arial Unicode MS"/>
          <w:i w:val="1"/>
          <w:iCs w:val="1"/>
          <w:rtl w:val="0"/>
          <w:lang w:val="en-US"/>
        </w:rPr>
        <w:t>In Defence of History</w:t>
      </w:r>
      <w:r>
        <w:rPr>
          <w:rFonts w:cs="Arial Unicode MS" w:eastAsia="Arial Unicode MS"/>
          <w:rtl w:val="0"/>
          <w:lang w:val="en-US"/>
        </w:rPr>
        <w:t xml:space="preserve"> (Granta Books: London, 1997), p. 78</w:t>
      </w:r>
    </w:p>
  </w:footnote>
  <w:footnote w:id="5">
    <w:p>
      <w:pPr>
        <w:pStyle w:val="Footnote"/>
        <w:bidi w:val="0"/>
      </w:pPr>
      <w:r>
        <w:rPr>
          <w:vertAlign w:val="superscript"/>
        </w:rPr>
        <w:footnoteRef/>
      </w:r>
      <w:r>
        <w:rPr>
          <w:rFonts w:cs="Arial Unicode MS" w:eastAsia="Arial Unicode MS"/>
          <w:rtl w:val="0"/>
          <w:lang w:val="de-DE"/>
        </w:rPr>
        <w:t xml:space="preserve"> Neugebauer, </w:t>
      </w:r>
      <w:r>
        <w:rPr>
          <w:rFonts w:cs="Arial Unicode MS" w:eastAsia="Arial Unicode MS" w:hint="default"/>
          <w:rtl w:val="1"/>
        </w:rPr>
        <w:t>‘</w:t>
      </w:r>
      <w:r>
        <w:rPr>
          <w:rFonts w:cs="Arial Unicode MS" w:eastAsia="Arial Unicode MS"/>
          <w:rtl w:val="0"/>
          <w:lang w:val="en-US"/>
        </w:rPr>
        <w:t>Demotic</w:t>
      </w:r>
      <w:r>
        <w:rPr>
          <w:rFonts w:cs="Arial Unicode MS" w:eastAsia="Arial Unicode MS" w:hint="default"/>
          <w:rtl w:val="1"/>
        </w:rPr>
        <w:t>’</w:t>
      </w:r>
      <w:r>
        <w:rPr>
          <w:rFonts w:cs="Arial Unicode MS" w:eastAsia="Arial Unicode MS"/>
          <w:rtl w:val="0"/>
        </w:rPr>
        <w:t>, p.</w:t>
      </w:r>
      <w:r>
        <w:rPr>
          <w:rFonts w:cs="Arial Unicode MS" w:eastAsia="Arial Unicode MS"/>
          <w:rtl w:val="0"/>
          <w:lang w:val="en-US"/>
        </w:rPr>
        <w:t xml:space="preserve"> 118</w:t>
      </w:r>
    </w:p>
  </w:footnote>
  <w:footnote w:id="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Evans, </w:t>
      </w:r>
      <w:r>
        <w:rPr>
          <w:rFonts w:cs="Arial Unicode MS" w:eastAsia="Arial Unicode MS"/>
          <w:i w:val="1"/>
          <w:iCs w:val="1"/>
          <w:rtl w:val="0"/>
          <w:lang w:val="en-US"/>
        </w:rPr>
        <w:t>Defence</w:t>
      </w:r>
      <w:r>
        <w:rPr>
          <w:rFonts w:cs="Arial Unicode MS" w:eastAsia="Arial Unicode MS"/>
          <w:rtl w:val="0"/>
          <w:lang w:val="en-US"/>
        </w:rPr>
        <w:t>, p 78</w:t>
      </w:r>
    </w:p>
  </w:footnote>
  <w:footnote w:id="7">
    <w:p>
      <w:pPr>
        <w:pStyle w:val="Footnote"/>
        <w:bidi w:val="0"/>
      </w:pPr>
      <w:r>
        <w:rPr>
          <w:vertAlign w:val="superscript"/>
        </w:rPr>
        <w:footnoteRef/>
      </w:r>
      <w:r>
        <w:rPr>
          <w:rFonts w:cs="Arial Unicode MS" w:eastAsia="Arial Unicode MS"/>
          <w:rtl w:val="0"/>
          <w:lang w:val="en-US"/>
        </w:rPr>
        <w:t xml:space="preserve"> George R. </w:t>
      </w:r>
      <w:r>
        <w:rPr>
          <w:rFonts w:cs="Arial Unicode MS" w:eastAsia="Arial Unicode MS"/>
          <w:rtl w:val="0"/>
          <w:lang w:val="en-US"/>
        </w:rPr>
        <w:t>Hughes</w:t>
      </w:r>
      <w:r>
        <w:rPr>
          <w:rFonts w:cs="Arial Unicode MS" w:eastAsia="Arial Unicode MS"/>
          <w:rtl w:val="0"/>
          <w:lang w:val="en-US"/>
        </w:rPr>
        <w:t xml:space="preserve">, 'A Demotic Astrological Text', </w:t>
      </w:r>
      <w:r>
        <w:rPr>
          <w:rFonts w:cs="Arial Unicode MS" w:eastAsia="Arial Unicode MS"/>
          <w:i w:val="1"/>
          <w:iCs w:val="1"/>
          <w:rtl w:val="0"/>
          <w:lang w:val="en-US"/>
        </w:rPr>
        <w:t>Journal of Near Eastern Studies</w:t>
      </w:r>
      <w:r>
        <w:rPr>
          <w:rFonts w:cs="Arial Unicode MS" w:eastAsia="Arial Unicode MS"/>
          <w:rtl w:val="0"/>
          <w:lang w:val="en-US"/>
        </w:rPr>
        <w:t>, 10: (1951), p. 261</w:t>
      </w:r>
    </w:p>
  </w:footnote>
  <w:footnote w:id="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Ptolemy, and Frank Egleston Robbins, </w:t>
      </w:r>
      <w:r>
        <w:rPr>
          <w:rFonts w:cs="Arial Unicode MS" w:eastAsia="Arial Unicode MS"/>
          <w:i w:val="1"/>
          <w:iCs w:val="1"/>
          <w:rtl w:val="0"/>
          <w:lang w:val="en-US"/>
        </w:rPr>
        <w:t>Tetrabiblos</w:t>
      </w:r>
      <w:r>
        <w:rPr>
          <w:rFonts w:cs="Arial Unicode MS" w:eastAsia="Arial Unicode MS"/>
          <w:rtl w:val="0"/>
          <w:lang w:val="en-US"/>
        </w:rPr>
        <w:t xml:space="preserve"> (Harvard university press, 1940), 4.52</w:t>
      </w:r>
    </w:p>
  </w:footnote>
  <w:footnote w:id="9">
    <w:p>
      <w:pPr>
        <w:pStyle w:val="Footnote"/>
        <w:bidi w:val="0"/>
      </w:pPr>
      <w:r>
        <w:rPr>
          <w:vertAlign w:val="superscript"/>
        </w:rPr>
        <w:footnoteRef/>
      </w:r>
      <w:r>
        <w:rPr>
          <w:rFonts w:cs="Arial Unicode MS" w:eastAsia="Arial Unicode MS"/>
          <w:rtl w:val="0"/>
          <w:lang w:val="de-DE"/>
        </w:rPr>
        <w:t xml:space="preserve"> Mordechai</w:t>
      </w:r>
      <w:r>
        <w:rPr>
          <w:rFonts w:cs="Arial Unicode MS" w:eastAsia="Arial Unicode MS"/>
          <w:rtl w:val="0"/>
          <w:lang w:val="en-US"/>
        </w:rPr>
        <w:t xml:space="preserve"> Gilula, 'An Egyptian Etymology of the Name of Horus?', </w:t>
      </w:r>
      <w:r>
        <w:rPr>
          <w:rFonts w:cs="Arial Unicode MS" w:eastAsia="Arial Unicode MS"/>
          <w:i w:val="1"/>
          <w:iCs w:val="1"/>
          <w:rtl w:val="0"/>
          <w:lang w:val="en-US"/>
        </w:rPr>
        <w:t>The Journal of Egyptian Archaeology</w:t>
      </w:r>
      <w:r>
        <w:rPr>
          <w:rFonts w:cs="Arial Unicode MS" w:eastAsia="Arial Unicode MS"/>
          <w:rtl w:val="0"/>
          <w:lang w:val="en-US"/>
        </w:rPr>
        <w:t>, 68: (1982)</w:t>
      </w:r>
      <w:r>
        <w:rPr>
          <w:rFonts w:cs="Arial Unicode MS" w:eastAsia="Arial Unicode MS"/>
          <w:rtl w:val="0"/>
        </w:rPr>
        <w:t xml:space="preserve"> </w:t>
      </w:r>
      <w:r>
        <w:rPr>
          <w:rFonts w:cs="Arial Unicode MS" w:eastAsia="Arial Unicode MS"/>
          <w:rtl w:val="0"/>
          <w:lang w:val="en-US"/>
        </w:rPr>
        <w:t xml:space="preserve">p. </w:t>
      </w:r>
      <w:r>
        <w:rPr>
          <w:rFonts w:cs="Arial Unicode MS" w:eastAsia="Arial Unicode MS"/>
          <w:rtl w:val="0"/>
        </w:rPr>
        <w:t>261</w:t>
      </w:r>
    </w:p>
  </w:footnote>
  <w:footnote w:id="10">
    <w:p>
      <w:pPr>
        <w:pStyle w:val="Footnote"/>
        <w:bidi w:val="0"/>
      </w:pPr>
      <w:r>
        <w:rPr>
          <w:vertAlign w:val="superscript"/>
        </w:rPr>
        <w:footnoteRef/>
      </w:r>
      <w:r>
        <w:rPr>
          <w:rFonts w:cs="Arial Unicode MS" w:eastAsia="Arial Unicode MS"/>
          <w:rtl w:val="0"/>
          <w:lang w:val="da-DK"/>
        </w:rPr>
        <w:t xml:space="preserve"> Nick</w:t>
      </w:r>
      <w:r>
        <w:rPr>
          <w:rFonts w:cs="Arial Unicode MS" w:eastAsia="Arial Unicode MS"/>
          <w:rtl w:val="0"/>
          <w:lang w:val="en-US"/>
        </w:rPr>
        <w:t xml:space="preserve"> Campion, 'Was There a Ptolemaic Revolution in Ancient Egyptian Astronomy?', </w:t>
      </w:r>
      <w:r>
        <w:rPr>
          <w:rFonts w:cs="Arial Unicode MS" w:eastAsia="Arial Unicode MS"/>
          <w:i w:val="1"/>
          <w:iCs w:val="1"/>
          <w:rtl w:val="0"/>
          <w:lang w:val="en-US"/>
        </w:rPr>
        <w:t>Journal of Cosmology</w:t>
      </w:r>
      <w:r>
        <w:rPr>
          <w:rFonts w:cs="Arial Unicode MS" w:eastAsia="Arial Unicode MS"/>
          <w:rtl w:val="0"/>
          <w:lang w:val="en-US"/>
        </w:rPr>
        <w:t>, Vol 13: (2011), p. 3</w:t>
      </w:r>
    </w:p>
  </w:footnote>
  <w:footnote w:id="11">
    <w:p>
      <w:pPr>
        <w:pStyle w:val="Footnote"/>
        <w:bidi w:val="0"/>
      </w:pPr>
      <w:r>
        <w:rPr>
          <w:vertAlign w:val="superscript"/>
        </w:rPr>
        <w:footnoteRef/>
      </w:r>
      <w:r>
        <w:rPr>
          <w:rFonts w:cs="Arial Unicode MS" w:eastAsia="Arial Unicode MS"/>
          <w:rtl w:val="0"/>
          <w:lang w:val="sv-SE"/>
        </w:rPr>
        <w:t xml:space="preserve"> Kristen</w:t>
      </w:r>
      <w:r>
        <w:rPr>
          <w:rFonts w:cs="Arial Unicode MS" w:eastAsia="Arial Unicode MS"/>
          <w:rtl w:val="0"/>
          <w:lang w:val="en-US"/>
        </w:rPr>
        <w:t xml:space="preserve"> Lippincott, 'Two Astrological Ceilings Reconsidered: The Sala Di Galatea in the Villa Farnesina and the Sala Del Mappamondo at Caprarola', </w:t>
      </w:r>
      <w:r>
        <w:rPr>
          <w:rFonts w:cs="Arial Unicode MS" w:eastAsia="Arial Unicode MS"/>
          <w:i w:val="1"/>
          <w:iCs w:val="1"/>
          <w:rtl w:val="0"/>
          <w:lang w:val="en-US"/>
        </w:rPr>
        <w:t>Journal of the Warburg and Courtauld Institutes</w:t>
      </w:r>
      <w:r>
        <w:rPr>
          <w:rFonts w:cs="Arial Unicode MS" w:eastAsia="Arial Unicode MS"/>
          <w:rtl w:val="0"/>
          <w:lang w:val="en-US"/>
        </w:rPr>
        <w:t xml:space="preserve">, 53: (1990), 185-207, p. 19 and </w:t>
      </w:r>
      <w:r>
        <w:rPr>
          <w:rFonts w:cs="Arial Unicode MS" w:eastAsia="Arial Unicode MS"/>
          <w:rtl w:val="0"/>
        </w:rPr>
        <w:t>David</w:t>
      </w:r>
      <w:r>
        <w:rPr>
          <w:rFonts w:cs="Arial Unicode MS" w:eastAsia="Arial Unicode MS"/>
          <w:rtl w:val="0"/>
          <w:lang w:val="en-US"/>
        </w:rPr>
        <w:t xml:space="preserve"> Pingree, 'Indian Planetary Images and the Tradition of Astral Magic', </w:t>
      </w:r>
      <w:r>
        <w:rPr>
          <w:rFonts w:cs="Arial Unicode MS" w:eastAsia="Arial Unicode MS"/>
          <w:i w:val="1"/>
          <w:iCs w:val="1"/>
          <w:rtl w:val="0"/>
          <w:lang w:val="en-US"/>
        </w:rPr>
        <w:t>Journal of the Warburg and Courtauld Institutes</w:t>
      </w:r>
      <w:r>
        <w:rPr>
          <w:rFonts w:cs="Arial Unicode MS" w:eastAsia="Arial Unicode MS"/>
          <w:rtl w:val="0"/>
          <w:lang w:val="en-US"/>
        </w:rPr>
        <w:t>, 52: (1989), folio 1.</w:t>
      </w:r>
    </w:p>
  </w:footnote>
  <w:footnote w:id="1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Otto Neugebauer and Richard Anthony Parker, </w:t>
      </w:r>
      <w:r>
        <w:rPr>
          <w:rFonts w:cs="Arial Unicode MS" w:eastAsia="Arial Unicode MS"/>
          <w:i w:val="1"/>
          <w:iCs w:val="1"/>
          <w:rtl w:val="0"/>
          <w:lang w:val="en-US"/>
        </w:rPr>
        <w:t>Egyptian Astronomical Texts</w:t>
      </w:r>
      <w:r>
        <w:rPr>
          <w:rFonts w:cs="Arial Unicode MS" w:eastAsia="Arial Unicode MS"/>
          <w:rtl w:val="0"/>
          <w:lang w:val="en-US"/>
        </w:rPr>
        <w:t xml:space="preserve"> (Published for Brown University Press, by L. Humphries, London: Providence,, 1960), Vol. 3a, p. 177</w:t>
      </w:r>
    </w:p>
  </w:footnote>
  <w:footnote w:id="13">
    <w:p>
      <w:pPr>
        <w:pStyle w:val="Footnote"/>
        <w:bidi w:val="0"/>
      </w:pPr>
      <w:r>
        <w:rPr>
          <w:vertAlign w:val="superscript"/>
        </w:rPr>
        <w:footnoteRef/>
      </w:r>
      <w:r>
        <w:rPr>
          <w:rFonts w:cs="Arial Unicode MS" w:eastAsia="Arial Unicode MS"/>
          <w:rtl w:val="0"/>
          <w:lang w:val="da-DK"/>
        </w:rPr>
        <w:t xml:space="preserve"> Charlotte R.</w:t>
      </w:r>
      <w:r>
        <w:rPr>
          <w:rFonts w:cs="Arial Unicode MS" w:eastAsia="Arial Unicode MS"/>
          <w:rtl w:val="0"/>
          <w:lang w:val="en-US"/>
        </w:rPr>
        <w:t xml:space="preserve"> Long, 'The Gods of the Months in Ancient Art', </w:t>
      </w:r>
      <w:r>
        <w:rPr>
          <w:rFonts w:cs="Arial Unicode MS" w:eastAsia="Arial Unicode MS"/>
          <w:i w:val="1"/>
          <w:iCs w:val="1"/>
          <w:rtl w:val="0"/>
          <w:lang w:val="en-US"/>
        </w:rPr>
        <w:t>American Journal of Archaeology</w:t>
      </w:r>
      <w:r>
        <w:rPr>
          <w:rFonts w:cs="Arial Unicode MS" w:eastAsia="Arial Unicode MS"/>
          <w:rtl w:val="0"/>
          <w:lang w:val="en-US"/>
        </w:rPr>
        <w:t>, 93: (1989), p.</w:t>
      </w:r>
      <w:r>
        <w:rPr>
          <w:rFonts w:cs="Arial Unicode MS" w:eastAsia="Arial Unicode MS"/>
          <w:rtl w:val="0"/>
        </w:rPr>
        <w:t xml:space="preserve"> 590</w:t>
      </w:r>
    </w:p>
  </w:footnote>
  <w:footnote w:id="1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Ptolemy, </w:t>
      </w:r>
      <w:r>
        <w:rPr>
          <w:rFonts w:cs="Arial Unicode MS" w:eastAsia="Arial Unicode MS"/>
          <w:i w:val="1"/>
          <w:iCs w:val="1"/>
          <w:rtl w:val="0"/>
          <w:lang w:val="en-US"/>
        </w:rPr>
        <w:t>Tetrabiblos</w:t>
      </w:r>
      <w:r>
        <w:rPr>
          <w:rFonts w:cs="Arial Unicode MS" w:eastAsia="Arial Unicode MS"/>
          <w:rtl w:val="0"/>
          <w:lang w:val="en-US"/>
        </w:rPr>
        <w:t>, 1:19</w:t>
      </w:r>
    </w:p>
  </w:footnote>
  <w:footnote w:id="1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Alan Leo, </w:t>
      </w:r>
      <w:r>
        <w:rPr>
          <w:rFonts w:cs="Arial Unicode MS" w:eastAsia="Arial Unicode MS"/>
          <w:i w:val="1"/>
          <w:iCs w:val="1"/>
          <w:rtl w:val="0"/>
          <w:lang w:val="en-US"/>
        </w:rPr>
        <w:t>Astrology for All</w:t>
      </w:r>
      <w:r>
        <w:rPr>
          <w:rFonts w:cs="Arial Unicode MS" w:eastAsia="Arial Unicode MS"/>
          <w:rtl w:val="0"/>
          <w:lang w:val="en-US"/>
        </w:rPr>
        <w:t xml:space="preserve"> ("Modern astrology" office: London,, 1921), p. 5</w:t>
      </w:r>
    </w:p>
  </w:footnote>
  <w:footnote w:id="1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Leo, </w:t>
      </w:r>
      <w:r>
        <w:rPr>
          <w:rFonts w:cs="Arial Unicode MS" w:eastAsia="Arial Unicode MS"/>
          <w:i w:val="1"/>
          <w:iCs w:val="1"/>
          <w:rtl w:val="0"/>
          <w:lang w:val="en-US"/>
        </w:rPr>
        <w:t>Astrology</w:t>
      </w:r>
      <w:r>
        <w:rPr>
          <w:rFonts w:cs="Arial Unicode MS" w:eastAsia="Arial Unicode MS"/>
          <w:rtl w:val="0"/>
          <w:lang w:val="en-US"/>
        </w:rPr>
        <w:t>, p. 306</w:t>
      </w:r>
    </w:p>
  </w:footnote>
  <w:footnote w:id="1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Francesca Rochberg-Halton, 'Elements of the Babylonian Contribution to Hellenistic Astrology', </w:t>
      </w:r>
      <w:r>
        <w:rPr>
          <w:rFonts w:cs="Arial Unicode MS" w:eastAsia="Arial Unicode MS"/>
          <w:i w:val="1"/>
          <w:iCs w:val="1"/>
          <w:rtl w:val="0"/>
          <w:lang w:val="en-US"/>
        </w:rPr>
        <w:t>Journal of the American Oriental Society</w:t>
      </w:r>
      <w:r>
        <w:rPr>
          <w:rFonts w:cs="Arial Unicode MS" w:eastAsia="Arial Unicode MS"/>
          <w:rtl w:val="0"/>
          <w:lang w:val="en-US"/>
        </w:rPr>
        <w:t>, 108: (1988),</w:t>
      </w:r>
      <w:r>
        <w:rPr>
          <w:rFonts w:cs="Arial Unicode MS" w:eastAsia="Arial Unicode MS"/>
          <w:rtl w:val="0"/>
        </w:rPr>
        <w:t xml:space="preserve"> </w:t>
      </w:r>
      <w:r>
        <w:rPr>
          <w:rFonts w:cs="Arial Unicode MS" w:eastAsia="Arial Unicode MS"/>
          <w:rtl w:val="0"/>
          <w:lang w:val="en-US"/>
        </w:rPr>
        <w:t xml:space="preserve">p. </w:t>
      </w:r>
      <w:r>
        <w:rPr>
          <w:rFonts w:cs="Arial Unicode MS" w:eastAsia="Arial Unicode MS"/>
          <w:rtl w:val="0"/>
        </w:rPr>
        <w:t>56</w:t>
      </w:r>
    </w:p>
  </w:footnote>
  <w:footnote w:id="18">
    <w:p>
      <w:pPr>
        <w:pStyle w:val="Footnote"/>
        <w:bidi w:val="0"/>
      </w:pPr>
      <w:r>
        <w:rPr>
          <w:vertAlign w:val="superscript"/>
        </w:rPr>
        <w:footnoteRef/>
      </w:r>
      <w:r>
        <w:rPr>
          <w:rFonts w:cs="Arial Unicode MS" w:eastAsia="Arial Unicode MS"/>
          <w:rtl w:val="0"/>
        </w:rPr>
        <w:t xml:space="preserve"> Joanne</w:t>
      </w:r>
      <w:r>
        <w:rPr>
          <w:rFonts w:cs="Arial Unicode MS" w:eastAsia="Arial Unicode MS"/>
          <w:rtl w:val="0"/>
          <w:lang w:val="en-US"/>
        </w:rPr>
        <w:t xml:space="preserve"> Conman, 'The Egyptian Origins of Planetary Hypsomata', </w:t>
      </w:r>
      <w:r>
        <w:rPr>
          <w:rFonts w:cs="Arial Unicode MS" w:eastAsia="Arial Unicode MS"/>
          <w:i w:val="1"/>
          <w:iCs w:val="1"/>
          <w:rtl w:val="0"/>
          <w:lang w:val="en-US"/>
        </w:rPr>
        <w:t>Discussions in Egyptology</w:t>
      </w:r>
      <w:r>
        <w:rPr>
          <w:rFonts w:cs="Arial Unicode MS" w:eastAsia="Arial Unicode MS"/>
          <w:rtl w:val="0"/>
          <w:lang w:val="en-US"/>
        </w:rPr>
        <w:t>, 64: (2006-2009), p.13</w:t>
      </w:r>
    </w:p>
  </w:footnote>
  <w:footnote w:id="1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Conman, </w:t>
      </w:r>
      <w:r>
        <w:rPr>
          <w:rFonts w:cs="Arial Unicode MS" w:eastAsia="Arial Unicode MS" w:hint="default"/>
          <w:rtl w:val="0"/>
          <w:lang w:val="en-US"/>
        </w:rPr>
        <w:t>‘</w:t>
      </w:r>
      <w:r>
        <w:rPr>
          <w:rFonts w:cs="Arial Unicode MS" w:eastAsia="Arial Unicode MS"/>
          <w:rtl w:val="0"/>
          <w:lang w:val="en-US"/>
        </w:rPr>
        <w:t>Origins</w:t>
      </w:r>
      <w:r>
        <w:rPr>
          <w:rFonts w:cs="Arial Unicode MS" w:eastAsia="Arial Unicode MS" w:hint="default"/>
          <w:rtl w:val="0"/>
          <w:lang w:val="en-US"/>
        </w:rPr>
        <w:t>’</w:t>
      </w:r>
      <w:r>
        <w:rPr>
          <w:rFonts w:cs="Arial Unicode MS" w:eastAsia="Arial Unicode MS"/>
          <w:rtl w:val="0"/>
          <w:lang w:val="en-US"/>
        </w:rPr>
        <w:t>, p. 11</w:t>
      </w:r>
    </w:p>
  </w:footnote>
  <w:footnote w:id="2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Neugebauer, EAT, p. 177</w:t>
      </w:r>
    </w:p>
  </w:footnote>
  <w:footnote w:id="2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Marshall Clagett, Ancient Egyptian Science : A Source Book (Vol. 2, Calendars, Clocks, and Astronomy) (Philadelphia: American Philosophical Society, 1995), p. 47</w:t>
      </w:r>
    </w:p>
  </w:footnote>
  <w:footnote w:id="2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Evans, </w:t>
      </w:r>
      <w:r>
        <w:rPr>
          <w:rFonts w:cs="Arial Unicode MS" w:eastAsia="Arial Unicode MS"/>
          <w:i w:val="1"/>
          <w:iCs w:val="1"/>
          <w:rtl w:val="0"/>
          <w:lang w:val="en-US"/>
        </w:rPr>
        <w:t>Defence</w:t>
      </w:r>
      <w:r>
        <w:rPr>
          <w:rFonts w:cs="Arial Unicode MS" w:eastAsia="Arial Unicode MS"/>
          <w:rtl w:val="0"/>
          <w:lang w:val="en-US"/>
        </w:rPr>
        <w:t>, p. 70</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680"/>
        <w:tab w:val="right" w:pos="9360"/>
        <w:tab w:val="clear" w:pos="9020"/>
      </w:tabs>
      <w:jc w:val="left"/>
    </w:pPr>
    <w:r>
      <w:rPr>
        <w:rtl w:val="0"/>
        <w:lang w:val="en-US"/>
      </w:rPr>
      <w:t xml:space="preserve">ALESSANDRO BERIO </w:t>
    </w:r>
    <w:r>
      <w:rPr>
        <w:rtl w:val="0"/>
      </w:rPr>
      <w:t>1907991</w:t>
      <w:tab/>
      <w:tab/>
    </w:r>
    <w:r>
      <w:rPr>
        <w:rtl w:val="0"/>
        <w:lang w:val="en-US"/>
      </w:rPr>
      <w:t xml:space="preserve">Page </w:t>
    </w:r>
    <w:r>
      <w:rPr/>
      <w:fldChar w:fldCharType="begin" w:fldLock="0"/>
    </w:r>
    <w:r>
      <w:instrText xml:space="preserve"> PAGE </w:instrText>
    </w:r>
    <w:r>
      <w:rPr/>
      <w:fldChar w:fldCharType="separate" w:fldLock="0"/>
    </w:r>
    <w:r/>
    <w:r>
      <w:rPr/>
      <w:fldChar w:fldCharType="end" w:fldLock="0"/>
    </w:r>
    <w:r>
      <w:rPr>
        <w:rtl w:val="0"/>
        <w:lang w:val="en-US"/>
      </w:rPr>
      <w:t xml:space="preserve"> of </w:t>
    </w:r>
    <w:r>
      <w:rPr/>
      <w:fldChar w:fldCharType="begin" w:fldLock="0"/>
    </w:r>
    <w:r>
      <w:instrText xml:space="preserve"> NUMPAGES </w:instrText>
    </w:r>
    <w:r>
      <w:rPr/>
      <w:fldChar w:fldCharType="separate" w:fldLock="0"/>
    </w:r>
    <w:r/>
    <w:r>
      <w:rPr/>
      <w:fldChar w:fldCharType="end" w:fldLock="0"/>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1"/>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Lora Regular" w:cs="Arial Unicode MS" w:hAnsi="Lora Regular" w:eastAsia="Arial Unicode MS"/>
      <w:b w:val="0"/>
      <w:bCs w:val="0"/>
      <w:i w:val="0"/>
      <w:iCs w:val="0"/>
      <w:caps w:val="1"/>
      <w:strike w:val="0"/>
      <w:dstrike w:val="0"/>
      <w:outline w:val="0"/>
      <w:color w:val="000000"/>
      <w:spacing w:val="0"/>
      <w:kern w:val="0"/>
      <w:position w:val="0"/>
      <w:sz w:val="20"/>
      <w:szCs w:val="20"/>
      <w:u w:val="none"/>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0" w:after="80" w:line="288" w:lineRule="auto"/>
      <w:ind w:left="0" w:right="0" w:firstLine="0"/>
      <w:jc w:val="left"/>
      <w:outlineLvl w:val="9"/>
    </w:pPr>
    <w:rPr>
      <w:rFonts w:ascii="Lora Regular" w:cs="Lora Regular" w:hAnsi="Lora Regular" w:eastAsia="Lora Regular"/>
      <w:b w:val="0"/>
      <w:bCs w:val="0"/>
      <w:i w:val="0"/>
      <w:iCs w:val="0"/>
      <w:caps w:val="0"/>
      <w:smallCaps w:val="0"/>
      <w:strike w:val="0"/>
      <w:dstrike w:val="0"/>
      <w:outline w:val="0"/>
      <w:color w:val="434343"/>
      <w:spacing w:val="0"/>
      <w:kern w:val="0"/>
      <w:position w:val="0"/>
      <w:sz w:val="24"/>
      <w:szCs w:val="24"/>
      <w:u w:val="none"/>
      <w:vertAlign w:val="baseline"/>
      <w14:textOutline>
        <w14:noFill/>
      </w14:textOutline>
      <w14:textFill>
        <w14:solidFill>
          <w14:srgbClr w14:val="444444"/>
        </w14:solidFill>
      </w14:textFill>
    </w:rPr>
  </w:style>
  <w:style w:type="character" w:styleId="Hyperlink.0">
    <w:name w:val="Hyperlink.0"/>
    <w:basedOn w:val="Hyperlink"/>
    <w:next w:val="Hyperlink.0"/>
    <w:rPr>
      <w:u w:val="single"/>
    </w:rPr>
  </w:style>
  <w:style w:type="paragraph" w:styleId="Body 2">
    <w:name w:val="Body 2"/>
    <w:next w:val="Body 2"/>
    <w:pPr>
      <w:keepNext w:val="0"/>
      <w:keepLines w:val="0"/>
      <w:pageBreakBefore w:val="0"/>
      <w:widowControl w:val="1"/>
      <w:shd w:val="clear" w:color="auto" w:fill="auto"/>
      <w:suppressAutoHyphens w:val="0"/>
      <w:bidi w:val="0"/>
      <w:spacing w:before="0" w:after="80" w:line="288" w:lineRule="auto"/>
      <w:ind w:left="0" w:right="0" w:firstLine="0"/>
      <w:jc w:val="left"/>
      <w:outlineLvl w:val="9"/>
    </w:pPr>
    <w:rPr>
      <w:rFonts w:ascii="Lora Regular" w:cs="Arial Unicode MS" w:hAnsi="Lora Regular" w:eastAsia="Arial Unicode MS"/>
      <w:b w:val="0"/>
      <w:bCs w:val="0"/>
      <w:i w:val="0"/>
      <w:iCs w:val="0"/>
      <w:caps w:val="0"/>
      <w:smallCaps w:val="0"/>
      <w:strike w:val="0"/>
      <w:dstrike w:val="0"/>
      <w:outline w:val="0"/>
      <w:color w:val="434343"/>
      <w:spacing w:val="0"/>
      <w:kern w:val="0"/>
      <w:position w:val="0"/>
      <w:sz w:val="24"/>
      <w:szCs w:val="24"/>
      <w:u w:val="none"/>
      <w:vertAlign w:val="baseline"/>
      <w:lang w:val="en-US"/>
      <w14:textOutline>
        <w14:noFill/>
      </w14:textOutline>
      <w14:textFill>
        <w14:solidFill>
          <w14:srgbClr w14:val="444444"/>
        </w14:solidFill>
      </w14:textFill>
    </w:rPr>
  </w:style>
  <w:style w:type="paragraph" w:styleId="Subtitle">
    <w:name w:val="Subtitle"/>
    <w:next w:val="Body 2"/>
    <w:pPr>
      <w:keepNext w:val="0"/>
      <w:keepLines w:val="0"/>
      <w:pageBreakBefore w:val="0"/>
      <w:widowControl w:val="1"/>
      <w:shd w:val="clear" w:color="auto" w:fill="auto"/>
      <w:suppressAutoHyphens w:val="0"/>
      <w:bidi w:val="0"/>
      <w:spacing w:before="0" w:after="0" w:line="240" w:lineRule="auto"/>
      <w:ind w:left="0" w:right="0" w:firstLine="0"/>
      <w:jc w:val="center"/>
      <w:outlineLvl w:val="9"/>
    </w:pPr>
    <w:rPr>
      <w:rFonts w:ascii="Lora Regular" w:cs="Arial Unicode MS" w:hAnsi="Lora Regular" w:eastAsia="Arial Unicode MS"/>
      <w:b w:val="0"/>
      <w:bCs w:val="0"/>
      <w:i w:val="0"/>
      <w:iCs w:val="0"/>
      <w:caps w:val="0"/>
      <w:smallCaps w:val="0"/>
      <w:strike w:val="0"/>
      <w:dstrike w:val="0"/>
      <w:outline w:val="0"/>
      <w:color w:val="dc5921"/>
      <w:spacing w:val="6"/>
      <w:kern w:val="0"/>
      <w:position w:val="0"/>
      <w:sz w:val="64"/>
      <w:szCs w:val="64"/>
      <w:u w:val="none"/>
      <w:vertAlign w:val="baseline"/>
      <w:lang w:val="en-US"/>
      <w14:textOutline>
        <w14:noFill/>
      </w14:textOutline>
      <w14:textFill>
        <w14:solidFill>
          <w14:srgbClr w14:val="DC5922"/>
        </w14:solidFill>
      </w14:textFill>
    </w:rPr>
  </w:style>
  <w:style w:type="paragraph" w:styleId="Subheading">
    <w:name w:val="Subheading"/>
    <w:next w:val="Body 2"/>
    <w:pPr>
      <w:keepNext w:val="0"/>
      <w:keepLines w:val="0"/>
      <w:pageBreakBefore w:val="0"/>
      <w:widowControl w:val="1"/>
      <w:shd w:val="clear" w:color="auto" w:fill="auto"/>
      <w:suppressAutoHyphens w:val="0"/>
      <w:bidi w:val="0"/>
      <w:spacing w:before="0" w:after="160" w:line="240" w:lineRule="auto"/>
      <w:ind w:left="0" w:right="0" w:firstLine="0"/>
      <w:jc w:val="center"/>
      <w:outlineLvl w:val="0"/>
    </w:pPr>
    <w:rPr>
      <w:rFonts w:ascii="Lora Regular" w:cs="Arial Unicode MS" w:hAnsi="Lora Regular" w:eastAsia="Arial Unicode MS"/>
      <w:b w:val="0"/>
      <w:bCs w:val="0"/>
      <w:i w:val="0"/>
      <w:iCs w:val="0"/>
      <w:caps w:val="0"/>
      <w:smallCaps w:val="0"/>
      <w:strike w:val="0"/>
      <w:dstrike w:val="0"/>
      <w:outline w:val="0"/>
      <w:color w:val="5b422a"/>
      <w:spacing w:val="0"/>
      <w:kern w:val="0"/>
      <w:position w:val="0"/>
      <w:sz w:val="36"/>
      <w:szCs w:val="36"/>
      <w:u w:val="none"/>
      <w:vertAlign w:val="baseline"/>
      <w:lang w:val="en-US"/>
      <w14:textOutline>
        <w14:noFill/>
      </w14:textOutline>
      <w14:textFill>
        <w14:solidFill>
          <w14:srgbClr w14:val="5C432B"/>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360" w:lineRule="auto"/>
      <w:ind w:left="0" w:right="0" w:firstLine="540"/>
      <w:jc w:val="left"/>
      <w:outlineLvl w:val="9"/>
    </w:pPr>
    <w:rPr>
      <w:rFonts w:ascii="Lora Regular" w:cs="Lora Regular" w:hAnsi="Lora Regular" w:eastAsia="Lora Regular"/>
      <w:b w:val="0"/>
      <w:bCs w:val="0"/>
      <w:i w:val="0"/>
      <w:iCs w:val="0"/>
      <w:caps w:val="0"/>
      <w:smallCaps w:val="0"/>
      <w:strike w:val="0"/>
      <w:dstrike w:val="0"/>
      <w:outline w:val="0"/>
      <w:color w:val="000000"/>
      <w:spacing w:val="0"/>
      <w:kern w:val="0"/>
      <w:position w:val="0"/>
      <w:sz w:val="24"/>
      <w:szCs w:val="24"/>
      <w:u w:val="none"/>
      <w:vertAlign w:val="baseline"/>
      <w14:textOutline>
        <w14:noFill/>
      </w14:textOutline>
      <w14:textFill>
        <w14:solidFill>
          <w14:srgbClr w14:val="000000"/>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200" w:line="240" w:lineRule="auto"/>
      <w:ind w:left="0" w:right="0" w:firstLine="0"/>
      <w:jc w:val="left"/>
      <w:outlineLvl w:val="9"/>
    </w:pPr>
    <w:rPr>
      <w:rFonts w:ascii="Lora Regular" w:cs="Lora Regular" w:hAnsi="Lora Regular" w:eastAsia="Lora Regular"/>
      <w:b w:val="0"/>
      <w:bCs w:val="0"/>
      <w:i w:val="0"/>
      <w:iCs w:val="0"/>
      <w:caps w:val="0"/>
      <w:smallCaps w:val="0"/>
      <w:strike w:val="0"/>
      <w:dstrike w:val="0"/>
      <w:outline w:val="0"/>
      <w:color w:val="434343"/>
      <w:spacing w:val="0"/>
      <w:kern w:val="0"/>
      <w:position w:val="0"/>
      <w:sz w:val="20"/>
      <w:szCs w:val="20"/>
      <w:u w:val="none"/>
      <w:vertAlign w:val="baseline"/>
      <w14:textOutline>
        <w14:noFill/>
      </w14:textOutline>
      <w14:textFill>
        <w14:solidFill>
          <w14:srgbClr w14:val="444444"/>
        </w14:solidFill>
      </w14:textFill>
    </w:rPr>
  </w:style>
  <w:style w:type="paragraph" w:styleId="Post Quote">
    <w:name w:val="Post Quote"/>
    <w:next w:val="Post Quote"/>
    <w:pPr>
      <w:keepNext w:val="0"/>
      <w:keepLines w:val="0"/>
      <w:pageBreakBefore w:val="0"/>
      <w:widowControl w:val="1"/>
      <w:shd w:val="clear" w:color="auto" w:fill="auto"/>
      <w:suppressAutoHyphens w:val="0"/>
      <w:bidi w:val="0"/>
      <w:spacing w:before="0" w:after="0" w:line="360" w:lineRule="auto"/>
      <w:ind w:left="0" w:right="0" w:firstLine="0"/>
      <w:jc w:val="left"/>
      <w:outlineLvl w:val="9"/>
    </w:pPr>
    <w:rPr>
      <w:rFonts w:ascii="Lora Regular" w:cs="Arial Unicode MS" w:hAnsi="Lora Regular" w:eastAsia="Arial Unicode MS"/>
      <w:b w:val="0"/>
      <w:bCs w:val="0"/>
      <w:i w:val="0"/>
      <w:iCs w:val="0"/>
      <w:caps w:val="0"/>
      <w:smallCaps w:val="0"/>
      <w:strike w:val="0"/>
      <w:dstrike w:val="0"/>
      <w:outline w:val="0"/>
      <w:color w:val="000000"/>
      <w:spacing w:val="0"/>
      <w:kern w:val="0"/>
      <w:position w:val="0"/>
      <w:sz w:val="24"/>
      <w:szCs w:val="24"/>
      <w:u w:val="none"/>
      <w:vertAlign w:val="baseline"/>
      <w:lang w:val="en-US"/>
      <w14:textOutline>
        <w14:noFill/>
      </w14:textOutline>
      <w14:textFill>
        <w14:solidFill>
          <w14:srgbClr w14:val="000000"/>
        </w14:solidFill>
      </w14:textFill>
    </w:rPr>
  </w:style>
  <w:style w:type="paragraph" w:styleId="Heading 2">
    <w:name w:val="Heading 2"/>
    <w:next w:val="Body 2"/>
    <w:pPr>
      <w:keepNext w:val="1"/>
      <w:keepLines w:val="0"/>
      <w:pageBreakBefore w:val="0"/>
      <w:widowControl w:val="1"/>
      <w:shd w:val="clear" w:color="auto" w:fill="auto"/>
      <w:suppressAutoHyphens w:val="0"/>
      <w:bidi w:val="0"/>
      <w:spacing w:before="0" w:after="160" w:line="240" w:lineRule="auto"/>
      <w:ind w:left="0" w:right="0" w:firstLine="0"/>
      <w:jc w:val="center"/>
      <w:outlineLvl w:val="0"/>
    </w:pPr>
    <w:rPr>
      <w:rFonts w:ascii="Lora Regular" w:cs="Arial Unicode MS" w:hAnsi="Lora Regular" w:eastAsia="Arial Unicode MS"/>
      <w:b w:val="0"/>
      <w:bCs w:val="0"/>
      <w:i w:val="0"/>
      <w:iCs w:val="0"/>
      <w:caps w:val="0"/>
      <w:smallCaps w:val="0"/>
      <w:strike w:val="0"/>
      <w:dstrike w:val="0"/>
      <w:outline w:val="0"/>
      <w:color w:val="5a5754"/>
      <w:spacing w:val="0"/>
      <w:kern w:val="0"/>
      <w:position w:val="0"/>
      <w:sz w:val="36"/>
      <w:szCs w:val="36"/>
      <w:u w:val="none"/>
      <w:vertAlign w:val="baseline"/>
      <w:lang w:val="fr-FR"/>
      <w14:textOutline>
        <w14:noFill/>
      </w14:textOutline>
      <w14:textFill>
        <w14:solidFill>
          <w14:srgbClr w14:val="5B5854"/>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04_Essay">
  <a:themeElements>
    <a:clrScheme name="04_Essay">
      <a:dk1>
        <a:srgbClr val="000000"/>
      </a:dk1>
      <a:lt1>
        <a:srgbClr val="FFFFFF"/>
      </a:lt1>
      <a:dk2>
        <a:srgbClr val="444444"/>
      </a:dk2>
      <a:lt2>
        <a:srgbClr val="AAAAAA"/>
      </a:lt2>
      <a:accent1>
        <a:srgbClr val="A6BACF"/>
      </a:accent1>
      <a:accent2>
        <a:srgbClr val="98A68D"/>
      </a:accent2>
      <a:accent3>
        <a:srgbClr val="E2C07E"/>
      </a:accent3>
      <a:accent4>
        <a:srgbClr val="EA8B60"/>
      </a:accent4>
      <a:accent5>
        <a:srgbClr val="B93E40"/>
      </a:accent5>
      <a:accent6>
        <a:srgbClr val="807898"/>
      </a:accent6>
      <a:hlink>
        <a:srgbClr val="0000FF"/>
      </a:hlink>
      <a:folHlink>
        <a:srgbClr val="FF00FF"/>
      </a:folHlink>
    </a:clrScheme>
    <a:fontScheme name="04_Essay">
      <a:majorFont>
        <a:latin typeface="Lora Regular"/>
        <a:ea typeface="Lora Regular"/>
        <a:cs typeface="Lora Regular"/>
      </a:majorFont>
      <a:minorFont>
        <a:latin typeface="Lora Bold"/>
        <a:ea typeface="Lora Bold"/>
        <a:cs typeface="Lora Bold"/>
      </a:minorFont>
    </a:fontScheme>
    <a:fmtScheme name="04_Essay">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2">
            <a:hueOff val="304431"/>
            <a:satOff val="14136"/>
            <a:lumOff val="-27777"/>
          </a:schemeClr>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FFFFFF"/>
            </a:solidFill>
            <a:effectLst/>
            <a:uFillTx/>
            <a:latin typeface="+mj-lt"/>
            <a:ea typeface="+mj-ea"/>
            <a:cs typeface="+mj-cs"/>
            <a:sym typeface="Lora Regular"/>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AAAAAA"/>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20000"/>
          </a:lnSpc>
          <a:spcBef>
            <a:spcPts val="400"/>
          </a:spcBef>
          <a:spcAft>
            <a:spcPts val="0"/>
          </a:spcAft>
          <a:buClrTx/>
          <a:buSzTx/>
          <a:buFontTx/>
          <a:buNone/>
          <a:tabLst/>
          <a:defRPr b="0" baseline="0" cap="none" i="0" spc="0" strike="noStrike" sz="1200" u="none" kumimoji="0" normalizeH="0">
            <a:ln>
              <a:noFill/>
            </a:ln>
            <a:solidFill>
              <a:srgbClr val="444444"/>
            </a:solidFill>
            <a:effectLst/>
            <a:uFillTx/>
            <a:latin typeface="+mj-lt"/>
            <a:ea typeface="+mj-ea"/>
            <a:cs typeface="+mj-cs"/>
            <a:sym typeface="Lora Regular"/>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