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E1EE5A" w14:textId="77777777" w:rsidR="00C96257" w:rsidRPr="00B31E99" w:rsidRDefault="00B802E0">
      <w:pPr>
        <w:pStyle w:val="Title"/>
        <w:jc w:val="center"/>
        <w:rPr>
          <w:sz w:val="32"/>
        </w:rPr>
      </w:pPr>
      <w:r w:rsidRPr="00B31E99">
        <w:rPr>
          <w:sz w:val="32"/>
        </w:rPr>
        <w:t>Electronic Prescribing in NHS Hospitals</w:t>
      </w:r>
    </w:p>
    <w:p w14:paraId="7E81AD36" w14:textId="77777777" w:rsidR="00C871A7" w:rsidRPr="00B31E99" w:rsidRDefault="00B802E0" w:rsidP="00C871A7">
      <w:pPr>
        <w:pStyle w:val="Subtitle"/>
        <w:spacing w:after="600"/>
        <w:jc w:val="center"/>
        <w:rPr>
          <w:sz w:val="32"/>
        </w:rPr>
      </w:pPr>
      <w:r w:rsidRPr="00B31E99">
        <w:rPr>
          <w:sz w:val="32"/>
        </w:rPr>
        <w:t>A critical evaluation of Nervecentre eMeds at University Hospitals of Leicester</w:t>
      </w:r>
    </w:p>
    <w:p w14:paraId="4FDEEB80" w14:textId="2FBFD261" w:rsidR="00C871A7" w:rsidRDefault="00C871A7" w:rsidP="00C871A7">
      <w:pPr>
        <w:jc w:val="center"/>
      </w:pPr>
    </w:p>
    <w:p w14:paraId="35FD6325" w14:textId="77777777" w:rsidR="00C871A7" w:rsidRPr="00C871A7" w:rsidRDefault="00C871A7" w:rsidP="00C871A7">
      <w:pPr>
        <w:jc w:val="center"/>
      </w:pPr>
    </w:p>
    <w:p w14:paraId="54D14D85" w14:textId="0D3C0931" w:rsidR="00C96257" w:rsidRDefault="00B802E0">
      <w:pPr>
        <w:spacing w:after="200"/>
        <w:jc w:val="left"/>
      </w:pPr>
      <w:r>
        <w:rPr>
          <w:b/>
        </w:rPr>
        <w:t xml:space="preserve">Student name: </w:t>
      </w:r>
      <w:r w:rsidR="00612910">
        <w:rPr>
          <w:b/>
        </w:rPr>
        <w:t>S</w:t>
      </w:r>
      <w:r w:rsidR="0013181F">
        <w:rPr>
          <w:b/>
        </w:rPr>
        <w:t>umaira shah</w:t>
      </w:r>
    </w:p>
    <w:p w14:paraId="7C97C14D" w14:textId="4EA60A00" w:rsidR="00C96257" w:rsidRDefault="00B802E0">
      <w:pPr>
        <w:spacing w:after="200"/>
        <w:jc w:val="left"/>
      </w:pPr>
      <w:r>
        <w:rPr>
          <w:b/>
        </w:rPr>
        <w:t xml:space="preserve">Student number: </w:t>
      </w:r>
      <w:r w:rsidR="0013181F">
        <w:rPr>
          <w:b/>
        </w:rPr>
        <w:t>2414021</w:t>
      </w:r>
    </w:p>
    <w:p w14:paraId="64DFACF1" w14:textId="77777777" w:rsidR="00C96257" w:rsidRDefault="00B802E0">
      <w:pPr>
        <w:spacing w:after="200"/>
        <w:jc w:val="left"/>
      </w:pPr>
      <w:r>
        <w:rPr>
          <w:b/>
        </w:rPr>
        <w:t xml:space="preserve">Programme: </w:t>
      </w:r>
      <w:r>
        <w:t>BSc (Hons) Health and Social Care</w:t>
      </w:r>
    </w:p>
    <w:p w14:paraId="73FA910F" w14:textId="77777777" w:rsidR="00C96257" w:rsidRDefault="00B802E0">
      <w:pPr>
        <w:spacing w:after="200"/>
        <w:jc w:val="left"/>
      </w:pPr>
      <w:r>
        <w:rPr>
          <w:b/>
        </w:rPr>
        <w:t xml:space="preserve">Module code: </w:t>
      </w:r>
      <w:r>
        <w:t>BMHP6026</w:t>
      </w:r>
    </w:p>
    <w:p w14:paraId="6E9BE1C9" w14:textId="77777777" w:rsidR="00C96257" w:rsidRDefault="00B802E0">
      <w:pPr>
        <w:spacing w:after="200"/>
        <w:jc w:val="left"/>
      </w:pPr>
      <w:r>
        <w:rPr>
          <w:b/>
        </w:rPr>
        <w:t xml:space="preserve">Module title: </w:t>
      </w:r>
      <w:r>
        <w:t>Digital Transformation in the Health and Care Professions</w:t>
      </w:r>
    </w:p>
    <w:p w14:paraId="6D31C73D" w14:textId="77777777" w:rsidR="00C96257" w:rsidRDefault="00B802E0">
      <w:pPr>
        <w:spacing w:after="200"/>
        <w:jc w:val="left"/>
      </w:pPr>
      <w:r>
        <w:rPr>
          <w:b/>
        </w:rPr>
        <w:t xml:space="preserve">Assignment: </w:t>
      </w:r>
      <w:r>
        <w:t>Component 1 Written Report</w:t>
      </w:r>
    </w:p>
    <w:p w14:paraId="6DFFA1B3" w14:textId="2C8E9687" w:rsidR="00C96257" w:rsidRPr="00902A50" w:rsidRDefault="007651C8">
      <w:pPr>
        <w:spacing w:after="200"/>
        <w:jc w:val="left"/>
        <w:rPr>
          <w:sz w:val="28"/>
          <w:szCs w:val="28"/>
        </w:rPr>
      </w:pPr>
      <w:r>
        <w:rPr>
          <w:sz w:val="28"/>
          <w:szCs w:val="28"/>
        </w:rPr>
        <w:t xml:space="preserve">Lecturer </w:t>
      </w:r>
      <w:r w:rsidR="00810B00">
        <w:rPr>
          <w:sz w:val="28"/>
          <w:szCs w:val="28"/>
        </w:rPr>
        <w:t>name: Tomy Adattu</w:t>
      </w:r>
      <w:r w:rsidR="009D7A1A">
        <w:rPr>
          <w:sz w:val="28"/>
          <w:szCs w:val="28"/>
        </w:rPr>
        <w:t xml:space="preserve"> </w:t>
      </w:r>
      <w:r w:rsidR="00E8710E">
        <w:rPr>
          <w:sz w:val="28"/>
          <w:szCs w:val="28"/>
        </w:rPr>
        <w:t>Chacko</w:t>
      </w:r>
    </w:p>
    <w:p w14:paraId="02EB3303" w14:textId="77777777" w:rsidR="001F6EC8" w:rsidRDefault="001F6EC8" w:rsidP="001F6EC8">
      <w:pPr>
        <w:spacing w:after="200" w:line="276" w:lineRule="auto"/>
        <w:jc w:val="left"/>
      </w:pPr>
    </w:p>
    <w:p w14:paraId="1410AB9F" w14:textId="77777777" w:rsidR="001F6EC8" w:rsidRDefault="001F6EC8" w:rsidP="001F6EC8">
      <w:pPr>
        <w:spacing w:after="200" w:line="276" w:lineRule="auto"/>
        <w:jc w:val="left"/>
      </w:pPr>
    </w:p>
    <w:p w14:paraId="5E94A8B6" w14:textId="77777777" w:rsidR="001F6EC8" w:rsidRDefault="001F6EC8" w:rsidP="001F6EC8">
      <w:pPr>
        <w:spacing w:after="200" w:line="276" w:lineRule="auto"/>
        <w:jc w:val="left"/>
      </w:pPr>
    </w:p>
    <w:p w14:paraId="08193692" w14:textId="77777777" w:rsidR="001F6EC8" w:rsidRDefault="001F6EC8" w:rsidP="001F6EC8">
      <w:pPr>
        <w:spacing w:after="200" w:line="276" w:lineRule="auto"/>
        <w:jc w:val="left"/>
      </w:pPr>
    </w:p>
    <w:p w14:paraId="4A4F3A75" w14:textId="77777777" w:rsidR="001F6EC8" w:rsidRDefault="001F6EC8" w:rsidP="001F6EC8">
      <w:pPr>
        <w:spacing w:after="200" w:line="276" w:lineRule="auto"/>
        <w:jc w:val="left"/>
      </w:pPr>
    </w:p>
    <w:p w14:paraId="3DAB1977" w14:textId="77777777" w:rsidR="00BE0C12" w:rsidRDefault="00BE0C12" w:rsidP="001F6EC8">
      <w:pPr>
        <w:spacing w:after="200" w:line="276" w:lineRule="auto"/>
        <w:jc w:val="left"/>
      </w:pPr>
    </w:p>
    <w:p w14:paraId="64B61255" w14:textId="77777777" w:rsidR="00BE0C12" w:rsidRDefault="00BE0C12" w:rsidP="001F6EC8">
      <w:pPr>
        <w:spacing w:after="200" w:line="276" w:lineRule="auto"/>
        <w:jc w:val="left"/>
      </w:pPr>
    </w:p>
    <w:p w14:paraId="2FE9D6FF" w14:textId="77777777" w:rsidR="00BE0C12" w:rsidRDefault="00BE0C12" w:rsidP="001F6EC8">
      <w:pPr>
        <w:spacing w:after="200" w:line="276" w:lineRule="auto"/>
        <w:jc w:val="left"/>
      </w:pPr>
    </w:p>
    <w:p w14:paraId="77E5E691" w14:textId="77777777" w:rsidR="00BE0C12" w:rsidRDefault="00BE0C12" w:rsidP="001F6EC8">
      <w:pPr>
        <w:spacing w:after="200" w:line="276" w:lineRule="auto"/>
        <w:jc w:val="left"/>
      </w:pPr>
    </w:p>
    <w:p w14:paraId="5C8275EA" w14:textId="77777777" w:rsidR="001F6EC8" w:rsidRDefault="001F6EC8" w:rsidP="001F6EC8">
      <w:pPr>
        <w:spacing w:after="200" w:line="276" w:lineRule="auto"/>
        <w:jc w:val="left"/>
      </w:pPr>
    </w:p>
    <w:p w14:paraId="13F282EE" w14:textId="77777777" w:rsidR="001F6EC8" w:rsidRDefault="001F6EC8" w:rsidP="001F6EC8">
      <w:pPr>
        <w:spacing w:after="200" w:line="276" w:lineRule="auto"/>
        <w:jc w:val="left"/>
      </w:pPr>
    </w:p>
    <w:p w14:paraId="59958DAC" w14:textId="77777777" w:rsidR="001F6EC8" w:rsidRPr="00E37145" w:rsidRDefault="001F6EC8" w:rsidP="00E37145">
      <w:pPr>
        <w:spacing w:after="200" w:line="276" w:lineRule="auto"/>
        <w:jc w:val="center"/>
        <w:rPr>
          <w:b/>
          <w:sz w:val="32"/>
        </w:rPr>
      </w:pPr>
      <w:r w:rsidRPr="00E37145">
        <w:rPr>
          <w:b/>
          <w:sz w:val="32"/>
        </w:rPr>
        <w:lastRenderedPageBreak/>
        <w:t>Main Contents</w:t>
      </w:r>
    </w:p>
    <w:p w14:paraId="5968D593" w14:textId="77777777" w:rsidR="000136F3" w:rsidRDefault="001F6EC8" w:rsidP="000136F3">
      <w:pPr>
        <w:pStyle w:val="TOC1"/>
        <w:tabs>
          <w:tab w:val="left" w:pos="440"/>
          <w:tab w:val="right" w:leader="dot" w:pos="9019"/>
        </w:tabs>
        <w:spacing w:before="120" w:after="120"/>
        <w:rPr>
          <w:rFonts w:asciiTheme="minorHAnsi" w:eastAsiaTheme="minorEastAsia" w:hAnsiTheme="minorHAnsi" w:cstheme="minorBidi"/>
          <w:noProof/>
          <w:color w:val="auto"/>
        </w:rPr>
      </w:pPr>
      <w:r>
        <w:fldChar w:fldCharType="begin"/>
      </w:r>
      <w:r>
        <w:instrText xml:space="preserve"> TOC \o "1-3" \h \z \u </w:instrText>
      </w:r>
      <w:r>
        <w:fldChar w:fldCharType="separate"/>
      </w:r>
      <w:hyperlink w:anchor="_Toc242262643" w:history="1">
        <w:r w:rsidR="000136F3" w:rsidRPr="00C73E58">
          <w:rPr>
            <w:rStyle w:val="Hyperlink"/>
            <w:noProof/>
          </w:rPr>
          <w:t>1.</w:t>
        </w:r>
        <w:r w:rsidR="000136F3">
          <w:rPr>
            <w:rFonts w:asciiTheme="minorHAnsi" w:eastAsiaTheme="minorEastAsia" w:hAnsiTheme="minorHAnsi" w:cstheme="minorBidi"/>
            <w:noProof/>
            <w:color w:val="auto"/>
          </w:rPr>
          <w:tab/>
        </w:r>
        <w:r w:rsidR="000136F3" w:rsidRPr="00C73E58">
          <w:rPr>
            <w:rStyle w:val="Hyperlink"/>
            <w:noProof/>
          </w:rPr>
          <w:t>Introduction</w:t>
        </w:r>
        <w:r w:rsidR="000136F3">
          <w:rPr>
            <w:noProof/>
            <w:webHidden/>
          </w:rPr>
          <w:tab/>
        </w:r>
        <w:r w:rsidR="000136F3">
          <w:rPr>
            <w:noProof/>
            <w:webHidden/>
          </w:rPr>
          <w:fldChar w:fldCharType="begin"/>
        </w:r>
        <w:r w:rsidR="000136F3">
          <w:rPr>
            <w:noProof/>
            <w:webHidden/>
          </w:rPr>
          <w:instrText xml:space="preserve"> PAGEREF _Toc242262643 \h </w:instrText>
        </w:r>
        <w:r w:rsidR="000136F3">
          <w:rPr>
            <w:noProof/>
            <w:webHidden/>
          </w:rPr>
        </w:r>
        <w:r w:rsidR="000136F3">
          <w:rPr>
            <w:noProof/>
            <w:webHidden/>
          </w:rPr>
          <w:fldChar w:fldCharType="separate"/>
        </w:r>
        <w:r w:rsidR="000136F3">
          <w:rPr>
            <w:noProof/>
            <w:webHidden/>
          </w:rPr>
          <w:t>1</w:t>
        </w:r>
        <w:r w:rsidR="000136F3">
          <w:rPr>
            <w:noProof/>
            <w:webHidden/>
          </w:rPr>
          <w:fldChar w:fldCharType="end"/>
        </w:r>
      </w:hyperlink>
    </w:p>
    <w:p w14:paraId="25D65D4B" w14:textId="77777777" w:rsidR="000136F3" w:rsidRDefault="000136F3" w:rsidP="000136F3">
      <w:pPr>
        <w:pStyle w:val="TOC1"/>
        <w:tabs>
          <w:tab w:val="left" w:pos="440"/>
          <w:tab w:val="right" w:leader="dot" w:pos="9019"/>
        </w:tabs>
        <w:spacing w:before="120" w:after="120"/>
        <w:rPr>
          <w:rFonts w:asciiTheme="minorHAnsi" w:eastAsiaTheme="minorEastAsia" w:hAnsiTheme="minorHAnsi" w:cstheme="minorBidi"/>
          <w:noProof/>
          <w:color w:val="auto"/>
        </w:rPr>
      </w:pPr>
      <w:hyperlink w:anchor="_Toc242262644" w:history="1">
        <w:r w:rsidRPr="00C73E58">
          <w:rPr>
            <w:rStyle w:val="Hyperlink"/>
            <w:noProof/>
          </w:rPr>
          <w:t>2.</w:t>
        </w:r>
        <w:r>
          <w:rPr>
            <w:rFonts w:asciiTheme="minorHAnsi" w:eastAsiaTheme="minorEastAsia" w:hAnsiTheme="minorHAnsi" w:cstheme="minorBidi"/>
            <w:noProof/>
            <w:color w:val="auto"/>
          </w:rPr>
          <w:tab/>
        </w:r>
        <w:r w:rsidRPr="00C73E58">
          <w:rPr>
            <w:rStyle w:val="Hyperlink"/>
            <w:noProof/>
          </w:rPr>
          <w:t>Workforce</w:t>
        </w:r>
        <w:r>
          <w:rPr>
            <w:noProof/>
            <w:webHidden/>
          </w:rPr>
          <w:tab/>
        </w:r>
        <w:r>
          <w:rPr>
            <w:noProof/>
            <w:webHidden/>
          </w:rPr>
          <w:fldChar w:fldCharType="begin"/>
        </w:r>
        <w:r>
          <w:rPr>
            <w:noProof/>
            <w:webHidden/>
          </w:rPr>
          <w:instrText xml:space="preserve"> PAGEREF _Toc242262644 \h </w:instrText>
        </w:r>
        <w:r>
          <w:rPr>
            <w:noProof/>
            <w:webHidden/>
          </w:rPr>
        </w:r>
        <w:r>
          <w:rPr>
            <w:noProof/>
            <w:webHidden/>
          </w:rPr>
          <w:fldChar w:fldCharType="separate"/>
        </w:r>
        <w:r>
          <w:rPr>
            <w:noProof/>
            <w:webHidden/>
          </w:rPr>
          <w:t>1</w:t>
        </w:r>
        <w:r>
          <w:rPr>
            <w:noProof/>
            <w:webHidden/>
          </w:rPr>
          <w:fldChar w:fldCharType="end"/>
        </w:r>
      </w:hyperlink>
    </w:p>
    <w:p w14:paraId="2BC5C783" w14:textId="77777777" w:rsidR="000136F3" w:rsidRDefault="000136F3" w:rsidP="000136F3">
      <w:pPr>
        <w:pStyle w:val="TOC2"/>
        <w:tabs>
          <w:tab w:val="right" w:leader="dot" w:pos="9019"/>
        </w:tabs>
        <w:spacing w:before="120" w:after="120"/>
        <w:rPr>
          <w:rFonts w:asciiTheme="minorHAnsi" w:eastAsiaTheme="minorEastAsia" w:hAnsiTheme="minorHAnsi" w:cstheme="minorBidi"/>
          <w:noProof/>
          <w:color w:val="auto"/>
        </w:rPr>
      </w:pPr>
      <w:hyperlink w:anchor="_Toc242262645" w:history="1">
        <w:r w:rsidRPr="00C73E58">
          <w:rPr>
            <w:rStyle w:val="Hyperlink"/>
            <w:noProof/>
          </w:rPr>
          <w:t>2.1 Positive Outcomes</w:t>
        </w:r>
        <w:r>
          <w:rPr>
            <w:noProof/>
            <w:webHidden/>
          </w:rPr>
          <w:tab/>
        </w:r>
        <w:r>
          <w:rPr>
            <w:noProof/>
            <w:webHidden/>
          </w:rPr>
          <w:fldChar w:fldCharType="begin"/>
        </w:r>
        <w:r>
          <w:rPr>
            <w:noProof/>
            <w:webHidden/>
          </w:rPr>
          <w:instrText xml:space="preserve"> PAGEREF _Toc242262645 \h </w:instrText>
        </w:r>
        <w:r>
          <w:rPr>
            <w:noProof/>
            <w:webHidden/>
          </w:rPr>
        </w:r>
        <w:r>
          <w:rPr>
            <w:noProof/>
            <w:webHidden/>
          </w:rPr>
          <w:fldChar w:fldCharType="separate"/>
        </w:r>
        <w:r>
          <w:rPr>
            <w:noProof/>
            <w:webHidden/>
          </w:rPr>
          <w:t>1</w:t>
        </w:r>
        <w:r>
          <w:rPr>
            <w:noProof/>
            <w:webHidden/>
          </w:rPr>
          <w:fldChar w:fldCharType="end"/>
        </w:r>
      </w:hyperlink>
    </w:p>
    <w:p w14:paraId="5D83A815" w14:textId="77777777" w:rsidR="000136F3" w:rsidRDefault="000136F3" w:rsidP="000136F3">
      <w:pPr>
        <w:pStyle w:val="TOC2"/>
        <w:tabs>
          <w:tab w:val="right" w:leader="dot" w:pos="9019"/>
        </w:tabs>
        <w:spacing w:before="120" w:after="120"/>
        <w:rPr>
          <w:rFonts w:asciiTheme="minorHAnsi" w:eastAsiaTheme="minorEastAsia" w:hAnsiTheme="minorHAnsi" w:cstheme="minorBidi"/>
          <w:noProof/>
          <w:color w:val="auto"/>
        </w:rPr>
      </w:pPr>
      <w:hyperlink w:anchor="_Toc242262646" w:history="1">
        <w:r w:rsidRPr="00C73E58">
          <w:rPr>
            <w:rStyle w:val="Hyperlink"/>
            <w:noProof/>
          </w:rPr>
          <w:t>2.2 Negative Outcomes</w:t>
        </w:r>
        <w:r>
          <w:rPr>
            <w:noProof/>
            <w:webHidden/>
          </w:rPr>
          <w:tab/>
        </w:r>
        <w:r>
          <w:rPr>
            <w:noProof/>
            <w:webHidden/>
          </w:rPr>
          <w:fldChar w:fldCharType="begin"/>
        </w:r>
        <w:r>
          <w:rPr>
            <w:noProof/>
            <w:webHidden/>
          </w:rPr>
          <w:instrText xml:space="preserve"> PAGEREF _Toc242262646 \h </w:instrText>
        </w:r>
        <w:r>
          <w:rPr>
            <w:noProof/>
            <w:webHidden/>
          </w:rPr>
        </w:r>
        <w:r>
          <w:rPr>
            <w:noProof/>
            <w:webHidden/>
          </w:rPr>
          <w:fldChar w:fldCharType="separate"/>
        </w:r>
        <w:r>
          <w:rPr>
            <w:noProof/>
            <w:webHidden/>
          </w:rPr>
          <w:t>2</w:t>
        </w:r>
        <w:r>
          <w:rPr>
            <w:noProof/>
            <w:webHidden/>
          </w:rPr>
          <w:fldChar w:fldCharType="end"/>
        </w:r>
      </w:hyperlink>
    </w:p>
    <w:p w14:paraId="1ED41003" w14:textId="77777777" w:rsidR="000136F3" w:rsidRDefault="000136F3" w:rsidP="000136F3">
      <w:pPr>
        <w:pStyle w:val="TOC1"/>
        <w:tabs>
          <w:tab w:val="left" w:pos="440"/>
          <w:tab w:val="right" w:leader="dot" w:pos="9019"/>
        </w:tabs>
        <w:spacing w:before="120" w:after="120"/>
        <w:rPr>
          <w:rFonts w:asciiTheme="minorHAnsi" w:eastAsiaTheme="minorEastAsia" w:hAnsiTheme="minorHAnsi" w:cstheme="minorBidi"/>
          <w:noProof/>
          <w:color w:val="auto"/>
        </w:rPr>
      </w:pPr>
      <w:hyperlink w:anchor="_Toc242262647" w:history="1">
        <w:r w:rsidRPr="00C73E58">
          <w:rPr>
            <w:rStyle w:val="Hyperlink"/>
            <w:noProof/>
          </w:rPr>
          <w:t>3.</w:t>
        </w:r>
        <w:r>
          <w:rPr>
            <w:rFonts w:asciiTheme="minorHAnsi" w:eastAsiaTheme="minorEastAsia" w:hAnsiTheme="minorHAnsi" w:cstheme="minorBidi"/>
            <w:noProof/>
            <w:color w:val="auto"/>
          </w:rPr>
          <w:tab/>
        </w:r>
        <w:r w:rsidRPr="00C73E58">
          <w:rPr>
            <w:rStyle w:val="Hyperlink"/>
            <w:noProof/>
          </w:rPr>
          <w:t>Service Delivery</w:t>
        </w:r>
        <w:r>
          <w:rPr>
            <w:noProof/>
            <w:webHidden/>
          </w:rPr>
          <w:tab/>
        </w:r>
        <w:r>
          <w:rPr>
            <w:noProof/>
            <w:webHidden/>
          </w:rPr>
          <w:fldChar w:fldCharType="begin"/>
        </w:r>
        <w:r>
          <w:rPr>
            <w:noProof/>
            <w:webHidden/>
          </w:rPr>
          <w:instrText xml:space="preserve"> PAGEREF _Toc242262647 \h </w:instrText>
        </w:r>
        <w:r>
          <w:rPr>
            <w:noProof/>
            <w:webHidden/>
          </w:rPr>
        </w:r>
        <w:r>
          <w:rPr>
            <w:noProof/>
            <w:webHidden/>
          </w:rPr>
          <w:fldChar w:fldCharType="separate"/>
        </w:r>
        <w:r>
          <w:rPr>
            <w:noProof/>
            <w:webHidden/>
          </w:rPr>
          <w:t>2</w:t>
        </w:r>
        <w:r>
          <w:rPr>
            <w:noProof/>
            <w:webHidden/>
          </w:rPr>
          <w:fldChar w:fldCharType="end"/>
        </w:r>
      </w:hyperlink>
    </w:p>
    <w:p w14:paraId="48770986" w14:textId="77777777" w:rsidR="000136F3" w:rsidRDefault="000136F3" w:rsidP="000136F3">
      <w:pPr>
        <w:pStyle w:val="TOC2"/>
        <w:tabs>
          <w:tab w:val="right" w:leader="dot" w:pos="9019"/>
        </w:tabs>
        <w:spacing w:before="120" w:after="120"/>
        <w:rPr>
          <w:rFonts w:asciiTheme="minorHAnsi" w:eastAsiaTheme="minorEastAsia" w:hAnsiTheme="minorHAnsi" w:cstheme="minorBidi"/>
          <w:noProof/>
          <w:color w:val="auto"/>
        </w:rPr>
      </w:pPr>
      <w:hyperlink w:anchor="_Toc242262648" w:history="1">
        <w:r w:rsidRPr="00C73E58">
          <w:rPr>
            <w:rStyle w:val="Hyperlink"/>
            <w:noProof/>
          </w:rPr>
          <w:t>3.1 Positive Outcomes</w:t>
        </w:r>
        <w:r>
          <w:rPr>
            <w:noProof/>
            <w:webHidden/>
          </w:rPr>
          <w:tab/>
        </w:r>
        <w:r>
          <w:rPr>
            <w:noProof/>
            <w:webHidden/>
          </w:rPr>
          <w:fldChar w:fldCharType="begin"/>
        </w:r>
        <w:r>
          <w:rPr>
            <w:noProof/>
            <w:webHidden/>
          </w:rPr>
          <w:instrText xml:space="preserve"> PAGEREF _Toc242262648 \h </w:instrText>
        </w:r>
        <w:r>
          <w:rPr>
            <w:noProof/>
            <w:webHidden/>
          </w:rPr>
        </w:r>
        <w:r>
          <w:rPr>
            <w:noProof/>
            <w:webHidden/>
          </w:rPr>
          <w:fldChar w:fldCharType="separate"/>
        </w:r>
        <w:r>
          <w:rPr>
            <w:noProof/>
            <w:webHidden/>
          </w:rPr>
          <w:t>2</w:t>
        </w:r>
        <w:r>
          <w:rPr>
            <w:noProof/>
            <w:webHidden/>
          </w:rPr>
          <w:fldChar w:fldCharType="end"/>
        </w:r>
      </w:hyperlink>
    </w:p>
    <w:p w14:paraId="19B529A1" w14:textId="77777777" w:rsidR="000136F3" w:rsidRDefault="000136F3" w:rsidP="000136F3">
      <w:pPr>
        <w:pStyle w:val="TOC2"/>
        <w:tabs>
          <w:tab w:val="right" w:leader="dot" w:pos="9019"/>
        </w:tabs>
        <w:spacing w:before="120" w:after="120"/>
        <w:rPr>
          <w:rFonts w:asciiTheme="minorHAnsi" w:eastAsiaTheme="minorEastAsia" w:hAnsiTheme="minorHAnsi" w:cstheme="minorBidi"/>
          <w:noProof/>
          <w:color w:val="auto"/>
        </w:rPr>
      </w:pPr>
      <w:hyperlink w:anchor="_Toc242262649" w:history="1">
        <w:r w:rsidRPr="00C73E58">
          <w:rPr>
            <w:rStyle w:val="Hyperlink"/>
            <w:noProof/>
          </w:rPr>
          <w:t>3.2 Negative Outcomes</w:t>
        </w:r>
        <w:r>
          <w:rPr>
            <w:noProof/>
            <w:webHidden/>
          </w:rPr>
          <w:tab/>
        </w:r>
        <w:r>
          <w:rPr>
            <w:noProof/>
            <w:webHidden/>
          </w:rPr>
          <w:fldChar w:fldCharType="begin"/>
        </w:r>
        <w:r>
          <w:rPr>
            <w:noProof/>
            <w:webHidden/>
          </w:rPr>
          <w:instrText xml:space="preserve"> PAGEREF _Toc242262649 \h </w:instrText>
        </w:r>
        <w:r>
          <w:rPr>
            <w:noProof/>
            <w:webHidden/>
          </w:rPr>
        </w:r>
        <w:r>
          <w:rPr>
            <w:noProof/>
            <w:webHidden/>
          </w:rPr>
          <w:fldChar w:fldCharType="separate"/>
        </w:r>
        <w:r>
          <w:rPr>
            <w:noProof/>
            <w:webHidden/>
          </w:rPr>
          <w:t>3</w:t>
        </w:r>
        <w:r>
          <w:rPr>
            <w:noProof/>
            <w:webHidden/>
          </w:rPr>
          <w:fldChar w:fldCharType="end"/>
        </w:r>
      </w:hyperlink>
    </w:p>
    <w:p w14:paraId="560AD80F" w14:textId="77777777" w:rsidR="000136F3" w:rsidRDefault="000136F3" w:rsidP="000136F3">
      <w:pPr>
        <w:pStyle w:val="TOC1"/>
        <w:tabs>
          <w:tab w:val="left" w:pos="440"/>
          <w:tab w:val="right" w:leader="dot" w:pos="9019"/>
        </w:tabs>
        <w:spacing w:before="120" w:after="120"/>
        <w:rPr>
          <w:rFonts w:asciiTheme="minorHAnsi" w:eastAsiaTheme="minorEastAsia" w:hAnsiTheme="minorHAnsi" w:cstheme="minorBidi"/>
          <w:noProof/>
          <w:color w:val="auto"/>
        </w:rPr>
      </w:pPr>
      <w:hyperlink w:anchor="_Toc242262650" w:history="1">
        <w:r w:rsidRPr="00C73E58">
          <w:rPr>
            <w:rStyle w:val="Hyperlink"/>
            <w:noProof/>
          </w:rPr>
          <w:t>4.</w:t>
        </w:r>
        <w:r>
          <w:rPr>
            <w:rFonts w:asciiTheme="minorHAnsi" w:eastAsiaTheme="minorEastAsia" w:hAnsiTheme="minorHAnsi" w:cstheme="minorBidi"/>
            <w:noProof/>
            <w:color w:val="auto"/>
          </w:rPr>
          <w:tab/>
        </w:r>
        <w:r w:rsidRPr="00C73E58">
          <w:rPr>
            <w:rStyle w:val="Hyperlink"/>
            <w:noProof/>
          </w:rPr>
          <w:t>Patient and Service User</w:t>
        </w:r>
        <w:r>
          <w:rPr>
            <w:noProof/>
            <w:webHidden/>
          </w:rPr>
          <w:tab/>
        </w:r>
        <w:r>
          <w:rPr>
            <w:noProof/>
            <w:webHidden/>
          </w:rPr>
          <w:fldChar w:fldCharType="begin"/>
        </w:r>
        <w:r>
          <w:rPr>
            <w:noProof/>
            <w:webHidden/>
          </w:rPr>
          <w:instrText xml:space="preserve"> PAGEREF _Toc242262650 \h </w:instrText>
        </w:r>
        <w:r>
          <w:rPr>
            <w:noProof/>
            <w:webHidden/>
          </w:rPr>
        </w:r>
        <w:r>
          <w:rPr>
            <w:noProof/>
            <w:webHidden/>
          </w:rPr>
          <w:fldChar w:fldCharType="separate"/>
        </w:r>
        <w:r>
          <w:rPr>
            <w:noProof/>
            <w:webHidden/>
          </w:rPr>
          <w:t>3</w:t>
        </w:r>
        <w:r>
          <w:rPr>
            <w:noProof/>
            <w:webHidden/>
          </w:rPr>
          <w:fldChar w:fldCharType="end"/>
        </w:r>
      </w:hyperlink>
    </w:p>
    <w:p w14:paraId="790F97BB" w14:textId="77777777" w:rsidR="000136F3" w:rsidRDefault="000136F3" w:rsidP="000136F3">
      <w:pPr>
        <w:pStyle w:val="TOC2"/>
        <w:tabs>
          <w:tab w:val="right" w:leader="dot" w:pos="9019"/>
        </w:tabs>
        <w:spacing w:before="120" w:after="120"/>
        <w:rPr>
          <w:rFonts w:asciiTheme="minorHAnsi" w:eastAsiaTheme="minorEastAsia" w:hAnsiTheme="minorHAnsi" w:cstheme="minorBidi"/>
          <w:noProof/>
          <w:color w:val="auto"/>
        </w:rPr>
      </w:pPr>
      <w:hyperlink w:anchor="_Toc242262651" w:history="1">
        <w:r w:rsidRPr="00C73E58">
          <w:rPr>
            <w:rStyle w:val="Hyperlink"/>
            <w:noProof/>
          </w:rPr>
          <w:t>4.1 Positive Outcomes</w:t>
        </w:r>
        <w:r>
          <w:rPr>
            <w:noProof/>
            <w:webHidden/>
          </w:rPr>
          <w:tab/>
        </w:r>
        <w:r>
          <w:rPr>
            <w:noProof/>
            <w:webHidden/>
          </w:rPr>
          <w:fldChar w:fldCharType="begin"/>
        </w:r>
        <w:r>
          <w:rPr>
            <w:noProof/>
            <w:webHidden/>
          </w:rPr>
          <w:instrText xml:space="preserve"> PAGEREF _Toc242262651 \h </w:instrText>
        </w:r>
        <w:r>
          <w:rPr>
            <w:noProof/>
            <w:webHidden/>
          </w:rPr>
        </w:r>
        <w:r>
          <w:rPr>
            <w:noProof/>
            <w:webHidden/>
          </w:rPr>
          <w:fldChar w:fldCharType="separate"/>
        </w:r>
        <w:r>
          <w:rPr>
            <w:noProof/>
            <w:webHidden/>
          </w:rPr>
          <w:t>3</w:t>
        </w:r>
        <w:r>
          <w:rPr>
            <w:noProof/>
            <w:webHidden/>
          </w:rPr>
          <w:fldChar w:fldCharType="end"/>
        </w:r>
      </w:hyperlink>
    </w:p>
    <w:p w14:paraId="663CCA6E" w14:textId="77777777" w:rsidR="000136F3" w:rsidRDefault="000136F3" w:rsidP="000136F3">
      <w:pPr>
        <w:pStyle w:val="TOC2"/>
        <w:tabs>
          <w:tab w:val="right" w:leader="dot" w:pos="9019"/>
        </w:tabs>
        <w:spacing w:before="120" w:after="120"/>
        <w:rPr>
          <w:rFonts w:asciiTheme="minorHAnsi" w:eastAsiaTheme="minorEastAsia" w:hAnsiTheme="minorHAnsi" w:cstheme="minorBidi"/>
          <w:noProof/>
          <w:color w:val="auto"/>
        </w:rPr>
      </w:pPr>
      <w:hyperlink w:anchor="_Toc242262652" w:history="1">
        <w:r w:rsidRPr="00C73E58">
          <w:rPr>
            <w:rStyle w:val="Hyperlink"/>
            <w:noProof/>
          </w:rPr>
          <w:t>4.2 Negative Outcomes</w:t>
        </w:r>
        <w:r>
          <w:rPr>
            <w:noProof/>
            <w:webHidden/>
          </w:rPr>
          <w:tab/>
        </w:r>
        <w:r>
          <w:rPr>
            <w:noProof/>
            <w:webHidden/>
          </w:rPr>
          <w:fldChar w:fldCharType="begin"/>
        </w:r>
        <w:r>
          <w:rPr>
            <w:noProof/>
            <w:webHidden/>
          </w:rPr>
          <w:instrText xml:space="preserve"> PAGEREF _Toc242262652 \h </w:instrText>
        </w:r>
        <w:r>
          <w:rPr>
            <w:noProof/>
            <w:webHidden/>
          </w:rPr>
        </w:r>
        <w:r>
          <w:rPr>
            <w:noProof/>
            <w:webHidden/>
          </w:rPr>
          <w:fldChar w:fldCharType="separate"/>
        </w:r>
        <w:r>
          <w:rPr>
            <w:noProof/>
            <w:webHidden/>
          </w:rPr>
          <w:t>4</w:t>
        </w:r>
        <w:r>
          <w:rPr>
            <w:noProof/>
            <w:webHidden/>
          </w:rPr>
          <w:fldChar w:fldCharType="end"/>
        </w:r>
      </w:hyperlink>
    </w:p>
    <w:p w14:paraId="452ED493" w14:textId="77777777" w:rsidR="000136F3" w:rsidRDefault="000136F3" w:rsidP="000136F3">
      <w:pPr>
        <w:pStyle w:val="TOC1"/>
        <w:tabs>
          <w:tab w:val="left" w:pos="440"/>
          <w:tab w:val="right" w:leader="dot" w:pos="9019"/>
        </w:tabs>
        <w:spacing w:before="120" w:after="120"/>
        <w:rPr>
          <w:rFonts w:asciiTheme="minorHAnsi" w:eastAsiaTheme="minorEastAsia" w:hAnsiTheme="minorHAnsi" w:cstheme="minorBidi"/>
          <w:noProof/>
          <w:color w:val="auto"/>
        </w:rPr>
      </w:pPr>
      <w:hyperlink w:anchor="_Toc242262653" w:history="1">
        <w:r w:rsidRPr="00C73E58">
          <w:rPr>
            <w:rStyle w:val="Hyperlink"/>
            <w:noProof/>
          </w:rPr>
          <w:t>5.</w:t>
        </w:r>
        <w:r>
          <w:rPr>
            <w:rFonts w:asciiTheme="minorHAnsi" w:eastAsiaTheme="minorEastAsia" w:hAnsiTheme="minorHAnsi" w:cstheme="minorBidi"/>
            <w:noProof/>
            <w:color w:val="auto"/>
          </w:rPr>
          <w:tab/>
        </w:r>
        <w:r w:rsidRPr="00C73E58">
          <w:rPr>
            <w:rStyle w:val="Hyperlink"/>
            <w:noProof/>
          </w:rPr>
          <w:t>Community</w:t>
        </w:r>
        <w:r>
          <w:rPr>
            <w:noProof/>
            <w:webHidden/>
          </w:rPr>
          <w:tab/>
        </w:r>
        <w:r>
          <w:rPr>
            <w:noProof/>
            <w:webHidden/>
          </w:rPr>
          <w:fldChar w:fldCharType="begin"/>
        </w:r>
        <w:r>
          <w:rPr>
            <w:noProof/>
            <w:webHidden/>
          </w:rPr>
          <w:instrText xml:space="preserve"> PAGEREF _Toc242262653 \h </w:instrText>
        </w:r>
        <w:r>
          <w:rPr>
            <w:noProof/>
            <w:webHidden/>
          </w:rPr>
        </w:r>
        <w:r>
          <w:rPr>
            <w:noProof/>
            <w:webHidden/>
          </w:rPr>
          <w:fldChar w:fldCharType="separate"/>
        </w:r>
        <w:r>
          <w:rPr>
            <w:noProof/>
            <w:webHidden/>
          </w:rPr>
          <w:t>4</w:t>
        </w:r>
        <w:r>
          <w:rPr>
            <w:noProof/>
            <w:webHidden/>
          </w:rPr>
          <w:fldChar w:fldCharType="end"/>
        </w:r>
      </w:hyperlink>
    </w:p>
    <w:p w14:paraId="309DD37C" w14:textId="77777777" w:rsidR="000136F3" w:rsidRDefault="000136F3" w:rsidP="000136F3">
      <w:pPr>
        <w:pStyle w:val="TOC2"/>
        <w:tabs>
          <w:tab w:val="right" w:leader="dot" w:pos="9019"/>
        </w:tabs>
        <w:spacing w:before="120" w:after="120"/>
        <w:rPr>
          <w:rFonts w:asciiTheme="minorHAnsi" w:eastAsiaTheme="minorEastAsia" w:hAnsiTheme="minorHAnsi" w:cstheme="minorBidi"/>
          <w:noProof/>
          <w:color w:val="auto"/>
        </w:rPr>
      </w:pPr>
      <w:hyperlink w:anchor="_Toc242262654" w:history="1">
        <w:r w:rsidRPr="00C73E58">
          <w:rPr>
            <w:rStyle w:val="Hyperlink"/>
            <w:noProof/>
          </w:rPr>
          <w:t>5.1 Positive Outcomes</w:t>
        </w:r>
        <w:r>
          <w:rPr>
            <w:noProof/>
            <w:webHidden/>
          </w:rPr>
          <w:tab/>
        </w:r>
        <w:r>
          <w:rPr>
            <w:noProof/>
            <w:webHidden/>
          </w:rPr>
          <w:fldChar w:fldCharType="begin"/>
        </w:r>
        <w:r>
          <w:rPr>
            <w:noProof/>
            <w:webHidden/>
          </w:rPr>
          <w:instrText xml:space="preserve"> PAGEREF _Toc242262654 \h </w:instrText>
        </w:r>
        <w:r>
          <w:rPr>
            <w:noProof/>
            <w:webHidden/>
          </w:rPr>
        </w:r>
        <w:r>
          <w:rPr>
            <w:noProof/>
            <w:webHidden/>
          </w:rPr>
          <w:fldChar w:fldCharType="separate"/>
        </w:r>
        <w:r>
          <w:rPr>
            <w:noProof/>
            <w:webHidden/>
          </w:rPr>
          <w:t>4</w:t>
        </w:r>
        <w:r>
          <w:rPr>
            <w:noProof/>
            <w:webHidden/>
          </w:rPr>
          <w:fldChar w:fldCharType="end"/>
        </w:r>
      </w:hyperlink>
    </w:p>
    <w:p w14:paraId="31C70BD9" w14:textId="77777777" w:rsidR="000136F3" w:rsidRDefault="000136F3" w:rsidP="000136F3">
      <w:pPr>
        <w:pStyle w:val="TOC2"/>
        <w:tabs>
          <w:tab w:val="right" w:leader="dot" w:pos="9019"/>
        </w:tabs>
        <w:spacing w:before="120" w:after="120"/>
        <w:rPr>
          <w:rFonts w:asciiTheme="minorHAnsi" w:eastAsiaTheme="minorEastAsia" w:hAnsiTheme="minorHAnsi" w:cstheme="minorBidi"/>
          <w:noProof/>
          <w:color w:val="auto"/>
        </w:rPr>
      </w:pPr>
      <w:hyperlink w:anchor="_Toc242262655" w:history="1">
        <w:r w:rsidRPr="00C73E58">
          <w:rPr>
            <w:rStyle w:val="Hyperlink"/>
            <w:noProof/>
          </w:rPr>
          <w:t>5.2 Negative Outcomes</w:t>
        </w:r>
        <w:r>
          <w:rPr>
            <w:noProof/>
            <w:webHidden/>
          </w:rPr>
          <w:tab/>
        </w:r>
        <w:r>
          <w:rPr>
            <w:noProof/>
            <w:webHidden/>
          </w:rPr>
          <w:fldChar w:fldCharType="begin"/>
        </w:r>
        <w:r>
          <w:rPr>
            <w:noProof/>
            <w:webHidden/>
          </w:rPr>
          <w:instrText xml:space="preserve"> PAGEREF _Toc242262655 \h </w:instrText>
        </w:r>
        <w:r>
          <w:rPr>
            <w:noProof/>
            <w:webHidden/>
          </w:rPr>
        </w:r>
        <w:r>
          <w:rPr>
            <w:noProof/>
            <w:webHidden/>
          </w:rPr>
          <w:fldChar w:fldCharType="separate"/>
        </w:r>
        <w:r>
          <w:rPr>
            <w:noProof/>
            <w:webHidden/>
          </w:rPr>
          <w:t>5</w:t>
        </w:r>
        <w:r>
          <w:rPr>
            <w:noProof/>
            <w:webHidden/>
          </w:rPr>
          <w:fldChar w:fldCharType="end"/>
        </w:r>
      </w:hyperlink>
    </w:p>
    <w:p w14:paraId="3C1E4878" w14:textId="77777777" w:rsidR="000136F3" w:rsidRDefault="000136F3" w:rsidP="000136F3">
      <w:pPr>
        <w:pStyle w:val="TOC1"/>
        <w:tabs>
          <w:tab w:val="left" w:pos="440"/>
          <w:tab w:val="right" w:leader="dot" w:pos="9019"/>
        </w:tabs>
        <w:spacing w:before="120" w:after="120"/>
        <w:rPr>
          <w:rFonts w:asciiTheme="minorHAnsi" w:eastAsiaTheme="minorEastAsia" w:hAnsiTheme="minorHAnsi" w:cstheme="minorBidi"/>
          <w:noProof/>
          <w:color w:val="auto"/>
        </w:rPr>
      </w:pPr>
      <w:hyperlink w:anchor="_Toc242262656" w:history="1">
        <w:r w:rsidRPr="00C73E58">
          <w:rPr>
            <w:rStyle w:val="Hyperlink"/>
            <w:noProof/>
          </w:rPr>
          <w:t>6.</w:t>
        </w:r>
        <w:r>
          <w:rPr>
            <w:rFonts w:asciiTheme="minorHAnsi" w:eastAsiaTheme="minorEastAsia" w:hAnsiTheme="minorHAnsi" w:cstheme="minorBidi"/>
            <w:noProof/>
            <w:color w:val="auto"/>
          </w:rPr>
          <w:tab/>
        </w:r>
        <w:r w:rsidRPr="00C73E58">
          <w:rPr>
            <w:rStyle w:val="Hyperlink"/>
            <w:noProof/>
          </w:rPr>
          <w:t>Conclusion and Recommendations</w:t>
        </w:r>
        <w:r>
          <w:rPr>
            <w:noProof/>
            <w:webHidden/>
          </w:rPr>
          <w:tab/>
        </w:r>
        <w:r>
          <w:rPr>
            <w:noProof/>
            <w:webHidden/>
          </w:rPr>
          <w:fldChar w:fldCharType="begin"/>
        </w:r>
        <w:r>
          <w:rPr>
            <w:noProof/>
            <w:webHidden/>
          </w:rPr>
          <w:instrText xml:space="preserve"> PAGEREF _Toc242262656 \h </w:instrText>
        </w:r>
        <w:r>
          <w:rPr>
            <w:noProof/>
            <w:webHidden/>
          </w:rPr>
        </w:r>
        <w:r>
          <w:rPr>
            <w:noProof/>
            <w:webHidden/>
          </w:rPr>
          <w:fldChar w:fldCharType="separate"/>
        </w:r>
        <w:r>
          <w:rPr>
            <w:noProof/>
            <w:webHidden/>
          </w:rPr>
          <w:t>5</w:t>
        </w:r>
        <w:r>
          <w:rPr>
            <w:noProof/>
            <w:webHidden/>
          </w:rPr>
          <w:fldChar w:fldCharType="end"/>
        </w:r>
      </w:hyperlink>
    </w:p>
    <w:p w14:paraId="70CEE5C1" w14:textId="77777777" w:rsidR="000136F3" w:rsidRDefault="000136F3" w:rsidP="000136F3">
      <w:pPr>
        <w:pStyle w:val="TOC2"/>
        <w:tabs>
          <w:tab w:val="right" w:leader="dot" w:pos="9019"/>
        </w:tabs>
        <w:spacing w:before="120" w:after="120"/>
        <w:rPr>
          <w:rFonts w:asciiTheme="minorHAnsi" w:eastAsiaTheme="minorEastAsia" w:hAnsiTheme="minorHAnsi" w:cstheme="minorBidi"/>
          <w:noProof/>
          <w:color w:val="auto"/>
        </w:rPr>
      </w:pPr>
      <w:hyperlink w:anchor="_Toc242262657" w:history="1">
        <w:r w:rsidRPr="00C73E58">
          <w:rPr>
            <w:rStyle w:val="Hyperlink"/>
            <w:noProof/>
          </w:rPr>
          <w:t>6.1 Conclusion</w:t>
        </w:r>
        <w:r>
          <w:rPr>
            <w:noProof/>
            <w:webHidden/>
          </w:rPr>
          <w:tab/>
        </w:r>
        <w:r>
          <w:rPr>
            <w:noProof/>
            <w:webHidden/>
          </w:rPr>
          <w:fldChar w:fldCharType="begin"/>
        </w:r>
        <w:r>
          <w:rPr>
            <w:noProof/>
            <w:webHidden/>
          </w:rPr>
          <w:instrText xml:space="preserve"> PAGEREF _Toc242262657 \h </w:instrText>
        </w:r>
        <w:r>
          <w:rPr>
            <w:noProof/>
            <w:webHidden/>
          </w:rPr>
        </w:r>
        <w:r>
          <w:rPr>
            <w:noProof/>
            <w:webHidden/>
          </w:rPr>
          <w:fldChar w:fldCharType="separate"/>
        </w:r>
        <w:r>
          <w:rPr>
            <w:noProof/>
            <w:webHidden/>
          </w:rPr>
          <w:t>5</w:t>
        </w:r>
        <w:r>
          <w:rPr>
            <w:noProof/>
            <w:webHidden/>
          </w:rPr>
          <w:fldChar w:fldCharType="end"/>
        </w:r>
      </w:hyperlink>
    </w:p>
    <w:p w14:paraId="4C5105DD" w14:textId="77777777" w:rsidR="000136F3" w:rsidRDefault="000136F3" w:rsidP="000136F3">
      <w:pPr>
        <w:pStyle w:val="TOC2"/>
        <w:tabs>
          <w:tab w:val="right" w:leader="dot" w:pos="9019"/>
        </w:tabs>
        <w:spacing w:before="120" w:after="120"/>
        <w:rPr>
          <w:rFonts w:asciiTheme="minorHAnsi" w:eastAsiaTheme="minorEastAsia" w:hAnsiTheme="minorHAnsi" w:cstheme="minorBidi"/>
          <w:noProof/>
          <w:color w:val="auto"/>
        </w:rPr>
      </w:pPr>
      <w:hyperlink w:anchor="_Toc242262658" w:history="1">
        <w:r w:rsidRPr="00C73E58">
          <w:rPr>
            <w:rStyle w:val="Hyperlink"/>
            <w:noProof/>
          </w:rPr>
          <w:t>6.2 Recommendations</w:t>
        </w:r>
        <w:r>
          <w:rPr>
            <w:noProof/>
            <w:webHidden/>
          </w:rPr>
          <w:tab/>
        </w:r>
        <w:r>
          <w:rPr>
            <w:noProof/>
            <w:webHidden/>
          </w:rPr>
          <w:fldChar w:fldCharType="begin"/>
        </w:r>
        <w:r>
          <w:rPr>
            <w:noProof/>
            <w:webHidden/>
          </w:rPr>
          <w:instrText xml:space="preserve"> PAGEREF _Toc242262658 \h </w:instrText>
        </w:r>
        <w:r>
          <w:rPr>
            <w:noProof/>
            <w:webHidden/>
          </w:rPr>
        </w:r>
        <w:r>
          <w:rPr>
            <w:noProof/>
            <w:webHidden/>
          </w:rPr>
          <w:fldChar w:fldCharType="separate"/>
        </w:r>
        <w:r>
          <w:rPr>
            <w:noProof/>
            <w:webHidden/>
          </w:rPr>
          <w:t>6</w:t>
        </w:r>
        <w:r>
          <w:rPr>
            <w:noProof/>
            <w:webHidden/>
          </w:rPr>
          <w:fldChar w:fldCharType="end"/>
        </w:r>
      </w:hyperlink>
    </w:p>
    <w:p w14:paraId="5B5AC6BA" w14:textId="77777777" w:rsidR="000136F3" w:rsidRDefault="000136F3" w:rsidP="000136F3">
      <w:pPr>
        <w:pStyle w:val="TOC1"/>
        <w:tabs>
          <w:tab w:val="left" w:pos="440"/>
          <w:tab w:val="right" w:leader="dot" w:pos="9019"/>
        </w:tabs>
        <w:spacing w:before="120" w:after="120"/>
        <w:rPr>
          <w:rFonts w:asciiTheme="minorHAnsi" w:eastAsiaTheme="minorEastAsia" w:hAnsiTheme="minorHAnsi" w:cstheme="minorBidi"/>
          <w:noProof/>
          <w:color w:val="auto"/>
        </w:rPr>
      </w:pPr>
      <w:hyperlink w:anchor="_Toc242262659" w:history="1">
        <w:r w:rsidRPr="00C73E58">
          <w:rPr>
            <w:rStyle w:val="Hyperlink"/>
            <w:noProof/>
          </w:rPr>
          <w:t>7.</w:t>
        </w:r>
        <w:r>
          <w:rPr>
            <w:rFonts w:asciiTheme="minorHAnsi" w:eastAsiaTheme="minorEastAsia" w:hAnsiTheme="minorHAnsi" w:cstheme="minorBidi"/>
            <w:noProof/>
            <w:color w:val="auto"/>
          </w:rPr>
          <w:tab/>
        </w:r>
        <w:r w:rsidRPr="00C73E58">
          <w:rPr>
            <w:rStyle w:val="Hyperlink"/>
            <w:noProof/>
          </w:rPr>
          <w:t>Reference List</w:t>
        </w:r>
        <w:r>
          <w:rPr>
            <w:noProof/>
            <w:webHidden/>
          </w:rPr>
          <w:tab/>
        </w:r>
        <w:r>
          <w:rPr>
            <w:noProof/>
            <w:webHidden/>
          </w:rPr>
          <w:fldChar w:fldCharType="begin"/>
        </w:r>
        <w:r>
          <w:rPr>
            <w:noProof/>
            <w:webHidden/>
          </w:rPr>
          <w:instrText xml:space="preserve"> PAGEREF _Toc242262659 \h </w:instrText>
        </w:r>
        <w:r>
          <w:rPr>
            <w:noProof/>
            <w:webHidden/>
          </w:rPr>
        </w:r>
        <w:r>
          <w:rPr>
            <w:noProof/>
            <w:webHidden/>
          </w:rPr>
          <w:fldChar w:fldCharType="separate"/>
        </w:r>
        <w:r>
          <w:rPr>
            <w:noProof/>
            <w:webHidden/>
          </w:rPr>
          <w:t>7</w:t>
        </w:r>
        <w:r>
          <w:rPr>
            <w:noProof/>
            <w:webHidden/>
          </w:rPr>
          <w:fldChar w:fldCharType="end"/>
        </w:r>
      </w:hyperlink>
    </w:p>
    <w:p w14:paraId="555D7003" w14:textId="77777777" w:rsidR="001F6EC8" w:rsidRDefault="001F6EC8" w:rsidP="000136F3">
      <w:pPr>
        <w:spacing w:before="120" w:after="120"/>
        <w:jc w:val="left"/>
        <w:sectPr w:rsidR="001F6EC8" w:rsidSect="00CD65AA">
          <w:footerReference w:type="default" r:id="rId8"/>
          <w:pgSz w:w="11909" w:h="16834"/>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pPr>
      <w:r>
        <w:fldChar w:fldCharType="end"/>
      </w:r>
    </w:p>
    <w:p w14:paraId="7C9F1940" w14:textId="77777777" w:rsidR="00C96257" w:rsidRDefault="00B802E0" w:rsidP="005A2EE9">
      <w:pPr>
        <w:pStyle w:val="Heading1"/>
      </w:pPr>
      <w:bookmarkStart w:id="0" w:name="_Toc242262643"/>
      <w:r>
        <w:lastRenderedPageBreak/>
        <w:t>Introduction</w:t>
      </w:r>
      <w:bookmarkEnd w:id="0"/>
    </w:p>
    <w:p w14:paraId="7E98973E" w14:textId="77777777" w:rsidR="00895B61" w:rsidRDefault="00B802E0" w:rsidP="00895B61">
      <w:r>
        <w:t xml:space="preserve">The chosen digital innovation is Nervecentre eMeds, an electronic prescribing and medicines administration system, known as ePMA, developed with University Hospitals of Leicester. Its documented launch on three renal wards was on 30 September 2020, followed by wider implementation during 2021 (Silva et al., 2022a; Silva et al., 2022b). </w:t>
      </w:r>
      <w:r w:rsidR="00895B61">
        <w:t>This report explores a new platform for the UK that has been developed in the past decade. There is a longer track record of electronic prescribing as a general approach.</w:t>
      </w:r>
    </w:p>
    <w:p w14:paraId="3EEF3469" w14:textId="77777777" w:rsidR="00895B61" w:rsidRDefault="00895B61" w:rsidP="00895B61">
      <w:r>
        <w:t xml:space="preserve">Electronic prescribing is a way for </w:t>
      </w:r>
      <w:r w:rsidR="00571540">
        <w:t>authorized</w:t>
      </w:r>
      <w:r>
        <w:t xml:space="preserve"> staff to prescribe, review and record medicines electronically. It is important because it provides access to the information about medicines and helps to make safer choices. But, if technology is modified, how people work, how they communicate and how they take responsibility for care is also changed (Healthcare Safety Investigation Branch [HSIB], 2022).</w:t>
      </w:r>
    </w:p>
    <w:p w14:paraId="79BA88F7" w14:textId="77777777" w:rsidR="00C96257" w:rsidRDefault="00895B61" w:rsidP="00895B61">
      <w:r>
        <w:t xml:space="preserve">The government's A plan for digital health and social care states that the plans involve connected records, skilled staff and safe technology (Department of Health and Social Care [DHSC], 2022). This report provides a critical analysis of workforce, service delivery, patients and </w:t>
      </w:r>
      <w:r w:rsidR="00571540">
        <w:t>communities. It</w:t>
      </w:r>
      <w:r w:rsidR="00B802E0">
        <w:t xml:space="preserve"> compares the Leicester implementation with wider UK evidence, considering benefits, risks and limits in the research. Its central argument is that successful deployment is valuable, but lasting improvement depends on training, system design and communication across care settings.</w:t>
      </w:r>
    </w:p>
    <w:p w14:paraId="0425705C" w14:textId="77777777" w:rsidR="00C96257" w:rsidRDefault="00B802E0" w:rsidP="005A2EE9">
      <w:pPr>
        <w:pStyle w:val="Heading1"/>
      </w:pPr>
      <w:bookmarkStart w:id="1" w:name="_Toc242262644"/>
      <w:r>
        <w:t>Workforce</w:t>
      </w:r>
      <w:bookmarkEnd w:id="1"/>
    </w:p>
    <w:p w14:paraId="2B541A04" w14:textId="77777777" w:rsidR="00E95D46" w:rsidRDefault="00B802E0" w:rsidP="00E95D46">
      <w:r>
        <w:t xml:space="preserve">Electronic prescribing changes professional tasks: prescribers enter digital orders, nurses record administration electronically, and pharmacists review shared medicine information. </w:t>
      </w:r>
      <w:r w:rsidR="00E95D46">
        <w:t>Responsibilities and how to use digital records safely, to maintain clinical judgement, therefore needs to be clearly defined for staff (Healthcare Safety Investigation Branch [HSIB], 2022).</w:t>
      </w:r>
    </w:p>
    <w:p w14:paraId="5476E5D1" w14:textId="77777777" w:rsidR="00E95D46" w:rsidRDefault="005A2EE9" w:rsidP="00E95D46">
      <w:pPr>
        <w:pStyle w:val="Heading2"/>
      </w:pPr>
      <w:bookmarkStart w:id="2" w:name="_Toc242262645"/>
      <w:r>
        <w:t xml:space="preserve">2.1 </w:t>
      </w:r>
      <w:r w:rsidR="00E95D46">
        <w:t>Positive Outcomes</w:t>
      </w:r>
      <w:bookmarkEnd w:id="2"/>
    </w:p>
    <w:p w14:paraId="705B5F03" w14:textId="77777777" w:rsidR="00E95D46" w:rsidRDefault="00E95D46" w:rsidP="00E95D46">
      <w:r>
        <w:t>Doctors, nurses, pharmacists and tech staff worked to create and implement eMeds in Leicester. Staff were required to take 1.5 hours of online training (Silva et al., 2022b) with clinical champions supporting uptake. Practical issues can be identified and new processes can be more appropriate for the daily work by engaging frontline staff. But a Labour Ward Training will not prove safe prescribing on a hectic shift.</w:t>
      </w:r>
    </w:p>
    <w:p w14:paraId="7C58D8FE" w14:textId="77777777" w:rsidR="00E95D46" w:rsidRDefault="00E95D46" w:rsidP="00E95D46">
      <w:r>
        <w:t xml:space="preserve">Workforce support and leadership &amp; safe practice are part of the What Good Looks Like framework (NHS England, no date). Staff may benefit from some protected practice time and supervision to build competence. Chu et al. (2022) also reported that junior doctors desired timely and individual feedback on e-prescribing mistakes. Supportive feedback is one way to </w:t>
      </w:r>
      <w:r>
        <w:lastRenderedPageBreak/>
        <w:t>enhance learning without discouraging staff to report mistakes. There is also a need for clear support routes for temporary staff. Early prescriptions should be checked by an experienced senior colleague and management should monitor if staff are able to get timely assistance.</w:t>
      </w:r>
    </w:p>
    <w:p w14:paraId="77897F7B" w14:textId="77777777" w:rsidR="00E95D46" w:rsidRDefault="005A2EE9" w:rsidP="00E95D46">
      <w:pPr>
        <w:pStyle w:val="Heading2"/>
      </w:pPr>
      <w:bookmarkStart w:id="3" w:name="_Toc242262646"/>
      <w:r>
        <w:t xml:space="preserve">2.2 </w:t>
      </w:r>
      <w:r w:rsidR="00E95D46">
        <w:t>Negative Outcomes</w:t>
      </w:r>
      <w:bookmarkEnd w:id="3"/>
    </w:p>
    <w:p w14:paraId="70EC9195" w14:textId="77777777" w:rsidR="00E95D46" w:rsidRDefault="00E95D46" w:rsidP="00E95D46">
      <w:r>
        <w:t>The staff should possess both clinical and digital skills. Wrong selection from medicine list, unsuitable default doses, and alert fatigue (interviews with 23 prescribers in the UK) (Alshahrani, Marriott and Cox, 2021). The results indicate that the level of confidence with computer is not adequate. Staff cannot take it for granted that the system has prevented mistake, must check the patient, dose and warning.</w:t>
      </w:r>
    </w:p>
    <w:p w14:paraId="3E9A03BB" w14:textId="77777777" w:rsidR="00C96257" w:rsidRDefault="00E95D46" w:rsidP="00E95D46">
      <w:r>
        <w:t>Chu et al. (2022) discovered underutilization of current training. The number of doctors who answered the survey was limited: Only 25 of 89 invited doctors responded. Staff release or overtime was also needed to implement Leicester's, as reported by Silva et al. (2022b). There is, therefore, a real cost of training. Safe adoption should not be affected by pressure to provide service, so funding for cover and repeat support should be provided when staff are away rotating. Incorporation of short supervised activities using realistic prescription may identify issues not captured by attendance records</w:t>
      </w:r>
      <w:r w:rsidR="00B802E0">
        <w:t>.</w:t>
      </w:r>
    </w:p>
    <w:p w14:paraId="358DE77D" w14:textId="77777777" w:rsidR="00C96257" w:rsidRDefault="00B802E0" w:rsidP="005A2EE9">
      <w:pPr>
        <w:pStyle w:val="Heading1"/>
      </w:pPr>
      <w:bookmarkStart w:id="4" w:name="_Toc242262647"/>
      <w:r>
        <w:t>Service Delivery</w:t>
      </w:r>
      <w:bookmarkEnd w:id="4"/>
    </w:p>
    <w:p w14:paraId="1FF675FC" w14:textId="77777777" w:rsidR="0065291D" w:rsidRDefault="00B802E0" w:rsidP="0065291D">
      <w:r>
        <w:t xml:space="preserve">eMeds changes how medicine information is accessed, prescriptions are completed and patients move between hospital sites. </w:t>
      </w:r>
      <w:r w:rsidR="0065291D">
        <w:t>Therefore, its introduction must involve adapting the daily workflow and considering the change from the previous prescribing system (Silva et al., 2022b).</w:t>
      </w:r>
    </w:p>
    <w:p w14:paraId="4D191AA4" w14:textId="77777777" w:rsidR="0065291D" w:rsidRDefault="005A2EE9" w:rsidP="00E16D8F">
      <w:pPr>
        <w:pStyle w:val="Heading2"/>
      </w:pPr>
      <w:bookmarkStart w:id="5" w:name="_Toc242262648"/>
      <w:r>
        <w:t xml:space="preserve">3.1 </w:t>
      </w:r>
      <w:r w:rsidR="0065291D">
        <w:t>Positive Outcomes</w:t>
      </w:r>
      <w:bookmarkEnd w:id="5"/>
    </w:p>
    <w:p w14:paraId="571FD41A" w14:textId="77777777" w:rsidR="0065291D" w:rsidRDefault="00CD6DE0" w:rsidP="0065291D">
      <w:r w:rsidRPr="00CD6DE0">
        <w:t>eMeds enabled several professionals to access the same medicine chart through different devices</w:t>
      </w:r>
      <w:r w:rsidR="0065291D">
        <w:t>. Increased responsiveness and ease of workflows were reported by staff (Silva et al., 2022a). Shared access means less reliance on locating a physical chart and facilitates timely communications. These advantages are dependent on appropriate equipment and dependable connections throughout the hospital.</w:t>
      </w:r>
    </w:p>
    <w:p w14:paraId="7B18D111" w14:textId="77777777" w:rsidR="0065291D" w:rsidRDefault="0065291D" w:rsidP="0065291D">
      <w:r>
        <w:t>Leicester respondents reported that discharge prescription was performed in 3-5 mins with eMeds, as opposed to more than 10 mins with the previous system. The evaluation however, only had 24 survey responses and nine interviews (Silva et al., 2022a). These are positive staff perceptions, rather than independent time recordings. They are not able to set up shorter hospital stays or overall monetary savings.</w:t>
      </w:r>
    </w:p>
    <w:p w14:paraId="02198166" w14:textId="77777777" w:rsidR="0065291D" w:rsidRDefault="005A2EE9" w:rsidP="00E16D8F">
      <w:pPr>
        <w:pStyle w:val="Heading2"/>
      </w:pPr>
      <w:bookmarkStart w:id="6" w:name="_Toc242262649"/>
      <w:r>
        <w:lastRenderedPageBreak/>
        <w:t xml:space="preserve">3.2 </w:t>
      </w:r>
      <w:r w:rsidR="0065291D">
        <w:t>Negative Outcomes</w:t>
      </w:r>
      <w:bookmarkEnd w:id="6"/>
    </w:p>
    <w:p w14:paraId="2785E239" w14:textId="77777777" w:rsidR="0065291D" w:rsidRDefault="00CD6DE0" w:rsidP="0065291D">
      <w:r w:rsidRPr="00CD6DE0">
        <w:t>The wider rollout used site-based transitions after the pilot, with prescriptions transcribed and independently verified</w:t>
      </w:r>
      <w:r w:rsidR="0065291D">
        <w:t>. The staggered launches resulted in a time when two systems were in operation and temporary pathways for transfers between sites were required (Silva et al., 2022b). While local testing provides learning support and helps with coordination, ongoing overlap poses a risk. A plan for moving patients and for medicine rounds needs to be included in a rollout plan.</w:t>
      </w:r>
    </w:p>
    <w:p w14:paraId="56447914" w14:textId="77777777" w:rsidR="0065291D" w:rsidRDefault="0065291D" w:rsidP="0065291D">
      <w:r>
        <w:t>There is national parliamentary evidence of a lack of digital progress, an ageing infrastructure, and a need for ongoing investment (House of Commons Health and Social Care Committee, 2023). Hence, the costs of software are also involved in equipment, support and maintenance. To determine if workload has decreased or shifted to another professional group, managers should compare workload and delays prior to and following implementation. Busy shifts should be routine reviewed as it may take longer to get medicines if there are limited devices/supports.</w:t>
      </w:r>
    </w:p>
    <w:p w14:paraId="1BE5D2FA" w14:textId="77777777" w:rsidR="00C96257" w:rsidRDefault="0065291D" w:rsidP="0065291D">
      <w:r>
        <w:t xml:space="preserve">Outages are also a care issue due to digital dependence. The national cyber security strategy is connected to patient safety and service continuity (DHSC, 2023). Use of back-up medicine records and safe recovery from disruption should be </w:t>
      </w:r>
      <w:proofErr w:type="spellStart"/>
      <w:r>
        <w:t>practised</w:t>
      </w:r>
      <w:proofErr w:type="spellEnd"/>
      <w:r>
        <w:t xml:space="preserve"> in hospitals. Clinical risk management needs to be considered during deployment and use of DCB0160 (NHS Digital, 2018). Health Services Safety Investigations Body [HSSIB] (2026) determines the areas where safety assurance in </w:t>
      </w:r>
      <w:proofErr w:type="spellStart"/>
      <w:r>
        <w:t>ePMA</w:t>
      </w:r>
      <w:proofErr w:type="spellEnd"/>
      <w:r>
        <w:t xml:space="preserve"> and learning from others is lacking. Need checks after updates and corrective action ownership for safe delivery</w:t>
      </w:r>
      <w:r w:rsidR="00B802E0">
        <w:t>.</w:t>
      </w:r>
    </w:p>
    <w:p w14:paraId="5ADB8B13" w14:textId="77777777" w:rsidR="00C96257" w:rsidRDefault="00B802E0" w:rsidP="005A2EE9">
      <w:pPr>
        <w:pStyle w:val="Heading1"/>
      </w:pPr>
      <w:bookmarkStart w:id="7" w:name="_Toc242262650"/>
      <w:r>
        <w:t>Patient and Service User</w:t>
      </w:r>
      <w:bookmarkEnd w:id="7"/>
    </w:p>
    <w:p w14:paraId="337331F8" w14:textId="77777777" w:rsidR="00C96257" w:rsidRDefault="00B802E0">
      <w:r>
        <w:t>For patients, electronic prescribing should support safe medicine use and understandable information about treatment. Its value must therefore be judged through safety and patients' experiences, alongside privacy and fair access to information (HSSIB, 2026; NHS England, 2023).</w:t>
      </w:r>
    </w:p>
    <w:p w14:paraId="6550B74E" w14:textId="77777777" w:rsidR="00C96257" w:rsidRDefault="005A2EE9">
      <w:pPr>
        <w:pStyle w:val="Heading2"/>
      </w:pPr>
      <w:bookmarkStart w:id="8" w:name="_Toc242262651"/>
      <w:r>
        <w:t xml:space="preserve">4.1 </w:t>
      </w:r>
      <w:r w:rsidR="00B802E0">
        <w:t>Positive Outcomes</w:t>
      </w:r>
      <w:bookmarkEnd w:id="8"/>
    </w:p>
    <w:p w14:paraId="64951EB9" w14:textId="77777777" w:rsidR="00CC7D6F" w:rsidRDefault="00B802E0" w:rsidP="00CC7D6F">
      <w:r>
        <w:t xml:space="preserve">Electronic checks can warn prescribers about unsafe medicine choices. </w:t>
      </w:r>
      <w:r w:rsidR="00C521E4">
        <w:t>Klein et al. (2025) conducted a test across 13 systems in 45 English NHS trusts that demonstrates local safety functions can be assessed. These checks provide helpful support, but simulated scenarios measure performance of the systems and not actual patient injury. A hospital should therefore experiment with different settings, and track harm over time.</w:t>
      </w:r>
    </w:p>
    <w:p w14:paraId="47C894EB" w14:textId="77777777" w:rsidR="00C521E4" w:rsidRDefault="00CC7D6F" w:rsidP="00CC7D6F">
      <w:r w:rsidRPr="00CC7D6F">
        <w:rPr>
          <w:rStyle w:val="Strong"/>
          <w:b w:val="0"/>
        </w:rPr>
        <w:t>National Institute for Health and Care Excellence</w:t>
      </w:r>
      <w:r w:rsidRPr="00CC7D6F">
        <w:t xml:space="preserve"> </w:t>
      </w:r>
      <w:r w:rsidR="00C521E4">
        <w:t xml:space="preserve">NICE (2021) advises a discussion about treatment options and giving people the opportunity to discuss the pros and cons and test understanding. Staff can narrate about changes to medication and ask the patient to tell them </w:t>
      </w:r>
      <w:r w:rsidR="00C521E4">
        <w:lastRenderedPageBreak/>
        <w:t>what they were told to do in their own words in addition to eMeds. This helps to facilitate choice and can uncover misunderstandings. But these benefits take time and appropriate communication support; they are not automatic byproducts of installation of software. Even digital records can be tough to clarify, so it is important to verify this understanding with patients.</w:t>
      </w:r>
    </w:p>
    <w:p w14:paraId="7505E2EB" w14:textId="77777777" w:rsidR="00C521E4" w:rsidRDefault="005A2EE9" w:rsidP="00BB5EC8">
      <w:pPr>
        <w:pStyle w:val="Heading2"/>
      </w:pPr>
      <w:bookmarkStart w:id="9" w:name="_Toc242262652"/>
      <w:r>
        <w:t xml:space="preserve">4.2 </w:t>
      </w:r>
      <w:r w:rsidR="00C521E4">
        <w:t>Negative Outcomes</w:t>
      </w:r>
      <w:bookmarkEnd w:id="9"/>
    </w:p>
    <w:p w14:paraId="7DDF529E" w14:textId="77777777" w:rsidR="00C521E4" w:rsidRDefault="00BB5EC8" w:rsidP="00C521E4">
      <w:r w:rsidRPr="00BB5EC8">
        <w:t xml:space="preserve">Protection varies between electronic prescribing systems and even between trusts using the same product </w:t>
      </w:r>
      <w:r w:rsidR="00C521E4">
        <w:t xml:space="preserve">(Klein et al., 2025). So, buying </w:t>
      </w:r>
      <w:proofErr w:type="spellStart"/>
      <w:r w:rsidR="00C521E4">
        <w:t>ePMA</w:t>
      </w:r>
      <w:proofErr w:type="spellEnd"/>
      <w:r w:rsidR="00C521E4">
        <w:t xml:space="preserve"> cannot ensure safety of care. Throughout the procurement, use and maintenance process, HSSIB (2026) emphasizes the importance of safety. You must have the patients' feedback before you can make a claim about improved outcomes, as well as measures of harm.</w:t>
      </w:r>
    </w:p>
    <w:p w14:paraId="7B718456" w14:textId="77777777" w:rsidR="00C521E4" w:rsidRDefault="00C521E4" w:rsidP="00C521E4">
      <w:r>
        <w:t>If the medicine records are less visible, this can lead to a decrease in patient involvement. Garfield et al. (2016) reported that patients/carers had more access to paper charts than electronic records. This is also a relevant study from the UK but is older and it also demonstrated the importance of staff attitudes and hospital culture. Staff should provide clear information on medicines, and encourage questions.</w:t>
      </w:r>
    </w:p>
    <w:p w14:paraId="4CEECAB5" w14:textId="77777777" w:rsidR="00C96257" w:rsidRDefault="00C521E4" w:rsidP="00C521E4">
      <w:r>
        <w:t xml:space="preserve">Health information in the medicine record is sensitive. The lawful basis and conditions for processing outlined in the UK GDPR must be satisfied, along with any requirements under the Data Protection Act 2018 (Information Commissioner's Office, 2024). It is important to have the right access controls and privacy statements. Patients have no need to possess smart phones in the hospital </w:t>
      </w:r>
      <w:proofErr w:type="spellStart"/>
      <w:r>
        <w:t>ePMA</w:t>
      </w:r>
      <w:proofErr w:type="spellEnd"/>
      <w:r>
        <w:t>. But, digital discharge information requires print and supported alternatives. NHS England (2023) state language, disability and digital skills to be barriers that inclusive services must overcome</w:t>
      </w:r>
      <w:r w:rsidR="00B802E0">
        <w:t>.</w:t>
      </w:r>
    </w:p>
    <w:p w14:paraId="7FE35825" w14:textId="77777777" w:rsidR="00C96257" w:rsidRDefault="00B802E0" w:rsidP="005A2EE9">
      <w:pPr>
        <w:pStyle w:val="Heading1"/>
      </w:pPr>
      <w:bookmarkStart w:id="10" w:name="_Toc242262653"/>
      <w:r>
        <w:t>Community</w:t>
      </w:r>
      <w:bookmarkEnd w:id="10"/>
    </w:p>
    <w:p w14:paraId="4FB96DD7" w14:textId="77777777" w:rsidR="00C96257" w:rsidRDefault="00B802E0">
      <w:r>
        <w:t>Community impact concerns care after patients leave hospital, support for families and carers, and the use of medicine information to improve public health. Hospitals must connect prescribing processes with community services if these benefits are to reach patients at home (HSIB, 2022).</w:t>
      </w:r>
    </w:p>
    <w:p w14:paraId="17B7A840" w14:textId="77777777" w:rsidR="00C96257" w:rsidRDefault="005A2EE9">
      <w:pPr>
        <w:pStyle w:val="Heading2"/>
      </w:pPr>
      <w:bookmarkStart w:id="11" w:name="_Toc242262654"/>
      <w:r>
        <w:t xml:space="preserve">5.1 </w:t>
      </w:r>
      <w:r w:rsidR="00B802E0">
        <w:t>Positive Outcomes</w:t>
      </w:r>
      <w:bookmarkEnd w:id="11"/>
    </w:p>
    <w:p w14:paraId="7BBE5C3D" w14:textId="77777777" w:rsidR="003E1085" w:rsidRDefault="003E1085" w:rsidP="003E1085">
      <w:r>
        <w:t xml:space="preserve">Secure electronic discharge referrals are used to enable the community pharmacists to compare medicine lists and help patients with the NHS Discharge Medicines Service (NHS England and NHS Improvement, 2021). There may be a need to support continuity by linking eMeds discharge processes to this pathway. Follow-up could be made easier, if local </w:t>
      </w:r>
      <w:r>
        <w:lastRenderedPageBreak/>
        <w:t>pharmacy support is effective for those who live a long distance from hospital. This is a potential benefit, NOT a measurable Leicester rural outcome.</w:t>
      </w:r>
    </w:p>
    <w:p w14:paraId="50E58AD1" w14:textId="4B7B7ACA" w:rsidR="003E1085" w:rsidRDefault="003E1085" w:rsidP="003E1085">
      <w:r>
        <w:t xml:space="preserve">The </w:t>
      </w:r>
      <w:proofErr w:type="spellStart"/>
      <w:r>
        <w:t>ePMA</w:t>
      </w:r>
      <w:proofErr w:type="spellEnd"/>
      <w:r>
        <w:t xml:space="preserve"> data collection undertaken by NHS England can help inform monitoring of medicine use at the population level, including use of antibiotics (NHS England, 2024). Improved information can help inform more safe prescribing and combat antibiotic resistance. In a UK electronic prescribing study (Weir et al., 2024), patient and public representatives also had a voice in </w:t>
      </w:r>
      <w:r w:rsidR="00AA3B80">
        <w:t>program me</w:t>
      </w:r>
      <w:r>
        <w:t xml:space="preserve"> decisions. This is an example of participation in digital development in the communities.</w:t>
      </w:r>
    </w:p>
    <w:p w14:paraId="110B5B1B" w14:textId="77777777" w:rsidR="003E1085" w:rsidRDefault="005A2EE9" w:rsidP="003E1085">
      <w:pPr>
        <w:pStyle w:val="Heading2"/>
      </w:pPr>
      <w:bookmarkStart w:id="12" w:name="_Toc242262655"/>
      <w:r>
        <w:t xml:space="preserve">5.2 </w:t>
      </w:r>
      <w:r w:rsidR="003E1085">
        <w:t>Negative Outcomes</w:t>
      </w:r>
      <w:bookmarkEnd w:id="12"/>
    </w:p>
    <w:p w14:paraId="7BB2D2DA" w14:textId="77777777" w:rsidR="003E1085" w:rsidRDefault="003E1085" w:rsidP="003E1085">
      <w:r>
        <w:t>Having an electronic chart on a hospital does not result in a completed community referral. HSSIB (2025) examined a man who was discharged without the insulin support that he required; some of the issues were due to the conflicting records, unclear referrals and disconnected systems. Families should be given clear guidance where there are changes or stoppages in the medicine, but not be made responsible for failures between professional services.</w:t>
      </w:r>
    </w:p>
    <w:p w14:paraId="164FF04E" w14:textId="77777777" w:rsidR="003E1085" w:rsidRDefault="003E1085" w:rsidP="003E1085">
      <w:r>
        <w:t>NHS England (2023) list poor connectivity in rural and coastal areas as a barrier to digital participation. Support and checks on local service capacity by telephone or face-to-face are still needed. The Leicester rollout refers to the involvement of frontline staff; it cannot be assumed that patients and community will be involved in design (Silva et al., 2022b). When reviewing discharge information, hospitals should engage with the patient, carers and community professionals including those whose needs are often overlooked.</w:t>
      </w:r>
    </w:p>
    <w:p w14:paraId="13C2A499" w14:textId="77777777" w:rsidR="00C96257" w:rsidRDefault="003E1085" w:rsidP="003E1085">
      <w:r>
        <w:t>The benefits of public health require evidence, as well. In the study conducted by Weir et al. (2024), less than 50% of the antibiotic review functions were adopted and some outcomes were challenging to extract. Thus, data availability is not the same as better public health. Hospitals must have tools available, staff engagement and solid data before they can achieve larger benefits. Completed referrals, issues with medicines post discharge and feedback from patients and carers should be examined for evaluation</w:t>
      </w:r>
      <w:r w:rsidR="00B802E0">
        <w:t>.</w:t>
      </w:r>
    </w:p>
    <w:p w14:paraId="2D314744" w14:textId="77777777" w:rsidR="00C96257" w:rsidRDefault="00B802E0" w:rsidP="005A2EE9">
      <w:pPr>
        <w:pStyle w:val="Heading1"/>
      </w:pPr>
      <w:bookmarkStart w:id="13" w:name="_Toc242262656"/>
      <w:r>
        <w:t>Conclusion and Recommendations</w:t>
      </w:r>
      <w:bookmarkEnd w:id="13"/>
    </w:p>
    <w:p w14:paraId="5687D2B2" w14:textId="77777777" w:rsidR="00872199" w:rsidRDefault="005A2EE9" w:rsidP="00872199">
      <w:pPr>
        <w:pStyle w:val="Heading2"/>
      </w:pPr>
      <w:bookmarkStart w:id="14" w:name="_Toc242262657"/>
      <w:r>
        <w:t xml:space="preserve">6.1 </w:t>
      </w:r>
      <w:r w:rsidR="00872199">
        <w:t>Conclusion</w:t>
      </w:r>
      <w:bookmarkEnd w:id="14"/>
    </w:p>
    <w:p w14:paraId="33AACC15" w14:textId="77777777" w:rsidR="00E1095C" w:rsidRDefault="00872199" w:rsidP="00E1095C">
      <w:r>
        <w:t>To conclude, t</w:t>
      </w:r>
      <w:r w:rsidR="00E1095C">
        <w:t xml:space="preserve">he new eMeds implementation demonstrates that NHS personnel can successfully implement a new prescribing platform; it has had a positive effect on the information sharing and working practices. It is launched in 2020 which is the 10-year requirement period, and it enables the assessment of existing implementation challenges. But </w:t>
      </w:r>
      <w:r w:rsidR="00E1095C">
        <w:lastRenderedPageBreak/>
        <w:t>the evidence of effectiveness and safety in the community remains scarce, and successful rollout cannot be assumed to translate to harm reduction (Klein et al., 2025).</w:t>
      </w:r>
    </w:p>
    <w:p w14:paraId="3A641E2A" w14:textId="77777777" w:rsidR="00E91B45" w:rsidRDefault="005A2EE9" w:rsidP="00E91B45">
      <w:pPr>
        <w:pStyle w:val="Heading2"/>
      </w:pPr>
      <w:bookmarkStart w:id="15" w:name="_Toc242262658"/>
      <w:r>
        <w:t xml:space="preserve">6.2 </w:t>
      </w:r>
      <w:r w:rsidR="00E91B45">
        <w:t>Recommendations</w:t>
      </w:r>
      <w:bookmarkEnd w:id="15"/>
    </w:p>
    <w:p w14:paraId="2DE6179C" w14:textId="77777777" w:rsidR="00E1095C" w:rsidRDefault="00E1095C" w:rsidP="00E1095C">
      <w:r>
        <w:t xml:space="preserve">Protected, practical training and supportive feedback should be first provided in hospitals, while staff shortages need to have cover and support which must be funded, and rotations must be supported. Second, they should conduct tests of </w:t>
      </w:r>
      <w:r w:rsidR="00E91B45">
        <w:t>high-risk</w:t>
      </w:r>
      <w:r>
        <w:t xml:space="preserve"> prescribing, review alerts and </w:t>
      </w:r>
      <w:proofErr w:type="spellStart"/>
      <w:r>
        <w:t>practise</w:t>
      </w:r>
      <w:proofErr w:type="spellEnd"/>
      <w:r>
        <w:t xml:space="preserve"> downtime procedures, and have a named clinical safety lead overseeing </w:t>
      </w:r>
      <w:r w:rsidR="00E91B45">
        <w:t>update</w:t>
      </w:r>
      <w:r>
        <w:t>. Thirdly, that information about medicine changes needs to be confirmed with patients, carers and community services at the time of discharge rather than simply sent (HSSIB, 2025; HSSIB, 2026).</w:t>
      </w:r>
    </w:p>
    <w:p w14:paraId="6F249A27" w14:textId="77777777" w:rsidR="00C96257" w:rsidRDefault="00E1095C" w:rsidP="00E1095C">
      <w:r>
        <w:t>Continued investment is required for these activities and staged improvements should focus on the highest risk activities first. Evaluation should monitor errors, missed doses, patients' understanding and community follow-up, as well as staff workload. This would measure digital transformation not just via software installed, but safer and more inclusive care</w:t>
      </w:r>
      <w:r w:rsidR="00B802E0">
        <w:t>.</w:t>
      </w:r>
    </w:p>
    <w:p w14:paraId="6A3ACC3E" w14:textId="77777777" w:rsidR="00C96257" w:rsidRDefault="00B802E0">
      <w:r>
        <w:br w:type="page"/>
      </w:r>
    </w:p>
    <w:p w14:paraId="6CBA4CF3" w14:textId="77777777" w:rsidR="00C96257" w:rsidRDefault="00B802E0" w:rsidP="005A2EE9">
      <w:pPr>
        <w:pStyle w:val="Heading1"/>
      </w:pPr>
      <w:bookmarkStart w:id="16" w:name="_Toc242262659"/>
      <w:r>
        <w:lastRenderedPageBreak/>
        <w:t>Reference List</w:t>
      </w:r>
      <w:bookmarkEnd w:id="16"/>
    </w:p>
    <w:p w14:paraId="4226EBBB" w14:textId="77777777" w:rsidR="00C96257" w:rsidRDefault="00B802E0">
      <w:pPr>
        <w:keepLines/>
        <w:spacing w:after="160"/>
        <w:ind w:left="360" w:hanging="360"/>
      </w:pPr>
      <w:r>
        <w:t xml:space="preserve">Alshahrani, F., Marriott, J.F. and Cox, A.R. (2021) 'A qualitative study of prescribing errors among multi-professional prescribers within an e-prescribing system', </w:t>
      </w:r>
      <w:r>
        <w:rPr>
          <w:i/>
        </w:rPr>
        <w:t>International Journal of Clinical Pharmacy</w:t>
      </w:r>
      <w:r>
        <w:t xml:space="preserve">, 43(4), pp. 884-892. Available at: </w:t>
      </w:r>
      <w:hyperlink r:id="rId9" w:history="1">
        <w:r w:rsidR="005B15E3" w:rsidRPr="00F84855">
          <w:rPr>
            <w:rStyle w:val="Hyperlink"/>
          </w:rPr>
          <w:t>https://doi.org/10.1007/s11096-020-01192-0</w:t>
        </w:r>
      </w:hyperlink>
      <w:r w:rsidR="005B15E3">
        <w:t xml:space="preserve"> </w:t>
      </w:r>
    </w:p>
    <w:p w14:paraId="6A2E3CAC" w14:textId="77777777" w:rsidR="00C96257" w:rsidRDefault="00B802E0">
      <w:pPr>
        <w:keepLines/>
        <w:spacing w:after="160"/>
        <w:ind w:left="360" w:hanging="360"/>
      </w:pPr>
      <w:r>
        <w:t xml:space="preserve">Chu, A., Kumar, A., Depoorter, G., Franklin, B.D. and McLeod, M. (2022) 'Learning from electronic prescribing errors: a mixed methods study of junior doctors' perceptions of training and individualised feedback data', </w:t>
      </w:r>
      <w:r>
        <w:rPr>
          <w:i/>
        </w:rPr>
        <w:t>BMJ Open</w:t>
      </w:r>
      <w:r>
        <w:t xml:space="preserve">, 12(12), article e056221. Available at: </w:t>
      </w:r>
      <w:hyperlink r:id="rId10" w:history="1">
        <w:r w:rsidR="005B15E3" w:rsidRPr="00F84855">
          <w:rPr>
            <w:rStyle w:val="Hyperlink"/>
          </w:rPr>
          <w:t>https://doi.org/10.1136/bmjopen-2021-056221</w:t>
        </w:r>
      </w:hyperlink>
      <w:r w:rsidR="005B15E3">
        <w:t xml:space="preserve"> </w:t>
      </w:r>
    </w:p>
    <w:p w14:paraId="0ADA873A" w14:textId="77777777" w:rsidR="00C96257" w:rsidRDefault="00B802E0">
      <w:pPr>
        <w:keepLines/>
        <w:spacing w:after="160"/>
        <w:ind w:left="360" w:hanging="360"/>
      </w:pPr>
      <w:r>
        <w:t xml:space="preserve">Department of Health and Social Care [DHSC] (2022) </w:t>
      </w:r>
      <w:r>
        <w:rPr>
          <w:i/>
        </w:rPr>
        <w:t>A plan for digital health and social care</w:t>
      </w:r>
      <w:r>
        <w:t xml:space="preserve">. Available at: </w:t>
      </w:r>
      <w:hyperlink r:id="rId11" w:history="1">
        <w:r w:rsidR="005B15E3" w:rsidRPr="00F84855">
          <w:rPr>
            <w:rStyle w:val="Hyperlink"/>
          </w:rPr>
          <w:t>https://www.gov.uk/government/publications/a-plan-for-digital-health-and-social-care/a-plan-for-digital-health-and-social-care</w:t>
        </w:r>
      </w:hyperlink>
      <w:r w:rsidR="005B15E3">
        <w:t xml:space="preserve"> </w:t>
      </w:r>
      <w:r>
        <w:t>(Accessed: 7 October 2026).</w:t>
      </w:r>
    </w:p>
    <w:p w14:paraId="7C826F65" w14:textId="77777777" w:rsidR="00C96257" w:rsidRDefault="00B802E0">
      <w:pPr>
        <w:keepLines/>
        <w:spacing w:after="160"/>
        <w:ind w:left="360" w:hanging="360"/>
      </w:pPr>
      <w:r>
        <w:t xml:space="preserve">Department of Health and Social Care [DHSC] (2023) </w:t>
      </w:r>
      <w:r>
        <w:rPr>
          <w:i/>
        </w:rPr>
        <w:t>A cyber resilient health and adult social care system in England: cyber security strategy to 2030</w:t>
      </w:r>
      <w:r>
        <w:t xml:space="preserve">. Available at: </w:t>
      </w:r>
      <w:hyperlink r:id="rId12" w:history="1">
        <w:r w:rsidR="005B15E3" w:rsidRPr="00F84855">
          <w:rPr>
            <w:rStyle w:val="Hyperlink"/>
          </w:rPr>
          <w:t>https://www.gov.uk/government/publications/cyber-security-strategy-for-health-and-social-care-2023-to-2030/a-cyber-resilient-health-and-adult-social-care-system-in-england-cyber-security-strategy-to-2030</w:t>
        </w:r>
      </w:hyperlink>
      <w:r w:rsidR="005B15E3">
        <w:t xml:space="preserve"> </w:t>
      </w:r>
      <w:r>
        <w:t>(Accessed: 7 October 2026).</w:t>
      </w:r>
    </w:p>
    <w:p w14:paraId="32F85FCA" w14:textId="77777777" w:rsidR="00C96257" w:rsidRDefault="00B802E0">
      <w:pPr>
        <w:keepLines/>
        <w:spacing w:after="160"/>
        <w:ind w:left="360" w:hanging="360"/>
      </w:pPr>
      <w:r>
        <w:t xml:space="preserve">Garfield, S., Jheeta, S., Husson, F., Lloyd, J., Taylor, A., Boucher, C., Jacklin, A., Bischler, A., Norton, C., Hayles, R. and Franklin, B.D. (2016) 'The role of hospital inpatients in supporting medication safety: a qualitative study', </w:t>
      </w:r>
      <w:r>
        <w:rPr>
          <w:i/>
        </w:rPr>
        <w:t>PLOS ONE</w:t>
      </w:r>
      <w:r>
        <w:t xml:space="preserve">, 11(4), article e0153721. Available at: </w:t>
      </w:r>
      <w:hyperlink r:id="rId13" w:history="1">
        <w:r w:rsidR="005B15E3" w:rsidRPr="00F84855">
          <w:rPr>
            <w:rStyle w:val="Hyperlink"/>
          </w:rPr>
          <w:t>https://doi.org/10.1371/journal.pone.0153721</w:t>
        </w:r>
      </w:hyperlink>
      <w:r w:rsidR="005B15E3">
        <w:t xml:space="preserve"> </w:t>
      </w:r>
    </w:p>
    <w:p w14:paraId="7D7FAA03" w14:textId="77777777" w:rsidR="00C96257" w:rsidRDefault="00B802E0">
      <w:pPr>
        <w:keepLines/>
        <w:spacing w:after="160"/>
        <w:ind w:left="360" w:hanging="360"/>
      </w:pPr>
      <w:r>
        <w:t xml:space="preserve">Health Services Safety Investigations Body [HSSIB] (2025) </w:t>
      </w:r>
      <w:r>
        <w:rPr>
          <w:i/>
        </w:rPr>
        <w:t>Medication not given: discharge from an acute hospital to the community</w:t>
      </w:r>
      <w:r>
        <w:t xml:space="preserve">. Available at: </w:t>
      </w:r>
      <w:hyperlink r:id="rId14" w:history="1">
        <w:r w:rsidR="005B15E3" w:rsidRPr="00F84855">
          <w:rPr>
            <w:rStyle w:val="Hyperlink"/>
          </w:rPr>
          <w:t>https://www.hssib.org.uk/patient-safety-investigations/medication-related-harm/third-investigation-report/</w:t>
        </w:r>
      </w:hyperlink>
      <w:r w:rsidR="005B15E3">
        <w:t xml:space="preserve"> </w:t>
      </w:r>
      <w:r>
        <w:t>(Accessed: 7 October 2026).</w:t>
      </w:r>
    </w:p>
    <w:p w14:paraId="25AA28EE" w14:textId="77777777" w:rsidR="00C96257" w:rsidRDefault="00B802E0">
      <w:pPr>
        <w:keepLines/>
        <w:spacing w:after="160"/>
        <w:ind w:left="360" w:hanging="360"/>
      </w:pPr>
      <w:r>
        <w:t xml:space="preserve">Health Services Safety Investigations Body [HSSIB] (2026) </w:t>
      </w:r>
      <w:r>
        <w:rPr>
          <w:i/>
        </w:rPr>
        <w:t>Electronic prescribing and medicines administration: procurement and safety learning in acute hospitals</w:t>
      </w:r>
      <w:r>
        <w:t xml:space="preserve">. Available at: </w:t>
      </w:r>
      <w:hyperlink r:id="rId15" w:history="1">
        <w:r w:rsidR="005B15E3" w:rsidRPr="00F84855">
          <w:rPr>
            <w:rStyle w:val="Hyperlink"/>
          </w:rPr>
          <w:t>https://www.hssib.org.uk/patient-safety-investigations/medication-related-harm/fourth-investigation-report/</w:t>
        </w:r>
      </w:hyperlink>
      <w:r w:rsidR="005B15E3">
        <w:t xml:space="preserve"> </w:t>
      </w:r>
      <w:r>
        <w:t>(Accessed: 7 October 2026).</w:t>
      </w:r>
    </w:p>
    <w:p w14:paraId="0BF10569" w14:textId="77777777" w:rsidR="00C96257" w:rsidRDefault="00B802E0">
      <w:pPr>
        <w:keepLines/>
        <w:spacing w:after="160"/>
        <w:ind w:left="360" w:hanging="360"/>
      </w:pPr>
      <w:r>
        <w:t xml:space="preserve">Healthcare Safety Investigation Branch [HSIB] (2022) </w:t>
      </w:r>
      <w:r>
        <w:rPr>
          <w:i/>
        </w:rPr>
        <w:t>Electronic prescribing and medicines administration systems and safe discharge</w:t>
      </w:r>
      <w:r>
        <w:t xml:space="preserve">. Available at: </w:t>
      </w:r>
      <w:hyperlink r:id="rId16" w:history="1">
        <w:r w:rsidR="005B15E3" w:rsidRPr="00F84855">
          <w:rPr>
            <w:rStyle w:val="Hyperlink"/>
          </w:rPr>
          <w:t>https://www.hssib.org.uk/patient-safety-investigations/electronic-prescribing-and-medicines-administration-systems-and-safe-discharge/investigation-report/</w:t>
        </w:r>
      </w:hyperlink>
      <w:r w:rsidR="005B15E3">
        <w:t xml:space="preserve"> </w:t>
      </w:r>
      <w:r>
        <w:t>(Accessed: 7 October 2026).</w:t>
      </w:r>
    </w:p>
    <w:p w14:paraId="3869438B" w14:textId="77777777" w:rsidR="00C96257" w:rsidRDefault="00B802E0">
      <w:pPr>
        <w:keepLines/>
        <w:spacing w:after="160"/>
        <w:ind w:left="360" w:hanging="360"/>
      </w:pPr>
      <w:r>
        <w:lastRenderedPageBreak/>
        <w:t xml:space="preserve">House of Commons Health and Social Care Committee (2023) </w:t>
      </w:r>
      <w:r>
        <w:rPr>
          <w:i/>
        </w:rPr>
        <w:t>Digital transformation in the NHS</w:t>
      </w:r>
      <w:r>
        <w:t xml:space="preserve">. Eighth Report of Session 2022-23. HC 223. Available at: </w:t>
      </w:r>
      <w:hyperlink r:id="rId17" w:history="1">
        <w:r w:rsidR="005B15E3" w:rsidRPr="00F84855">
          <w:rPr>
            <w:rStyle w:val="Hyperlink"/>
          </w:rPr>
          <w:t>https://publications.parliament.uk/pa/cm5803/cmselect/cmhealth/223/report.html</w:t>
        </w:r>
      </w:hyperlink>
      <w:r w:rsidR="005B15E3">
        <w:t xml:space="preserve"> </w:t>
      </w:r>
      <w:r>
        <w:t>(Accessed: 7 October 2026).</w:t>
      </w:r>
    </w:p>
    <w:p w14:paraId="39510064" w14:textId="77777777" w:rsidR="00C96257" w:rsidRDefault="00B802E0">
      <w:pPr>
        <w:keepLines/>
        <w:spacing w:after="160"/>
        <w:ind w:left="360" w:hanging="360"/>
      </w:pPr>
      <w:r>
        <w:t xml:space="preserve">Information Commissioner's Office (2024) </w:t>
      </w:r>
      <w:r>
        <w:rPr>
          <w:i/>
        </w:rPr>
        <w:t>Special category data</w:t>
      </w:r>
      <w:r>
        <w:t xml:space="preserve">. Available at: </w:t>
      </w:r>
      <w:hyperlink r:id="rId18" w:history="1">
        <w:r w:rsidR="005B15E3" w:rsidRPr="00F84855">
          <w:rPr>
            <w:rStyle w:val="Hyperlink"/>
          </w:rPr>
          <w:t>https://ico.org.uk/for-organisations/uk-gdpr-guidance-and-resources/lawful-basis/a-guide-to-lawful-basis/special-category-data/</w:t>
        </w:r>
      </w:hyperlink>
      <w:r w:rsidR="005B15E3">
        <w:t xml:space="preserve"> </w:t>
      </w:r>
      <w:r>
        <w:t>(Accessed: 7 October 2026).</w:t>
      </w:r>
    </w:p>
    <w:p w14:paraId="7388CE72" w14:textId="77777777" w:rsidR="00C96257" w:rsidRDefault="00B802E0">
      <w:pPr>
        <w:keepLines/>
        <w:spacing w:after="160"/>
        <w:ind w:left="360" w:hanging="360"/>
      </w:pPr>
      <w:r>
        <w:t xml:space="preserve">Klein, S., Tsanas, A., Coleman, J., Osselton, R., Heed, J., Slee, A. and Watson, N. (2025) 'A simulation study to quantitatively assess the performance of electronic prescribing systems in English NHS Hospital Trusts', </w:t>
      </w:r>
      <w:r>
        <w:rPr>
          <w:i/>
        </w:rPr>
        <w:t>Scientific Reports</w:t>
      </w:r>
      <w:r>
        <w:t xml:space="preserve">, 15, article 2120. Available at: </w:t>
      </w:r>
      <w:hyperlink r:id="rId19" w:history="1">
        <w:r w:rsidR="005B15E3" w:rsidRPr="00F84855">
          <w:rPr>
            <w:rStyle w:val="Hyperlink"/>
          </w:rPr>
          <w:t>https://doi.org/10.1038/s41598-025-86112-w</w:t>
        </w:r>
      </w:hyperlink>
      <w:r w:rsidR="005B15E3">
        <w:t xml:space="preserve"> </w:t>
      </w:r>
    </w:p>
    <w:p w14:paraId="6264EE9D" w14:textId="77777777" w:rsidR="00C96257" w:rsidRDefault="00B802E0">
      <w:pPr>
        <w:keepLines/>
        <w:spacing w:after="160"/>
        <w:ind w:left="360" w:hanging="360"/>
      </w:pPr>
      <w:r>
        <w:t xml:space="preserve">National Institute for Health and Care Excellence [NICE] (2021) </w:t>
      </w:r>
      <w:r>
        <w:rPr>
          <w:i/>
        </w:rPr>
        <w:t>Shared decision making</w:t>
      </w:r>
      <w:r>
        <w:t xml:space="preserve">. NICE guideline NG197. Available at: </w:t>
      </w:r>
      <w:hyperlink r:id="rId20" w:history="1">
        <w:r w:rsidR="005B15E3" w:rsidRPr="00F84855">
          <w:rPr>
            <w:rStyle w:val="Hyperlink"/>
          </w:rPr>
          <w:t>https://www.nice.org.uk/guidance/ng197/chapter/recommendations</w:t>
        </w:r>
      </w:hyperlink>
      <w:r w:rsidR="005B15E3">
        <w:t xml:space="preserve"> </w:t>
      </w:r>
      <w:r>
        <w:t>(Accessed: 7 October 2026).</w:t>
      </w:r>
    </w:p>
    <w:p w14:paraId="5522D8F9" w14:textId="77777777" w:rsidR="00C96257" w:rsidRDefault="00B802E0">
      <w:pPr>
        <w:keepLines/>
        <w:spacing w:after="160"/>
        <w:ind w:left="360" w:hanging="360"/>
      </w:pPr>
      <w:r>
        <w:t xml:space="preserve">NHS Digital (2018) </w:t>
      </w:r>
      <w:r>
        <w:rPr>
          <w:i/>
        </w:rPr>
        <w:t>DCB0160: Clinical risk management: its application in the deployment and use of health IT systems</w:t>
      </w:r>
      <w:r>
        <w:t xml:space="preserve">. Available at: </w:t>
      </w:r>
      <w:hyperlink r:id="rId21" w:history="1">
        <w:r w:rsidR="005B15E3" w:rsidRPr="00F84855">
          <w:rPr>
            <w:rStyle w:val="Hyperlink"/>
          </w:rPr>
          <w:t>https://digital.nhs.uk/data-and-information/information-standards/governance/latest-activity/standards-and-collections/dcb0160-clinical-risk-management-its-application-in-the-deployment-and-use-of-health-it-systems</w:t>
        </w:r>
      </w:hyperlink>
      <w:r w:rsidR="005B15E3">
        <w:t xml:space="preserve"> </w:t>
      </w:r>
      <w:r>
        <w:t>(Accessed: 7 October 2026).</w:t>
      </w:r>
    </w:p>
    <w:p w14:paraId="34EA9D6D" w14:textId="77777777" w:rsidR="00C96257" w:rsidRDefault="00B802E0">
      <w:pPr>
        <w:keepLines/>
        <w:spacing w:after="160"/>
        <w:ind w:left="360" w:hanging="360"/>
      </w:pPr>
      <w:r>
        <w:t xml:space="preserve">NHS England (2023) </w:t>
      </w:r>
      <w:r>
        <w:rPr>
          <w:i/>
        </w:rPr>
        <w:t>Inclusive digital healthcare: a framework for NHS action on digital inclusion</w:t>
      </w:r>
      <w:r>
        <w:t xml:space="preserve">. Available at: </w:t>
      </w:r>
      <w:hyperlink r:id="rId22" w:history="1">
        <w:r w:rsidR="005B15E3" w:rsidRPr="00F84855">
          <w:rPr>
            <w:rStyle w:val="Hyperlink"/>
          </w:rPr>
          <w:t>https://www.england.nhs.uk/long-read/inclusive-digital-healthcare-a-framework-for-nhs-action-on-digital-inclusion/</w:t>
        </w:r>
      </w:hyperlink>
      <w:r w:rsidR="005B15E3">
        <w:t xml:space="preserve"> </w:t>
      </w:r>
      <w:r>
        <w:t>(Accessed: 7 October 2026).</w:t>
      </w:r>
    </w:p>
    <w:p w14:paraId="27A637B0" w14:textId="77777777" w:rsidR="00C96257" w:rsidRDefault="00B802E0">
      <w:pPr>
        <w:keepLines/>
        <w:spacing w:after="160"/>
        <w:ind w:left="360" w:hanging="360"/>
      </w:pPr>
      <w:r>
        <w:t xml:space="preserve">NHS England (2024) </w:t>
      </w:r>
      <w:r>
        <w:rPr>
          <w:i/>
        </w:rPr>
        <w:t>Summary of electronic Prescribing and Medicine Administration (ePMA) Directions 2024 issued to NHS England by the Secretary of State for Health and Social Care in May 2024</w:t>
      </w:r>
      <w:r>
        <w:t xml:space="preserve">. Available at: </w:t>
      </w:r>
      <w:hyperlink r:id="rId23" w:history="1">
        <w:r w:rsidR="005B15E3" w:rsidRPr="00F84855">
          <w:rPr>
            <w:rStyle w:val="Hyperlink"/>
          </w:rPr>
          <w:t>https://www.england.nhs.uk/long-read/summary-of-electronic-prescribing-and-medicine-administration-epma-directions-2024-issued-to-nhs-england-by-the-secretary-of-state-for-health-and-social-care-in-may-2024/</w:t>
        </w:r>
      </w:hyperlink>
      <w:r w:rsidR="005B15E3">
        <w:t xml:space="preserve"> </w:t>
      </w:r>
      <w:r>
        <w:t>(Accessed: 7 October 2026).</w:t>
      </w:r>
    </w:p>
    <w:p w14:paraId="2EB333A7" w14:textId="77777777" w:rsidR="00C96257" w:rsidRDefault="00B802E0">
      <w:pPr>
        <w:keepLines/>
        <w:spacing w:after="160"/>
        <w:ind w:left="360" w:hanging="360"/>
      </w:pPr>
      <w:r>
        <w:t xml:space="preserve">NHS England (no date) </w:t>
      </w:r>
      <w:r>
        <w:rPr>
          <w:i/>
        </w:rPr>
        <w:t>What Good Looks Like Hub</w:t>
      </w:r>
      <w:r>
        <w:t xml:space="preserve">. Available at: </w:t>
      </w:r>
      <w:hyperlink r:id="rId24" w:history="1">
        <w:r w:rsidR="005B15E3" w:rsidRPr="00F84855">
          <w:rPr>
            <w:rStyle w:val="Hyperlink"/>
          </w:rPr>
          <w:t>https://future.nhs.uk/WhatGoodLooksLikeKnowledge/grouphome</w:t>
        </w:r>
      </w:hyperlink>
      <w:r w:rsidR="005B15E3">
        <w:t xml:space="preserve"> </w:t>
      </w:r>
      <w:r>
        <w:t>(Accessed: 7 October 2026).</w:t>
      </w:r>
    </w:p>
    <w:p w14:paraId="2BD169E8" w14:textId="77777777" w:rsidR="00C96257" w:rsidRDefault="00B802E0">
      <w:pPr>
        <w:keepLines/>
        <w:spacing w:after="160"/>
        <w:ind w:left="360" w:hanging="360"/>
      </w:pPr>
      <w:r>
        <w:lastRenderedPageBreak/>
        <w:t xml:space="preserve">NHS England and NHS Improvement (2021) </w:t>
      </w:r>
      <w:r>
        <w:rPr>
          <w:i/>
        </w:rPr>
        <w:t>NHS Discharge Medicines Service - Essential Service: toolkit for pharmacy staff in community, primary and secondary care</w:t>
      </w:r>
      <w:r>
        <w:t xml:space="preserve">. Available at: </w:t>
      </w:r>
      <w:hyperlink r:id="rId25" w:history="1">
        <w:r w:rsidR="005B15E3" w:rsidRPr="00F84855">
          <w:rPr>
            <w:rStyle w:val="Hyperlink"/>
          </w:rPr>
          <w:t>https://www.england.nhs.uk/wp-content/uploads/2021/01/B0366-discharge-medicines-toolkit.pdf</w:t>
        </w:r>
      </w:hyperlink>
      <w:r w:rsidR="005B15E3">
        <w:t xml:space="preserve"> </w:t>
      </w:r>
      <w:r>
        <w:t>(Accessed: 7 October 2026).</w:t>
      </w:r>
    </w:p>
    <w:p w14:paraId="1BD8B3C3" w14:textId="77777777" w:rsidR="00C96257" w:rsidRDefault="00B802E0">
      <w:pPr>
        <w:keepLines/>
        <w:spacing w:after="160"/>
        <w:ind w:left="360" w:hanging="360"/>
      </w:pPr>
      <w:r>
        <w:t xml:space="preserve">Silva, G., Bourne, T., Hall, G., Patel, S., Rauf, M.Q., Vogel, A., Carruthers, A. and Xu, G. (2022a) 'Codeveloping an effective EMPA to maturity in an acute NHS Trust: an implementer report', </w:t>
      </w:r>
      <w:r>
        <w:rPr>
          <w:i/>
        </w:rPr>
        <w:t>BMJ Health and Care Informatics</w:t>
      </w:r>
      <w:r>
        <w:t xml:space="preserve">, 29(1), article e100477. Available at: </w:t>
      </w:r>
      <w:hyperlink r:id="rId26" w:history="1">
        <w:r w:rsidR="005B15E3" w:rsidRPr="00F84855">
          <w:rPr>
            <w:rStyle w:val="Hyperlink"/>
          </w:rPr>
          <w:t>https://doi.org/10.1136/bmjhci-2021-100477</w:t>
        </w:r>
      </w:hyperlink>
      <w:r w:rsidR="005B15E3">
        <w:t xml:space="preserve"> </w:t>
      </w:r>
    </w:p>
    <w:p w14:paraId="63750872" w14:textId="77777777" w:rsidR="00C96257" w:rsidRDefault="00B802E0">
      <w:pPr>
        <w:keepLines/>
        <w:spacing w:after="160"/>
        <w:ind w:left="360" w:hanging="360"/>
      </w:pPr>
      <w:r>
        <w:t xml:space="preserve">Silva, G., Hall, G., Vogel, A., Bourne, T. and Xu, G. (2022b) 'Transitioning EPMA applications in a large multisite teaching hospital', </w:t>
      </w:r>
      <w:r>
        <w:rPr>
          <w:i/>
        </w:rPr>
        <w:t>BMJ Open Quality</w:t>
      </w:r>
      <w:r>
        <w:t xml:space="preserve">, 11(4), article e001743. Available at: </w:t>
      </w:r>
      <w:hyperlink r:id="rId27" w:history="1">
        <w:r w:rsidR="005B15E3" w:rsidRPr="00F84855">
          <w:rPr>
            <w:rStyle w:val="Hyperlink"/>
          </w:rPr>
          <w:t>https://doi.org/10.1136/bmjoq-2021-001743</w:t>
        </w:r>
      </w:hyperlink>
      <w:r w:rsidR="005B15E3">
        <w:t xml:space="preserve"> </w:t>
      </w:r>
    </w:p>
    <w:p w14:paraId="1BD1D7A1" w14:textId="77777777" w:rsidR="00C96257" w:rsidRDefault="00B802E0">
      <w:pPr>
        <w:keepLines/>
        <w:spacing w:after="160"/>
        <w:ind w:left="360" w:hanging="360"/>
      </w:pPr>
      <w:r>
        <w:t xml:space="preserve">Weir, C.J., Hinder, S., Adamestam, I., Sharp, R., Ennis, H., Heed, A., Williams, R., Cresswell, K., Dogar, O., Pontefract, S., Coleman, J., Lilford, R., Watson, N., Slee, A., Chuter, A., Beggs, J., Slight, S., Mason, J., Bates, D.W. and Sheikh, A. (2024) 'A complex ePrescribing antimicrobial stewardship-based (ePAMS+) intervention for hospitals: mixed-methods feasibility trial results', </w:t>
      </w:r>
      <w:r>
        <w:rPr>
          <w:i/>
        </w:rPr>
        <w:t>BMC Medical Informatics and Decision Making</w:t>
      </w:r>
      <w:r>
        <w:t xml:space="preserve">, 24, article 301. Available at: </w:t>
      </w:r>
      <w:hyperlink r:id="rId28" w:history="1">
        <w:r w:rsidR="005B15E3" w:rsidRPr="00F84855">
          <w:rPr>
            <w:rStyle w:val="Hyperlink"/>
          </w:rPr>
          <w:t>https://doi.org/10.1186/s12911-024-02707-9</w:t>
        </w:r>
      </w:hyperlink>
      <w:r w:rsidR="005B15E3">
        <w:t xml:space="preserve"> </w:t>
      </w:r>
    </w:p>
    <w:sectPr w:rsidR="00C96257" w:rsidSect="00CD65AA">
      <w:footerReference w:type="default" r:id="rId29"/>
      <w:pgSz w:w="11909" w:h="16834"/>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8BB7DE" w14:textId="77777777" w:rsidR="00322B4B" w:rsidRDefault="00322B4B">
      <w:pPr>
        <w:spacing w:after="0" w:line="240" w:lineRule="auto"/>
      </w:pPr>
      <w:r>
        <w:separator/>
      </w:r>
    </w:p>
  </w:endnote>
  <w:endnote w:type="continuationSeparator" w:id="0">
    <w:p w14:paraId="190817BD" w14:textId="77777777" w:rsidR="00322B4B" w:rsidRDefault="00322B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5586904"/>
      <w:docPartObj>
        <w:docPartGallery w:val="Page Numbers (Bottom of Page)"/>
        <w:docPartUnique/>
      </w:docPartObj>
    </w:sdtPr>
    <w:sdtEndPr>
      <w:rPr>
        <w:noProof/>
      </w:rPr>
    </w:sdtEndPr>
    <w:sdtContent>
      <w:p w14:paraId="06EB26B8" w14:textId="77777777" w:rsidR="001823A7" w:rsidRDefault="001823A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390ABC" w14:textId="77777777" w:rsidR="001823A7" w:rsidRDefault="001823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609D5D" w14:textId="77777777" w:rsidR="00C96257" w:rsidRDefault="00B802E0">
    <w:pPr>
      <w:pStyle w:val="Footer"/>
      <w:jc w:val="center"/>
    </w:pPr>
    <w:r>
      <w:fldChar w:fldCharType="begin"/>
    </w:r>
    <w:r>
      <w:instrText xml:space="preserve"> PAGE </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71E350" w14:textId="77777777" w:rsidR="00322B4B" w:rsidRDefault="00322B4B">
      <w:pPr>
        <w:spacing w:after="0" w:line="240" w:lineRule="auto"/>
      </w:pPr>
      <w:r>
        <w:separator/>
      </w:r>
    </w:p>
  </w:footnote>
  <w:footnote w:type="continuationSeparator" w:id="0">
    <w:p w14:paraId="55CF5D20" w14:textId="77777777" w:rsidR="00322B4B" w:rsidRDefault="00322B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6F3E6D81"/>
    <w:multiLevelType w:val="hybridMultilevel"/>
    <w:tmpl w:val="512EE256"/>
    <w:lvl w:ilvl="0" w:tplc="A2984A94">
      <w:start w:val="1"/>
      <w:numFmt w:val="decimal"/>
      <w:pStyle w:val="Heading1"/>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442696612">
    <w:abstractNumId w:val="8"/>
  </w:num>
  <w:num w:numId="2" w16cid:durableId="517231818">
    <w:abstractNumId w:val="6"/>
  </w:num>
  <w:num w:numId="3" w16cid:durableId="2039307135">
    <w:abstractNumId w:val="5"/>
  </w:num>
  <w:num w:numId="4" w16cid:durableId="216205478">
    <w:abstractNumId w:val="4"/>
  </w:num>
  <w:num w:numId="5" w16cid:durableId="1303462152">
    <w:abstractNumId w:val="7"/>
  </w:num>
  <w:num w:numId="6" w16cid:durableId="1886789898">
    <w:abstractNumId w:val="3"/>
  </w:num>
  <w:num w:numId="7" w16cid:durableId="464592486">
    <w:abstractNumId w:val="2"/>
  </w:num>
  <w:num w:numId="8" w16cid:durableId="707069823">
    <w:abstractNumId w:val="1"/>
  </w:num>
  <w:num w:numId="9" w16cid:durableId="115294591">
    <w:abstractNumId w:val="0"/>
  </w:num>
  <w:num w:numId="10" w16cid:durableId="88880686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36F3"/>
    <w:rsid w:val="0001670C"/>
    <w:rsid w:val="0001764C"/>
    <w:rsid w:val="00034616"/>
    <w:rsid w:val="0006063C"/>
    <w:rsid w:val="000964E6"/>
    <w:rsid w:val="000E580E"/>
    <w:rsid w:val="001166E7"/>
    <w:rsid w:val="00116BD9"/>
    <w:rsid w:val="0013181F"/>
    <w:rsid w:val="00142245"/>
    <w:rsid w:val="0015074B"/>
    <w:rsid w:val="001823A7"/>
    <w:rsid w:val="001E1D6F"/>
    <w:rsid w:val="001F6EC8"/>
    <w:rsid w:val="0022295E"/>
    <w:rsid w:val="00240FA9"/>
    <w:rsid w:val="0029639D"/>
    <w:rsid w:val="002C3998"/>
    <w:rsid w:val="00310AF5"/>
    <w:rsid w:val="00322B4B"/>
    <w:rsid w:val="00326F90"/>
    <w:rsid w:val="00381876"/>
    <w:rsid w:val="003E1085"/>
    <w:rsid w:val="00425839"/>
    <w:rsid w:val="00477509"/>
    <w:rsid w:val="004B4ACF"/>
    <w:rsid w:val="00571540"/>
    <w:rsid w:val="005837FC"/>
    <w:rsid w:val="005A2EE9"/>
    <w:rsid w:val="005B15E3"/>
    <w:rsid w:val="005D20C7"/>
    <w:rsid w:val="005F31A2"/>
    <w:rsid w:val="00612910"/>
    <w:rsid w:val="0065291D"/>
    <w:rsid w:val="007651C8"/>
    <w:rsid w:val="007D01B9"/>
    <w:rsid w:val="00810B00"/>
    <w:rsid w:val="00872199"/>
    <w:rsid w:val="00895B61"/>
    <w:rsid w:val="008A55EF"/>
    <w:rsid w:val="00902A50"/>
    <w:rsid w:val="0094332C"/>
    <w:rsid w:val="009555DA"/>
    <w:rsid w:val="00961672"/>
    <w:rsid w:val="009D7A1A"/>
    <w:rsid w:val="009F7F3F"/>
    <w:rsid w:val="00AA1D8D"/>
    <w:rsid w:val="00AA3B80"/>
    <w:rsid w:val="00AC03CB"/>
    <w:rsid w:val="00B24E15"/>
    <w:rsid w:val="00B31E99"/>
    <w:rsid w:val="00B47730"/>
    <w:rsid w:val="00B802E0"/>
    <w:rsid w:val="00BB1167"/>
    <w:rsid w:val="00BB5EC8"/>
    <w:rsid w:val="00BE0C12"/>
    <w:rsid w:val="00C521E4"/>
    <w:rsid w:val="00C871A7"/>
    <w:rsid w:val="00C90AD0"/>
    <w:rsid w:val="00C96257"/>
    <w:rsid w:val="00CA5410"/>
    <w:rsid w:val="00CB0664"/>
    <w:rsid w:val="00CC7D6F"/>
    <w:rsid w:val="00CD65AA"/>
    <w:rsid w:val="00CD6DE0"/>
    <w:rsid w:val="00D71FC7"/>
    <w:rsid w:val="00DA66CD"/>
    <w:rsid w:val="00E1095C"/>
    <w:rsid w:val="00E14CD4"/>
    <w:rsid w:val="00E16D8F"/>
    <w:rsid w:val="00E37145"/>
    <w:rsid w:val="00E8710E"/>
    <w:rsid w:val="00E91B45"/>
    <w:rsid w:val="00E95D46"/>
    <w:rsid w:val="00F23EC6"/>
    <w:rsid w:val="00FA50E4"/>
    <w:rsid w:val="00FC17AF"/>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556E4E2"/>
  <w14:defaultImageDpi w14:val="300"/>
  <w15:docId w15:val="{BE870928-F951-4E76-8054-5690E5E5BA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40" w:line="360" w:lineRule="auto"/>
      <w:jc w:val="both"/>
    </w:pPr>
    <w:rPr>
      <w:rFonts w:ascii="Arial" w:eastAsia="Arial" w:hAnsi="Arial" w:cs="Arial"/>
      <w:color w:val="000000"/>
    </w:rPr>
  </w:style>
  <w:style w:type="paragraph" w:styleId="Heading1">
    <w:name w:val="heading 1"/>
    <w:basedOn w:val="Normal"/>
    <w:next w:val="Normal"/>
    <w:link w:val="Heading1Char"/>
    <w:autoRedefine/>
    <w:uiPriority w:val="9"/>
    <w:qFormat/>
    <w:rsid w:val="005A2EE9"/>
    <w:pPr>
      <w:keepNext/>
      <w:keepLines/>
      <w:numPr>
        <w:numId w:val="10"/>
      </w:numPr>
      <w:spacing w:before="160" w:after="80"/>
      <w:jc w:val="left"/>
      <w:outlineLvl w:val="0"/>
    </w:pPr>
    <w:rPr>
      <w:rFonts w:cstheme="majorBidi"/>
      <w:b/>
      <w:bCs/>
      <w:sz w:val="32"/>
    </w:rPr>
  </w:style>
  <w:style w:type="paragraph" w:styleId="Heading2">
    <w:name w:val="heading 2"/>
    <w:basedOn w:val="Normal"/>
    <w:next w:val="Normal"/>
    <w:link w:val="Heading2Char"/>
    <w:autoRedefine/>
    <w:uiPriority w:val="9"/>
    <w:unhideWhenUsed/>
    <w:qFormat/>
    <w:rsid w:val="000E580E"/>
    <w:pPr>
      <w:keepNext/>
      <w:keepLines/>
      <w:spacing w:before="120" w:after="80"/>
      <w:jc w:val="left"/>
      <w:outlineLvl w:val="1"/>
    </w:pPr>
    <w:rPr>
      <w:rFonts w:cstheme="majorBidi"/>
      <w:b/>
      <w:bCs/>
      <w:sz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80"/>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5A2EE9"/>
    <w:rPr>
      <w:rFonts w:ascii="Arial" w:eastAsia="Arial" w:hAnsi="Arial" w:cstheme="majorBidi"/>
      <w:b/>
      <w:bCs/>
      <w:color w:val="000000"/>
      <w:sz w:val="32"/>
    </w:rPr>
  </w:style>
  <w:style w:type="character" w:customStyle="1" w:styleId="Heading2Char">
    <w:name w:val="Heading 2 Char"/>
    <w:basedOn w:val="DefaultParagraphFont"/>
    <w:link w:val="Heading2"/>
    <w:uiPriority w:val="9"/>
    <w:rsid w:val="000E580E"/>
    <w:rPr>
      <w:rFonts w:ascii="Arial" w:eastAsia="Arial" w:hAnsi="Arial" w:cstheme="majorBidi"/>
      <w:b/>
      <w:bCs/>
      <w:color w:val="000000"/>
      <w:sz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spacing w:before="720" w:after="240"/>
      <w:contextualSpacing/>
    </w:pPr>
    <w:rPr>
      <w:rFonts w:cstheme="majorBidi"/>
      <w:b/>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spacing w:after="80"/>
    </w:pPr>
    <w:rPr>
      <w:rFonts w:cstheme="majorBidi"/>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1F6EC8"/>
    <w:pPr>
      <w:spacing w:after="100"/>
    </w:pPr>
  </w:style>
  <w:style w:type="paragraph" w:styleId="TOC2">
    <w:name w:val="toc 2"/>
    <w:basedOn w:val="Normal"/>
    <w:next w:val="Normal"/>
    <w:autoRedefine/>
    <w:uiPriority w:val="39"/>
    <w:unhideWhenUsed/>
    <w:rsid w:val="001F6EC8"/>
    <w:pPr>
      <w:spacing w:after="100"/>
      <w:ind w:left="220"/>
    </w:pPr>
  </w:style>
  <w:style w:type="character" w:styleId="Hyperlink">
    <w:name w:val="Hyperlink"/>
    <w:basedOn w:val="DefaultParagraphFont"/>
    <w:uiPriority w:val="99"/>
    <w:unhideWhenUsed/>
    <w:rsid w:val="001F6EC8"/>
    <w:rPr>
      <w:color w:val="0000FF" w:themeColor="hyperlink"/>
      <w:u w:val="single"/>
    </w:rPr>
  </w:style>
  <w:style w:type="paragraph" w:styleId="NormalWeb">
    <w:name w:val="Normal (Web)"/>
    <w:basedOn w:val="Normal"/>
    <w:uiPriority w:val="99"/>
    <w:unhideWhenUsed/>
    <w:rsid w:val="00CC7D6F"/>
    <w:pPr>
      <w:spacing w:before="100" w:beforeAutospacing="1" w:after="100" w:afterAutospacing="1" w:line="240" w:lineRule="auto"/>
      <w:jc w:val="left"/>
    </w:pPr>
    <w:rPr>
      <w:rFonts w:ascii="Times New Roman" w:eastAsia="Times New Roman" w:hAnsi="Times New Roman" w:cs="Times New Roman"/>
      <w:color w:val="auto"/>
      <w:sz w:val="24"/>
      <w:szCs w:val="24"/>
    </w:rPr>
  </w:style>
  <w:style w:type="character" w:styleId="UnresolvedMention">
    <w:name w:val="Unresolved Mention"/>
    <w:basedOn w:val="DefaultParagraphFont"/>
    <w:uiPriority w:val="99"/>
    <w:semiHidden/>
    <w:unhideWhenUsed/>
    <w:rsid w:val="005B15E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7034437">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doi.org/10.1371/journal.pone.0153721" TargetMode="External"/><Relationship Id="rId18" Type="http://schemas.openxmlformats.org/officeDocument/2006/relationships/hyperlink" Target="https://ico.org.uk/for-organisations/uk-gdpr-guidance-and-resources/lawful-basis/a-guide-to-lawful-basis/special-category-data/" TargetMode="External"/><Relationship Id="rId26" Type="http://schemas.openxmlformats.org/officeDocument/2006/relationships/hyperlink" Target="https://doi.org/10.1136/bmjhci-2021-100477" TargetMode="External"/><Relationship Id="rId3" Type="http://schemas.openxmlformats.org/officeDocument/2006/relationships/styles" Target="styles.xml"/><Relationship Id="rId21" Type="http://schemas.openxmlformats.org/officeDocument/2006/relationships/hyperlink" Target="https://digital.nhs.uk/data-and-information/information-standards/governance/latest-activity/standards-and-collections/dcb0160-clinical-risk-management-its-application-in-the-deployment-and-use-of-health-it-systems" TargetMode="External"/><Relationship Id="rId7" Type="http://schemas.openxmlformats.org/officeDocument/2006/relationships/endnotes" Target="endnotes.xml"/><Relationship Id="rId12" Type="http://schemas.openxmlformats.org/officeDocument/2006/relationships/hyperlink" Target="https://www.gov.uk/government/publications/cyber-security-strategy-for-health-and-social-care-2023-to-2030/a-cyber-resilient-health-and-adult-social-care-system-in-england-cyber-security-strategy-to-2030" TargetMode="External"/><Relationship Id="rId17" Type="http://schemas.openxmlformats.org/officeDocument/2006/relationships/hyperlink" Target="https://publications.parliament.uk/pa/cm5803/cmselect/cmhealth/223/report.html" TargetMode="External"/><Relationship Id="rId25" Type="http://schemas.openxmlformats.org/officeDocument/2006/relationships/hyperlink" Target="https://www.england.nhs.uk/wp-content/uploads/2021/01/B0366-discharge-medicines-toolkit.pdf" TargetMode="External"/><Relationship Id="rId2" Type="http://schemas.openxmlformats.org/officeDocument/2006/relationships/numbering" Target="numbering.xml"/><Relationship Id="rId16" Type="http://schemas.openxmlformats.org/officeDocument/2006/relationships/hyperlink" Target="https://www.hssib.org.uk/patient-safety-investigations/electronic-prescribing-and-medicines-administration-systems-and-safe-discharge/investigation-report/" TargetMode="External"/><Relationship Id="rId20" Type="http://schemas.openxmlformats.org/officeDocument/2006/relationships/hyperlink" Target="https://www.nice.org.uk/guidance/ng197/chapter/recommendations"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publications/a-plan-for-digital-health-and-social-care/a-plan-for-digital-health-and-social-care" TargetMode="External"/><Relationship Id="rId24" Type="http://schemas.openxmlformats.org/officeDocument/2006/relationships/hyperlink" Target="https://future.nhs.uk/WhatGoodLooksLikeKnowledge/grouphome" TargetMode="External"/><Relationship Id="rId5" Type="http://schemas.openxmlformats.org/officeDocument/2006/relationships/webSettings" Target="webSettings.xml"/><Relationship Id="rId15" Type="http://schemas.openxmlformats.org/officeDocument/2006/relationships/hyperlink" Target="https://www.hssib.org.uk/patient-safety-investigations/medication-related-harm/fourth-investigation-report/" TargetMode="External"/><Relationship Id="rId23" Type="http://schemas.openxmlformats.org/officeDocument/2006/relationships/hyperlink" Target="https://www.england.nhs.uk/long-read/summary-of-electronic-prescribing-and-medicine-administration-epma-directions-2024-issued-to-nhs-england-by-the-secretary-of-state-for-health-and-social-care-in-may-2024/" TargetMode="External"/><Relationship Id="rId28" Type="http://schemas.openxmlformats.org/officeDocument/2006/relationships/hyperlink" Target="https://doi.org/10.1186/s12911-024-02707-9" TargetMode="External"/><Relationship Id="rId10" Type="http://schemas.openxmlformats.org/officeDocument/2006/relationships/hyperlink" Target="https://doi.org/10.1136/bmjopen-2021-056221" TargetMode="External"/><Relationship Id="rId19" Type="http://schemas.openxmlformats.org/officeDocument/2006/relationships/hyperlink" Target="https://doi.org/10.1038/s41598-025-86112-w"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007/s11096-020-01192-0" TargetMode="External"/><Relationship Id="rId14" Type="http://schemas.openxmlformats.org/officeDocument/2006/relationships/hyperlink" Target="https://www.hssib.org.uk/patient-safety-investigations/medication-related-harm/third-investigation-report/" TargetMode="External"/><Relationship Id="rId22" Type="http://schemas.openxmlformats.org/officeDocument/2006/relationships/hyperlink" Target="https://www.england.nhs.uk/long-read/inclusive-digital-healthcare-a-framework-for-nhs-action-on-digital-inclusion/" TargetMode="External"/><Relationship Id="rId27" Type="http://schemas.openxmlformats.org/officeDocument/2006/relationships/hyperlink" Target="https://doi.org/10.1136/bmjoq-2021-001743"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B25829C-F927-469A-990B-71C06029C7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3611</Words>
  <Characters>20588</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Electronic Prescribing in NHS Hospitals</vt:lpstr>
    </vt:vector>
  </TitlesOfParts>
  <Manager/>
  <Company/>
  <LinksUpToDate>false</LinksUpToDate>
  <CharactersWithSpaces>24151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Sunbal Babar</dc:creator>
  <cp:keywords/>
  <dc:description/>
  <cp:lastModifiedBy>Sumaira Shah (2414021)</cp:lastModifiedBy>
  <cp:revision>2</cp:revision>
  <dcterms:created xsi:type="dcterms:W3CDTF">2026-10-12T10:44:00Z</dcterms:created>
  <dcterms:modified xsi:type="dcterms:W3CDTF">2026-10-12T10:44:00Z</dcterms:modified>
  <cp:category/>
</cp:coreProperties>
</file>