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677DD" w14:textId="599B2950" w:rsidR="00F612BB" w:rsidRDefault="00F612BB">
      <w:r>
        <w:t>Project Plan</w:t>
      </w:r>
      <w:r w:rsidR="00B311CB">
        <w:t xml:space="preserve"> for </w:t>
      </w:r>
      <w:r w:rsidR="00B311CB" w:rsidRPr="00BE37F2">
        <w:t>“</w:t>
      </w:r>
      <w:r w:rsidR="00B311CB" w:rsidRPr="00697B33">
        <w:rPr>
          <w:i/>
          <w:iCs/>
        </w:rPr>
        <w:t>How did the Achaemenid Persian empire deal with the challenges involved with the administration of a large empire?</w:t>
      </w:r>
      <w:r w:rsidR="00B311CB" w:rsidRPr="00BE37F2">
        <w:t>”</w:t>
      </w:r>
    </w:p>
    <w:p w14:paraId="1E2CF272" w14:textId="77777777" w:rsidR="00F612BB" w:rsidRDefault="00F612BB"/>
    <w:p w14:paraId="2CD673AF" w14:textId="0F9F2A47" w:rsidR="00651C6B" w:rsidRDefault="00F858A2">
      <w:r>
        <w:t xml:space="preserve">My </w:t>
      </w:r>
      <w:r w:rsidR="00AF4FF3">
        <w:t xml:space="preserve">Independent project will focus on the Achaemenid Persian empire, </w:t>
      </w:r>
      <w:r w:rsidR="00DE7C93">
        <w:t>in particular the administrative side</w:t>
      </w:r>
      <w:r w:rsidR="00A7719F">
        <w:t xml:space="preserve"> of </w:t>
      </w:r>
      <w:r w:rsidR="00B57DD2">
        <w:t>the empire’s system.</w:t>
      </w:r>
      <w:r w:rsidR="00D44D80">
        <w:t xml:space="preserve"> Covered will be how the empire</w:t>
      </w:r>
      <w:r w:rsidR="00BD2C67">
        <w:t xml:space="preserve"> deals with challenges to its </w:t>
      </w:r>
      <w:r w:rsidR="006078AD">
        <w:t xml:space="preserve">rule, both from internal threats such as rebellions in the satrapies or succession crises, </w:t>
      </w:r>
      <w:r w:rsidR="00912618">
        <w:t>and from external threats</w:t>
      </w:r>
      <w:r w:rsidR="00DC699D">
        <w:t xml:space="preserve"> such as attacks by hostile forces such as the Greeks.</w:t>
      </w:r>
      <w:r w:rsidR="00C97005">
        <w:t xml:space="preserve"> It will also cover </w:t>
      </w:r>
      <w:r w:rsidR="00574C4E">
        <w:t xml:space="preserve">how the empire deals with the practical problems related to running an empire of the size that </w:t>
      </w:r>
      <w:r w:rsidR="00D6194A">
        <w:t>was vastly larger than any that had been seen in the Mediterranean at that time.</w:t>
      </w:r>
      <w:r w:rsidR="00C51AE2">
        <w:br/>
        <w:t xml:space="preserve">I chose this topic because of a personal interest in Achaemenid Persia, as well as </w:t>
      </w:r>
      <w:r w:rsidR="00E20507">
        <w:t xml:space="preserve">a belief that the Achaemenid Persian Empire is a somewhat under-researched area of the ancient world, </w:t>
      </w:r>
      <w:r w:rsidR="00052CB3">
        <w:t xml:space="preserve">particularly for </w:t>
      </w:r>
      <w:r w:rsidR="007013AB">
        <w:t>an empire of such massive size and influence,</w:t>
      </w:r>
      <w:r w:rsidR="00850D22">
        <w:t xml:space="preserve"> </w:t>
      </w:r>
      <w:r w:rsidR="00E20507">
        <w:t>at least compared to its contemporaries</w:t>
      </w:r>
      <w:r w:rsidR="00DF7054">
        <w:t xml:space="preserve"> in the Greek world</w:t>
      </w:r>
      <w:r w:rsidR="00850D22">
        <w:t xml:space="preserve"> at the time, who receive far mote scholarship</w:t>
      </w:r>
      <w:r w:rsidR="00DF7054">
        <w:t>.</w:t>
      </w:r>
      <w:r w:rsidR="00850D22">
        <w:t xml:space="preserve"> </w:t>
      </w:r>
    </w:p>
    <w:p w14:paraId="28B270BC" w14:textId="66BF3B65" w:rsidR="00544E71" w:rsidRDefault="00CD2E15">
      <w:r>
        <w:t>The</w:t>
      </w:r>
      <w:r w:rsidR="00314BCA">
        <w:t xml:space="preserve"> question that I </w:t>
      </w:r>
      <w:r w:rsidR="00635D78">
        <w:t xml:space="preserve">have decided to use for this purpose is the following: </w:t>
      </w:r>
      <w:r w:rsidR="00BE37F2" w:rsidRPr="00BE37F2">
        <w:t>“</w:t>
      </w:r>
      <w:r w:rsidR="00BE37F2" w:rsidRPr="00697B33">
        <w:rPr>
          <w:i/>
          <w:iCs/>
        </w:rPr>
        <w:t xml:space="preserve">How did the Achaemenid Persian </w:t>
      </w:r>
      <w:r w:rsidR="00D74C2B">
        <w:rPr>
          <w:i/>
          <w:iCs/>
        </w:rPr>
        <w:t>E</w:t>
      </w:r>
      <w:r w:rsidR="00BE37F2" w:rsidRPr="00697B33">
        <w:rPr>
          <w:i/>
          <w:iCs/>
        </w:rPr>
        <w:t>mpire deal with the challenges involved with the administration of a large empire</w:t>
      </w:r>
      <w:r w:rsidR="00733280" w:rsidRPr="00697B33">
        <w:rPr>
          <w:i/>
          <w:iCs/>
        </w:rPr>
        <w:t>?</w:t>
      </w:r>
      <w:r w:rsidR="00BE37F2" w:rsidRPr="00BE37F2">
        <w:t>”</w:t>
      </w:r>
    </w:p>
    <w:p w14:paraId="1EC15A19" w14:textId="4A62D657" w:rsidR="00651C6B" w:rsidRDefault="00651C6B">
      <w:r>
        <w:t xml:space="preserve">As such, I aim to bring together as much information relating to the Achaemenid Empire, </w:t>
      </w:r>
      <w:r w:rsidR="00363014">
        <w:t xml:space="preserve">and </w:t>
      </w:r>
      <w:r w:rsidR="00561B0D">
        <w:t>by analysing</w:t>
      </w:r>
      <w:r w:rsidR="0003586B">
        <w:t xml:space="preserve">, comparing and collating it, put together a </w:t>
      </w:r>
      <w:r w:rsidR="00D74C2B">
        <w:t>comprehensive essay on the administration of the Achaemenid Empire</w:t>
      </w:r>
      <w:r w:rsidR="00AB4913">
        <w:t>’s administrative challenges and how the empire dealt with th</w:t>
      </w:r>
      <w:r w:rsidR="00D676C9">
        <w:t>ose challenges</w:t>
      </w:r>
      <w:r w:rsidR="00554BFE">
        <w:t>.</w:t>
      </w:r>
      <w:r w:rsidR="00B65F36">
        <w:t xml:space="preserve"> </w:t>
      </w:r>
      <w:r w:rsidR="004C5EFA">
        <w:t>This will be achieved through extensive use of both primary and secondary sources</w:t>
      </w:r>
      <w:r w:rsidR="00082BDE">
        <w:t xml:space="preserve">, along with my </w:t>
      </w:r>
      <w:r w:rsidR="00074EA4">
        <w:t>comparison to other</w:t>
      </w:r>
      <w:r w:rsidR="007A0639">
        <w:t xml:space="preserve"> </w:t>
      </w:r>
      <w:r w:rsidR="00074EA4">
        <w:t>contemporary empires</w:t>
      </w:r>
      <w:r w:rsidR="004C5EFA">
        <w:t>.</w:t>
      </w:r>
    </w:p>
    <w:p w14:paraId="106C74F2" w14:textId="7CC5D728" w:rsidR="00A90A84" w:rsidRDefault="00A90A84">
      <w:r>
        <w:t xml:space="preserve">The Achaemenid Persian empire has a lot of </w:t>
      </w:r>
      <w:r w:rsidR="005A5A16">
        <w:t xml:space="preserve">interesting, noteworthy, or otherwise unique features particularly in </w:t>
      </w:r>
      <w:r w:rsidR="00C03B55">
        <w:t>its administration</w:t>
      </w:r>
      <w:r w:rsidR="00CD1324">
        <w:t>. I will be analysing these to</w:t>
      </w:r>
      <w:r w:rsidR="00145060">
        <w:t xml:space="preserve"> determine how the empire’s systems assist in the administration, and how well they respond to</w:t>
      </w:r>
      <w:r w:rsidR="00B47236">
        <w:t xml:space="preserve"> the</w:t>
      </w:r>
      <w:r w:rsidR="00145060">
        <w:t xml:space="preserve"> </w:t>
      </w:r>
      <w:r w:rsidR="00B47236">
        <w:t xml:space="preserve">many </w:t>
      </w:r>
      <w:r w:rsidR="00145060">
        <w:t>challenges</w:t>
      </w:r>
      <w:r w:rsidR="00B47236">
        <w:t xml:space="preserve"> associated with running an empire at scale</w:t>
      </w:r>
      <w:r w:rsidR="00145060">
        <w:t>.</w:t>
      </w:r>
      <w:r w:rsidR="00ED5671">
        <w:t xml:space="preserve"> I will also compare this to </w:t>
      </w:r>
      <w:r w:rsidR="0074749A">
        <w:t xml:space="preserve">other contemporary and close contemporary </w:t>
      </w:r>
      <w:r w:rsidR="00A83E9A">
        <w:t>civilisations (Rome and Greece chiefly, as well as likely some input from the later Persian empires (</w:t>
      </w:r>
      <w:r w:rsidR="000177ED">
        <w:t xml:space="preserve">namely </w:t>
      </w:r>
      <w:r w:rsidR="00A83E9A">
        <w:t>the Parthians and the Sassanids)</w:t>
      </w:r>
      <w:r w:rsidR="000406D0">
        <w:t xml:space="preserve"> to s</w:t>
      </w:r>
      <w:r w:rsidR="00890E5E">
        <w:t>how the differences and similarities between the Achaemenids and the</w:t>
      </w:r>
      <w:r w:rsidR="0009593F">
        <w:t>ir contemporaries.</w:t>
      </w:r>
    </w:p>
    <w:p w14:paraId="57D49239" w14:textId="34BEDB62" w:rsidR="003A0EE5" w:rsidRDefault="00DE7C93">
      <w:r>
        <w:t>I will be making particular note of the Achaemenid system of satrapies (vassal provinces) for their use in stabilising the empire and safely controlling and governing the huge expanses of the empire</w:t>
      </w:r>
      <w:r w:rsidR="001A6B15">
        <w:t>, as it is a particularly unusual and effective method for controlling an empire of such vast size without suffering quite so much from overextension as many empires do</w:t>
      </w:r>
      <w:r w:rsidR="00951872">
        <w:t>.</w:t>
      </w:r>
      <w:r w:rsidR="00951872">
        <w:br/>
        <w:t>I will also be</w:t>
      </w:r>
      <w:r>
        <w:t xml:space="preserve"> </w:t>
      </w:r>
      <w:r w:rsidR="00951872">
        <w:t xml:space="preserve">using the </w:t>
      </w:r>
      <w:r w:rsidR="00CE57F1">
        <w:t xml:space="preserve">courier/messenger system that </w:t>
      </w:r>
      <w:r w:rsidR="005834D9">
        <w:t xml:space="preserve">the empire developed, as is an </w:t>
      </w:r>
      <w:r w:rsidR="005834D9">
        <w:lastRenderedPageBreak/>
        <w:t>exceptional example of such a system,</w:t>
      </w:r>
      <w:r w:rsidR="00E5174B">
        <w:t xml:space="preserve"> that would not only outclass many contemporary</w:t>
      </w:r>
      <w:r w:rsidR="00BE1D29">
        <w:t xml:space="preserve"> and later</w:t>
      </w:r>
      <w:r w:rsidR="00E5174B">
        <w:t xml:space="preserve"> empires (such as the Roman Empire), but also </w:t>
      </w:r>
      <w:r w:rsidR="00BE1D29">
        <w:t xml:space="preserve">a system </w:t>
      </w:r>
      <w:r w:rsidR="00A03118">
        <w:t>similar to the Achaemenid’s</w:t>
      </w:r>
      <w:r w:rsidR="00BE1D29">
        <w:t xml:space="preserve"> would continue to be used by many empires going onwards in the same region</w:t>
      </w:r>
      <w:r w:rsidR="00A03118">
        <w:t>, such as the Sassanids</w:t>
      </w:r>
      <w:r w:rsidR="00BE1D29">
        <w:t>.</w:t>
      </w:r>
      <w:r w:rsidR="009B4691">
        <w:br/>
        <w:t xml:space="preserve">The Achaemenid Empire also makes use of standardisation in the empire, with coinage being standardised and </w:t>
      </w:r>
      <w:r w:rsidR="00282B2E">
        <w:t>language being standardised (in the case of language, imperial Aramaic was used).</w:t>
      </w:r>
      <w:r w:rsidR="003A0EE5">
        <w:br/>
        <w:t>Infrastructure projects were also important to the running of the empire, as the empire relied on</w:t>
      </w:r>
      <w:r w:rsidR="00847836">
        <w:t xml:space="preserve"> an extensive system of</w:t>
      </w:r>
      <w:r w:rsidR="003A0EE5">
        <w:t xml:space="preserve"> roads, </w:t>
      </w:r>
      <w:r w:rsidR="00847836">
        <w:t>canals and rivers for interconnectivity, and one</w:t>
      </w:r>
      <w:r w:rsidR="005766DF">
        <w:t xml:space="preserve"> notable</w:t>
      </w:r>
      <w:r w:rsidR="00847836">
        <w:t xml:space="preserve"> way that the empire asserted control over</w:t>
      </w:r>
      <w:r w:rsidR="00B16F45">
        <w:t xml:space="preserve"> and gained favour with</w:t>
      </w:r>
      <w:r w:rsidR="00847836">
        <w:t xml:space="preserve"> the satrapies </w:t>
      </w:r>
      <w:r w:rsidR="00B16F45">
        <w:t xml:space="preserve">was through the construction of </w:t>
      </w:r>
      <w:r w:rsidR="00D82B28">
        <w:t>infrastructure projects.</w:t>
      </w:r>
      <w:r w:rsidR="000D2DF4">
        <w:br/>
        <w:t xml:space="preserve">Additionally, the Achaemenid empire put a lot of effort into keeping good relations with both the satraps, and their relevant ethnic and religious groups, </w:t>
      </w:r>
      <w:r w:rsidR="006042AF">
        <w:t>this allowed the</w:t>
      </w:r>
      <w:r w:rsidR="00E20DE5">
        <w:t xml:space="preserve"> empire</w:t>
      </w:r>
      <w:r w:rsidR="006042AF">
        <w:t xml:space="preserve"> to </w:t>
      </w:r>
      <w:r w:rsidR="00E20DE5">
        <w:t xml:space="preserve">keep their satraps </w:t>
      </w:r>
      <w:r w:rsidR="00BA6BB3">
        <w:t xml:space="preserve">loyal and </w:t>
      </w:r>
      <w:r w:rsidR="00E20DE5">
        <w:t>in a relative level of stability.</w:t>
      </w:r>
    </w:p>
    <w:p w14:paraId="583E7ED9" w14:textId="57F39AC3" w:rsidR="00DC2A4F" w:rsidRDefault="007C4660">
      <w:r>
        <w:t>T</w:t>
      </w:r>
      <w:r w:rsidR="00314BCA">
        <w:t xml:space="preserve">he format I have chosen to use for the </w:t>
      </w:r>
      <w:r w:rsidR="00E13A1F">
        <w:t xml:space="preserve">end result of the project is an essay. This is because it would be the best way to </w:t>
      </w:r>
      <w:r w:rsidR="004D6483">
        <w:t>convey the large amount of information from various sources</w:t>
      </w:r>
      <w:r w:rsidR="00691840">
        <w:t xml:space="preserve"> that is necessary for any project covering a reasonably wide subject area</w:t>
      </w:r>
      <w:r w:rsidR="004D6483">
        <w:t>,</w:t>
      </w:r>
      <w:r w:rsidR="00787CFC">
        <w:t xml:space="preserve"> and allows for</w:t>
      </w:r>
      <w:r w:rsidR="0042673C">
        <w:t xml:space="preserve"> easy detailed comparison between</w:t>
      </w:r>
      <w:r w:rsidR="00787CFC">
        <w:t xml:space="preserve"> </w:t>
      </w:r>
      <w:r w:rsidR="00F5724E">
        <w:t>points and sources.</w:t>
      </w:r>
      <w:r w:rsidR="00E57040">
        <w:br/>
      </w:r>
      <w:r w:rsidR="000F306C">
        <w:t>Additionally,</w:t>
      </w:r>
      <w:r w:rsidR="0070644D">
        <w:t xml:space="preserve"> </w:t>
      </w:r>
      <w:r w:rsidR="0048025B">
        <w:t>an</w:t>
      </w:r>
      <w:r w:rsidR="000F306C">
        <w:t xml:space="preserve"> essay</w:t>
      </w:r>
      <w:r w:rsidR="0070644D">
        <w:t xml:space="preserve"> is the </w:t>
      </w:r>
      <w:r w:rsidR="00522FAD">
        <w:t>format that I am by far most experienced with</w:t>
      </w:r>
      <w:r w:rsidR="000F306C">
        <w:t xml:space="preserve">, which will allow me to put out a far higher quality of work than I would have if I </w:t>
      </w:r>
      <w:r w:rsidR="005B43F1">
        <w:t xml:space="preserve">were to attempt to use a </w:t>
      </w:r>
      <w:r w:rsidR="00081D62">
        <w:t>format that I am unfamiliar with.</w:t>
      </w:r>
    </w:p>
    <w:p w14:paraId="395ACEDE" w14:textId="6C759F54" w:rsidR="00200916" w:rsidRDefault="00200916">
      <w:r>
        <w:t>I have done a level of preliminary source research, and have gathered a number of sources that should be useful for the project, and have gone through and done some basic analysis of a number of them in the process of planning this project. These</w:t>
      </w:r>
      <w:r w:rsidR="00024DDF">
        <w:t xml:space="preserve"> secondary</w:t>
      </w:r>
      <w:r>
        <w:t xml:space="preserve"> sources will be listed below</w:t>
      </w:r>
      <w:r w:rsidR="00852B72">
        <w:t>.</w:t>
      </w:r>
      <w:r w:rsidR="00024DDF">
        <w:br/>
        <w:t xml:space="preserve">Additionally, a number of primary sources are also available, </w:t>
      </w:r>
      <w:r w:rsidR="00822CA6">
        <w:t>among the most useful of which is Herodotus “The Histories”, and the archaeological excavations at Persepolis (the Achaemenid administrative capital)</w:t>
      </w:r>
      <w:r w:rsidR="005C035B">
        <w:t>.</w:t>
      </w:r>
    </w:p>
    <w:p w14:paraId="77FE5972" w14:textId="57386AB6" w:rsidR="00926FF1" w:rsidRDefault="005A648F">
      <w:r>
        <w:t>Below is the list of</w:t>
      </w:r>
      <w:r w:rsidR="00A77596">
        <w:t xml:space="preserve"> secondary</w:t>
      </w:r>
      <w:r>
        <w:t xml:space="preserve"> sources that I have gathered and looked through, some of which I have already analysed, but a number I have only currently managed to briefly look over</w:t>
      </w:r>
      <w:r w:rsidR="00F54033">
        <w:t>.</w:t>
      </w:r>
      <w:r w:rsidR="00926FF1">
        <w:t xml:space="preserve"> I plan on analysing all of these sources</w:t>
      </w:r>
      <w:r w:rsidR="00A36ECF">
        <w:t xml:space="preserve"> to make sure that I have a wide perspective on the topic. I will also be seeking out and analysing further sources beyond these, as </w:t>
      </w:r>
      <w:r w:rsidR="00F402EA">
        <w:t xml:space="preserve">building up a greater knowledge base and having more sources to draw from will greatly improve </w:t>
      </w:r>
      <w:r w:rsidR="00EE789A">
        <w:t xml:space="preserve">the quality of </w:t>
      </w:r>
      <w:r w:rsidR="00F402EA">
        <w:t xml:space="preserve">my </w:t>
      </w:r>
      <w:r w:rsidR="00EA3B48">
        <w:t>project.</w:t>
      </w:r>
      <w:r w:rsidR="00851648">
        <w:br/>
        <w:t xml:space="preserve">An initial </w:t>
      </w:r>
      <w:r w:rsidR="007730C6">
        <w:t xml:space="preserve">review of the sources has shown that I should not </w:t>
      </w:r>
      <w:r w:rsidR="00935C03">
        <w:t xml:space="preserve">hugely </w:t>
      </w:r>
      <w:r w:rsidR="007730C6">
        <w:t xml:space="preserve">lack </w:t>
      </w:r>
      <w:r w:rsidR="00935C03">
        <w:t xml:space="preserve">for material to work with, though </w:t>
      </w:r>
      <w:r w:rsidR="00BB1F1F">
        <w:t>compared to Greece there are far less resources and research related to the Achaemenid empire.</w:t>
      </w:r>
    </w:p>
    <w:p w14:paraId="40FDC3A8" w14:textId="77777777" w:rsidR="00926FF1" w:rsidRDefault="00926FF1"/>
    <w:p w14:paraId="4E1CFEA5" w14:textId="77777777" w:rsidR="00DC2A4F" w:rsidRPr="00C56C36" w:rsidRDefault="00DC2A4F" w:rsidP="00DC2A4F">
      <w:r w:rsidRPr="00C56C36">
        <w:lastRenderedPageBreak/>
        <w:t xml:space="preserve">Adali, Selim F., Kim, Hyun J., and Vervaet, Frederik J., eds. 2017. </w:t>
      </w:r>
      <w:r w:rsidRPr="00C56C36">
        <w:rPr>
          <w:i/>
          <w:iCs/>
        </w:rPr>
        <w:t>Eurasian Empires in Antiquity and the Early Middle Ages: Contact and Exchange between the Graeco-Roman World, Inner Asia and China.</w:t>
      </w:r>
      <w:r w:rsidRPr="00C56C36">
        <w:t xml:space="preserve"> Cambridge: Cambridge University Press.</w:t>
      </w:r>
    </w:p>
    <w:p w14:paraId="4961F042" w14:textId="77777777" w:rsidR="00DC2A4F" w:rsidRPr="00C56C36" w:rsidRDefault="00DC2A4F" w:rsidP="00DC2A4F">
      <w:r w:rsidRPr="00C56C36">
        <w:t xml:space="preserve">Beckwith, Christopher I. 2023. </w:t>
      </w:r>
      <w:r w:rsidRPr="00C56C36">
        <w:rPr>
          <w:i/>
          <w:iCs/>
        </w:rPr>
        <w:t>The Scythian Empire: Central Eurasia and the Birth of the Classical Age from Persia to China.</w:t>
      </w:r>
      <w:r w:rsidRPr="00C56C36">
        <w:t xml:space="preserve"> Princeton: Princeton University Press.</w:t>
      </w:r>
    </w:p>
    <w:p w14:paraId="502D4A1A" w14:textId="77777777" w:rsidR="00DC2A4F" w:rsidRPr="00C56C36" w:rsidRDefault="00DC2A4F" w:rsidP="00DC2A4F">
      <w:r w:rsidRPr="00C56C36">
        <w:t xml:space="preserve">Llewellyn-Jones, Lloyd. </w:t>
      </w:r>
      <w:r w:rsidRPr="00C56C36">
        <w:rPr>
          <w:i/>
          <w:iCs/>
        </w:rPr>
        <w:t>King and Court in Ancient Persia 559 to 331 BCE.</w:t>
      </w:r>
      <w:r w:rsidRPr="00C56C36">
        <w:t xml:space="preserve"> Edinburgh: Edinburgh University Press.</w:t>
      </w:r>
    </w:p>
    <w:p w14:paraId="7480B955" w14:textId="77777777" w:rsidR="00DC2A4F" w:rsidRDefault="00DC2A4F" w:rsidP="00DC2A4F">
      <w:r w:rsidRPr="00C56C36">
        <w:t xml:space="preserve">Spawforth, A. J. S., ed. 2007. </w:t>
      </w:r>
      <w:r w:rsidRPr="00C56C36">
        <w:rPr>
          <w:i/>
          <w:iCs/>
        </w:rPr>
        <w:t>The Court and Court Society in Ancient Monarchies.</w:t>
      </w:r>
      <w:r w:rsidRPr="00C56C36">
        <w:t xml:space="preserve"> Edited by A. J. S. Spawforth. Cambridge: Cambridge University Press.</w:t>
      </w:r>
    </w:p>
    <w:p w14:paraId="0952F5AE" w14:textId="77777777" w:rsidR="00DC2A4F" w:rsidRDefault="00DC2A4F" w:rsidP="00DC2A4F">
      <w:r w:rsidRPr="001F3EF1">
        <w:t xml:space="preserve">Tuplin, Christopher, and Lindsay Allen. </w:t>
      </w:r>
      <w:r w:rsidRPr="001F3EF1">
        <w:rPr>
          <w:i/>
          <w:iCs/>
        </w:rPr>
        <w:t>Persian Responses</w:t>
      </w:r>
      <w:r w:rsidRPr="001F3EF1">
        <w:rPr>
          <w:rFonts w:ascii="Arial" w:hAnsi="Arial" w:cs="Arial"/>
          <w:i/>
          <w:iCs/>
        </w:rPr>
        <w:t> </w:t>
      </w:r>
      <w:r w:rsidRPr="001F3EF1">
        <w:rPr>
          <w:i/>
          <w:iCs/>
        </w:rPr>
        <w:t>: Political and Cultural Interaction with(in) the Achaemenid Empire</w:t>
      </w:r>
      <w:r w:rsidRPr="001F3EF1">
        <w:t>. Swansea [Wales: Classical Press of Wales, 2007. Print.</w:t>
      </w:r>
    </w:p>
    <w:p w14:paraId="188FDAFD" w14:textId="77777777" w:rsidR="00DC2A4F" w:rsidRDefault="00DC2A4F" w:rsidP="00DC2A4F">
      <w:r w:rsidRPr="00340F11">
        <w:t xml:space="preserve">Tuplin, Christopher. "The administration of the Achaemenid Empire." </w:t>
      </w:r>
      <w:r w:rsidRPr="00340F11">
        <w:rPr>
          <w:i/>
          <w:iCs/>
        </w:rPr>
        <w:t>Coinage and administration in the Athenian and Persian empires</w:t>
      </w:r>
      <w:r w:rsidRPr="00340F11">
        <w:t xml:space="preserve"> 343 (1987): 109-166.</w:t>
      </w:r>
    </w:p>
    <w:p w14:paraId="2437C10D" w14:textId="77777777" w:rsidR="00DC2A4F" w:rsidRPr="00DC2A4F" w:rsidRDefault="00DC2A4F" w:rsidP="00DC2A4F">
      <w:r w:rsidRPr="00DC2A4F">
        <w:t xml:space="preserve">Kuhrt, Amélie. “The Achaemenid Concept of Kingship.” </w:t>
      </w:r>
      <w:r w:rsidRPr="00DC2A4F">
        <w:rPr>
          <w:i/>
          <w:iCs/>
        </w:rPr>
        <w:t>Iran</w:t>
      </w:r>
      <w:r w:rsidRPr="00DC2A4F">
        <w:t xml:space="preserve">, vol. 22, 1984, pp. 156–60. </w:t>
      </w:r>
      <w:r w:rsidRPr="00DC2A4F">
        <w:rPr>
          <w:i/>
          <w:iCs/>
        </w:rPr>
        <w:t>JSTOR</w:t>
      </w:r>
      <w:r w:rsidRPr="00DC2A4F">
        <w:t>, https://doi.org/10.2307/4299742. Accessed 11 Apr. 2025.</w:t>
      </w:r>
    </w:p>
    <w:p w14:paraId="302EA33A" w14:textId="77777777" w:rsidR="00DC2A4F" w:rsidRPr="00DC2A4F" w:rsidRDefault="00DC2A4F" w:rsidP="00DC2A4F">
      <w:r w:rsidRPr="00DC2A4F">
        <w:t xml:space="preserve">Altaweel, Mark, and Andrea Squitieri. “The Development of Universal Governments.” </w:t>
      </w:r>
      <w:r w:rsidRPr="00DC2A4F">
        <w:rPr>
          <w:i/>
          <w:iCs/>
        </w:rPr>
        <w:t>Revolutionizing a World: From Small States to Universalism in the Pre-Islamic Near East</w:t>
      </w:r>
      <w:r w:rsidRPr="00DC2A4F">
        <w:t xml:space="preserve">, UCL Press, 2018, pp. 199–230. </w:t>
      </w:r>
      <w:r w:rsidRPr="00DC2A4F">
        <w:rPr>
          <w:i/>
          <w:iCs/>
        </w:rPr>
        <w:t>JSTOR</w:t>
      </w:r>
      <w:r w:rsidRPr="00DC2A4F">
        <w:t>, https://doi.org/10.2307/j.ctt21c4td4.12. Accessed 11 Apr. 2025.</w:t>
      </w:r>
    </w:p>
    <w:p w14:paraId="19956092" w14:textId="77777777" w:rsidR="00DC2A4F" w:rsidRPr="00DC2A4F" w:rsidRDefault="00DC2A4F" w:rsidP="00DC2A4F">
      <w:r w:rsidRPr="00DC2A4F">
        <w:t xml:space="preserve">Altaweel, Mark, and Andrea Squitieri. “The Rise of Shared and Universal Religions.” </w:t>
      </w:r>
      <w:r w:rsidRPr="00DC2A4F">
        <w:rPr>
          <w:i/>
          <w:iCs/>
        </w:rPr>
        <w:t>Revolutionizing a World: From Small States to Universalism in the Pre-Islamic Near East</w:t>
      </w:r>
      <w:r w:rsidRPr="00DC2A4F">
        <w:t xml:space="preserve">, UCL Press, 2018, pp. 240–52. </w:t>
      </w:r>
      <w:r w:rsidRPr="00DC2A4F">
        <w:rPr>
          <w:i/>
          <w:iCs/>
        </w:rPr>
        <w:t>JSTOR</w:t>
      </w:r>
      <w:r w:rsidRPr="00DC2A4F">
        <w:t>, https://doi.org/10.2307/j.ctt21c4td4.14. Accessed 11 Apr. 2025.</w:t>
      </w:r>
    </w:p>
    <w:p w14:paraId="25ED492D" w14:textId="77777777" w:rsidR="00DC2A4F" w:rsidRPr="00DC2A4F" w:rsidRDefault="00DC2A4F" w:rsidP="00DC2A4F">
      <w:r w:rsidRPr="00DC2A4F">
        <w:t xml:space="preserve">Singh, Abhay Kumar. “TACKLING HETEROGENEITY: CRITIQUE OF THE ACHAEMENID POLICY OF ASSIMILATION.” </w:t>
      </w:r>
      <w:r w:rsidRPr="00DC2A4F">
        <w:rPr>
          <w:i/>
          <w:iCs/>
        </w:rPr>
        <w:t>Proceedings of the Indian History Congress</w:t>
      </w:r>
      <w:r w:rsidRPr="00DC2A4F">
        <w:t xml:space="preserve">, vol. 65, 2004, pp. 1009–24. </w:t>
      </w:r>
      <w:r w:rsidRPr="00DC2A4F">
        <w:rPr>
          <w:i/>
          <w:iCs/>
        </w:rPr>
        <w:t>JSTOR</w:t>
      </w:r>
      <w:r w:rsidRPr="00DC2A4F">
        <w:t>, http://www.jstor.org/stable/44144810. Accessed 11 Apr. 2025.</w:t>
      </w:r>
    </w:p>
    <w:p w14:paraId="6FD12789" w14:textId="77777777" w:rsidR="00DC2A4F" w:rsidRPr="00DC2A4F" w:rsidRDefault="00DC2A4F" w:rsidP="00DC2A4F">
      <w:r w:rsidRPr="00DC2A4F">
        <w:t xml:space="preserve">Altaweel, Mark, and Andrea Squitieri. “Long-Distance Trade and Economy before and during the Age of Empires.” </w:t>
      </w:r>
      <w:r w:rsidRPr="00DC2A4F">
        <w:rPr>
          <w:i/>
          <w:iCs/>
        </w:rPr>
        <w:t>Revolutionizing a World: From Small States to Universalism in the Pre-Islamic Near East</w:t>
      </w:r>
      <w:r w:rsidRPr="00DC2A4F">
        <w:t xml:space="preserve">, UCL Press, 2018, pp. 160–78. </w:t>
      </w:r>
      <w:r w:rsidRPr="00DC2A4F">
        <w:rPr>
          <w:i/>
          <w:iCs/>
        </w:rPr>
        <w:t>JSTOR</w:t>
      </w:r>
      <w:r w:rsidRPr="00DC2A4F">
        <w:t>, https://doi.org/10.2307/j.ctt21c4td4.10. Accessed 11 Apr. 2025.</w:t>
      </w:r>
    </w:p>
    <w:p w14:paraId="3F04B46C" w14:textId="77777777" w:rsidR="00DC2A4F" w:rsidRPr="00DC2A4F" w:rsidRDefault="00DC2A4F" w:rsidP="00DC2A4F">
      <w:r w:rsidRPr="00DC2A4F">
        <w:t xml:space="preserve">Cahill, Nicholas. “The Treasury at Persepolis: Gift-Giving at the City of the Persians.” </w:t>
      </w:r>
      <w:r w:rsidRPr="00DC2A4F">
        <w:rPr>
          <w:i/>
          <w:iCs/>
        </w:rPr>
        <w:t>American Journal of Archaeology</w:t>
      </w:r>
      <w:r w:rsidRPr="00DC2A4F">
        <w:t xml:space="preserve">, vol. 89, no. 3, 1985, pp. 373–89. </w:t>
      </w:r>
      <w:r w:rsidRPr="00DC2A4F">
        <w:rPr>
          <w:i/>
          <w:iCs/>
        </w:rPr>
        <w:t>JSTOR</w:t>
      </w:r>
      <w:r w:rsidRPr="00DC2A4F">
        <w:t>, https://doi.org/10.2307/504354. Accessed 11 Apr. 2025.</w:t>
      </w:r>
    </w:p>
    <w:p w14:paraId="4F8AAA92" w14:textId="4AE54666" w:rsidR="008201CD" w:rsidRDefault="00BF5C3C">
      <w:r w:rsidRPr="00BF5C3C">
        <w:lastRenderedPageBreak/>
        <w:t xml:space="preserve">Khatchadourian, Lori. “The Satrapal Condition.” Imperial Matter: Ancient Persia and the Archaeology of Empires, University of California Press, 2016, pp. 1–24. JSTOR, </w:t>
      </w:r>
      <w:hyperlink r:id="rId4" w:history="1">
        <w:r w:rsidRPr="009C3442">
          <w:rPr>
            <w:rStyle w:val="Hyperlink"/>
          </w:rPr>
          <w:t>http://www.jstor.org/stable/10.1525/j.ctt1ffjn7j.6. Accessed 11 Apr. 2025</w:t>
        </w:r>
      </w:hyperlink>
      <w:r w:rsidRPr="00BF5C3C">
        <w:t>.</w:t>
      </w:r>
    </w:p>
    <w:p w14:paraId="54976B66" w14:textId="77777777" w:rsidR="00BF5C3C" w:rsidRPr="00BF5C3C" w:rsidRDefault="00BF5C3C" w:rsidP="00BF5C3C">
      <w:r w:rsidRPr="00BF5C3C">
        <w:t xml:space="preserve">Altaweel, Mark, and Andrea Squitieri. “The Development of Universal Governments.” </w:t>
      </w:r>
      <w:r w:rsidRPr="00BF5C3C">
        <w:rPr>
          <w:i/>
          <w:iCs/>
        </w:rPr>
        <w:t>Revolutionizing a World: From Small States to Universalism in the Pre-Islamic Near East</w:t>
      </w:r>
      <w:r w:rsidRPr="00BF5C3C">
        <w:t xml:space="preserve">, UCL Press, 2018, pp. 199–230. </w:t>
      </w:r>
      <w:r w:rsidRPr="00BF5C3C">
        <w:rPr>
          <w:i/>
          <w:iCs/>
        </w:rPr>
        <w:t>JSTOR</w:t>
      </w:r>
      <w:r w:rsidRPr="00BF5C3C">
        <w:t>, https://doi.org/10.2307/j.ctt21c4td4.12. Accessed 11 Apr. 2025.</w:t>
      </w:r>
    </w:p>
    <w:p w14:paraId="3912274B" w14:textId="77777777" w:rsidR="00BF5C3C" w:rsidRPr="00BF5C3C" w:rsidRDefault="00BF5C3C" w:rsidP="00BF5C3C">
      <w:r w:rsidRPr="00BF5C3C">
        <w:t xml:space="preserve">Altaweel, Mark, and Andrea Squitieri. “The Rise of Shared and Universal Religions.” </w:t>
      </w:r>
      <w:r w:rsidRPr="00BF5C3C">
        <w:rPr>
          <w:i/>
          <w:iCs/>
        </w:rPr>
        <w:t>Revolutionizing a World: From Small States to Universalism in the Pre-Islamic Near East</w:t>
      </w:r>
      <w:r w:rsidRPr="00BF5C3C">
        <w:t xml:space="preserve">, UCL Press, 2018, pp. 240–52. </w:t>
      </w:r>
      <w:r w:rsidRPr="00BF5C3C">
        <w:rPr>
          <w:i/>
          <w:iCs/>
        </w:rPr>
        <w:t>JSTOR</w:t>
      </w:r>
      <w:r w:rsidRPr="00BF5C3C">
        <w:t>, https://doi.org/10.2307/j.ctt21c4td4.14. Accessed 11 Apr. 2025.</w:t>
      </w:r>
    </w:p>
    <w:p w14:paraId="041075F6" w14:textId="0D24F706" w:rsidR="00BF5C3C" w:rsidRDefault="00BF5C3C">
      <w:r w:rsidRPr="00BF5C3C">
        <w:t xml:space="preserve">Colburn, Henry P. “Connectivity and Communication in the Achaemenid Empire.” </w:t>
      </w:r>
      <w:r w:rsidRPr="00BF5C3C">
        <w:rPr>
          <w:i/>
          <w:iCs/>
        </w:rPr>
        <w:t>Journal of the Economic and Social History of the Orient</w:t>
      </w:r>
      <w:r w:rsidRPr="00BF5C3C">
        <w:t xml:space="preserve">, vol. 56, no. 1, 2013, pp. 29–52. </w:t>
      </w:r>
      <w:r w:rsidRPr="00BF5C3C">
        <w:rPr>
          <w:i/>
          <w:iCs/>
        </w:rPr>
        <w:t>JSTOR</w:t>
      </w:r>
      <w:r w:rsidRPr="00BF5C3C">
        <w:t>, http://www.jstor.org/stable/43303512. Accessed 11 Apr. 2025.</w:t>
      </w:r>
    </w:p>
    <w:sectPr w:rsidR="00BF5C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2BB"/>
    <w:rsid w:val="000177ED"/>
    <w:rsid w:val="00024DDF"/>
    <w:rsid w:val="0003586B"/>
    <w:rsid w:val="000406D0"/>
    <w:rsid w:val="00052CB3"/>
    <w:rsid w:val="00074EA4"/>
    <w:rsid w:val="00081D62"/>
    <w:rsid w:val="00082BDE"/>
    <w:rsid w:val="0009593F"/>
    <w:rsid w:val="000D2DF4"/>
    <w:rsid w:val="000E0A79"/>
    <w:rsid w:val="000F306C"/>
    <w:rsid w:val="00145060"/>
    <w:rsid w:val="001A6B15"/>
    <w:rsid w:val="00200916"/>
    <w:rsid w:val="00213B71"/>
    <w:rsid w:val="00282B2E"/>
    <w:rsid w:val="00314BCA"/>
    <w:rsid w:val="003161FE"/>
    <w:rsid w:val="0032151C"/>
    <w:rsid w:val="00363014"/>
    <w:rsid w:val="003722E5"/>
    <w:rsid w:val="003A0EE5"/>
    <w:rsid w:val="0042673C"/>
    <w:rsid w:val="00480253"/>
    <w:rsid w:val="0048025B"/>
    <w:rsid w:val="00480462"/>
    <w:rsid w:val="004A7FB4"/>
    <w:rsid w:val="004B100B"/>
    <w:rsid w:val="004C5EFA"/>
    <w:rsid w:val="004D6483"/>
    <w:rsid w:val="00522FAD"/>
    <w:rsid w:val="00544E71"/>
    <w:rsid w:val="00550C36"/>
    <w:rsid w:val="00554BFE"/>
    <w:rsid w:val="00561B0D"/>
    <w:rsid w:val="00571250"/>
    <w:rsid w:val="00574C4E"/>
    <w:rsid w:val="005766DF"/>
    <w:rsid w:val="005834D9"/>
    <w:rsid w:val="005A5A16"/>
    <w:rsid w:val="005A648F"/>
    <w:rsid w:val="005B43F1"/>
    <w:rsid w:val="005C035B"/>
    <w:rsid w:val="006042AF"/>
    <w:rsid w:val="006078AD"/>
    <w:rsid w:val="00610128"/>
    <w:rsid w:val="006175CB"/>
    <w:rsid w:val="00635D78"/>
    <w:rsid w:val="00651C6B"/>
    <w:rsid w:val="006870AF"/>
    <w:rsid w:val="00691840"/>
    <w:rsid w:val="00697B33"/>
    <w:rsid w:val="007013AB"/>
    <w:rsid w:val="0070644D"/>
    <w:rsid w:val="00733280"/>
    <w:rsid w:val="00736B5F"/>
    <w:rsid w:val="0074749A"/>
    <w:rsid w:val="007730C6"/>
    <w:rsid w:val="00781A90"/>
    <w:rsid w:val="00784225"/>
    <w:rsid w:val="00787CFC"/>
    <w:rsid w:val="007A0639"/>
    <w:rsid w:val="007C4660"/>
    <w:rsid w:val="008201CD"/>
    <w:rsid w:val="00822CA6"/>
    <w:rsid w:val="00847836"/>
    <w:rsid w:val="00850D22"/>
    <w:rsid w:val="00851648"/>
    <w:rsid w:val="00852B72"/>
    <w:rsid w:val="00890E5E"/>
    <w:rsid w:val="008947C9"/>
    <w:rsid w:val="00912618"/>
    <w:rsid w:val="00926FF1"/>
    <w:rsid w:val="00935C03"/>
    <w:rsid w:val="00951872"/>
    <w:rsid w:val="00960CBF"/>
    <w:rsid w:val="00986C90"/>
    <w:rsid w:val="009B4691"/>
    <w:rsid w:val="009C1CEE"/>
    <w:rsid w:val="009E6157"/>
    <w:rsid w:val="00A03118"/>
    <w:rsid w:val="00A24847"/>
    <w:rsid w:val="00A34465"/>
    <w:rsid w:val="00A36ECF"/>
    <w:rsid w:val="00A7719F"/>
    <w:rsid w:val="00A77596"/>
    <w:rsid w:val="00A83E9A"/>
    <w:rsid w:val="00A90A84"/>
    <w:rsid w:val="00AB4913"/>
    <w:rsid w:val="00AD68F8"/>
    <w:rsid w:val="00AF4FF3"/>
    <w:rsid w:val="00B16F45"/>
    <w:rsid w:val="00B27045"/>
    <w:rsid w:val="00B311CB"/>
    <w:rsid w:val="00B36474"/>
    <w:rsid w:val="00B47236"/>
    <w:rsid w:val="00B57DD2"/>
    <w:rsid w:val="00B65F36"/>
    <w:rsid w:val="00B846F2"/>
    <w:rsid w:val="00BA6BB3"/>
    <w:rsid w:val="00BB1F1F"/>
    <w:rsid w:val="00BD2C67"/>
    <w:rsid w:val="00BE151E"/>
    <w:rsid w:val="00BE1D29"/>
    <w:rsid w:val="00BE37F2"/>
    <w:rsid w:val="00BF5C3C"/>
    <w:rsid w:val="00BF6EC0"/>
    <w:rsid w:val="00C03B55"/>
    <w:rsid w:val="00C070C7"/>
    <w:rsid w:val="00C51AE2"/>
    <w:rsid w:val="00C97005"/>
    <w:rsid w:val="00CD1324"/>
    <w:rsid w:val="00CD2E15"/>
    <w:rsid w:val="00CD5058"/>
    <w:rsid w:val="00CE57F1"/>
    <w:rsid w:val="00D44D80"/>
    <w:rsid w:val="00D6194A"/>
    <w:rsid w:val="00D676C9"/>
    <w:rsid w:val="00D74C2B"/>
    <w:rsid w:val="00D82B28"/>
    <w:rsid w:val="00DC2A4F"/>
    <w:rsid w:val="00DC699D"/>
    <w:rsid w:val="00DE7C93"/>
    <w:rsid w:val="00DF7054"/>
    <w:rsid w:val="00E13A1F"/>
    <w:rsid w:val="00E20507"/>
    <w:rsid w:val="00E20DE5"/>
    <w:rsid w:val="00E5174B"/>
    <w:rsid w:val="00E57040"/>
    <w:rsid w:val="00EA3B48"/>
    <w:rsid w:val="00ED5671"/>
    <w:rsid w:val="00EE789A"/>
    <w:rsid w:val="00F402EA"/>
    <w:rsid w:val="00F54033"/>
    <w:rsid w:val="00F5724E"/>
    <w:rsid w:val="00F612BB"/>
    <w:rsid w:val="00F858A2"/>
    <w:rsid w:val="00FA2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1B99B"/>
  <w15:chartTrackingRefBased/>
  <w15:docId w15:val="{946427D6-C102-44CB-9747-88D8BD0C9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2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12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12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2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2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2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2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2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2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2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12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12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2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2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2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2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2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2BB"/>
    <w:rPr>
      <w:rFonts w:eastAsiaTheme="majorEastAsia" w:cstheme="majorBidi"/>
      <w:color w:val="272727" w:themeColor="text1" w:themeTint="D8"/>
    </w:rPr>
  </w:style>
  <w:style w:type="paragraph" w:styleId="Title">
    <w:name w:val="Title"/>
    <w:basedOn w:val="Normal"/>
    <w:next w:val="Normal"/>
    <w:link w:val="TitleChar"/>
    <w:uiPriority w:val="10"/>
    <w:qFormat/>
    <w:rsid w:val="00F612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2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2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2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2BB"/>
    <w:pPr>
      <w:spacing w:before="160"/>
      <w:jc w:val="center"/>
    </w:pPr>
    <w:rPr>
      <w:i/>
      <w:iCs/>
      <w:color w:val="404040" w:themeColor="text1" w:themeTint="BF"/>
    </w:rPr>
  </w:style>
  <w:style w:type="character" w:customStyle="1" w:styleId="QuoteChar">
    <w:name w:val="Quote Char"/>
    <w:basedOn w:val="DefaultParagraphFont"/>
    <w:link w:val="Quote"/>
    <w:uiPriority w:val="29"/>
    <w:rsid w:val="00F612BB"/>
    <w:rPr>
      <w:i/>
      <w:iCs/>
      <w:color w:val="404040" w:themeColor="text1" w:themeTint="BF"/>
    </w:rPr>
  </w:style>
  <w:style w:type="paragraph" w:styleId="ListParagraph">
    <w:name w:val="List Paragraph"/>
    <w:basedOn w:val="Normal"/>
    <w:uiPriority w:val="34"/>
    <w:qFormat/>
    <w:rsid w:val="00F612BB"/>
    <w:pPr>
      <w:ind w:left="720"/>
      <w:contextualSpacing/>
    </w:pPr>
  </w:style>
  <w:style w:type="character" w:styleId="IntenseEmphasis">
    <w:name w:val="Intense Emphasis"/>
    <w:basedOn w:val="DefaultParagraphFont"/>
    <w:uiPriority w:val="21"/>
    <w:qFormat/>
    <w:rsid w:val="00F612BB"/>
    <w:rPr>
      <w:i/>
      <w:iCs/>
      <w:color w:val="0F4761" w:themeColor="accent1" w:themeShade="BF"/>
    </w:rPr>
  </w:style>
  <w:style w:type="paragraph" w:styleId="IntenseQuote">
    <w:name w:val="Intense Quote"/>
    <w:basedOn w:val="Normal"/>
    <w:next w:val="Normal"/>
    <w:link w:val="IntenseQuoteChar"/>
    <w:uiPriority w:val="30"/>
    <w:qFormat/>
    <w:rsid w:val="00F612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2BB"/>
    <w:rPr>
      <w:i/>
      <w:iCs/>
      <w:color w:val="0F4761" w:themeColor="accent1" w:themeShade="BF"/>
    </w:rPr>
  </w:style>
  <w:style w:type="character" w:styleId="IntenseReference">
    <w:name w:val="Intense Reference"/>
    <w:basedOn w:val="DefaultParagraphFont"/>
    <w:uiPriority w:val="32"/>
    <w:qFormat/>
    <w:rsid w:val="00F612BB"/>
    <w:rPr>
      <w:b/>
      <w:bCs/>
      <w:smallCaps/>
      <w:color w:val="0F4761" w:themeColor="accent1" w:themeShade="BF"/>
      <w:spacing w:val="5"/>
    </w:rPr>
  </w:style>
  <w:style w:type="character" w:styleId="Hyperlink">
    <w:name w:val="Hyperlink"/>
    <w:basedOn w:val="DefaultParagraphFont"/>
    <w:uiPriority w:val="99"/>
    <w:unhideWhenUsed/>
    <w:rsid w:val="00DC2A4F"/>
    <w:rPr>
      <w:color w:val="467886" w:themeColor="hyperlink"/>
      <w:u w:val="single"/>
    </w:rPr>
  </w:style>
  <w:style w:type="character" w:styleId="UnresolvedMention">
    <w:name w:val="Unresolved Mention"/>
    <w:basedOn w:val="DefaultParagraphFont"/>
    <w:uiPriority w:val="99"/>
    <w:semiHidden/>
    <w:unhideWhenUsed/>
    <w:rsid w:val="00BF5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8229">
      <w:bodyDiv w:val="1"/>
      <w:marLeft w:val="0"/>
      <w:marRight w:val="0"/>
      <w:marTop w:val="0"/>
      <w:marBottom w:val="0"/>
      <w:divBdr>
        <w:top w:val="none" w:sz="0" w:space="0" w:color="auto"/>
        <w:left w:val="none" w:sz="0" w:space="0" w:color="auto"/>
        <w:bottom w:val="none" w:sz="0" w:space="0" w:color="auto"/>
        <w:right w:val="none" w:sz="0" w:space="0" w:color="auto"/>
      </w:divBdr>
      <w:divsChild>
        <w:div w:id="188421368">
          <w:marLeft w:val="0"/>
          <w:marRight w:val="0"/>
          <w:marTop w:val="0"/>
          <w:marBottom w:val="0"/>
          <w:divBdr>
            <w:top w:val="none" w:sz="0" w:space="0" w:color="auto"/>
            <w:left w:val="none" w:sz="0" w:space="0" w:color="auto"/>
            <w:bottom w:val="none" w:sz="0" w:space="0" w:color="auto"/>
            <w:right w:val="none" w:sz="0" w:space="0" w:color="auto"/>
          </w:divBdr>
          <w:divsChild>
            <w:div w:id="16574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50733">
      <w:bodyDiv w:val="1"/>
      <w:marLeft w:val="0"/>
      <w:marRight w:val="0"/>
      <w:marTop w:val="0"/>
      <w:marBottom w:val="0"/>
      <w:divBdr>
        <w:top w:val="none" w:sz="0" w:space="0" w:color="auto"/>
        <w:left w:val="none" w:sz="0" w:space="0" w:color="auto"/>
        <w:bottom w:val="none" w:sz="0" w:space="0" w:color="auto"/>
        <w:right w:val="none" w:sz="0" w:space="0" w:color="auto"/>
      </w:divBdr>
      <w:divsChild>
        <w:div w:id="209152711">
          <w:marLeft w:val="0"/>
          <w:marRight w:val="0"/>
          <w:marTop w:val="0"/>
          <w:marBottom w:val="0"/>
          <w:divBdr>
            <w:top w:val="none" w:sz="0" w:space="0" w:color="auto"/>
            <w:left w:val="none" w:sz="0" w:space="0" w:color="auto"/>
            <w:bottom w:val="none" w:sz="0" w:space="0" w:color="auto"/>
            <w:right w:val="none" w:sz="0" w:space="0" w:color="auto"/>
          </w:divBdr>
          <w:divsChild>
            <w:div w:id="146750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60463">
      <w:bodyDiv w:val="1"/>
      <w:marLeft w:val="0"/>
      <w:marRight w:val="0"/>
      <w:marTop w:val="0"/>
      <w:marBottom w:val="0"/>
      <w:divBdr>
        <w:top w:val="none" w:sz="0" w:space="0" w:color="auto"/>
        <w:left w:val="none" w:sz="0" w:space="0" w:color="auto"/>
        <w:bottom w:val="none" w:sz="0" w:space="0" w:color="auto"/>
        <w:right w:val="none" w:sz="0" w:space="0" w:color="auto"/>
      </w:divBdr>
      <w:divsChild>
        <w:div w:id="1932198976">
          <w:marLeft w:val="0"/>
          <w:marRight w:val="0"/>
          <w:marTop w:val="0"/>
          <w:marBottom w:val="0"/>
          <w:divBdr>
            <w:top w:val="none" w:sz="0" w:space="0" w:color="auto"/>
            <w:left w:val="none" w:sz="0" w:space="0" w:color="auto"/>
            <w:bottom w:val="none" w:sz="0" w:space="0" w:color="auto"/>
            <w:right w:val="none" w:sz="0" w:space="0" w:color="auto"/>
          </w:divBdr>
          <w:divsChild>
            <w:div w:id="59579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497318">
      <w:bodyDiv w:val="1"/>
      <w:marLeft w:val="0"/>
      <w:marRight w:val="0"/>
      <w:marTop w:val="0"/>
      <w:marBottom w:val="0"/>
      <w:divBdr>
        <w:top w:val="none" w:sz="0" w:space="0" w:color="auto"/>
        <w:left w:val="none" w:sz="0" w:space="0" w:color="auto"/>
        <w:bottom w:val="none" w:sz="0" w:space="0" w:color="auto"/>
        <w:right w:val="none" w:sz="0" w:space="0" w:color="auto"/>
      </w:divBdr>
      <w:divsChild>
        <w:div w:id="1711026270">
          <w:marLeft w:val="0"/>
          <w:marRight w:val="0"/>
          <w:marTop w:val="0"/>
          <w:marBottom w:val="0"/>
          <w:divBdr>
            <w:top w:val="none" w:sz="0" w:space="0" w:color="auto"/>
            <w:left w:val="none" w:sz="0" w:space="0" w:color="auto"/>
            <w:bottom w:val="none" w:sz="0" w:space="0" w:color="auto"/>
            <w:right w:val="none" w:sz="0" w:space="0" w:color="auto"/>
          </w:divBdr>
          <w:divsChild>
            <w:div w:id="91790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623278">
      <w:bodyDiv w:val="1"/>
      <w:marLeft w:val="0"/>
      <w:marRight w:val="0"/>
      <w:marTop w:val="0"/>
      <w:marBottom w:val="0"/>
      <w:divBdr>
        <w:top w:val="none" w:sz="0" w:space="0" w:color="auto"/>
        <w:left w:val="none" w:sz="0" w:space="0" w:color="auto"/>
        <w:bottom w:val="none" w:sz="0" w:space="0" w:color="auto"/>
        <w:right w:val="none" w:sz="0" w:space="0" w:color="auto"/>
      </w:divBdr>
      <w:divsChild>
        <w:div w:id="500387656">
          <w:marLeft w:val="0"/>
          <w:marRight w:val="0"/>
          <w:marTop w:val="0"/>
          <w:marBottom w:val="0"/>
          <w:divBdr>
            <w:top w:val="none" w:sz="0" w:space="0" w:color="auto"/>
            <w:left w:val="none" w:sz="0" w:space="0" w:color="auto"/>
            <w:bottom w:val="none" w:sz="0" w:space="0" w:color="auto"/>
            <w:right w:val="none" w:sz="0" w:space="0" w:color="auto"/>
          </w:divBdr>
          <w:divsChild>
            <w:div w:id="109886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76620">
      <w:bodyDiv w:val="1"/>
      <w:marLeft w:val="0"/>
      <w:marRight w:val="0"/>
      <w:marTop w:val="0"/>
      <w:marBottom w:val="0"/>
      <w:divBdr>
        <w:top w:val="none" w:sz="0" w:space="0" w:color="auto"/>
        <w:left w:val="none" w:sz="0" w:space="0" w:color="auto"/>
        <w:bottom w:val="none" w:sz="0" w:space="0" w:color="auto"/>
        <w:right w:val="none" w:sz="0" w:space="0" w:color="auto"/>
      </w:divBdr>
      <w:divsChild>
        <w:div w:id="236597689">
          <w:marLeft w:val="0"/>
          <w:marRight w:val="0"/>
          <w:marTop w:val="0"/>
          <w:marBottom w:val="0"/>
          <w:divBdr>
            <w:top w:val="none" w:sz="0" w:space="0" w:color="auto"/>
            <w:left w:val="none" w:sz="0" w:space="0" w:color="auto"/>
            <w:bottom w:val="none" w:sz="0" w:space="0" w:color="auto"/>
            <w:right w:val="none" w:sz="0" w:space="0" w:color="auto"/>
          </w:divBdr>
          <w:divsChild>
            <w:div w:id="142272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536670">
      <w:bodyDiv w:val="1"/>
      <w:marLeft w:val="0"/>
      <w:marRight w:val="0"/>
      <w:marTop w:val="0"/>
      <w:marBottom w:val="0"/>
      <w:divBdr>
        <w:top w:val="none" w:sz="0" w:space="0" w:color="auto"/>
        <w:left w:val="none" w:sz="0" w:space="0" w:color="auto"/>
        <w:bottom w:val="none" w:sz="0" w:space="0" w:color="auto"/>
        <w:right w:val="none" w:sz="0" w:space="0" w:color="auto"/>
      </w:divBdr>
      <w:divsChild>
        <w:div w:id="209461885">
          <w:marLeft w:val="0"/>
          <w:marRight w:val="0"/>
          <w:marTop w:val="0"/>
          <w:marBottom w:val="0"/>
          <w:divBdr>
            <w:top w:val="none" w:sz="0" w:space="0" w:color="auto"/>
            <w:left w:val="none" w:sz="0" w:space="0" w:color="auto"/>
            <w:bottom w:val="none" w:sz="0" w:space="0" w:color="auto"/>
            <w:right w:val="none" w:sz="0" w:space="0" w:color="auto"/>
          </w:divBdr>
          <w:divsChild>
            <w:div w:id="31287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10707">
      <w:bodyDiv w:val="1"/>
      <w:marLeft w:val="0"/>
      <w:marRight w:val="0"/>
      <w:marTop w:val="0"/>
      <w:marBottom w:val="0"/>
      <w:divBdr>
        <w:top w:val="none" w:sz="0" w:space="0" w:color="auto"/>
        <w:left w:val="none" w:sz="0" w:space="0" w:color="auto"/>
        <w:bottom w:val="none" w:sz="0" w:space="0" w:color="auto"/>
        <w:right w:val="none" w:sz="0" w:space="0" w:color="auto"/>
      </w:divBdr>
      <w:divsChild>
        <w:div w:id="1269118207">
          <w:marLeft w:val="0"/>
          <w:marRight w:val="0"/>
          <w:marTop w:val="0"/>
          <w:marBottom w:val="0"/>
          <w:divBdr>
            <w:top w:val="none" w:sz="0" w:space="0" w:color="auto"/>
            <w:left w:val="none" w:sz="0" w:space="0" w:color="auto"/>
            <w:bottom w:val="none" w:sz="0" w:space="0" w:color="auto"/>
            <w:right w:val="none" w:sz="0" w:space="0" w:color="auto"/>
          </w:divBdr>
          <w:divsChild>
            <w:div w:id="18529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11355">
      <w:bodyDiv w:val="1"/>
      <w:marLeft w:val="0"/>
      <w:marRight w:val="0"/>
      <w:marTop w:val="0"/>
      <w:marBottom w:val="0"/>
      <w:divBdr>
        <w:top w:val="none" w:sz="0" w:space="0" w:color="auto"/>
        <w:left w:val="none" w:sz="0" w:space="0" w:color="auto"/>
        <w:bottom w:val="none" w:sz="0" w:space="0" w:color="auto"/>
        <w:right w:val="none" w:sz="0" w:space="0" w:color="auto"/>
      </w:divBdr>
      <w:divsChild>
        <w:div w:id="967052697">
          <w:marLeft w:val="0"/>
          <w:marRight w:val="0"/>
          <w:marTop w:val="0"/>
          <w:marBottom w:val="0"/>
          <w:divBdr>
            <w:top w:val="none" w:sz="0" w:space="0" w:color="auto"/>
            <w:left w:val="none" w:sz="0" w:space="0" w:color="auto"/>
            <w:bottom w:val="none" w:sz="0" w:space="0" w:color="auto"/>
            <w:right w:val="none" w:sz="0" w:space="0" w:color="auto"/>
          </w:divBdr>
          <w:divsChild>
            <w:div w:id="43813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479002">
      <w:bodyDiv w:val="1"/>
      <w:marLeft w:val="0"/>
      <w:marRight w:val="0"/>
      <w:marTop w:val="0"/>
      <w:marBottom w:val="0"/>
      <w:divBdr>
        <w:top w:val="none" w:sz="0" w:space="0" w:color="auto"/>
        <w:left w:val="none" w:sz="0" w:space="0" w:color="auto"/>
        <w:bottom w:val="none" w:sz="0" w:space="0" w:color="auto"/>
        <w:right w:val="none" w:sz="0" w:space="0" w:color="auto"/>
      </w:divBdr>
      <w:divsChild>
        <w:div w:id="290939989">
          <w:marLeft w:val="0"/>
          <w:marRight w:val="0"/>
          <w:marTop w:val="0"/>
          <w:marBottom w:val="0"/>
          <w:divBdr>
            <w:top w:val="none" w:sz="0" w:space="0" w:color="auto"/>
            <w:left w:val="none" w:sz="0" w:space="0" w:color="auto"/>
            <w:bottom w:val="none" w:sz="0" w:space="0" w:color="auto"/>
            <w:right w:val="none" w:sz="0" w:space="0" w:color="auto"/>
          </w:divBdr>
          <w:divsChild>
            <w:div w:id="88552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92426">
      <w:bodyDiv w:val="1"/>
      <w:marLeft w:val="0"/>
      <w:marRight w:val="0"/>
      <w:marTop w:val="0"/>
      <w:marBottom w:val="0"/>
      <w:divBdr>
        <w:top w:val="none" w:sz="0" w:space="0" w:color="auto"/>
        <w:left w:val="none" w:sz="0" w:space="0" w:color="auto"/>
        <w:bottom w:val="none" w:sz="0" w:space="0" w:color="auto"/>
        <w:right w:val="none" w:sz="0" w:space="0" w:color="auto"/>
      </w:divBdr>
      <w:divsChild>
        <w:div w:id="1966961784">
          <w:marLeft w:val="0"/>
          <w:marRight w:val="0"/>
          <w:marTop w:val="0"/>
          <w:marBottom w:val="0"/>
          <w:divBdr>
            <w:top w:val="none" w:sz="0" w:space="0" w:color="auto"/>
            <w:left w:val="none" w:sz="0" w:space="0" w:color="auto"/>
            <w:bottom w:val="none" w:sz="0" w:space="0" w:color="auto"/>
            <w:right w:val="none" w:sz="0" w:space="0" w:color="auto"/>
          </w:divBdr>
          <w:divsChild>
            <w:div w:id="12754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86290">
      <w:bodyDiv w:val="1"/>
      <w:marLeft w:val="0"/>
      <w:marRight w:val="0"/>
      <w:marTop w:val="0"/>
      <w:marBottom w:val="0"/>
      <w:divBdr>
        <w:top w:val="none" w:sz="0" w:space="0" w:color="auto"/>
        <w:left w:val="none" w:sz="0" w:space="0" w:color="auto"/>
        <w:bottom w:val="none" w:sz="0" w:space="0" w:color="auto"/>
        <w:right w:val="none" w:sz="0" w:space="0" w:color="auto"/>
      </w:divBdr>
      <w:divsChild>
        <w:div w:id="1804302089">
          <w:marLeft w:val="0"/>
          <w:marRight w:val="0"/>
          <w:marTop w:val="0"/>
          <w:marBottom w:val="0"/>
          <w:divBdr>
            <w:top w:val="none" w:sz="0" w:space="0" w:color="auto"/>
            <w:left w:val="none" w:sz="0" w:space="0" w:color="auto"/>
            <w:bottom w:val="none" w:sz="0" w:space="0" w:color="auto"/>
            <w:right w:val="none" w:sz="0" w:space="0" w:color="auto"/>
          </w:divBdr>
          <w:divsChild>
            <w:div w:id="50332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973815">
      <w:bodyDiv w:val="1"/>
      <w:marLeft w:val="0"/>
      <w:marRight w:val="0"/>
      <w:marTop w:val="0"/>
      <w:marBottom w:val="0"/>
      <w:divBdr>
        <w:top w:val="none" w:sz="0" w:space="0" w:color="auto"/>
        <w:left w:val="none" w:sz="0" w:space="0" w:color="auto"/>
        <w:bottom w:val="none" w:sz="0" w:space="0" w:color="auto"/>
        <w:right w:val="none" w:sz="0" w:space="0" w:color="auto"/>
      </w:divBdr>
      <w:divsChild>
        <w:div w:id="590044622">
          <w:marLeft w:val="0"/>
          <w:marRight w:val="0"/>
          <w:marTop w:val="0"/>
          <w:marBottom w:val="0"/>
          <w:divBdr>
            <w:top w:val="none" w:sz="0" w:space="0" w:color="auto"/>
            <w:left w:val="none" w:sz="0" w:space="0" w:color="auto"/>
            <w:bottom w:val="none" w:sz="0" w:space="0" w:color="auto"/>
            <w:right w:val="none" w:sz="0" w:space="0" w:color="auto"/>
          </w:divBdr>
          <w:divsChild>
            <w:div w:id="18657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28955">
      <w:bodyDiv w:val="1"/>
      <w:marLeft w:val="0"/>
      <w:marRight w:val="0"/>
      <w:marTop w:val="0"/>
      <w:marBottom w:val="0"/>
      <w:divBdr>
        <w:top w:val="none" w:sz="0" w:space="0" w:color="auto"/>
        <w:left w:val="none" w:sz="0" w:space="0" w:color="auto"/>
        <w:bottom w:val="none" w:sz="0" w:space="0" w:color="auto"/>
        <w:right w:val="none" w:sz="0" w:space="0" w:color="auto"/>
      </w:divBdr>
      <w:divsChild>
        <w:div w:id="1916239633">
          <w:marLeft w:val="0"/>
          <w:marRight w:val="0"/>
          <w:marTop w:val="0"/>
          <w:marBottom w:val="0"/>
          <w:divBdr>
            <w:top w:val="none" w:sz="0" w:space="0" w:color="auto"/>
            <w:left w:val="none" w:sz="0" w:space="0" w:color="auto"/>
            <w:bottom w:val="none" w:sz="0" w:space="0" w:color="auto"/>
            <w:right w:val="none" w:sz="0" w:space="0" w:color="auto"/>
          </w:divBdr>
          <w:divsChild>
            <w:div w:id="146049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669246">
      <w:bodyDiv w:val="1"/>
      <w:marLeft w:val="0"/>
      <w:marRight w:val="0"/>
      <w:marTop w:val="0"/>
      <w:marBottom w:val="0"/>
      <w:divBdr>
        <w:top w:val="none" w:sz="0" w:space="0" w:color="auto"/>
        <w:left w:val="none" w:sz="0" w:space="0" w:color="auto"/>
        <w:bottom w:val="none" w:sz="0" w:space="0" w:color="auto"/>
        <w:right w:val="none" w:sz="0" w:space="0" w:color="auto"/>
      </w:divBdr>
      <w:divsChild>
        <w:div w:id="1611430816">
          <w:marLeft w:val="0"/>
          <w:marRight w:val="0"/>
          <w:marTop w:val="0"/>
          <w:marBottom w:val="0"/>
          <w:divBdr>
            <w:top w:val="none" w:sz="0" w:space="0" w:color="auto"/>
            <w:left w:val="none" w:sz="0" w:space="0" w:color="auto"/>
            <w:bottom w:val="none" w:sz="0" w:space="0" w:color="auto"/>
            <w:right w:val="none" w:sz="0" w:space="0" w:color="auto"/>
          </w:divBdr>
          <w:divsChild>
            <w:div w:id="28462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89769">
      <w:bodyDiv w:val="1"/>
      <w:marLeft w:val="0"/>
      <w:marRight w:val="0"/>
      <w:marTop w:val="0"/>
      <w:marBottom w:val="0"/>
      <w:divBdr>
        <w:top w:val="none" w:sz="0" w:space="0" w:color="auto"/>
        <w:left w:val="none" w:sz="0" w:space="0" w:color="auto"/>
        <w:bottom w:val="none" w:sz="0" w:space="0" w:color="auto"/>
        <w:right w:val="none" w:sz="0" w:space="0" w:color="auto"/>
      </w:divBdr>
      <w:divsChild>
        <w:div w:id="820390003">
          <w:marLeft w:val="0"/>
          <w:marRight w:val="0"/>
          <w:marTop w:val="0"/>
          <w:marBottom w:val="0"/>
          <w:divBdr>
            <w:top w:val="none" w:sz="0" w:space="0" w:color="auto"/>
            <w:left w:val="none" w:sz="0" w:space="0" w:color="auto"/>
            <w:bottom w:val="none" w:sz="0" w:space="0" w:color="auto"/>
            <w:right w:val="none" w:sz="0" w:space="0" w:color="auto"/>
          </w:divBdr>
          <w:divsChild>
            <w:div w:id="142287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76151">
      <w:bodyDiv w:val="1"/>
      <w:marLeft w:val="0"/>
      <w:marRight w:val="0"/>
      <w:marTop w:val="0"/>
      <w:marBottom w:val="0"/>
      <w:divBdr>
        <w:top w:val="none" w:sz="0" w:space="0" w:color="auto"/>
        <w:left w:val="none" w:sz="0" w:space="0" w:color="auto"/>
        <w:bottom w:val="none" w:sz="0" w:space="0" w:color="auto"/>
        <w:right w:val="none" w:sz="0" w:space="0" w:color="auto"/>
      </w:divBdr>
      <w:divsChild>
        <w:div w:id="2066559012">
          <w:marLeft w:val="0"/>
          <w:marRight w:val="0"/>
          <w:marTop w:val="0"/>
          <w:marBottom w:val="0"/>
          <w:divBdr>
            <w:top w:val="none" w:sz="0" w:space="0" w:color="auto"/>
            <w:left w:val="none" w:sz="0" w:space="0" w:color="auto"/>
            <w:bottom w:val="none" w:sz="0" w:space="0" w:color="auto"/>
            <w:right w:val="none" w:sz="0" w:space="0" w:color="auto"/>
          </w:divBdr>
          <w:divsChild>
            <w:div w:id="6068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8706">
      <w:bodyDiv w:val="1"/>
      <w:marLeft w:val="0"/>
      <w:marRight w:val="0"/>
      <w:marTop w:val="0"/>
      <w:marBottom w:val="0"/>
      <w:divBdr>
        <w:top w:val="none" w:sz="0" w:space="0" w:color="auto"/>
        <w:left w:val="none" w:sz="0" w:space="0" w:color="auto"/>
        <w:bottom w:val="none" w:sz="0" w:space="0" w:color="auto"/>
        <w:right w:val="none" w:sz="0" w:space="0" w:color="auto"/>
      </w:divBdr>
      <w:divsChild>
        <w:div w:id="619186917">
          <w:marLeft w:val="0"/>
          <w:marRight w:val="0"/>
          <w:marTop w:val="0"/>
          <w:marBottom w:val="0"/>
          <w:divBdr>
            <w:top w:val="none" w:sz="0" w:space="0" w:color="auto"/>
            <w:left w:val="none" w:sz="0" w:space="0" w:color="auto"/>
            <w:bottom w:val="none" w:sz="0" w:space="0" w:color="auto"/>
            <w:right w:val="none" w:sz="0" w:space="0" w:color="auto"/>
          </w:divBdr>
          <w:divsChild>
            <w:div w:id="47325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256560">
      <w:bodyDiv w:val="1"/>
      <w:marLeft w:val="0"/>
      <w:marRight w:val="0"/>
      <w:marTop w:val="0"/>
      <w:marBottom w:val="0"/>
      <w:divBdr>
        <w:top w:val="none" w:sz="0" w:space="0" w:color="auto"/>
        <w:left w:val="none" w:sz="0" w:space="0" w:color="auto"/>
        <w:bottom w:val="none" w:sz="0" w:space="0" w:color="auto"/>
        <w:right w:val="none" w:sz="0" w:space="0" w:color="auto"/>
      </w:divBdr>
      <w:divsChild>
        <w:div w:id="1708216869">
          <w:marLeft w:val="0"/>
          <w:marRight w:val="0"/>
          <w:marTop w:val="0"/>
          <w:marBottom w:val="0"/>
          <w:divBdr>
            <w:top w:val="none" w:sz="0" w:space="0" w:color="auto"/>
            <w:left w:val="none" w:sz="0" w:space="0" w:color="auto"/>
            <w:bottom w:val="none" w:sz="0" w:space="0" w:color="auto"/>
            <w:right w:val="none" w:sz="0" w:space="0" w:color="auto"/>
          </w:divBdr>
          <w:divsChild>
            <w:div w:id="54560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25374">
      <w:bodyDiv w:val="1"/>
      <w:marLeft w:val="0"/>
      <w:marRight w:val="0"/>
      <w:marTop w:val="0"/>
      <w:marBottom w:val="0"/>
      <w:divBdr>
        <w:top w:val="none" w:sz="0" w:space="0" w:color="auto"/>
        <w:left w:val="none" w:sz="0" w:space="0" w:color="auto"/>
        <w:bottom w:val="none" w:sz="0" w:space="0" w:color="auto"/>
        <w:right w:val="none" w:sz="0" w:space="0" w:color="auto"/>
      </w:divBdr>
      <w:divsChild>
        <w:div w:id="1460954833">
          <w:marLeft w:val="0"/>
          <w:marRight w:val="0"/>
          <w:marTop w:val="0"/>
          <w:marBottom w:val="0"/>
          <w:divBdr>
            <w:top w:val="none" w:sz="0" w:space="0" w:color="auto"/>
            <w:left w:val="none" w:sz="0" w:space="0" w:color="auto"/>
            <w:bottom w:val="none" w:sz="0" w:space="0" w:color="auto"/>
            <w:right w:val="none" w:sz="0" w:space="0" w:color="auto"/>
          </w:divBdr>
          <w:divsChild>
            <w:div w:id="202612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305338">
      <w:bodyDiv w:val="1"/>
      <w:marLeft w:val="0"/>
      <w:marRight w:val="0"/>
      <w:marTop w:val="0"/>
      <w:marBottom w:val="0"/>
      <w:divBdr>
        <w:top w:val="none" w:sz="0" w:space="0" w:color="auto"/>
        <w:left w:val="none" w:sz="0" w:space="0" w:color="auto"/>
        <w:bottom w:val="none" w:sz="0" w:space="0" w:color="auto"/>
        <w:right w:val="none" w:sz="0" w:space="0" w:color="auto"/>
      </w:divBdr>
      <w:divsChild>
        <w:div w:id="621763443">
          <w:marLeft w:val="0"/>
          <w:marRight w:val="0"/>
          <w:marTop w:val="0"/>
          <w:marBottom w:val="0"/>
          <w:divBdr>
            <w:top w:val="none" w:sz="0" w:space="0" w:color="auto"/>
            <w:left w:val="none" w:sz="0" w:space="0" w:color="auto"/>
            <w:bottom w:val="none" w:sz="0" w:space="0" w:color="auto"/>
            <w:right w:val="none" w:sz="0" w:space="0" w:color="auto"/>
          </w:divBdr>
          <w:divsChild>
            <w:div w:id="26307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jstor.org/stable/10.1525/j.ctt1ffjn7j.6.%20Accessed%2011%20Apr.%2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541</TotalTime>
  <Pages>4</Pages>
  <Words>1352</Words>
  <Characters>7710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Edwards (2304623)</dc:creator>
  <cp:keywords/>
  <dc:description/>
  <cp:lastModifiedBy>Robert Edwards (2304623)</cp:lastModifiedBy>
  <cp:revision>144</cp:revision>
  <dcterms:created xsi:type="dcterms:W3CDTF">2025-04-11T09:29:00Z</dcterms:created>
  <dcterms:modified xsi:type="dcterms:W3CDTF">2025-04-11T18:37:00Z</dcterms:modified>
</cp:coreProperties>
</file>