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D7ED2" w14:textId="77777777" w:rsidR="00707694" w:rsidRPr="00707694" w:rsidRDefault="00707694" w:rsidP="00707694">
      <w:pPr>
        <w:rPr>
          <w:b/>
          <w:bCs/>
          <w:sz w:val="24"/>
          <w:szCs w:val="24"/>
          <w:u w:val="single"/>
          <w:lang w:eastAsia="en-GB"/>
        </w:rPr>
      </w:pPr>
      <w:r w:rsidRPr="00707694">
        <w:rPr>
          <w:b/>
          <w:bCs/>
          <w:sz w:val="24"/>
          <w:szCs w:val="24"/>
          <w:u w:val="single"/>
        </w:rPr>
        <w:t>Quality</w:t>
      </w:r>
      <w:r w:rsidRPr="00707694">
        <w:rPr>
          <w:b/>
          <w:bCs/>
          <w:sz w:val="24"/>
          <w:szCs w:val="24"/>
          <w:u w:val="single"/>
          <w:lang w:eastAsia="en-GB"/>
        </w:rPr>
        <w:t xml:space="preserve"> Assurance and Inspection in Early Childhood Education: Reflective Analysis</w:t>
      </w:r>
    </w:p>
    <w:p w14:paraId="33242E4D" w14:textId="79D4BCBC" w:rsidR="00707694" w:rsidRPr="00707694" w:rsidRDefault="00707694" w:rsidP="00707694">
      <w:pPr>
        <w:rPr>
          <w:rFonts w:cstheme="minorHAnsi"/>
          <w:sz w:val="24"/>
          <w:szCs w:val="24"/>
        </w:rPr>
      </w:pPr>
      <w:r w:rsidRPr="00707694">
        <w:rPr>
          <w:rFonts w:cstheme="minorHAnsi"/>
          <w:sz w:val="24"/>
          <w:szCs w:val="24"/>
        </w:rPr>
        <w:t>Quality assurance and inspection are fundamental components of early childhood education and care in Wales, ensuring that all children are provided with consistent, high standards of care, learning, and development opportunities. Within a diverse sector encompassing public, voluntary, and private provision, the processes of monitoring, evaluation, and improvement are essential for sustaining trust, responsibility, and accountability. These mechanisms are not simply about compliance</w:t>
      </w:r>
      <w:r w:rsidR="00945F07">
        <w:rPr>
          <w:rFonts w:cstheme="minorHAnsi"/>
          <w:sz w:val="24"/>
          <w:szCs w:val="24"/>
        </w:rPr>
        <w:t>,</w:t>
      </w:r>
      <w:r w:rsidRPr="00707694">
        <w:rPr>
          <w:rFonts w:cstheme="minorHAnsi"/>
          <w:sz w:val="24"/>
          <w:szCs w:val="24"/>
        </w:rPr>
        <w:t xml:space="preserve"> rather they promote a reflective and developmental approach to practice that aligns with the aspirations of the Curriculum for Wales. Quality in early childhood education is increasingly viewed not as a static outcome but as a dynamic process embedded in relationships, pedagogy, and continuous learning. Through quality assurance, practitioners evaluate and enhance their professional performance, while inspection offers external validation and ensures regulatory robustness. The intersection of both dimensions has created a dual system in which accountability and professional growth operate synergistically.</w:t>
      </w:r>
    </w:p>
    <w:p w14:paraId="0E10FCF8" w14:textId="1BD3BD0D" w:rsidR="00707694" w:rsidRPr="00707694" w:rsidRDefault="00707694" w:rsidP="00707694">
      <w:pPr>
        <w:rPr>
          <w:rFonts w:cstheme="minorHAnsi"/>
          <w:sz w:val="24"/>
          <w:szCs w:val="24"/>
        </w:rPr>
      </w:pPr>
      <w:r w:rsidRPr="00707694">
        <w:rPr>
          <w:rFonts w:cstheme="minorHAnsi"/>
          <w:sz w:val="24"/>
          <w:szCs w:val="24"/>
        </w:rPr>
        <w:t>Critical discussion of quality assurance and inspection requires recognition of their shared goal</w:t>
      </w:r>
      <w:r w:rsidR="002E7A87">
        <w:rPr>
          <w:rFonts w:cstheme="minorHAnsi"/>
          <w:sz w:val="24"/>
          <w:szCs w:val="24"/>
        </w:rPr>
        <w:t xml:space="preserve"> </w:t>
      </w:r>
      <w:r w:rsidRPr="00707694">
        <w:rPr>
          <w:rFonts w:cstheme="minorHAnsi"/>
          <w:sz w:val="24"/>
          <w:szCs w:val="24"/>
        </w:rPr>
        <w:t>to promote best practice and drive continuous improvement, yet through distinct means. Inspection serves as a mechanism of accountability</w:t>
      </w:r>
      <w:r w:rsidR="00945F07">
        <w:rPr>
          <w:rFonts w:cstheme="minorHAnsi"/>
          <w:sz w:val="24"/>
          <w:szCs w:val="24"/>
        </w:rPr>
        <w:t xml:space="preserve">, </w:t>
      </w:r>
      <w:r w:rsidRPr="00707694">
        <w:rPr>
          <w:rFonts w:cstheme="minorHAnsi"/>
          <w:sz w:val="24"/>
          <w:szCs w:val="24"/>
        </w:rPr>
        <w:t>often cyclical, standardised, and objective</w:t>
      </w:r>
      <w:r w:rsidR="00945F07">
        <w:rPr>
          <w:rFonts w:cstheme="minorHAnsi"/>
          <w:sz w:val="24"/>
          <w:szCs w:val="24"/>
        </w:rPr>
        <w:t xml:space="preserve">, </w:t>
      </w:r>
      <w:r w:rsidRPr="00707694">
        <w:rPr>
          <w:rFonts w:cstheme="minorHAnsi"/>
          <w:sz w:val="24"/>
          <w:szCs w:val="24"/>
        </w:rPr>
        <w:t>while quality assurance operates as a collaborative, introspective process embedded within everyday practice. This reflective analysis explores the significance of these interconnected approaches in the Welsh early years sector. It examines how they contribute to the development of professional identity, the promotion of reflective leadership, and the improvement of outcomes for children and families. Particular focus is given to two voluntary quality improvement frameworks</w:t>
      </w:r>
      <w:r w:rsidR="00945F07">
        <w:rPr>
          <w:rFonts w:cstheme="minorHAnsi"/>
          <w:sz w:val="24"/>
          <w:szCs w:val="24"/>
        </w:rPr>
        <w:t xml:space="preserve">, </w:t>
      </w:r>
      <w:r w:rsidRPr="00707694">
        <w:rPr>
          <w:rFonts w:cstheme="minorHAnsi"/>
          <w:sz w:val="24"/>
          <w:szCs w:val="24"/>
        </w:rPr>
        <w:t>Early Years </w:t>
      </w:r>
      <w:proofErr w:type="spellStart"/>
      <w:r w:rsidRPr="00707694">
        <w:rPr>
          <w:rFonts w:cstheme="minorHAnsi"/>
          <w:sz w:val="24"/>
          <w:szCs w:val="24"/>
        </w:rPr>
        <w:t>Wales’</w:t>
      </w:r>
      <w:proofErr w:type="spellEnd"/>
      <w:r w:rsidRPr="00707694">
        <w:rPr>
          <w:rFonts w:cstheme="minorHAnsi"/>
          <w:sz w:val="24"/>
          <w:szCs w:val="24"/>
        </w:rPr>
        <w:t xml:space="preserve"> Quality for All mark and the National Day Nurseries Association (NDNA) Quality First scheme</w:t>
      </w:r>
      <w:r w:rsidR="00945F07">
        <w:rPr>
          <w:rFonts w:cstheme="minorHAnsi"/>
          <w:sz w:val="24"/>
          <w:szCs w:val="24"/>
        </w:rPr>
        <w:t xml:space="preserve">. Both of </w:t>
      </w:r>
      <w:r w:rsidRPr="00707694">
        <w:rPr>
          <w:rFonts w:cstheme="minorHAnsi"/>
          <w:sz w:val="24"/>
          <w:szCs w:val="24"/>
        </w:rPr>
        <w:t>which demonstrate the potential of structured reflection in enhancing practice across a range of early years settings.</w:t>
      </w:r>
    </w:p>
    <w:p w14:paraId="3CC56406" w14:textId="40D3B4A5" w:rsidR="00707694" w:rsidRPr="00707694" w:rsidRDefault="00707694" w:rsidP="00707694">
      <w:pPr>
        <w:rPr>
          <w:rFonts w:cstheme="minorHAnsi"/>
          <w:sz w:val="24"/>
          <w:szCs w:val="24"/>
        </w:rPr>
      </w:pPr>
      <w:r w:rsidRPr="00707694">
        <w:rPr>
          <w:rFonts w:cstheme="minorHAnsi"/>
          <w:sz w:val="24"/>
          <w:szCs w:val="24"/>
        </w:rPr>
        <w:t>The legislative and policy context of quality assurance in Wales provides the structural foundation for ensuring standards. The Children and Families (Wales) Measure 2010 and the National Minimum Standards for Regulated Childcare (Welsh Government, 2021) define the legal parameters under which early years services operate. Care Inspectorate Wales (CIW) monitors compliance through inspection, assessing the effectiveness of leadership, safeguarding, and welfare arrangements. Estyn, which inspects educational settings, complements CIW’s work by evaluating learning, teaching, and management within funded non-maintained nursery provision. This dual system allows for a comprehensive oversight of both care and education, ensuring parity of quality. However, as Nutbrown (2012) and Moss (2010) argue, legislative frameworks and inspection regimes</w:t>
      </w:r>
      <w:r w:rsidR="00945F07">
        <w:rPr>
          <w:rFonts w:cstheme="minorHAnsi"/>
          <w:sz w:val="24"/>
          <w:szCs w:val="24"/>
        </w:rPr>
        <w:t xml:space="preserve">, </w:t>
      </w:r>
      <w:r w:rsidRPr="00707694">
        <w:rPr>
          <w:rFonts w:cstheme="minorHAnsi"/>
          <w:sz w:val="24"/>
          <w:szCs w:val="24"/>
        </w:rPr>
        <w:t>although necessary</w:t>
      </w:r>
      <w:r w:rsidR="00945F07">
        <w:rPr>
          <w:rFonts w:cstheme="minorHAnsi"/>
          <w:sz w:val="24"/>
          <w:szCs w:val="24"/>
        </w:rPr>
        <w:t xml:space="preserve">, </w:t>
      </w:r>
      <w:r w:rsidRPr="00707694">
        <w:rPr>
          <w:rFonts w:cstheme="minorHAnsi"/>
          <w:sz w:val="24"/>
          <w:szCs w:val="24"/>
        </w:rPr>
        <w:t xml:space="preserve">often focus predominantly on structural indicators of quality, such as ratios, staff qualifications, and facilities, at the expense of the subtler, process-oriented aspects like relationships, emotional climate, and adult expectations. These more qualitative elements are foundational to children’s lived experiences of learning. Quality assurance addresses this limitation by nurturing the reflective capacities of educators, encouraging them to examine </w:t>
      </w:r>
      <w:r w:rsidRPr="00707694">
        <w:rPr>
          <w:rFonts w:cstheme="minorHAnsi"/>
          <w:sz w:val="24"/>
          <w:szCs w:val="24"/>
        </w:rPr>
        <w:lastRenderedPageBreak/>
        <w:t>how daily pedagogical decisions align with values, policy, and children’s developmental needs.</w:t>
      </w:r>
    </w:p>
    <w:p w14:paraId="7B9B2147" w14:textId="46B09F2B" w:rsidR="00707694" w:rsidRPr="00707694" w:rsidRDefault="00707694" w:rsidP="00707694">
      <w:pPr>
        <w:rPr>
          <w:rFonts w:cstheme="minorHAnsi"/>
          <w:sz w:val="24"/>
          <w:szCs w:val="24"/>
        </w:rPr>
      </w:pPr>
      <w:r w:rsidRPr="00707694">
        <w:rPr>
          <w:rFonts w:cstheme="minorHAnsi"/>
          <w:sz w:val="24"/>
          <w:szCs w:val="24"/>
        </w:rPr>
        <w:t>Inspection and internal quality assurance share a commitment to accountability, but they differ significantly in emphasis. Whereas inspection is largely summative and outcomes-driven, focusing on external verification and compliance with regulations, quality assurance is formative, developmental, and grounded in continuous learning. Moss (2010) warns that systems solely oriented toward accountability risk producing a performative culture in which practitioners act to please inspectors rather than to serve children’s interests. In contrast, quality assurance encourages reflective autonomy and professional responsibility. It operates through a cyclical process of self-evaluation, action planning, implementation, and review</w:t>
      </w:r>
      <w:r w:rsidR="00945F07">
        <w:rPr>
          <w:rFonts w:cstheme="minorHAnsi"/>
          <w:sz w:val="24"/>
          <w:szCs w:val="24"/>
        </w:rPr>
        <w:t xml:space="preserve">, </w:t>
      </w:r>
      <w:r w:rsidRPr="00707694">
        <w:rPr>
          <w:rFonts w:cstheme="minorHAnsi"/>
          <w:sz w:val="24"/>
          <w:szCs w:val="24"/>
        </w:rPr>
        <w:t>akin to a professional inquiry cycle. When these processes are embedded within an organisation, improvement becomes an intrinsic part of organisational culture rather than an imposed expectation.</w:t>
      </w:r>
    </w:p>
    <w:p w14:paraId="09589E9A" w14:textId="09E80419" w:rsidR="00707694" w:rsidRPr="00707694" w:rsidRDefault="00707694" w:rsidP="00707694">
      <w:pPr>
        <w:rPr>
          <w:rFonts w:cstheme="minorHAnsi"/>
          <w:sz w:val="24"/>
          <w:szCs w:val="24"/>
        </w:rPr>
      </w:pPr>
      <w:r w:rsidRPr="00707694">
        <w:rPr>
          <w:rFonts w:cstheme="minorHAnsi"/>
          <w:sz w:val="24"/>
          <w:szCs w:val="24"/>
        </w:rPr>
        <w:t>Early Years </w:t>
      </w:r>
      <w:proofErr w:type="spellStart"/>
      <w:r w:rsidRPr="00707694">
        <w:rPr>
          <w:rFonts w:cstheme="minorHAnsi"/>
          <w:sz w:val="24"/>
          <w:szCs w:val="24"/>
        </w:rPr>
        <w:t>Wales’</w:t>
      </w:r>
      <w:proofErr w:type="spellEnd"/>
      <w:r w:rsidRPr="00707694">
        <w:rPr>
          <w:rFonts w:cstheme="minorHAnsi"/>
          <w:sz w:val="24"/>
          <w:szCs w:val="24"/>
        </w:rPr>
        <w:t xml:space="preserve"> Quality for All mark exemplifies such an approach. Established as a voluntary system, it provides a structured yet supportive framework through which early years providers can engage critically with their own practices. The scheme covers multiple dimensions of provision, including leadership, planning and curriculum delivery, inclusion, partnerships with families, environment, and safeguarding. Each domain invites detailed reflection, supported by evidence portfolios and moderated external verification. Crucially, the scheme is developmental rather than judgemental, enabling settings to evaluate progress over time and to celebrate improvement. Siraj and Kingston (2015) describe this process as one that builds professional autonomy through collaborative inquiry</w:t>
      </w:r>
      <w:r w:rsidR="002E7A87">
        <w:rPr>
          <w:rFonts w:cstheme="minorHAnsi"/>
          <w:sz w:val="24"/>
          <w:szCs w:val="24"/>
        </w:rPr>
        <w:t xml:space="preserve">, </w:t>
      </w:r>
      <w:r w:rsidRPr="00707694">
        <w:rPr>
          <w:rFonts w:cstheme="minorHAnsi"/>
          <w:sz w:val="24"/>
          <w:szCs w:val="24"/>
        </w:rPr>
        <w:t>it positions practitioners as active researchers capable of shaping their own quality journey.</w:t>
      </w:r>
    </w:p>
    <w:p w14:paraId="27C92C86" w14:textId="0C339F3B" w:rsidR="00707694" w:rsidRPr="00707694" w:rsidRDefault="00707694" w:rsidP="00707694">
      <w:pPr>
        <w:rPr>
          <w:rFonts w:cstheme="minorHAnsi"/>
          <w:sz w:val="24"/>
          <w:szCs w:val="24"/>
        </w:rPr>
      </w:pPr>
      <w:r w:rsidRPr="00707694">
        <w:rPr>
          <w:rFonts w:cstheme="minorHAnsi"/>
          <w:sz w:val="24"/>
          <w:szCs w:val="24"/>
        </w:rPr>
        <w:t>In practical terms, participation in Quality for All helps settings bridge policy and practice. Its reflective template encourages managers and staff to articulate the pedagogical rationales underpinning their work, making invisible practice visible through documentation and dialogue. Brodie (2013</w:t>
      </w:r>
      <w:r w:rsidR="002E7A87">
        <w:rPr>
          <w:rFonts w:cstheme="minorHAnsi"/>
          <w:sz w:val="24"/>
          <w:szCs w:val="24"/>
        </w:rPr>
        <w:t>, p.160</w:t>
      </w:r>
      <w:r w:rsidRPr="00707694">
        <w:rPr>
          <w:rFonts w:cstheme="minorHAnsi"/>
          <w:sz w:val="24"/>
          <w:szCs w:val="24"/>
        </w:rPr>
        <w:t>) argues that leadership begins when practitioners “step back and question the why” of their decisions</w:t>
      </w:r>
      <w:r w:rsidR="00945F07">
        <w:rPr>
          <w:rFonts w:cstheme="minorHAnsi"/>
          <w:sz w:val="24"/>
          <w:szCs w:val="24"/>
        </w:rPr>
        <w:t xml:space="preserve">, </w:t>
      </w:r>
      <w:r w:rsidRPr="00707694">
        <w:rPr>
          <w:rFonts w:cstheme="minorHAnsi"/>
          <w:sz w:val="24"/>
          <w:szCs w:val="24"/>
        </w:rPr>
        <w:t>a stance that lies at the heart of the Quality for All process. By engaging collectively in analysis and discussion, settings build shared purpose and consistent approaches. Evaluation extends beyond meeting statutory expectations to exploring how children’s voices are embedded in planning or how inclusive practice is implemented daily. The process thus transforms compliance into reflection</w:t>
      </w:r>
      <w:r w:rsidR="00945F07">
        <w:rPr>
          <w:rFonts w:cstheme="minorHAnsi"/>
          <w:sz w:val="24"/>
          <w:szCs w:val="24"/>
        </w:rPr>
        <w:t xml:space="preserve">, </w:t>
      </w:r>
      <w:r w:rsidRPr="00707694">
        <w:rPr>
          <w:rFonts w:cstheme="minorHAnsi"/>
          <w:sz w:val="24"/>
          <w:szCs w:val="24"/>
        </w:rPr>
        <w:t>strengthening morale, unity, and a sense of purpose within the team.</w:t>
      </w:r>
    </w:p>
    <w:p w14:paraId="6BBDDB75" w14:textId="7F94FFD2" w:rsidR="00707694" w:rsidRPr="00707694" w:rsidRDefault="00707694" w:rsidP="00707694">
      <w:pPr>
        <w:rPr>
          <w:rFonts w:cstheme="minorHAnsi"/>
          <w:sz w:val="24"/>
          <w:szCs w:val="24"/>
        </w:rPr>
      </w:pPr>
      <w:r w:rsidRPr="00707694">
        <w:rPr>
          <w:rFonts w:cstheme="minorHAnsi"/>
          <w:sz w:val="24"/>
          <w:szCs w:val="24"/>
        </w:rPr>
        <w:t xml:space="preserve">Empirical evidence suggests that participation in Quality for All contributes to improved outcomes across multiple domains. Early Years Wales (2023) notes that settings completing the mark experience stronger community reputation and parental trust, and staff exhibit higher professional confidence. Importantly, because the framework mirrors Estyn’s self-evaluation model, it provides strong continuity with statutory inspection expectations. However, the system also faces tangible challenges. Compiling evidence portfolios, sustaining peer reflection, and coordinating verification reviews demand time and resources that smaller voluntary settings can struggle to provide. Rodd (2013) cautions that when self-evaluation becomes an administrative exercise rather than a dialogic one, its developmental </w:t>
      </w:r>
      <w:r w:rsidRPr="00707694">
        <w:rPr>
          <w:rFonts w:cstheme="minorHAnsi"/>
          <w:sz w:val="24"/>
          <w:szCs w:val="24"/>
        </w:rPr>
        <w:lastRenderedPageBreak/>
        <w:t>potential diminishes. There is also the problem of subjectivity</w:t>
      </w:r>
      <w:r w:rsidR="002E7A87">
        <w:rPr>
          <w:rFonts w:cstheme="minorHAnsi"/>
          <w:sz w:val="24"/>
          <w:szCs w:val="24"/>
        </w:rPr>
        <w:t xml:space="preserve">, </w:t>
      </w:r>
      <w:r w:rsidRPr="00707694">
        <w:rPr>
          <w:rFonts w:cstheme="minorHAnsi"/>
          <w:sz w:val="24"/>
          <w:szCs w:val="24"/>
        </w:rPr>
        <w:t>even with moderation, verification outcomes can vary depending on assessor interpretation. These challenges reinforce the need for ongoing training in reflective practice and leadership. Despite these limitations, Quality for All has proven its value in nurturing reflective communities where improvement is driven from within rather than externally imposed.</w:t>
      </w:r>
    </w:p>
    <w:p w14:paraId="6D98FBFB" w14:textId="5A2AB3C2" w:rsidR="00707694" w:rsidRPr="00707694" w:rsidRDefault="00707694" w:rsidP="00707694">
      <w:pPr>
        <w:rPr>
          <w:rFonts w:cstheme="minorHAnsi"/>
          <w:sz w:val="24"/>
          <w:szCs w:val="24"/>
        </w:rPr>
      </w:pPr>
      <w:r w:rsidRPr="00707694">
        <w:rPr>
          <w:rFonts w:cstheme="minorHAnsi"/>
          <w:sz w:val="24"/>
          <w:szCs w:val="24"/>
        </w:rPr>
        <w:t>The NDNA’s Quality First scheme extends similar principles across a wider, UK-based context. Its tiered framework</w:t>
      </w:r>
      <w:r w:rsidR="00945F07">
        <w:rPr>
          <w:rFonts w:cstheme="minorHAnsi"/>
          <w:sz w:val="24"/>
          <w:szCs w:val="24"/>
        </w:rPr>
        <w:t xml:space="preserve">, </w:t>
      </w:r>
      <w:r w:rsidRPr="00707694">
        <w:rPr>
          <w:rFonts w:cstheme="minorHAnsi"/>
          <w:sz w:val="24"/>
          <w:szCs w:val="24"/>
        </w:rPr>
        <w:t>bronze, silver, and gold</w:t>
      </w:r>
      <w:r w:rsidR="00945F07">
        <w:rPr>
          <w:rFonts w:cstheme="minorHAnsi"/>
          <w:sz w:val="24"/>
          <w:szCs w:val="24"/>
        </w:rPr>
        <w:t xml:space="preserve">, </w:t>
      </w:r>
      <w:r w:rsidRPr="00707694">
        <w:rPr>
          <w:rFonts w:cstheme="minorHAnsi"/>
          <w:sz w:val="24"/>
          <w:szCs w:val="24"/>
        </w:rPr>
        <w:t>encourages incremental improvement through self-evaluation, mentor support, and external recognition. Each stage expands on themes of leadership, safeguarding, pedagogy, and partnership, allowing settings to progress at a manageable pace (NDNA, 2022). The inclusion of mentors is a defining feature</w:t>
      </w:r>
      <w:r w:rsidR="002E7A87">
        <w:rPr>
          <w:rFonts w:cstheme="minorHAnsi"/>
          <w:sz w:val="24"/>
          <w:szCs w:val="24"/>
        </w:rPr>
        <w:t>,</w:t>
      </w:r>
      <w:r w:rsidRPr="00707694">
        <w:rPr>
          <w:rFonts w:cstheme="minorHAnsi"/>
          <w:sz w:val="24"/>
          <w:szCs w:val="24"/>
        </w:rPr>
        <w:t xml:space="preserve"> experienced consultants guide settings through reflective questioning, blending support with constructive challenge. This dynamic echoes the idea of the “critical friend,” who both validates and provokes professional thinking (Rodd, 2013). Through this, Quality First transforms reflection into a developmental partnership founded on professional trust.</w:t>
      </w:r>
    </w:p>
    <w:p w14:paraId="2107BC5A" w14:textId="37CF94D8" w:rsidR="00707694" w:rsidRPr="00707694" w:rsidRDefault="00707694" w:rsidP="00707694">
      <w:pPr>
        <w:rPr>
          <w:rFonts w:cstheme="minorHAnsi"/>
          <w:sz w:val="24"/>
          <w:szCs w:val="24"/>
        </w:rPr>
      </w:pPr>
      <w:r w:rsidRPr="00707694">
        <w:rPr>
          <w:rFonts w:cstheme="minorHAnsi"/>
          <w:sz w:val="24"/>
          <w:szCs w:val="24"/>
        </w:rPr>
        <w:t>The benefits of this approach are multifaceted. Staff at all levels are empowered to contribute to self-evaluation, creating distributed leadership and shared accountability. Siraj and Kingston (2015) identify this collaborative ethos as the essence of pedagogical leadership, which depends on shared responsibility rather than hierarchical control. Quality assurance thereby evolves into a collective inquiry process that aligns with Schön’s (1983) concept of the reflective practitioner</w:t>
      </w:r>
      <w:r w:rsidR="00945F07">
        <w:rPr>
          <w:rFonts w:cstheme="minorHAnsi"/>
          <w:sz w:val="24"/>
          <w:szCs w:val="24"/>
        </w:rPr>
        <w:t xml:space="preserve">, </w:t>
      </w:r>
      <w:r w:rsidRPr="00707694">
        <w:rPr>
          <w:rFonts w:cstheme="minorHAnsi"/>
          <w:sz w:val="24"/>
          <w:szCs w:val="24"/>
        </w:rPr>
        <w:t>professionals who continually learn through cycles of thinking, acting, and rethinking. Research evidence demonstrates that such reflective engagement directly influences the quality of children’s experiences. Laevers (2005) found that settings focused on reflective practice displayed higher levels of child involvement, intrinsic motivation, and positive emotional climates</w:t>
      </w:r>
      <w:r w:rsidR="00945F07">
        <w:rPr>
          <w:rFonts w:cstheme="minorHAnsi"/>
          <w:sz w:val="24"/>
          <w:szCs w:val="24"/>
        </w:rPr>
        <w:t xml:space="preserve">, </w:t>
      </w:r>
      <w:r w:rsidRPr="00707694">
        <w:rPr>
          <w:rFonts w:cstheme="minorHAnsi"/>
          <w:sz w:val="24"/>
          <w:szCs w:val="24"/>
        </w:rPr>
        <w:t>dimensions that strongly predict developmental outcomes.</w:t>
      </w:r>
    </w:p>
    <w:p w14:paraId="40D19F63" w14:textId="333EFEEE" w:rsidR="00707694" w:rsidRPr="00707694" w:rsidRDefault="00707694" w:rsidP="00707694">
      <w:pPr>
        <w:rPr>
          <w:rFonts w:cstheme="minorHAnsi"/>
          <w:sz w:val="24"/>
          <w:szCs w:val="24"/>
        </w:rPr>
      </w:pPr>
      <w:r w:rsidRPr="00707694">
        <w:rPr>
          <w:rFonts w:cstheme="minorHAnsi"/>
          <w:sz w:val="24"/>
          <w:szCs w:val="24"/>
        </w:rPr>
        <w:t>Another significant benefit of participation in Quality First is its emphasis on professional networking. By connecting nurseries to a nationwide community of practice, NDNA ensures that learning is contextually enriched rather than isolated. This system-wide collaboration exemplifies what Marmot (2020) calls the social dimension of professionalism the acknowledgment that collective expertise and solidarity contribute to equity and quality across society. However, as with Quality for All, barriers of cost, documentation, and time persist. Brooks (2017) argues that excessive documentation can reduce genuine reflection to compliance. Moreover, national standardisation can unintentionally constrain local authenticity</w:t>
      </w:r>
      <w:r w:rsidR="00945F07">
        <w:rPr>
          <w:rFonts w:cstheme="minorHAnsi"/>
          <w:sz w:val="24"/>
          <w:szCs w:val="24"/>
        </w:rPr>
        <w:t>,</w:t>
      </w:r>
      <w:r w:rsidRPr="00707694">
        <w:rPr>
          <w:rFonts w:cstheme="minorHAnsi"/>
          <w:sz w:val="24"/>
          <w:szCs w:val="24"/>
        </w:rPr>
        <w:t xml:space="preserve"> leaders must therefore interpret framework criteria flexibly to preserve creativity. Hayes (2013) reinforces the importance of cultural responsiveness, reminding practitioners that quality is socially defined and context-specific. When these frameworks are implemented with sensitivity, they function not as rigid systems but as reflective catalysts that unite structure with creativity.</w:t>
      </w:r>
    </w:p>
    <w:p w14:paraId="44DC78E0" w14:textId="6EF58186" w:rsidR="00707694" w:rsidRPr="00707694" w:rsidRDefault="00707694" w:rsidP="00707694">
      <w:pPr>
        <w:rPr>
          <w:rFonts w:cstheme="minorHAnsi"/>
          <w:sz w:val="24"/>
          <w:szCs w:val="24"/>
        </w:rPr>
      </w:pPr>
      <w:r w:rsidRPr="00707694">
        <w:rPr>
          <w:rFonts w:cstheme="minorHAnsi"/>
          <w:sz w:val="24"/>
          <w:szCs w:val="24"/>
        </w:rPr>
        <w:t>Comparing the two schemes reveals a shared developmental philosophy</w:t>
      </w:r>
      <w:r w:rsidR="002E7A87">
        <w:rPr>
          <w:rFonts w:cstheme="minorHAnsi"/>
          <w:sz w:val="24"/>
          <w:szCs w:val="24"/>
        </w:rPr>
        <w:t>,</w:t>
      </w:r>
      <w:r w:rsidRPr="00707694">
        <w:rPr>
          <w:rFonts w:cstheme="minorHAnsi"/>
          <w:sz w:val="24"/>
          <w:szCs w:val="24"/>
        </w:rPr>
        <w:t xml:space="preserve"> both prioritise reflection, dialogue, and continuous improvement. Yet they differ in context and design. Quality for All is rooted in the Welsh policy environment, tailored to community settings and </w:t>
      </w:r>
      <w:r w:rsidRPr="00707694">
        <w:rPr>
          <w:rFonts w:cstheme="minorHAnsi"/>
          <w:sz w:val="24"/>
          <w:szCs w:val="24"/>
        </w:rPr>
        <w:lastRenderedPageBreak/>
        <w:t>aligned with Curriculum for Wales principles. Quality First, while UK-wide and more prescriptive, offers structured progression and extensive external support. Both complement formal inspection processes by extending reflection into everyday professional dialogue. They embody Gibbs’s (1988) experiential learning model</w:t>
      </w:r>
      <w:r w:rsidR="00945F07">
        <w:rPr>
          <w:rFonts w:cstheme="minorHAnsi"/>
          <w:sz w:val="24"/>
          <w:szCs w:val="24"/>
        </w:rPr>
        <w:t xml:space="preserve">, </w:t>
      </w:r>
      <w:r w:rsidRPr="00707694">
        <w:rPr>
          <w:rFonts w:cstheme="minorHAnsi"/>
          <w:sz w:val="24"/>
          <w:szCs w:val="24"/>
        </w:rPr>
        <w:t>where experience, reflection, analysis, and action form an iterative cycle</w:t>
      </w:r>
      <w:r w:rsidR="00945F07">
        <w:rPr>
          <w:rFonts w:cstheme="minorHAnsi"/>
          <w:sz w:val="24"/>
          <w:szCs w:val="24"/>
        </w:rPr>
        <w:t xml:space="preserve">, </w:t>
      </w:r>
      <w:r w:rsidRPr="00707694">
        <w:rPr>
          <w:rFonts w:cstheme="minorHAnsi"/>
          <w:sz w:val="24"/>
          <w:szCs w:val="24"/>
        </w:rPr>
        <w:t>and demonstrate how educational quality is cultivated through reflective praxis rather than inspection alone.</w:t>
      </w:r>
    </w:p>
    <w:p w14:paraId="5915F008" w14:textId="622020A8" w:rsidR="00707694" w:rsidRPr="00707694" w:rsidRDefault="00707694" w:rsidP="00707694">
      <w:pPr>
        <w:rPr>
          <w:rFonts w:cstheme="minorHAnsi"/>
          <w:sz w:val="24"/>
          <w:szCs w:val="24"/>
        </w:rPr>
      </w:pPr>
      <w:r w:rsidRPr="00707694">
        <w:rPr>
          <w:rFonts w:cstheme="minorHAnsi"/>
          <w:sz w:val="24"/>
          <w:szCs w:val="24"/>
        </w:rPr>
        <w:t>The influence of quality assurance reaches far beyond compliance. It reshapes professional culture, leadership, and identity. When embedded within everyday routines, QA encourages a shared sense of responsibility and collective leadership. Teams collaborate to evaluate evidence, identify priorities, and align strategic plans with pedagogical intentions. Estyn (2022) observed that early years settings with established self-evaluation systems sustain growth between inspections, demonstrating a capacity for adaptive improvement. QA invites leaders to base decisions on critical dialogue and research evidence, converting reflection into action. Within such environments, distributed leadership flourishes. Siraj and Kingston (2015) argue that leadership in early years is most effective when shared</w:t>
      </w:r>
      <w:r w:rsidR="00945F07">
        <w:rPr>
          <w:rFonts w:cstheme="minorHAnsi"/>
          <w:sz w:val="24"/>
          <w:szCs w:val="24"/>
        </w:rPr>
        <w:t>.</w:t>
      </w:r>
      <w:r w:rsidRPr="00707694">
        <w:rPr>
          <w:rFonts w:cstheme="minorHAnsi"/>
          <w:sz w:val="24"/>
          <w:szCs w:val="24"/>
        </w:rPr>
        <w:t xml:space="preserve"> </w:t>
      </w:r>
      <w:r w:rsidR="00945F07">
        <w:rPr>
          <w:rFonts w:cstheme="minorHAnsi"/>
          <w:sz w:val="24"/>
          <w:szCs w:val="24"/>
        </w:rPr>
        <w:t>Reflective</w:t>
      </w:r>
      <w:r w:rsidRPr="00707694">
        <w:rPr>
          <w:rFonts w:cstheme="minorHAnsi"/>
          <w:sz w:val="24"/>
          <w:szCs w:val="24"/>
        </w:rPr>
        <w:t xml:space="preserve"> cultures foster inclusiveness and empower all practitioners to contribute meaningfully.</w:t>
      </w:r>
    </w:p>
    <w:p w14:paraId="39A647C3" w14:textId="77777777" w:rsidR="00707694" w:rsidRPr="00707694" w:rsidRDefault="00707694" w:rsidP="00707694">
      <w:pPr>
        <w:rPr>
          <w:rFonts w:cstheme="minorHAnsi"/>
          <w:sz w:val="24"/>
          <w:szCs w:val="24"/>
        </w:rPr>
      </w:pPr>
      <w:r w:rsidRPr="00707694">
        <w:rPr>
          <w:rFonts w:cstheme="minorHAnsi"/>
          <w:sz w:val="24"/>
          <w:szCs w:val="24"/>
        </w:rPr>
        <w:t>The pedagogical implications of QA are also profound. By analysing how interactions, resources, and environments influence learning, practitioners develop nuanced pedagogical understanding. Continuous reflection encourages educators to balance structure with spontaneity and to interpret children’s cues with sensitivity. Over time, they become more confident in explaining the theoretical foundations of their work, deepening both professional and academic literacies. Bolton (2014) highlights that reflective writing enables practitioners to connect their tacit knowledge with formal theory, cultivating professional wisdom.</w:t>
      </w:r>
    </w:p>
    <w:p w14:paraId="3B1BCA0C" w14:textId="1012D605" w:rsidR="00707694" w:rsidRPr="00707694" w:rsidRDefault="00707694" w:rsidP="00707694">
      <w:pPr>
        <w:rPr>
          <w:rFonts w:cstheme="minorHAnsi"/>
          <w:sz w:val="24"/>
          <w:szCs w:val="24"/>
        </w:rPr>
      </w:pPr>
      <w:r w:rsidRPr="00707694">
        <w:rPr>
          <w:rFonts w:cstheme="minorHAnsi"/>
          <w:sz w:val="24"/>
          <w:szCs w:val="24"/>
        </w:rPr>
        <w:t>Beyond professional competence, QA embeds strong ethical foundations. Taggart (2011) emphasises that early years professionalism depends on ethical commitment and empathy. QA processes that incorporate reflection on values and relationships help practitioners articulate moral reasoning within their decision-making. This ensures that accountability does not compromise compassion. Moss (2010) critiques neoliberal notions of quality rooted in performativity</w:t>
      </w:r>
      <w:r w:rsidR="00945F07">
        <w:rPr>
          <w:rFonts w:cstheme="minorHAnsi"/>
          <w:sz w:val="24"/>
          <w:szCs w:val="24"/>
        </w:rPr>
        <w:t xml:space="preserve">, </w:t>
      </w:r>
      <w:r w:rsidRPr="00707694">
        <w:rPr>
          <w:rFonts w:cstheme="minorHAnsi"/>
          <w:sz w:val="24"/>
          <w:szCs w:val="24"/>
        </w:rPr>
        <w:t>developmental QA counters this by positioning care and ethics as central to quality. Reflection thus becomes moral as well as pedagogical, empowering practitioners to navigate complexity with integrity.</w:t>
      </w:r>
    </w:p>
    <w:p w14:paraId="34230FC4" w14:textId="77777777" w:rsidR="00707694" w:rsidRPr="00707694" w:rsidRDefault="00707694" w:rsidP="00707694">
      <w:pPr>
        <w:rPr>
          <w:rFonts w:cstheme="minorHAnsi"/>
          <w:sz w:val="24"/>
          <w:szCs w:val="24"/>
        </w:rPr>
      </w:pPr>
      <w:r w:rsidRPr="00707694">
        <w:rPr>
          <w:rFonts w:cstheme="minorHAnsi"/>
          <w:sz w:val="24"/>
          <w:szCs w:val="24"/>
        </w:rPr>
        <w:t>However, reflective processes demand supportive conditions. Brooks (2017) cautions that excessive administrative pressure may erode critical thought. Leadership must safeguard space for reflection and prioritise meaningful dialogue within staff schedules. Integrating QA into supervision, staff meetings, and training embeds it sustainably, making reflection habitual. When practitioners perceive QA not as additional labour but as integral to practice, quality becomes self-sustaining. CIW (2023) and Estyn (2022) both identify self-evaluation as the most reliable indicator of a resilient setting, one capable of continual adaptation to policy change and emerging research.</w:t>
      </w:r>
    </w:p>
    <w:p w14:paraId="4020B123" w14:textId="78A0F118" w:rsidR="00707694" w:rsidRPr="00707694" w:rsidRDefault="00707694" w:rsidP="00707694">
      <w:pPr>
        <w:rPr>
          <w:rFonts w:cstheme="minorHAnsi"/>
          <w:sz w:val="24"/>
          <w:szCs w:val="24"/>
        </w:rPr>
      </w:pPr>
      <w:r w:rsidRPr="00707694">
        <w:rPr>
          <w:rFonts w:cstheme="minorHAnsi"/>
          <w:sz w:val="24"/>
          <w:szCs w:val="24"/>
        </w:rPr>
        <w:lastRenderedPageBreak/>
        <w:t>Participation in formal QA systems also develops transferable academic and professional skills. The requirement to produce evidence portfolios and analytical commentary strengthens abilities in research, critical thinking, and written communication (Bolton, 2014). QA thus aligns with higher education objectives</w:t>
      </w:r>
      <w:r w:rsidR="002E7A87">
        <w:rPr>
          <w:rFonts w:cstheme="minorHAnsi"/>
          <w:sz w:val="24"/>
          <w:szCs w:val="24"/>
        </w:rPr>
        <w:t>,</w:t>
      </w:r>
      <w:r w:rsidRPr="00707694">
        <w:rPr>
          <w:rFonts w:cstheme="minorHAnsi"/>
          <w:sz w:val="24"/>
          <w:szCs w:val="24"/>
        </w:rPr>
        <w:t xml:space="preserve"> scholarship, synthesis, and the application of theory to practice. Practitioners evolve into reflective researchers capable of bridging practice and policy through evidence-based understanding. This professionalisation contributes to sector stability and enhances workforce credibility, raising the public profile of early childhood education as a rigorous and skilled profession.</w:t>
      </w:r>
    </w:p>
    <w:p w14:paraId="41386AE0" w14:textId="37503EC9" w:rsidR="00707694" w:rsidRPr="00707694" w:rsidRDefault="00707694" w:rsidP="00707694">
      <w:pPr>
        <w:rPr>
          <w:rFonts w:cstheme="minorHAnsi"/>
          <w:sz w:val="24"/>
          <w:szCs w:val="24"/>
        </w:rPr>
      </w:pPr>
      <w:r w:rsidRPr="00707694">
        <w:rPr>
          <w:rFonts w:cstheme="minorHAnsi"/>
          <w:sz w:val="24"/>
          <w:szCs w:val="24"/>
        </w:rPr>
        <w:t>At the systemic level, quality assurance supports national educational reform. The Curriculum for Wales positions learning as holistic, creative, and learner-led</w:t>
      </w:r>
      <w:r w:rsidR="00945F07">
        <w:rPr>
          <w:rFonts w:cstheme="minorHAnsi"/>
          <w:sz w:val="24"/>
          <w:szCs w:val="24"/>
        </w:rPr>
        <w:t xml:space="preserve">. </w:t>
      </w:r>
      <w:r w:rsidRPr="00707694">
        <w:rPr>
          <w:rFonts w:cstheme="minorHAnsi"/>
          <w:sz w:val="24"/>
          <w:szCs w:val="24"/>
        </w:rPr>
        <w:t>QA ensures these principles are embedded authentically within daily routines. Through cycles of self-evaluation, practitioners align intentions with outcomes, driving pedagogical innovation. Estyn (2022) notes that effective self-evaluation leads to inclusivity, collaboration, and coherence</w:t>
      </w:r>
      <w:r w:rsidR="00945F07">
        <w:rPr>
          <w:rFonts w:cstheme="minorHAnsi"/>
          <w:sz w:val="24"/>
          <w:szCs w:val="24"/>
        </w:rPr>
        <w:t xml:space="preserve">, </w:t>
      </w:r>
      <w:r w:rsidRPr="00707694">
        <w:rPr>
          <w:rFonts w:cstheme="minorHAnsi"/>
          <w:sz w:val="24"/>
          <w:szCs w:val="24"/>
        </w:rPr>
        <w:t>the cornerstones of Wales’s self-improving education system. Moreover, QA nurtures resilience in practitioners by normalising professional learning as an ongoing activity rather than a reactionary process. This reflective adaptability positions Wales’s early years workforce as agile, critically informed, and capable of sustaining excellence under changing social conditions.</w:t>
      </w:r>
    </w:p>
    <w:p w14:paraId="2C68E114" w14:textId="77777777" w:rsidR="00707694" w:rsidRDefault="00707694" w:rsidP="00707694">
      <w:r w:rsidRPr="00707694">
        <w:rPr>
          <w:rFonts w:cstheme="minorHAnsi"/>
          <w:sz w:val="24"/>
          <w:szCs w:val="24"/>
        </w:rPr>
        <w:t>In conclusion, quality assurance and inspection function as intertwined yet distinct mechanisms that shape early childhood education in Wales. While inspection guarantees accountability and transparency, quality assurance builds the reflective capacity, leadership strength, and moral awareness essential for sustained improvement. Early Years </w:t>
      </w:r>
      <w:proofErr w:type="spellStart"/>
      <w:r w:rsidRPr="00707694">
        <w:rPr>
          <w:rFonts w:cstheme="minorHAnsi"/>
          <w:sz w:val="24"/>
          <w:szCs w:val="24"/>
        </w:rPr>
        <w:t>Wales’</w:t>
      </w:r>
      <w:proofErr w:type="spellEnd"/>
      <w:r w:rsidRPr="00707694">
        <w:rPr>
          <w:rFonts w:cstheme="minorHAnsi"/>
          <w:sz w:val="24"/>
          <w:szCs w:val="24"/>
        </w:rPr>
        <w:t xml:space="preserve"> Quality for All and NDNA’s Quality First exemplify how reflective practice can be transformed into structured, evidence-informed frameworks for development. The success of these systems relies on leadership that values collaboration, invests in professional learning, and fosters cultures where reflection is celebrated. Challenges of documentation, time, and cost remain, but they are outweighed by the benefits of professional empowerment and enhanced outcomes for children. Quality assurance must therefore be understood not as bureaucratic compliance but as an ethical, intellectual pursuit central to the identity of the professional educator. Through continuous reflection and collective responsibility, Wales’s early childhood sector sustains the values of inclusion, equality, and creativity that define the Curriculum for Wales, ensuring that every child flourishes within an environment shaped by thoughtful practice, professional integrity, and a shared commitment to lifelong learning</w:t>
      </w:r>
      <w:r>
        <w:t>.</w:t>
      </w:r>
    </w:p>
    <w:p w14:paraId="7748F3F2" w14:textId="77777777" w:rsidR="00707694" w:rsidRDefault="00707694" w:rsidP="00707694">
      <w:pPr>
        <w:pStyle w:val="NormalWeb"/>
        <w:rPr>
          <w:rStyle w:val="font-semibold"/>
          <w:b/>
          <w:bCs/>
          <w:u w:val="single"/>
        </w:rPr>
      </w:pPr>
    </w:p>
    <w:p w14:paraId="19671622" w14:textId="77777777" w:rsidR="00707694" w:rsidRDefault="00707694" w:rsidP="00707694">
      <w:pPr>
        <w:pStyle w:val="NormalWeb"/>
        <w:rPr>
          <w:rStyle w:val="font-semibold"/>
          <w:b/>
          <w:bCs/>
          <w:u w:val="single"/>
        </w:rPr>
      </w:pPr>
    </w:p>
    <w:p w14:paraId="47079F1D" w14:textId="77777777" w:rsidR="00945F07" w:rsidRDefault="00945F07" w:rsidP="00707694">
      <w:pPr>
        <w:pStyle w:val="NormalWeb"/>
        <w:rPr>
          <w:rStyle w:val="font-semibold"/>
          <w:b/>
          <w:bCs/>
          <w:u w:val="single"/>
        </w:rPr>
      </w:pPr>
    </w:p>
    <w:p w14:paraId="0372FD92" w14:textId="77777777" w:rsidR="00945F07" w:rsidRDefault="00945F07" w:rsidP="00707694">
      <w:pPr>
        <w:pStyle w:val="NormalWeb"/>
        <w:rPr>
          <w:rStyle w:val="font-semibold"/>
          <w:b/>
          <w:bCs/>
          <w:u w:val="single"/>
        </w:rPr>
      </w:pPr>
    </w:p>
    <w:p w14:paraId="73B499E7" w14:textId="77777777" w:rsidR="00945F07" w:rsidRDefault="00945F07" w:rsidP="00707694">
      <w:pPr>
        <w:pStyle w:val="NormalWeb"/>
        <w:rPr>
          <w:rStyle w:val="font-semibold"/>
          <w:b/>
          <w:bCs/>
          <w:u w:val="single"/>
        </w:rPr>
      </w:pPr>
    </w:p>
    <w:p w14:paraId="1A89F365" w14:textId="6D767006" w:rsidR="00707694" w:rsidRPr="00945F07" w:rsidRDefault="00707694" w:rsidP="00707694">
      <w:pPr>
        <w:pStyle w:val="NormalWeb"/>
        <w:rPr>
          <w:rFonts w:asciiTheme="minorHAnsi" w:hAnsiTheme="minorHAnsi" w:cstheme="minorHAnsi"/>
        </w:rPr>
      </w:pPr>
      <w:r w:rsidRPr="00945F07">
        <w:rPr>
          <w:rStyle w:val="font-semibold"/>
          <w:rFonts w:asciiTheme="minorHAnsi" w:hAnsiTheme="minorHAnsi" w:cstheme="minorHAnsi"/>
          <w:b/>
          <w:bCs/>
          <w:u w:val="single"/>
        </w:rPr>
        <w:lastRenderedPageBreak/>
        <w:t>Reference List</w:t>
      </w:r>
    </w:p>
    <w:p w14:paraId="394B2795" w14:textId="77777777" w:rsidR="00707694" w:rsidRPr="00707694" w:rsidRDefault="00707694" w:rsidP="00707694">
      <w:pPr>
        <w:pStyle w:val="NormalWeb"/>
        <w:spacing w:line="360" w:lineRule="auto"/>
        <w:rPr>
          <w:rFonts w:asciiTheme="minorHAnsi" w:hAnsiTheme="minorHAnsi" w:cstheme="minorHAnsi"/>
        </w:rPr>
      </w:pPr>
      <w:r w:rsidRPr="00707694">
        <w:rPr>
          <w:rFonts w:asciiTheme="minorHAnsi" w:hAnsiTheme="minorHAnsi" w:cstheme="minorHAnsi"/>
        </w:rPr>
        <w:t>Bolton, G. (2014). </w:t>
      </w:r>
      <w:r w:rsidRPr="00707694">
        <w:rPr>
          <w:rStyle w:val="Emphasis"/>
          <w:rFonts w:asciiTheme="minorHAnsi" w:hAnsiTheme="minorHAnsi" w:cstheme="minorHAnsi"/>
        </w:rPr>
        <w:t>Reflective Practice: Writing and Professional Development</w:t>
      </w:r>
      <w:r w:rsidRPr="00707694">
        <w:rPr>
          <w:rFonts w:asciiTheme="minorHAnsi" w:hAnsiTheme="minorHAnsi" w:cstheme="minorHAnsi"/>
        </w:rPr>
        <w:t> (4th ed.). SAGE.</w:t>
      </w:r>
      <w:r w:rsidRPr="00707694">
        <w:rPr>
          <w:rFonts w:asciiTheme="minorHAnsi" w:hAnsiTheme="minorHAnsi" w:cstheme="minorHAnsi"/>
        </w:rPr>
        <w:br/>
        <w:t>Brodie, K. (2013). </w:t>
      </w:r>
      <w:r w:rsidRPr="00707694">
        <w:rPr>
          <w:rStyle w:val="Emphasis"/>
          <w:rFonts w:asciiTheme="minorHAnsi" w:hAnsiTheme="minorHAnsi" w:cstheme="minorHAnsi"/>
        </w:rPr>
        <w:t>Leadership in Early Childhood: Pathways to Professionalism.</w:t>
      </w:r>
      <w:r w:rsidRPr="00707694">
        <w:rPr>
          <w:rFonts w:asciiTheme="minorHAnsi" w:hAnsiTheme="minorHAnsi" w:cstheme="minorHAnsi"/>
        </w:rPr>
        <w:t> Open University Press.</w:t>
      </w:r>
      <w:r w:rsidRPr="00707694">
        <w:rPr>
          <w:rFonts w:asciiTheme="minorHAnsi" w:hAnsiTheme="minorHAnsi" w:cstheme="minorHAnsi"/>
        </w:rPr>
        <w:br/>
        <w:t>Brooks, R. (2017). </w:t>
      </w:r>
      <w:r w:rsidRPr="00707694">
        <w:rPr>
          <w:rStyle w:val="Emphasis"/>
          <w:rFonts w:asciiTheme="minorHAnsi" w:hAnsiTheme="minorHAnsi" w:cstheme="minorHAnsi"/>
        </w:rPr>
        <w:t>Early Years Quality Frameworks: Balancing Accountability and Development.</w:t>
      </w:r>
      <w:r w:rsidRPr="00707694">
        <w:rPr>
          <w:rFonts w:asciiTheme="minorHAnsi" w:hAnsiTheme="minorHAnsi" w:cstheme="minorHAnsi"/>
        </w:rPr>
        <w:t> Routledge.</w:t>
      </w:r>
      <w:r w:rsidRPr="00707694">
        <w:rPr>
          <w:rFonts w:asciiTheme="minorHAnsi" w:hAnsiTheme="minorHAnsi" w:cstheme="minorHAnsi"/>
        </w:rPr>
        <w:br/>
        <w:t>Care Inspectorate Wales. (2023). </w:t>
      </w:r>
      <w:r w:rsidRPr="00707694">
        <w:rPr>
          <w:rStyle w:val="Emphasis"/>
          <w:rFonts w:asciiTheme="minorHAnsi" w:hAnsiTheme="minorHAnsi" w:cstheme="minorHAnsi"/>
        </w:rPr>
        <w:t>Quality of Care Review Guidelines.</w:t>
      </w:r>
      <w:r w:rsidRPr="00707694">
        <w:rPr>
          <w:rFonts w:asciiTheme="minorHAnsi" w:hAnsiTheme="minorHAnsi" w:cstheme="minorHAnsi"/>
        </w:rPr>
        <w:t> Welsh Government.</w:t>
      </w:r>
      <w:r w:rsidRPr="00707694">
        <w:rPr>
          <w:rFonts w:asciiTheme="minorHAnsi" w:hAnsiTheme="minorHAnsi" w:cstheme="minorHAnsi"/>
        </w:rPr>
        <w:br/>
        <w:t>Early Education. (2019). </w:t>
      </w:r>
      <w:r w:rsidRPr="00707694">
        <w:rPr>
          <w:rStyle w:val="Emphasis"/>
          <w:rFonts w:asciiTheme="minorHAnsi" w:hAnsiTheme="minorHAnsi" w:cstheme="minorHAnsi"/>
        </w:rPr>
        <w:t>Quality Practice in Early Years Settings.</w:t>
      </w:r>
      <w:r w:rsidRPr="00707694">
        <w:rPr>
          <w:rFonts w:asciiTheme="minorHAnsi" w:hAnsiTheme="minorHAnsi" w:cstheme="minorHAnsi"/>
        </w:rPr>
        <w:t> Early Education Press.</w:t>
      </w:r>
      <w:r w:rsidRPr="00707694">
        <w:rPr>
          <w:rFonts w:asciiTheme="minorHAnsi" w:hAnsiTheme="minorHAnsi" w:cstheme="minorHAnsi"/>
        </w:rPr>
        <w:br/>
        <w:t>Early Years Wales. (2023). </w:t>
      </w:r>
      <w:r w:rsidRPr="00707694">
        <w:rPr>
          <w:rStyle w:val="Emphasis"/>
          <w:rFonts w:asciiTheme="minorHAnsi" w:hAnsiTheme="minorHAnsi" w:cstheme="minorHAnsi"/>
        </w:rPr>
        <w:t>Quality for All Mark – Guidance Manual.</w:t>
      </w:r>
      <w:r w:rsidRPr="00707694">
        <w:rPr>
          <w:rFonts w:asciiTheme="minorHAnsi" w:hAnsiTheme="minorHAnsi" w:cstheme="minorHAnsi"/>
        </w:rPr>
        <w:t> Early Years Wales.</w:t>
      </w:r>
      <w:r w:rsidRPr="00707694">
        <w:rPr>
          <w:rFonts w:asciiTheme="minorHAnsi" w:hAnsiTheme="minorHAnsi" w:cstheme="minorHAnsi"/>
        </w:rPr>
        <w:br/>
        <w:t>Estyn. (2022). </w:t>
      </w:r>
      <w:r w:rsidRPr="00707694">
        <w:rPr>
          <w:rStyle w:val="Emphasis"/>
          <w:rFonts w:asciiTheme="minorHAnsi" w:hAnsiTheme="minorHAnsi" w:cstheme="minorHAnsi"/>
        </w:rPr>
        <w:t>The Annual Report: The Early Childhood and Care Sector in Wales.</w:t>
      </w:r>
      <w:r w:rsidRPr="00707694">
        <w:rPr>
          <w:rFonts w:asciiTheme="minorHAnsi" w:hAnsiTheme="minorHAnsi" w:cstheme="minorHAnsi"/>
        </w:rPr>
        <w:t> Estyn.</w:t>
      </w:r>
      <w:r w:rsidRPr="00707694">
        <w:rPr>
          <w:rFonts w:asciiTheme="minorHAnsi" w:hAnsiTheme="minorHAnsi" w:cstheme="minorHAnsi"/>
        </w:rPr>
        <w:br/>
        <w:t>Gibbs, G. (1988). </w:t>
      </w:r>
      <w:r w:rsidRPr="00707694">
        <w:rPr>
          <w:rStyle w:val="Emphasis"/>
          <w:rFonts w:asciiTheme="minorHAnsi" w:hAnsiTheme="minorHAnsi" w:cstheme="minorHAnsi"/>
        </w:rPr>
        <w:t>Learning by Doing: A Guide to Teaching and Learning Methods.</w:t>
      </w:r>
      <w:r w:rsidRPr="00707694">
        <w:rPr>
          <w:rFonts w:asciiTheme="minorHAnsi" w:hAnsiTheme="minorHAnsi" w:cstheme="minorHAnsi"/>
        </w:rPr>
        <w:t> Oxford Brookes University.</w:t>
      </w:r>
      <w:r w:rsidRPr="00707694">
        <w:rPr>
          <w:rFonts w:asciiTheme="minorHAnsi" w:hAnsiTheme="minorHAnsi" w:cstheme="minorHAnsi"/>
        </w:rPr>
        <w:br/>
        <w:t>Hayes, N. (2013). </w:t>
      </w:r>
      <w:r w:rsidRPr="00707694">
        <w:rPr>
          <w:rStyle w:val="Emphasis"/>
          <w:rFonts w:asciiTheme="minorHAnsi" w:hAnsiTheme="minorHAnsi" w:cstheme="minorHAnsi"/>
        </w:rPr>
        <w:t>Early Childhood Care and Education: Towards a Rights</w:t>
      </w:r>
      <w:r w:rsidRPr="00707694">
        <w:rPr>
          <w:rStyle w:val="Emphasis"/>
          <w:rFonts w:asciiTheme="minorHAnsi" w:hAnsiTheme="minorHAnsi" w:cstheme="minorHAnsi"/>
        </w:rPr>
        <w:noBreakHyphen/>
        <w:t>Based Approach.</w:t>
      </w:r>
      <w:r w:rsidRPr="00707694">
        <w:rPr>
          <w:rFonts w:asciiTheme="minorHAnsi" w:hAnsiTheme="minorHAnsi" w:cstheme="minorHAnsi"/>
        </w:rPr>
        <w:t> Routledge.</w:t>
      </w:r>
      <w:r w:rsidRPr="00707694">
        <w:rPr>
          <w:rFonts w:asciiTheme="minorHAnsi" w:hAnsiTheme="minorHAnsi" w:cstheme="minorHAnsi"/>
        </w:rPr>
        <w:br/>
        <w:t>Laevers, F. (2005). </w:t>
      </w:r>
      <w:r w:rsidRPr="00707694">
        <w:rPr>
          <w:rStyle w:val="Emphasis"/>
          <w:rFonts w:asciiTheme="minorHAnsi" w:hAnsiTheme="minorHAnsi" w:cstheme="minorHAnsi"/>
        </w:rPr>
        <w:t>The Power and Potential of Experiential Learning.</w:t>
      </w:r>
      <w:r w:rsidRPr="00707694">
        <w:rPr>
          <w:rFonts w:asciiTheme="minorHAnsi" w:hAnsiTheme="minorHAnsi" w:cstheme="minorHAnsi"/>
        </w:rPr>
        <w:t> Leuven University Press.</w:t>
      </w:r>
      <w:r w:rsidRPr="00707694">
        <w:rPr>
          <w:rFonts w:asciiTheme="minorHAnsi" w:hAnsiTheme="minorHAnsi" w:cstheme="minorHAnsi"/>
        </w:rPr>
        <w:br/>
        <w:t>Marmot, M. (2020). </w:t>
      </w:r>
      <w:r w:rsidRPr="00707694">
        <w:rPr>
          <w:rStyle w:val="Emphasis"/>
          <w:rFonts w:asciiTheme="minorHAnsi" w:hAnsiTheme="minorHAnsi" w:cstheme="minorHAnsi"/>
        </w:rPr>
        <w:t>Health Equity in England: The Marmot Review 10 Years On.</w:t>
      </w:r>
      <w:r w:rsidRPr="00707694">
        <w:rPr>
          <w:rFonts w:asciiTheme="minorHAnsi" w:hAnsiTheme="minorHAnsi" w:cstheme="minorHAnsi"/>
        </w:rPr>
        <w:t> Institute of Health Equity.</w:t>
      </w:r>
      <w:r w:rsidRPr="00707694">
        <w:rPr>
          <w:rFonts w:asciiTheme="minorHAnsi" w:hAnsiTheme="minorHAnsi" w:cstheme="minorHAnsi"/>
        </w:rPr>
        <w:br/>
        <w:t>Moss, P. (2010). We cannot continue as we are: The educator in an era of neoliberalism. </w:t>
      </w:r>
      <w:r w:rsidRPr="00707694">
        <w:rPr>
          <w:rStyle w:val="Emphasis"/>
          <w:rFonts w:asciiTheme="minorHAnsi" w:hAnsiTheme="minorHAnsi" w:cstheme="minorHAnsi"/>
        </w:rPr>
        <w:t>Contemporary Issues in Early Childhood, 11</w:t>
      </w:r>
      <w:r w:rsidRPr="00707694">
        <w:rPr>
          <w:rFonts w:asciiTheme="minorHAnsi" w:hAnsiTheme="minorHAnsi" w:cstheme="minorHAnsi"/>
        </w:rPr>
        <w:t>(1), 36–49.</w:t>
      </w:r>
      <w:r w:rsidRPr="00707694">
        <w:rPr>
          <w:rFonts w:asciiTheme="minorHAnsi" w:hAnsiTheme="minorHAnsi" w:cstheme="minorHAnsi"/>
        </w:rPr>
        <w:br/>
        <w:t>National Day Nurseries Association (NDNA). (2022). </w:t>
      </w:r>
      <w:r w:rsidRPr="00707694">
        <w:rPr>
          <w:rStyle w:val="Emphasis"/>
          <w:rFonts w:asciiTheme="minorHAnsi" w:hAnsiTheme="minorHAnsi" w:cstheme="minorHAnsi"/>
        </w:rPr>
        <w:t>Quality First Framework.</w:t>
      </w:r>
      <w:r w:rsidRPr="00707694">
        <w:rPr>
          <w:rFonts w:asciiTheme="minorHAnsi" w:hAnsiTheme="minorHAnsi" w:cstheme="minorHAnsi"/>
        </w:rPr>
        <w:t> NDNA.</w:t>
      </w:r>
      <w:r w:rsidRPr="00707694">
        <w:rPr>
          <w:rFonts w:asciiTheme="minorHAnsi" w:hAnsiTheme="minorHAnsi" w:cstheme="minorHAnsi"/>
        </w:rPr>
        <w:br/>
        <w:t>Nutbrown, C. (2012). </w:t>
      </w:r>
      <w:r w:rsidRPr="00707694">
        <w:rPr>
          <w:rStyle w:val="Emphasis"/>
          <w:rFonts w:asciiTheme="minorHAnsi" w:hAnsiTheme="minorHAnsi" w:cstheme="minorHAnsi"/>
        </w:rPr>
        <w:t>Foundations for Quality: The Independent Review of Early Education and Childcare Qualifications.</w:t>
      </w:r>
      <w:r w:rsidRPr="00707694">
        <w:rPr>
          <w:rFonts w:asciiTheme="minorHAnsi" w:hAnsiTheme="minorHAnsi" w:cstheme="minorHAnsi"/>
        </w:rPr>
        <w:t> Department for Education.</w:t>
      </w:r>
      <w:r w:rsidRPr="00707694">
        <w:rPr>
          <w:rFonts w:asciiTheme="minorHAnsi" w:hAnsiTheme="minorHAnsi" w:cstheme="minorHAnsi"/>
        </w:rPr>
        <w:br/>
        <w:t>Rodd, J. (2013). </w:t>
      </w:r>
      <w:r w:rsidRPr="00707694">
        <w:rPr>
          <w:rStyle w:val="Emphasis"/>
          <w:rFonts w:asciiTheme="minorHAnsi" w:hAnsiTheme="minorHAnsi" w:cstheme="minorHAnsi"/>
        </w:rPr>
        <w:t>Leadership in Early Childhood: The Pathway to Professionalism</w:t>
      </w:r>
      <w:r w:rsidRPr="00707694">
        <w:rPr>
          <w:rFonts w:asciiTheme="minorHAnsi" w:hAnsiTheme="minorHAnsi" w:cstheme="minorHAnsi"/>
        </w:rPr>
        <w:t> (4th ed.). McGraw</w:t>
      </w:r>
      <w:r w:rsidRPr="00707694">
        <w:rPr>
          <w:rFonts w:asciiTheme="minorHAnsi" w:hAnsiTheme="minorHAnsi" w:cstheme="minorHAnsi"/>
        </w:rPr>
        <w:noBreakHyphen/>
        <w:t>Hill Education.</w:t>
      </w:r>
      <w:r w:rsidRPr="00707694">
        <w:rPr>
          <w:rFonts w:asciiTheme="minorHAnsi" w:hAnsiTheme="minorHAnsi" w:cstheme="minorHAnsi"/>
        </w:rPr>
        <w:br/>
        <w:t>Schön, D. A. (1983). </w:t>
      </w:r>
      <w:r w:rsidRPr="00707694">
        <w:rPr>
          <w:rStyle w:val="Emphasis"/>
          <w:rFonts w:asciiTheme="minorHAnsi" w:hAnsiTheme="minorHAnsi" w:cstheme="minorHAnsi"/>
        </w:rPr>
        <w:t>The Reflective Practitioner: How Professionals Think in Action.</w:t>
      </w:r>
      <w:r w:rsidRPr="00707694">
        <w:rPr>
          <w:rFonts w:asciiTheme="minorHAnsi" w:hAnsiTheme="minorHAnsi" w:cstheme="minorHAnsi"/>
        </w:rPr>
        <w:t> Basic Books.</w:t>
      </w:r>
      <w:r w:rsidRPr="00707694">
        <w:rPr>
          <w:rFonts w:asciiTheme="minorHAnsi" w:hAnsiTheme="minorHAnsi" w:cstheme="minorHAnsi"/>
        </w:rPr>
        <w:br/>
        <w:t>Siraj, I., &amp; Kingston, D. (2015). </w:t>
      </w:r>
      <w:r w:rsidRPr="00707694">
        <w:rPr>
          <w:rStyle w:val="Emphasis"/>
          <w:rFonts w:asciiTheme="minorHAnsi" w:hAnsiTheme="minorHAnsi" w:cstheme="minorHAnsi"/>
        </w:rPr>
        <w:t>Leadership in Early Childhood Education.</w:t>
      </w:r>
      <w:r w:rsidRPr="00707694">
        <w:rPr>
          <w:rFonts w:asciiTheme="minorHAnsi" w:hAnsiTheme="minorHAnsi" w:cstheme="minorHAnsi"/>
        </w:rPr>
        <w:t> Bloomsbury.</w:t>
      </w:r>
      <w:r w:rsidRPr="00707694">
        <w:rPr>
          <w:rFonts w:asciiTheme="minorHAnsi" w:hAnsiTheme="minorHAnsi" w:cstheme="minorHAnsi"/>
        </w:rPr>
        <w:br/>
        <w:t>Sylva, K., Melhuish, E., Sammons, P., Siraj</w:t>
      </w:r>
      <w:r w:rsidRPr="00707694">
        <w:rPr>
          <w:rFonts w:asciiTheme="minorHAnsi" w:hAnsiTheme="minorHAnsi" w:cstheme="minorHAnsi"/>
        </w:rPr>
        <w:noBreakHyphen/>
        <w:t>Blatchford, I., &amp; Taggart, B. (2004). </w:t>
      </w:r>
      <w:r w:rsidRPr="00707694">
        <w:rPr>
          <w:rStyle w:val="Emphasis"/>
          <w:rFonts w:asciiTheme="minorHAnsi" w:hAnsiTheme="minorHAnsi" w:cstheme="minorHAnsi"/>
        </w:rPr>
        <w:t>Effective Provision of Pre</w:t>
      </w:r>
      <w:r w:rsidRPr="00707694">
        <w:rPr>
          <w:rStyle w:val="Emphasis"/>
          <w:rFonts w:asciiTheme="minorHAnsi" w:hAnsiTheme="minorHAnsi" w:cstheme="minorHAnsi"/>
        </w:rPr>
        <w:noBreakHyphen/>
        <w:t>School Education (EPPE) Project.</w:t>
      </w:r>
      <w:r w:rsidRPr="00707694">
        <w:rPr>
          <w:rFonts w:asciiTheme="minorHAnsi" w:hAnsiTheme="minorHAnsi" w:cstheme="minorHAnsi"/>
        </w:rPr>
        <w:t> Department for Education.</w:t>
      </w:r>
      <w:r w:rsidRPr="00707694">
        <w:rPr>
          <w:rFonts w:asciiTheme="minorHAnsi" w:hAnsiTheme="minorHAnsi" w:cstheme="minorHAnsi"/>
        </w:rPr>
        <w:br/>
        <w:t xml:space="preserve">Taggart, G. (2011). Don’t we care? The ethics and emotional labour of early years </w:t>
      </w:r>
      <w:r w:rsidRPr="00707694">
        <w:rPr>
          <w:rFonts w:asciiTheme="minorHAnsi" w:hAnsiTheme="minorHAnsi" w:cstheme="minorHAnsi"/>
        </w:rPr>
        <w:lastRenderedPageBreak/>
        <w:t>professionalism. </w:t>
      </w:r>
      <w:r w:rsidRPr="00707694">
        <w:rPr>
          <w:rStyle w:val="Emphasis"/>
          <w:rFonts w:asciiTheme="minorHAnsi" w:hAnsiTheme="minorHAnsi" w:cstheme="minorHAnsi"/>
        </w:rPr>
        <w:t>Early Years, 31</w:t>
      </w:r>
      <w:r w:rsidRPr="00707694">
        <w:rPr>
          <w:rFonts w:asciiTheme="minorHAnsi" w:hAnsiTheme="minorHAnsi" w:cstheme="minorHAnsi"/>
        </w:rPr>
        <w:t>(1), 85–95.</w:t>
      </w:r>
      <w:r w:rsidRPr="00707694">
        <w:rPr>
          <w:rFonts w:asciiTheme="minorHAnsi" w:hAnsiTheme="minorHAnsi" w:cstheme="minorHAnsi"/>
        </w:rPr>
        <w:br/>
        <w:t>Welsh Government. (2021). </w:t>
      </w:r>
      <w:r w:rsidRPr="00707694">
        <w:rPr>
          <w:rStyle w:val="Emphasis"/>
          <w:rFonts w:asciiTheme="minorHAnsi" w:hAnsiTheme="minorHAnsi" w:cstheme="minorHAnsi"/>
        </w:rPr>
        <w:t>National Minimum Standards for Regulated Childcare.</w:t>
      </w:r>
      <w:r w:rsidRPr="00707694">
        <w:rPr>
          <w:rFonts w:asciiTheme="minorHAnsi" w:hAnsiTheme="minorHAnsi" w:cstheme="minorHAnsi"/>
        </w:rPr>
        <w:t> Welsh Government.</w:t>
      </w:r>
      <w:r w:rsidRPr="00707694">
        <w:rPr>
          <w:rFonts w:asciiTheme="minorHAnsi" w:hAnsiTheme="minorHAnsi" w:cstheme="minorHAnsi"/>
        </w:rPr>
        <w:br/>
        <w:t>Welsh Government. (2022). </w:t>
      </w:r>
      <w:r w:rsidRPr="00707694">
        <w:rPr>
          <w:rStyle w:val="Emphasis"/>
          <w:rFonts w:asciiTheme="minorHAnsi" w:hAnsiTheme="minorHAnsi" w:cstheme="minorHAnsi"/>
        </w:rPr>
        <w:t>Curriculum for Funded Non</w:t>
      </w:r>
      <w:r w:rsidRPr="00707694">
        <w:rPr>
          <w:rStyle w:val="Emphasis"/>
          <w:rFonts w:asciiTheme="minorHAnsi" w:hAnsiTheme="minorHAnsi" w:cstheme="minorHAnsi"/>
        </w:rPr>
        <w:noBreakHyphen/>
        <w:t>maintained Nursery Settings.</w:t>
      </w:r>
      <w:r w:rsidRPr="00707694">
        <w:rPr>
          <w:rFonts w:asciiTheme="minorHAnsi" w:hAnsiTheme="minorHAnsi" w:cstheme="minorHAnsi"/>
        </w:rPr>
        <w:t> Welsh Government.</w:t>
      </w:r>
    </w:p>
    <w:p w14:paraId="46FD5C08" w14:textId="77777777" w:rsidR="006135F3" w:rsidRPr="00707694" w:rsidRDefault="006135F3">
      <w:pPr>
        <w:rPr>
          <w:rFonts w:cstheme="minorHAnsi"/>
        </w:rPr>
      </w:pPr>
    </w:p>
    <w:sectPr w:rsidR="006135F3" w:rsidRPr="0070769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6ADC4" w14:textId="77777777" w:rsidR="005079C1" w:rsidRDefault="005079C1" w:rsidP="00707694">
      <w:pPr>
        <w:spacing w:after="0" w:line="240" w:lineRule="auto"/>
      </w:pPr>
      <w:r>
        <w:separator/>
      </w:r>
    </w:p>
  </w:endnote>
  <w:endnote w:type="continuationSeparator" w:id="0">
    <w:p w14:paraId="1AF020B5" w14:textId="77777777" w:rsidR="005079C1" w:rsidRDefault="005079C1" w:rsidP="00707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FB808" w14:textId="77777777" w:rsidR="005079C1" w:rsidRDefault="005079C1" w:rsidP="00707694">
      <w:pPr>
        <w:spacing w:after="0" w:line="240" w:lineRule="auto"/>
      </w:pPr>
      <w:r>
        <w:separator/>
      </w:r>
    </w:p>
  </w:footnote>
  <w:footnote w:type="continuationSeparator" w:id="0">
    <w:p w14:paraId="22EDC382" w14:textId="77777777" w:rsidR="005079C1" w:rsidRDefault="005079C1" w:rsidP="00707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3E52A" w14:textId="040EAB48" w:rsidR="00707694" w:rsidRDefault="00707694">
    <w:pPr>
      <w:pStyle w:val="Header"/>
    </w:pPr>
    <w:r>
      <w:t>221668</w:t>
    </w:r>
    <w:r w:rsidR="00945F07">
      <w:t>9</w:t>
    </w:r>
    <w:r>
      <w:t xml:space="preserve">                                                               ECEY6011                                                           Erin Lawrence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694"/>
    <w:rsid w:val="002E7A87"/>
    <w:rsid w:val="005079C1"/>
    <w:rsid w:val="006135F3"/>
    <w:rsid w:val="0068781D"/>
    <w:rsid w:val="00707694"/>
    <w:rsid w:val="00945F07"/>
    <w:rsid w:val="0095478A"/>
    <w:rsid w:val="009B5080"/>
    <w:rsid w:val="00BB2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35A8"/>
  <w15:chartTrackingRefBased/>
  <w15:docId w15:val="{828C865D-7AF3-49C3-869C-581E15F46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76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76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07694"/>
    <w:rPr>
      <w:i/>
      <w:iCs/>
    </w:rPr>
  </w:style>
  <w:style w:type="character" w:customStyle="1" w:styleId="font-semibold">
    <w:name w:val="font-semibold"/>
    <w:basedOn w:val="DefaultParagraphFont"/>
    <w:rsid w:val="00707694"/>
  </w:style>
  <w:style w:type="character" w:customStyle="1" w:styleId="Heading1Char">
    <w:name w:val="Heading 1 Char"/>
    <w:basedOn w:val="DefaultParagraphFont"/>
    <w:link w:val="Heading1"/>
    <w:uiPriority w:val="9"/>
    <w:rsid w:val="00707694"/>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07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694"/>
  </w:style>
  <w:style w:type="paragraph" w:styleId="Footer">
    <w:name w:val="footer"/>
    <w:basedOn w:val="Normal"/>
    <w:link w:val="FooterChar"/>
    <w:uiPriority w:val="99"/>
    <w:unhideWhenUsed/>
    <w:rsid w:val="00707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552720">
      <w:bodyDiv w:val="1"/>
      <w:marLeft w:val="0"/>
      <w:marRight w:val="0"/>
      <w:marTop w:val="0"/>
      <w:marBottom w:val="0"/>
      <w:divBdr>
        <w:top w:val="none" w:sz="0" w:space="0" w:color="auto"/>
        <w:left w:val="none" w:sz="0" w:space="0" w:color="auto"/>
        <w:bottom w:val="none" w:sz="0" w:space="0" w:color="auto"/>
        <w:right w:val="none" w:sz="0" w:space="0" w:color="auto"/>
      </w:divBdr>
    </w:div>
    <w:div w:id="462964571">
      <w:bodyDiv w:val="1"/>
      <w:marLeft w:val="0"/>
      <w:marRight w:val="0"/>
      <w:marTop w:val="0"/>
      <w:marBottom w:val="0"/>
      <w:divBdr>
        <w:top w:val="none" w:sz="0" w:space="0" w:color="auto"/>
        <w:left w:val="none" w:sz="0" w:space="0" w:color="auto"/>
        <w:bottom w:val="none" w:sz="0" w:space="0" w:color="auto"/>
        <w:right w:val="none" w:sz="0" w:space="0" w:color="auto"/>
      </w:divBdr>
    </w:div>
    <w:div w:id="1459643343">
      <w:bodyDiv w:val="1"/>
      <w:marLeft w:val="0"/>
      <w:marRight w:val="0"/>
      <w:marTop w:val="0"/>
      <w:marBottom w:val="0"/>
      <w:divBdr>
        <w:top w:val="none" w:sz="0" w:space="0" w:color="auto"/>
        <w:left w:val="none" w:sz="0" w:space="0" w:color="auto"/>
        <w:bottom w:val="none" w:sz="0" w:space="0" w:color="auto"/>
        <w:right w:val="none" w:sz="0" w:space="0" w:color="auto"/>
      </w:divBdr>
    </w:div>
    <w:div w:id="180134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6" ma:contentTypeDescription="Create a new document." ma:contentTypeScope="" ma:versionID="aba78d2776ae707e9e29c32da051658f">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c090ea92bd94e9a585ba31e2cb6032f5"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427F12-D67A-4E78-93CA-39AA633EBA58}">
  <ds:schemaRefs>
    <ds:schemaRef ds:uri="http://schemas.microsoft.com/office/2006/metadata/properties"/>
    <ds:schemaRef ds:uri="http://schemas.microsoft.com/office/infopath/2007/PartnerControls"/>
    <ds:schemaRef ds:uri="f856874f-9946-48cd-ac29-4cb76853c4c1"/>
  </ds:schemaRefs>
</ds:datastoreItem>
</file>

<file path=customXml/itemProps2.xml><?xml version="1.0" encoding="utf-8"?>
<ds:datastoreItem xmlns:ds="http://schemas.openxmlformats.org/officeDocument/2006/customXml" ds:itemID="{DE7DB99B-873A-4646-BC03-F9F5AB665D94}">
  <ds:schemaRefs>
    <ds:schemaRef ds:uri="http://schemas.microsoft.com/sharepoint/v3/contenttype/forms"/>
  </ds:schemaRefs>
</ds:datastoreItem>
</file>

<file path=customXml/itemProps3.xml><?xml version="1.0" encoding="utf-8"?>
<ds:datastoreItem xmlns:ds="http://schemas.openxmlformats.org/officeDocument/2006/customXml" ds:itemID="{FA121677-990D-452B-9635-7959F25CA5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2638</Words>
  <Characters>16462</Characters>
  <Application>Microsoft Office Word</Application>
  <DocSecurity>0</DocSecurity>
  <Lines>609</Lines>
  <Paragraphs>596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Lawrence (2216689)</dc:creator>
  <cp:keywords/>
  <dc:description/>
  <cp:lastModifiedBy>Natasha Young</cp:lastModifiedBy>
  <cp:revision>2</cp:revision>
  <dcterms:created xsi:type="dcterms:W3CDTF">2026-04-08T12:46:00Z</dcterms:created>
  <dcterms:modified xsi:type="dcterms:W3CDTF">2026-04-08T12:46:00Z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f4904875-016e-4b65-9f93-389b5fadbbe5</vt:lpwstr>
  </property>
  <property fmtid="{D5CDD505-2E9C-101B-9397-08002B2CF9AE}" pid="3" name="ContentTypeId">
    <vt:lpwstr>0x010100341C78B1F6210C4E9A58F73BA6479D21</vt:lpwstr>
  </property>
</Properties>
</file>