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E9BA2" w14:textId="77777777" w:rsidR="0043066D" w:rsidRPr="00BD7EC4" w:rsidRDefault="0043066D" w:rsidP="0043066D">
      <w:pPr>
        <w:jc w:val="center"/>
        <w:rPr>
          <w:rFonts w:ascii="Arial" w:eastAsia="Calibri" w:hAnsi="Arial" w:cs="Arial"/>
          <w:b/>
          <w:bCs/>
          <w:color w:val="000000"/>
          <w:kern w:val="0"/>
          <w:sz w:val="44"/>
          <w:szCs w:val="44"/>
          <w:shd w:val="clear" w:color="auto" w:fill="FFFFFF"/>
          <w14:ligatures w14:val="none"/>
        </w:rPr>
      </w:pPr>
      <w:r w:rsidRPr="00BD7EC4">
        <w:rPr>
          <w:rFonts w:ascii="Arial" w:eastAsia="Calibri" w:hAnsi="Arial" w:cs="Arial"/>
          <w:b/>
          <w:bCs/>
          <w:sz w:val="44"/>
          <w:szCs w:val="44"/>
        </w:rPr>
        <w:t>Business Report - Comparison of Two Hospitality Organisations</w:t>
      </w:r>
    </w:p>
    <w:p w14:paraId="7E85596F" w14:textId="77777777" w:rsidR="0043066D" w:rsidRDefault="0043066D" w:rsidP="0043066D">
      <w:pPr>
        <w:jc w:val="both"/>
        <w:rPr>
          <w:rFonts w:ascii="Arial" w:eastAsia="Calibri" w:hAnsi="Arial" w:cs="Arial"/>
          <w:b/>
          <w:bCs/>
          <w:color w:val="000000"/>
          <w:kern w:val="0"/>
          <w:sz w:val="24"/>
          <w:szCs w:val="24"/>
          <w:shd w:val="clear" w:color="auto" w:fill="FFFFFF"/>
          <w14:ligatures w14:val="none"/>
        </w:rPr>
      </w:pPr>
    </w:p>
    <w:p w14:paraId="5CC4F162" w14:textId="77777777" w:rsidR="0043066D" w:rsidRDefault="0043066D" w:rsidP="0043066D">
      <w:pPr>
        <w:jc w:val="both"/>
        <w:rPr>
          <w:rFonts w:ascii="Arial" w:eastAsia="Calibri" w:hAnsi="Arial" w:cs="Arial"/>
          <w:b/>
          <w:bCs/>
          <w:color w:val="000000"/>
          <w:kern w:val="0"/>
          <w:sz w:val="24"/>
          <w:szCs w:val="24"/>
          <w:shd w:val="clear" w:color="auto" w:fill="FFFFFF"/>
          <w14:ligatures w14:val="none"/>
        </w:rPr>
      </w:pPr>
    </w:p>
    <w:p w14:paraId="0A6D1266"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156785B6"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3F814280"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r w:rsidRPr="0088597E">
        <w:rPr>
          <w:rFonts w:ascii="Arial" w:eastAsia="Calibri" w:hAnsi="Arial" w:cs="Arial"/>
          <w:noProof/>
          <w:sz w:val="24"/>
          <w:szCs w:val="24"/>
        </w:rPr>
        <w:drawing>
          <wp:anchor distT="0" distB="0" distL="114300" distR="114300" simplePos="0" relativeHeight="251659264" behindDoc="0" locked="0" layoutInCell="1" allowOverlap="1" wp14:anchorId="6C5C6EF0" wp14:editId="3118F14A">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5CE108DB"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401DAA07"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4D109AAB"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110A80F1"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5B0169D4"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6045C068"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6EF3402D" w14:textId="77777777" w:rsidR="0043066D" w:rsidRDefault="0043066D" w:rsidP="0043066D">
      <w:pPr>
        <w:jc w:val="both"/>
        <w:rPr>
          <w:rFonts w:ascii="Arial" w:eastAsia="Calibri" w:hAnsi="Arial" w:cs="Arial"/>
          <w:b/>
          <w:bCs/>
          <w:color w:val="000000"/>
          <w:kern w:val="0"/>
          <w:sz w:val="24"/>
          <w:szCs w:val="24"/>
          <w:shd w:val="clear" w:color="auto" w:fill="FFFFFF"/>
          <w14:ligatures w14:val="none"/>
        </w:rPr>
      </w:pPr>
    </w:p>
    <w:p w14:paraId="04F1FBDB" w14:textId="77777777" w:rsidR="0043066D" w:rsidRDefault="0043066D" w:rsidP="0043066D">
      <w:pPr>
        <w:jc w:val="both"/>
        <w:rPr>
          <w:rFonts w:ascii="Arial" w:eastAsia="Calibri" w:hAnsi="Arial" w:cs="Arial"/>
          <w:b/>
          <w:bCs/>
          <w:color w:val="000000"/>
          <w:kern w:val="0"/>
          <w:sz w:val="24"/>
          <w:szCs w:val="24"/>
          <w:shd w:val="clear" w:color="auto" w:fill="FFFFFF"/>
          <w14:ligatures w14:val="none"/>
        </w:rPr>
      </w:pPr>
    </w:p>
    <w:p w14:paraId="5257BDA0" w14:textId="77777777" w:rsidR="0043066D" w:rsidRPr="0088597E" w:rsidRDefault="0043066D" w:rsidP="0043066D">
      <w:pPr>
        <w:jc w:val="both"/>
        <w:rPr>
          <w:rFonts w:ascii="Arial" w:eastAsia="Calibri" w:hAnsi="Arial" w:cs="Arial"/>
          <w:b/>
          <w:bCs/>
          <w:color w:val="000000"/>
          <w:kern w:val="0"/>
          <w:sz w:val="24"/>
          <w:szCs w:val="24"/>
          <w:shd w:val="clear" w:color="auto" w:fill="FFFFFF"/>
          <w14:ligatures w14:val="none"/>
        </w:rPr>
      </w:pPr>
    </w:p>
    <w:p w14:paraId="0B127E64" w14:textId="77777777" w:rsidR="0043066D" w:rsidRPr="00BD7EC4" w:rsidRDefault="0043066D" w:rsidP="0043066D">
      <w:pPr>
        <w:numPr>
          <w:ilvl w:val="0"/>
          <w:numId w:val="2"/>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Madalin Mihai Simion</w:t>
      </w:r>
    </w:p>
    <w:p w14:paraId="5F877EF2" w14:textId="77777777" w:rsidR="0043066D" w:rsidRPr="00BD7EC4" w:rsidRDefault="0043066D" w:rsidP="0043066D">
      <w:pPr>
        <w:numPr>
          <w:ilvl w:val="0"/>
          <w:numId w:val="2"/>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2246328</w:t>
      </w:r>
    </w:p>
    <w:p w14:paraId="6C1DE1BA" w14:textId="6D2FB90C" w:rsidR="0043066D" w:rsidRPr="00BD7EC4" w:rsidRDefault="0043066D" w:rsidP="0043066D">
      <w:pPr>
        <w:numPr>
          <w:ilvl w:val="0"/>
          <w:numId w:val="2"/>
        </w:numPr>
        <w:spacing w:line="256" w:lineRule="auto"/>
        <w:jc w:val="both"/>
        <w:rPr>
          <w:rFonts w:ascii="Arial" w:eastAsia="Calibri" w:hAnsi="Arial" w:cs="Arial"/>
          <w:b/>
          <w:bCs/>
          <w:color w:val="000000"/>
          <w:kern w:val="0"/>
          <w:sz w:val="32"/>
          <w:szCs w:val="32"/>
          <w:shd w:val="clear" w:color="auto" w:fill="FFFFFF"/>
          <w14:ligatures w14:val="none"/>
        </w:rPr>
      </w:pPr>
      <w:r w:rsidRPr="0043066D">
        <w:rPr>
          <w:rFonts w:ascii="Arial" w:eastAsia="Calibri" w:hAnsi="Arial" w:cs="Arial"/>
          <w:b/>
          <w:bCs/>
          <w:color w:val="000000"/>
          <w:kern w:val="0"/>
          <w:sz w:val="32"/>
          <w:szCs w:val="32"/>
          <w:shd w:val="clear" w:color="auto" w:fill="FFFFFF"/>
          <w14:ligatures w14:val="none"/>
        </w:rPr>
        <w:t>Assignment Report: Turnaround Strategy for The City Hotel</w:t>
      </w:r>
      <w:r w:rsidRPr="0043066D">
        <w:rPr>
          <w:rFonts w:ascii="Arial" w:eastAsia="Calibri" w:hAnsi="Arial" w:cs="Arial"/>
          <w:b/>
          <w:bCs/>
          <w:color w:val="000000"/>
          <w:kern w:val="0"/>
          <w:sz w:val="32"/>
          <w:szCs w:val="32"/>
          <w:shd w:val="clear" w:color="auto" w:fill="FFFFFF"/>
          <w14:ligatures w14:val="none"/>
        </w:rPr>
        <w:t xml:space="preserve"> </w:t>
      </w:r>
      <w:r>
        <w:rPr>
          <w:rFonts w:ascii="Arial" w:eastAsia="Calibri" w:hAnsi="Arial" w:cs="Arial"/>
          <w:b/>
          <w:bCs/>
          <w:color w:val="000000"/>
          <w:kern w:val="0"/>
          <w:sz w:val="32"/>
          <w:szCs w:val="32"/>
          <w:shd w:val="clear" w:color="auto" w:fill="FFFFFF"/>
          <w14:ligatures w14:val="none"/>
        </w:rPr>
        <w:t>(BMIH 5007)</w:t>
      </w:r>
      <w:r w:rsidRPr="00BD7EC4">
        <w:rPr>
          <w:rFonts w:ascii="Arial" w:eastAsia="Calibri" w:hAnsi="Arial" w:cs="Arial"/>
          <w:b/>
          <w:bCs/>
          <w:color w:val="000000"/>
          <w:kern w:val="0"/>
          <w:sz w:val="32"/>
          <w:szCs w:val="32"/>
          <w:shd w:val="clear" w:color="auto" w:fill="FFFFFF"/>
          <w14:ligatures w14:val="none"/>
        </w:rPr>
        <w:t xml:space="preserve"> </w:t>
      </w:r>
    </w:p>
    <w:p w14:paraId="51699847" w14:textId="77777777" w:rsidR="0043066D" w:rsidRPr="00BD7EC4" w:rsidRDefault="0043066D" w:rsidP="0043066D">
      <w:pPr>
        <w:numPr>
          <w:ilvl w:val="0"/>
          <w:numId w:val="2"/>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Tristan Hawkins</w:t>
      </w:r>
    </w:p>
    <w:p w14:paraId="5B03B16F" w14:textId="074083EB" w:rsidR="0043066D" w:rsidRPr="00BD7EC4" w:rsidRDefault="0043066D" w:rsidP="0043066D">
      <w:pPr>
        <w:numPr>
          <w:ilvl w:val="0"/>
          <w:numId w:val="2"/>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 xml:space="preserve">Word count: </w:t>
      </w:r>
      <w:r>
        <w:rPr>
          <w:rFonts w:ascii="Arial" w:eastAsia="Calibri" w:hAnsi="Arial" w:cs="Arial"/>
          <w:b/>
          <w:bCs/>
          <w:color w:val="000000"/>
          <w:kern w:val="0"/>
          <w:sz w:val="32"/>
          <w:szCs w:val="32"/>
          <w:shd w:val="clear" w:color="auto" w:fill="FFFFFF"/>
          <w14:ligatures w14:val="none"/>
        </w:rPr>
        <w:t>2</w:t>
      </w:r>
      <w:r w:rsidR="006926B1">
        <w:rPr>
          <w:rFonts w:ascii="Arial" w:eastAsia="Calibri" w:hAnsi="Arial" w:cs="Arial"/>
          <w:b/>
          <w:bCs/>
          <w:color w:val="000000"/>
          <w:kern w:val="0"/>
          <w:sz w:val="32"/>
          <w:szCs w:val="32"/>
          <w:shd w:val="clear" w:color="auto" w:fill="FFFFFF"/>
          <w14:ligatures w14:val="none"/>
        </w:rPr>
        <w:t>00</w:t>
      </w:r>
      <w:r w:rsidR="00B11E8B">
        <w:rPr>
          <w:rFonts w:ascii="Arial" w:eastAsia="Calibri" w:hAnsi="Arial" w:cs="Arial"/>
          <w:b/>
          <w:bCs/>
          <w:color w:val="000000"/>
          <w:kern w:val="0"/>
          <w:sz w:val="32"/>
          <w:szCs w:val="32"/>
          <w:shd w:val="clear" w:color="auto" w:fill="FFFFFF"/>
          <w14:ligatures w14:val="none"/>
        </w:rPr>
        <w:t>3</w:t>
      </w:r>
    </w:p>
    <w:p w14:paraId="37BAE0C4" w14:textId="77777777" w:rsidR="0043066D" w:rsidRPr="00BD7EC4" w:rsidRDefault="0043066D" w:rsidP="0043066D">
      <w:pPr>
        <w:spacing w:line="256" w:lineRule="auto"/>
        <w:jc w:val="both"/>
        <w:rPr>
          <w:rFonts w:ascii="Arial" w:eastAsia="Calibri" w:hAnsi="Arial" w:cs="Arial"/>
          <w:b/>
          <w:bCs/>
          <w:color w:val="000000"/>
          <w:kern w:val="0"/>
          <w:sz w:val="32"/>
          <w:szCs w:val="32"/>
          <w:shd w:val="clear" w:color="auto" w:fill="FFFFFF"/>
          <w14:ligatures w14:val="none"/>
        </w:rPr>
      </w:pPr>
    </w:p>
    <w:p w14:paraId="174D9932" w14:textId="77777777" w:rsidR="0043066D" w:rsidRPr="0088597E" w:rsidRDefault="0043066D" w:rsidP="0043066D">
      <w:pPr>
        <w:spacing w:line="256" w:lineRule="auto"/>
        <w:jc w:val="both"/>
        <w:rPr>
          <w:rFonts w:ascii="Arial" w:eastAsia="Calibri" w:hAnsi="Arial" w:cs="Arial"/>
          <w:b/>
          <w:bCs/>
          <w:color w:val="000000"/>
          <w:kern w:val="0"/>
          <w:sz w:val="24"/>
          <w:szCs w:val="24"/>
          <w:shd w:val="clear" w:color="auto" w:fill="FFFFFF"/>
          <w14:ligatures w14:val="none"/>
        </w:rPr>
      </w:pPr>
    </w:p>
    <w:p w14:paraId="16FACC6A" w14:textId="77777777" w:rsidR="0043066D" w:rsidRPr="0088597E" w:rsidRDefault="0043066D" w:rsidP="0043066D">
      <w:pPr>
        <w:spacing w:line="256" w:lineRule="auto"/>
        <w:jc w:val="both"/>
        <w:rPr>
          <w:rFonts w:ascii="Arial" w:eastAsia="Calibri" w:hAnsi="Arial" w:cs="Arial"/>
          <w:b/>
          <w:bCs/>
          <w:color w:val="000000"/>
          <w:kern w:val="0"/>
          <w:sz w:val="24"/>
          <w:szCs w:val="24"/>
          <w:shd w:val="clear" w:color="auto" w:fill="FFFFFF"/>
          <w14:ligatures w14:val="none"/>
        </w:rPr>
      </w:pPr>
    </w:p>
    <w:p w14:paraId="2E80A94B" w14:textId="77777777" w:rsidR="0043066D" w:rsidRDefault="0043066D" w:rsidP="0043066D">
      <w:pPr>
        <w:jc w:val="both"/>
        <w:rPr>
          <w:rFonts w:ascii="Arial" w:hAnsi="Arial" w:cs="Arial"/>
          <w:b/>
          <w:bCs/>
          <w:sz w:val="24"/>
          <w:szCs w:val="24"/>
        </w:rPr>
      </w:pPr>
    </w:p>
    <w:p w14:paraId="18EB7139" w14:textId="77777777" w:rsidR="0043066D" w:rsidRDefault="0043066D" w:rsidP="0043066D">
      <w:pPr>
        <w:jc w:val="both"/>
        <w:rPr>
          <w:rFonts w:ascii="Arial" w:hAnsi="Arial" w:cs="Arial"/>
          <w:b/>
          <w:bCs/>
          <w:sz w:val="24"/>
          <w:szCs w:val="24"/>
        </w:rPr>
      </w:pPr>
    </w:p>
    <w:p w14:paraId="1B635C6B" w14:textId="77777777" w:rsidR="0043066D" w:rsidRDefault="0043066D" w:rsidP="0043066D">
      <w:pPr>
        <w:jc w:val="both"/>
        <w:rPr>
          <w:rFonts w:ascii="Arial" w:hAnsi="Arial" w:cs="Arial"/>
          <w:b/>
          <w:bCs/>
          <w:sz w:val="24"/>
          <w:szCs w:val="24"/>
        </w:rPr>
      </w:pPr>
    </w:p>
    <w:p w14:paraId="4DDD3E00" w14:textId="77777777" w:rsidR="0043066D" w:rsidRPr="0088597E" w:rsidRDefault="0043066D" w:rsidP="0043066D">
      <w:pPr>
        <w:jc w:val="both"/>
        <w:rPr>
          <w:rFonts w:ascii="Arial" w:hAnsi="Arial" w:cs="Arial"/>
          <w:b/>
          <w:bCs/>
          <w:sz w:val="24"/>
          <w:szCs w:val="24"/>
        </w:rPr>
      </w:pPr>
    </w:p>
    <w:p w14:paraId="3BA06AA1" w14:textId="77777777" w:rsidR="0043066D" w:rsidRDefault="0043066D" w:rsidP="00DB1085">
      <w:pPr>
        <w:pStyle w:val="Heading1"/>
      </w:pPr>
      <w:bookmarkStart w:id="0" w:name="_Hlk182470429"/>
      <w:r w:rsidRPr="00E6354B">
        <w:lastRenderedPageBreak/>
        <w:t>Basic Acknowledgement format of AI tool use</w:t>
      </w:r>
    </w:p>
    <w:p w14:paraId="63768D08" w14:textId="77777777" w:rsidR="00DB1085" w:rsidRDefault="00DB1085" w:rsidP="00DB1085"/>
    <w:p w14:paraId="572DD711" w14:textId="77777777" w:rsidR="00DB1085" w:rsidRPr="00DB1085" w:rsidRDefault="00DB1085" w:rsidP="00DB1085"/>
    <w:bookmarkEnd w:id="0"/>
    <w:p w14:paraId="14277A28" w14:textId="3E5E9811" w:rsidR="0043066D" w:rsidRPr="00E6354B" w:rsidRDefault="0043066D" w:rsidP="0043066D">
      <w:pPr>
        <w:jc w:val="both"/>
        <w:rPr>
          <w:rFonts w:ascii="Arial" w:hAnsi="Arial" w:cs="Arial"/>
          <w:sz w:val="24"/>
          <w:szCs w:val="24"/>
        </w:rPr>
      </w:pPr>
      <w:r w:rsidRPr="00E6354B">
        <w:rPr>
          <w:rFonts w:ascii="Arial" w:hAnsi="Arial" w:cs="Arial"/>
          <w:sz w:val="24"/>
          <w:szCs w:val="24"/>
        </w:rPr>
        <w:t xml:space="preserve">I acknowledge the use of </w:t>
      </w:r>
      <w:r>
        <w:rPr>
          <w:rFonts w:ascii="Arial" w:hAnsi="Arial" w:cs="Arial"/>
          <w:sz w:val="24"/>
          <w:szCs w:val="24"/>
        </w:rPr>
        <w:t>Gemini</w:t>
      </w:r>
      <w:r w:rsidRPr="00E6354B">
        <w:rPr>
          <w:rFonts w:ascii="Arial" w:hAnsi="Arial" w:cs="Arial"/>
          <w:sz w:val="24"/>
          <w:szCs w:val="24"/>
        </w:rPr>
        <w:t xml:space="preserve"> </w:t>
      </w:r>
      <w:r>
        <w:rPr>
          <w:rFonts w:ascii="Arial" w:hAnsi="Arial" w:cs="Arial"/>
          <w:sz w:val="24"/>
          <w:szCs w:val="24"/>
        </w:rPr>
        <w:t>[</w:t>
      </w:r>
      <w:r w:rsidRPr="00E6354B">
        <w:rPr>
          <w:rFonts w:ascii="Arial" w:hAnsi="Arial" w:cs="Arial"/>
          <w:sz w:val="24"/>
          <w:szCs w:val="24"/>
        </w:rPr>
        <w:t>https://gemini.google.com/app/a38c38e7339fad66] on [</w:t>
      </w:r>
      <w:r>
        <w:rPr>
          <w:rFonts w:ascii="Arial" w:hAnsi="Arial" w:cs="Arial"/>
          <w:sz w:val="24"/>
          <w:szCs w:val="24"/>
        </w:rPr>
        <w:t>0</w:t>
      </w:r>
      <w:r w:rsidR="00DB1085">
        <w:rPr>
          <w:rFonts w:ascii="Arial" w:hAnsi="Arial" w:cs="Arial"/>
          <w:sz w:val="24"/>
          <w:szCs w:val="24"/>
        </w:rPr>
        <w:t>14</w:t>
      </w:r>
      <w:r>
        <w:rPr>
          <w:rFonts w:ascii="Arial" w:hAnsi="Arial" w:cs="Arial"/>
          <w:sz w:val="24"/>
          <w:szCs w:val="24"/>
        </w:rPr>
        <w:t>/1</w:t>
      </w:r>
      <w:r w:rsidR="00DB1085">
        <w:rPr>
          <w:rFonts w:ascii="Arial" w:hAnsi="Arial" w:cs="Arial"/>
          <w:sz w:val="24"/>
          <w:szCs w:val="24"/>
        </w:rPr>
        <w:t>1</w:t>
      </w:r>
      <w:r>
        <w:rPr>
          <w:rFonts w:ascii="Arial" w:hAnsi="Arial" w:cs="Arial"/>
          <w:sz w:val="24"/>
          <w:szCs w:val="24"/>
        </w:rPr>
        <w:t>/2024]</w:t>
      </w:r>
      <w:r w:rsidRPr="00E6354B">
        <w:rPr>
          <w:rFonts w:ascii="Arial" w:hAnsi="Arial" w:cs="Arial"/>
          <w:sz w:val="24"/>
          <w:szCs w:val="24"/>
        </w:rPr>
        <w:t xml:space="preserve"> </w:t>
      </w:r>
      <w:r>
        <w:rPr>
          <w:rFonts w:ascii="Arial" w:hAnsi="Arial" w:cs="Arial"/>
          <w:sz w:val="24"/>
          <w:szCs w:val="24"/>
        </w:rPr>
        <w:t xml:space="preserve">for </w:t>
      </w:r>
      <w:r w:rsidR="006926B1">
        <w:rPr>
          <w:rFonts w:ascii="Arial" w:hAnsi="Arial" w:cs="Arial"/>
          <w:sz w:val="24"/>
          <w:szCs w:val="24"/>
        </w:rPr>
        <w:t>feedback of my final assignment</w:t>
      </w:r>
      <w:r>
        <w:rPr>
          <w:rFonts w:ascii="Arial" w:hAnsi="Arial" w:cs="Arial"/>
          <w:sz w:val="24"/>
          <w:szCs w:val="24"/>
        </w:rPr>
        <w:t xml:space="preserve">, which it gave me bullet points where I could improve it, and before submission I used same A.I. tool to rephrase it to make it easier to be read and understood. </w:t>
      </w:r>
      <w:r w:rsidRPr="00E6354B">
        <w:rPr>
          <w:rFonts w:ascii="Arial" w:hAnsi="Arial" w:cs="Arial"/>
          <w:sz w:val="24"/>
          <w:szCs w:val="24"/>
        </w:rPr>
        <w:t xml:space="preserve"> I used the prompt(s):</w:t>
      </w:r>
    </w:p>
    <w:p w14:paraId="38513000" w14:textId="0D480BA8" w:rsidR="0043066D" w:rsidRPr="00E6354B" w:rsidRDefault="002F713D" w:rsidP="0043066D">
      <w:pPr>
        <w:jc w:val="both"/>
        <w:rPr>
          <w:rFonts w:ascii="Arial" w:hAnsi="Arial" w:cs="Arial"/>
          <w:sz w:val="24"/>
          <w:szCs w:val="24"/>
        </w:rPr>
      </w:pPr>
      <w:r>
        <w:rPr>
          <w:rFonts w:ascii="Arial" w:hAnsi="Arial" w:cs="Arial"/>
          <w:sz w:val="24"/>
          <w:szCs w:val="24"/>
        </w:rPr>
        <w:t>1</w:t>
      </w:r>
      <w:r w:rsidR="0043066D" w:rsidRPr="00E6354B">
        <w:rPr>
          <w:rFonts w:ascii="Arial" w:hAnsi="Arial" w:cs="Arial"/>
          <w:sz w:val="24"/>
          <w:szCs w:val="24"/>
        </w:rPr>
        <w:t xml:space="preserve">. </w:t>
      </w:r>
      <w:r w:rsidR="0043066D">
        <w:rPr>
          <w:rFonts w:ascii="Arial" w:hAnsi="Arial" w:cs="Arial"/>
          <w:sz w:val="24"/>
          <w:szCs w:val="24"/>
        </w:rPr>
        <w:t xml:space="preserve">give me the feedback of each section of the following report, and give me for each section 2, 3 bullet points of </w:t>
      </w:r>
      <w:r w:rsidR="006926B1">
        <w:rPr>
          <w:rFonts w:ascii="Arial" w:hAnsi="Arial" w:cs="Arial"/>
          <w:sz w:val="24"/>
          <w:szCs w:val="24"/>
        </w:rPr>
        <w:t>improvement. [</w:t>
      </w:r>
      <w:r w:rsidR="0043066D">
        <w:rPr>
          <w:rFonts w:ascii="Arial" w:hAnsi="Arial" w:cs="Arial"/>
          <w:sz w:val="24"/>
          <w:szCs w:val="24"/>
        </w:rPr>
        <w:t>1</w:t>
      </w:r>
      <w:r>
        <w:rPr>
          <w:rFonts w:ascii="Arial" w:hAnsi="Arial" w:cs="Arial"/>
          <w:sz w:val="24"/>
          <w:szCs w:val="24"/>
        </w:rPr>
        <w:t>4</w:t>
      </w:r>
      <w:r w:rsidR="0043066D">
        <w:rPr>
          <w:rFonts w:ascii="Arial" w:hAnsi="Arial" w:cs="Arial"/>
          <w:sz w:val="24"/>
          <w:szCs w:val="24"/>
        </w:rPr>
        <w:t>/1</w:t>
      </w:r>
      <w:r>
        <w:rPr>
          <w:rFonts w:ascii="Arial" w:hAnsi="Arial" w:cs="Arial"/>
          <w:sz w:val="24"/>
          <w:szCs w:val="24"/>
        </w:rPr>
        <w:t>1</w:t>
      </w:r>
      <w:r w:rsidR="0043066D">
        <w:rPr>
          <w:rFonts w:ascii="Arial" w:hAnsi="Arial" w:cs="Arial"/>
          <w:sz w:val="24"/>
          <w:szCs w:val="24"/>
        </w:rPr>
        <w:t>/2024]</w:t>
      </w:r>
    </w:p>
    <w:p w14:paraId="1DAB335D" w14:textId="6C16F5C6" w:rsidR="0043066D" w:rsidRPr="00E6354B" w:rsidRDefault="002F713D" w:rsidP="0043066D">
      <w:pPr>
        <w:jc w:val="both"/>
        <w:rPr>
          <w:rFonts w:ascii="Arial" w:hAnsi="Arial" w:cs="Arial"/>
          <w:sz w:val="24"/>
          <w:szCs w:val="24"/>
        </w:rPr>
      </w:pPr>
      <w:r>
        <w:rPr>
          <w:rFonts w:ascii="Arial" w:hAnsi="Arial" w:cs="Arial"/>
          <w:sz w:val="24"/>
          <w:szCs w:val="24"/>
        </w:rPr>
        <w:t>2</w:t>
      </w:r>
      <w:r w:rsidR="0043066D" w:rsidRPr="00E6354B">
        <w:rPr>
          <w:rFonts w:ascii="Arial" w:hAnsi="Arial" w:cs="Arial"/>
          <w:sz w:val="24"/>
          <w:szCs w:val="24"/>
        </w:rPr>
        <w:t xml:space="preserve">. </w:t>
      </w:r>
      <w:r w:rsidR="0043066D">
        <w:rPr>
          <w:rFonts w:ascii="Arial" w:hAnsi="Arial" w:cs="Arial"/>
          <w:sz w:val="24"/>
          <w:szCs w:val="24"/>
        </w:rPr>
        <w:t>Please check the following report for spelling mistakes and rephrase it to be more formal and academic [14/1</w:t>
      </w:r>
      <w:r>
        <w:rPr>
          <w:rFonts w:ascii="Arial" w:hAnsi="Arial" w:cs="Arial"/>
          <w:sz w:val="24"/>
          <w:szCs w:val="24"/>
        </w:rPr>
        <w:t>1</w:t>
      </w:r>
      <w:r w:rsidR="0043066D">
        <w:rPr>
          <w:rFonts w:ascii="Arial" w:hAnsi="Arial" w:cs="Arial"/>
          <w:sz w:val="24"/>
          <w:szCs w:val="24"/>
        </w:rPr>
        <w:t>/2024]</w:t>
      </w:r>
    </w:p>
    <w:p w14:paraId="26BA2A7C" w14:textId="77777777" w:rsidR="0043066D" w:rsidRPr="0088597E" w:rsidRDefault="0043066D" w:rsidP="0043066D">
      <w:pPr>
        <w:jc w:val="both"/>
        <w:rPr>
          <w:rFonts w:ascii="Arial" w:hAnsi="Arial" w:cs="Arial"/>
          <w:b/>
          <w:bCs/>
          <w:sz w:val="24"/>
          <w:szCs w:val="24"/>
        </w:rPr>
      </w:pPr>
    </w:p>
    <w:p w14:paraId="4EFCA7F8" w14:textId="77777777" w:rsidR="0043066D" w:rsidRDefault="0043066D" w:rsidP="0043066D">
      <w:pPr>
        <w:jc w:val="both"/>
        <w:rPr>
          <w:rFonts w:ascii="Arial" w:hAnsi="Arial" w:cs="Arial"/>
          <w:b/>
          <w:bCs/>
          <w:sz w:val="24"/>
          <w:szCs w:val="24"/>
        </w:rPr>
      </w:pPr>
    </w:p>
    <w:p w14:paraId="4DC4B587" w14:textId="77777777" w:rsidR="0043066D" w:rsidRDefault="0043066D" w:rsidP="0043066D">
      <w:pPr>
        <w:jc w:val="both"/>
        <w:rPr>
          <w:rFonts w:ascii="Arial" w:hAnsi="Arial" w:cs="Arial"/>
          <w:b/>
          <w:bCs/>
          <w:sz w:val="24"/>
          <w:szCs w:val="24"/>
        </w:rPr>
      </w:pPr>
    </w:p>
    <w:p w14:paraId="0E74CD1E" w14:textId="77777777" w:rsidR="0043066D" w:rsidRDefault="0043066D" w:rsidP="0043066D">
      <w:pPr>
        <w:jc w:val="both"/>
        <w:rPr>
          <w:rFonts w:ascii="Arial" w:hAnsi="Arial" w:cs="Arial"/>
          <w:b/>
          <w:bCs/>
          <w:sz w:val="24"/>
          <w:szCs w:val="24"/>
        </w:rPr>
      </w:pPr>
    </w:p>
    <w:p w14:paraId="31EDBFE8" w14:textId="77777777" w:rsidR="0043066D" w:rsidRDefault="0043066D" w:rsidP="0043066D">
      <w:pPr>
        <w:jc w:val="both"/>
        <w:rPr>
          <w:rFonts w:ascii="Arial" w:hAnsi="Arial" w:cs="Arial"/>
          <w:b/>
          <w:bCs/>
          <w:sz w:val="24"/>
          <w:szCs w:val="24"/>
        </w:rPr>
      </w:pPr>
    </w:p>
    <w:p w14:paraId="08E7F01E" w14:textId="77777777" w:rsidR="0043066D" w:rsidRDefault="0043066D" w:rsidP="0043066D">
      <w:pPr>
        <w:jc w:val="both"/>
        <w:rPr>
          <w:rFonts w:ascii="Arial" w:hAnsi="Arial" w:cs="Arial"/>
          <w:b/>
          <w:bCs/>
          <w:sz w:val="24"/>
          <w:szCs w:val="24"/>
        </w:rPr>
      </w:pPr>
    </w:p>
    <w:p w14:paraId="44F3514A" w14:textId="77777777" w:rsidR="0043066D" w:rsidRDefault="0043066D" w:rsidP="0043066D">
      <w:pPr>
        <w:jc w:val="both"/>
        <w:rPr>
          <w:rFonts w:ascii="Arial" w:hAnsi="Arial" w:cs="Arial"/>
          <w:b/>
          <w:bCs/>
          <w:sz w:val="24"/>
          <w:szCs w:val="24"/>
        </w:rPr>
      </w:pPr>
    </w:p>
    <w:p w14:paraId="45826C08" w14:textId="77777777" w:rsidR="0043066D" w:rsidRDefault="0043066D" w:rsidP="0043066D">
      <w:pPr>
        <w:jc w:val="both"/>
        <w:rPr>
          <w:rFonts w:ascii="Arial" w:hAnsi="Arial" w:cs="Arial"/>
          <w:b/>
          <w:bCs/>
          <w:sz w:val="24"/>
          <w:szCs w:val="24"/>
        </w:rPr>
      </w:pPr>
    </w:p>
    <w:p w14:paraId="37775B2E" w14:textId="77777777" w:rsidR="0043066D" w:rsidRDefault="0043066D" w:rsidP="0043066D">
      <w:pPr>
        <w:jc w:val="both"/>
        <w:rPr>
          <w:rFonts w:ascii="Arial" w:hAnsi="Arial" w:cs="Arial"/>
          <w:b/>
          <w:bCs/>
          <w:sz w:val="24"/>
          <w:szCs w:val="24"/>
        </w:rPr>
      </w:pPr>
    </w:p>
    <w:p w14:paraId="6EC104AF" w14:textId="77777777" w:rsidR="0043066D" w:rsidRDefault="0043066D" w:rsidP="0043066D">
      <w:pPr>
        <w:jc w:val="both"/>
        <w:rPr>
          <w:rFonts w:ascii="Arial" w:hAnsi="Arial" w:cs="Arial"/>
          <w:b/>
          <w:bCs/>
          <w:sz w:val="24"/>
          <w:szCs w:val="24"/>
        </w:rPr>
      </w:pPr>
    </w:p>
    <w:p w14:paraId="3B49A9A9" w14:textId="77777777" w:rsidR="0043066D" w:rsidRDefault="0043066D" w:rsidP="0043066D">
      <w:pPr>
        <w:jc w:val="both"/>
        <w:rPr>
          <w:rFonts w:ascii="Arial" w:hAnsi="Arial" w:cs="Arial"/>
          <w:b/>
          <w:bCs/>
          <w:sz w:val="24"/>
          <w:szCs w:val="24"/>
        </w:rPr>
      </w:pPr>
    </w:p>
    <w:p w14:paraId="26EF6879" w14:textId="77777777" w:rsidR="0043066D" w:rsidRDefault="0043066D" w:rsidP="0043066D">
      <w:pPr>
        <w:jc w:val="both"/>
        <w:rPr>
          <w:rFonts w:ascii="Arial" w:hAnsi="Arial" w:cs="Arial"/>
          <w:b/>
          <w:bCs/>
          <w:sz w:val="24"/>
          <w:szCs w:val="24"/>
        </w:rPr>
      </w:pPr>
    </w:p>
    <w:p w14:paraId="75449F40" w14:textId="77777777" w:rsidR="0043066D" w:rsidRDefault="0043066D" w:rsidP="0043066D">
      <w:pPr>
        <w:jc w:val="both"/>
        <w:rPr>
          <w:rFonts w:ascii="Arial" w:hAnsi="Arial" w:cs="Arial"/>
          <w:b/>
          <w:bCs/>
          <w:sz w:val="24"/>
          <w:szCs w:val="24"/>
        </w:rPr>
      </w:pPr>
    </w:p>
    <w:p w14:paraId="25DF157B" w14:textId="77777777" w:rsidR="0043066D" w:rsidRDefault="0043066D" w:rsidP="0043066D">
      <w:pPr>
        <w:jc w:val="both"/>
        <w:rPr>
          <w:rFonts w:ascii="Arial" w:hAnsi="Arial" w:cs="Arial"/>
          <w:b/>
          <w:bCs/>
          <w:sz w:val="24"/>
          <w:szCs w:val="24"/>
        </w:rPr>
      </w:pPr>
    </w:p>
    <w:p w14:paraId="321EBF24" w14:textId="77777777" w:rsidR="0043066D" w:rsidRDefault="0043066D" w:rsidP="0043066D">
      <w:pPr>
        <w:jc w:val="both"/>
        <w:rPr>
          <w:rFonts w:ascii="Arial" w:hAnsi="Arial" w:cs="Arial"/>
          <w:b/>
          <w:bCs/>
          <w:sz w:val="24"/>
          <w:szCs w:val="24"/>
        </w:rPr>
      </w:pPr>
    </w:p>
    <w:p w14:paraId="30DE6C11" w14:textId="77777777" w:rsidR="0043066D" w:rsidRDefault="0043066D" w:rsidP="0043066D">
      <w:pPr>
        <w:jc w:val="both"/>
        <w:rPr>
          <w:rFonts w:ascii="Arial" w:hAnsi="Arial" w:cs="Arial"/>
          <w:b/>
          <w:bCs/>
          <w:sz w:val="24"/>
          <w:szCs w:val="24"/>
        </w:rPr>
      </w:pPr>
    </w:p>
    <w:p w14:paraId="5EAFE193" w14:textId="77777777" w:rsidR="0043066D" w:rsidRDefault="0043066D" w:rsidP="0043066D">
      <w:pPr>
        <w:jc w:val="both"/>
        <w:rPr>
          <w:rFonts w:ascii="Arial" w:hAnsi="Arial" w:cs="Arial"/>
          <w:b/>
          <w:bCs/>
          <w:sz w:val="24"/>
          <w:szCs w:val="24"/>
        </w:rPr>
      </w:pPr>
    </w:p>
    <w:p w14:paraId="37EE9912" w14:textId="77777777" w:rsidR="0043066D" w:rsidRDefault="0043066D" w:rsidP="0043066D">
      <w:pPr>
        <w:jc w:val="both"/>
        <w:rPr>
          <w:rFonts w:ascii="Arial" w:hAnsi="Arial" w:cs="Arial"/>
          <w:b/>
          <w:bCs/>
          <w:sz w:val="24"/>
          <w:szCs w:val="24"/>
        </w:rPr>
      </w:pPr>
    </w:p>
    <w:p w14:paraId="1EF2A012" w14:textId="77777777" w:rsidR="00B11E8B" w:rsidRDefault="00B11E8B" w:rsidP="0043066D">
      <w:pPr>
        <w:jc w:val="both"/>
        <w:rPr>
          <w:rFonts w:ascii="Arial" w:hAnsi="Arial" w:cs="Arial"/>
          <w:b/>
          <w:bCs/>
          <w:sz w:val="24"/>
          <w:szCs w:val="24"/>
        </w:rPr>
      </w:pPr>
    </w:p>
    <w:p w14:paraId="78F1B93E" w14:textId="77777777" w:rsidR="0043066D" w:rsidRDefault="0043066D" w:rsidP="0043066D">
      <w:pPr>
        <w:jc w:val="both"/>
        <w:rPr>
          <w:rFonts w:ascii="Arial" w:hAnsi="Arial" w:cs="Arial"/>
          <w:b/>
          <w:bCs/>
          <w:sz w:val="24"/>
          <w:szCs w:val="24"/>
        </w:rPr>
      </w:pPr>
    </w:p>
    <w:p w14:paraId="6D5CBC23" w14:textId="77777777" w:rsidR="004E3D81" w:rsidRPr="00E03512" w:rsidRDefault="004E3D81" w:rsidP="00E03512">
      <w:pPr>
        <w:pStyle w:val="Heading1"/>
        <w:spacing w:line="360" w:lineRule="auto"/>
        <w:jc w:val="both"/>
        <w:rPr>
          <w:rFonts w:ascii="Arial" w:hAnsi="Arial" w:cs="Arial"/>
          <w:sz w:val="24"/>
          <w:szCs w:val="24"/>
        </w:rPr>
      </w:pPr>
      <w:r w:rsidRPr="00E03512">
        <w:rPr>
          <w:rFonts w:ascii="Arial" w:hAnsi="Arial" w:cs="Arial"/>
          <w:sz w:val="24"/>
          <w:szCs w:val="24"/>
        </w:rPr>
        <w:lastRenderedPageBreak/>
        <w:t>Introduction</w:t>
      </w:r>
    </w:p>
    <w:p w14:paraId="19AA891F" w14:textId="77777777" w:rsidR="004E3D81" w:rsidRPr="00E03512" w:rsidRDefault="004E3D81" w:rsidP="00E03512">
      <w:pPr>
        <w:spacing w:line="360" w:lineRule="auto"/>
        <w:jc w:val="both"/>
        <w:rPr>
          <w:rFonts w:ascii="Arial" w:hAnsi="Arial" w:cs="Arial"/>
          <w:sz w:val="24"/>
          <w:szCs w:val="24"/>
        </w:rPr>
      </w:pPr>
      <w:r w:rsidRPr="00E03512">
        <w:rPr>
          <w:rFonts w:ascii="Arial" w:hAnsi="Arial" w:cs="Arial"/>
          <w:sz w:val="24"/>
          <w:szCs w:val="24"/>
        </w:rPr>
        <w:t>The City Hotel, a reputable hospitality establishment offering restaurant, bar, and event facilities, has recently faced significant financial challenges. In recent years, the hotel has seen declining revenue, occupancy rates, and customer satisfaction, raising concerns about its future viability and brand reputation. Beyond its own success, the hotel plays a crucial role in the local economy, providing jobs, supporting suppliers, and contributing to regional tourism. In the fast-paced hospitality industry, especially in urban settings, the need for constant adaptability is essential. Hotels like The City Hotel operate in competitive landscapes where customer preferences shift rapidly, and failure to respond to evolving demands or economic conditions can result in declining relevance. The primary aim of this report is to evaluate the hotel’s financial performance from 2021 to 2023, identify reasons for the profitability decline, and propose a comprehensive recovery plan. This report draws on external academic literature, industry insights, and hospitality management principles to provide a data-driven, actionable plan that can restore the hotel’s financial health and competitive position.</w:t>
      </w:r>
    </w:p>
    <w:p w14:paraId="3E5B2E39" w14:textId="77777777" w:rsidR="004E3D81" w:rsidRPr="00E03512" w:rsidRDefault="004E3D81" w:rsidP="00E03512">
      <w:pPr>
        <w:spacing w:line="360" w:lineRule="auto"/>
        <w:jc w:val="both"/>
        <w:rPr>
          <w:rFonts w:ascii="Arial" w:hAnsi="Arial" w:cs="Arial"/>
          <w:sz w:val="24"/>
          <w:szCs w:val="24"/>
        </w:rPr>
      </w:pPr>
    </w:p>
    <w:p w14:paraId="4B0910E1" w14:textId="77777777" w:rsidR="004E3D81" w:rsidRPr="00E03512" w:rsidRDefault="004E3D81" w:rsidP="00E03512">
      <w:pPr>
        <w:pStyle w:val="Heading1"/>
        <w:spacing w:line="360" w:lineRule="auto"/>
        <w:jc w:val="both"/>
        <w:rPr>
          <w:rFonts w:ascii="Arial" w:hAnsi="Arial" w:cs="Arial"/>
          <w:sz w:val="24"/>
          <w:szCs w:val="24"/>
        </w:rPr>
      </w:pPr>
      <w:r w:rsidRPr="00E03512">
        <w:rPr>
          <w:rFonts w:ascii="Arial" w:hAnsi="Arial" w:cs="Arial"/>
          <w:sz w:val="24"/>
          <w:szCs w:val="24"/>
        </w:rPr>
        <w:t>1. Financial Performance Analysis</w:t>
      </w:r>
    </w:p>
    <w:p w14:paraId="35D96F37"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1.1 Trend Analysis</w:t>
      </w:r>
    </w:p>
    <w:p w14:paraId="7ABD6B7D" w14:textId="77777777" w:rsidR="001D0521" w:rsidRPr="001D0521" w:rsidRDefault="001D0521" w:rsidP="001D0521">
      <w:pPr>
        <w:spacing w:line="360" w:lineRule="auto"/>
        <w:jc w:val="both"/>
        <w:rPr>
          <w:rFonts w:ascii="Arial" w:hAnsi="Arial" w:cs="Arial"/>
          <w:sz w:val="24"/>
          <w:szCs w:val="24"/>
        </w:rPr>
      </w:pPr>
      <w:r w:rsidRPr="001D0521">
        <w:rPr>
          <w:rFonts w:ascii="Arial" w:hAnsi="Arial" w:cs="Arial"/>
          <w:sz w:val="24"/>
          <w:szCs w:val="24"/>
        </w:rPr>
        <w:t>The income statements and balance sheets from 2021 to 2023 reveal a clear downward trend in revenue and profitability. In 2021, the hotel generated revenue of £5,248,290, which decreased to £2,325,440 by 2023. This decline suggests potential issues with demand and competitive positioning. According to Enz (2019), such declines are often influenced by broader economic conditions and internal operational challenges. The City Hotel’s revenue drop could reflect challenges in customer retention, competition from alternative accommodation providers, or a lack of targeted marketing.</w:t>
      </w:r>
    </w:p>
    <w:p w14:paraId="4FD19631" w14:textId="77777777" w:rsidR="001D0521" w:rsidRPr="001D0521" w:rsidRDefault="001D0521" w:rsidP="001D0521">
      <w:pPr>
        <w:spacing w:line="360" w:lineRule="auto"/>
        <w:jc w:val="both"/>
        <w:rPr>
          <w:rFonts w:ascii="Arial" w:hAnsi="Arial" w:cs="Arial"/>
          <w:sz w:val="24"/>
          <w:szCs w:val="24"/>
        </w:rPr>
      </w:pPr>
    </w:p>
    <w:p w14:paraId="367BB257" w14:textId="77777777" w:rsidR="001D0521" w:rsidRPr="001D0521" w:rsidRDefault="001D0521" w:rsidP="001D0521">
      <w:pPr>
        <w:spacing w:line="360" w:lineRule="auto"/>
        <w:jc w:val="both"/>
        <w:rPr>
          <w:rFonts w:ascii="Arial" w:hAnsi="Arial" w:cs="Arial"/>
          <w:sz w:val="24"/>
          <w:szCs w:val="24"/>
        </w:rPr>
      </w:pPr>
      <w:r w:rsidRPr="001D0521">
        <w:rPr>
          <w:rFonts w:ascii="Arial" w:hAnsi="Arial" w:cs="Arial"/>
          <w:sz w:val="24"/>
          <w:szCs w:val="24"/>
        </w:rPr>
        <w:t xml:space="preserve">The decline in operating income, from a positive £664,160 in 2021 to a negative £1,218,850 by 2023, indicates that rising costs have significantly impacted profitability. </w:t>
      </w:r>
      <w:proofErr w:type="spellStart"/>
      <w:r w:rsidRPr="001D0521">
        <w:rPr>
          <w:rFonts w:ascii="Arial" w:hAnsi="Arial" w:cs="Arial"/>
          <w:sz w:val="24"/>
          <w:szCs w:val="24"/>
        </w:rPr>
        <w:t>Guilding</w:t>
      </w:r>
      <w:proofErr w:type="spellEnd"/>
      <w:r w:rsidRPr="001D0521">
        <w:rPr>
          <w:rFonts w:ascii="Arial" w:hAnsi="Arial" w:cs="Arial"/>
          <w:sz w:val="24"/>
          <w:szCs w:val="24"/>
        </w:rPr>
        <w:t xml:space="preserve"> and </w:t>
      </w:r>
      <w:proofErr w:type="spellStart"/>
      <w:r w:rsidRPr="001D0521">
        <w:rPr>
          <w:rFonts w:ascii="Arial" w:hAnsi="Arial" w:cs="Arial"/>
          <w:sz w:val="24"/>
          <w:szCs w:val="24"/>
        </w:rPr>
        <w:t>Lamminmaki</w:t>
      </w:r>
      <w:proofErr w:type="spellEnd"/>
      <w:r w:rsidRPr="001D0521">
        <w:rPr>
          <w:rFonts w:ascii="Arial" w:hAnsi="Arial" w:cs="Arial"/>
          <w:sz w:val="24"/>
          <w:szCs w:val="24"/>
        </w:rPr>
        <w:t xml:space="preserve"> (2018) emphasize that cost management is crucial in </w:t>
      </w:r>
      <w:r w:rsidRPr="001D0521">
        <w:rPr>
          <w:rFonts w:ascii="Arial" w:hAnsi="Arial" w:cs="Arial"/>
          <w:sz w:val="24"/>
          <w:szCs w:val="24"/>
        </w:rPr>
        <w:lastRenderedPageBreak/>
        <w:t>hospitality, as even minor inefficiencies can substantially impact financial outcomes. Aghazadeh (2020) further suggests that inefficiencies in labour and supply chain management are common issues that hotels must address to maintain profitability. This points to a need for The City Hotel to reassess its operational structure to manage rising costs better.</w:t>
      </w:r>
    </w:p>
    <w:p w14:paraId="42757398" w14:textId="77777777" w:rsidR="001D0521" w:rsidRPr="001D0521" w:rsidRDefault="001D0521" w:rsidP="001D0521">
      <w:pPr>
        <w:spacing w:line="360" w:lineRule="auto"/>
        <w:jc w:val="both"/>
        <w:rPr>
          <w:rFonts w:ascii="Arial" w:hAnsi="Arial" w:cs="Arial"/>
          <w:sz w:val="24"/>
          <w:szCs w:val="24"/>
        </w:rPr>
      </w:pPr>
    </w:p>
    <w:p w14:paraId="334C7BC1" w14:textId="2EE06CB4" w:rsidR="004E3D81" w:rsidRPr="00E03512" w:rsidRDefault="001D0521" w:rsidP="001D0521">
      <w:pPr>
        <w:spacing w:line="360" w:lineRule="auto"/>
        <w:jc w:val="both"/>
        <w:rPr>
          <w:rFonts w:ascii="Arial" w:hAnsi="Arial" w:cs="Arial"/>
          <w:sz w:val="24"/>
          <w:szCs w:val="24"/>
        </w:rPr>
      </w:pPr>
      <w:r w:rsidRPr="001D0521">
        <w:rPr>
          <w:rFonts w:ascii="Arial" w:hAnsi="Arial" w:cs="Arial"/>
          <w:sz w:val="24"/>
          <w:szCs w:val="24"/>
        </w:rPr>
        <w:t>Additionally, high fixed costs, which are common in the hospitality industry, have likely contributed to financial strain. Fixed expenses, such as wages, utilities, and lease payments, remain constant regardless of demand fluctuations, which can create cash flow challenges during low-occupancy periods (Nguyen and Lee, 2022). By restructuring certain fixed costs or exploring flexible cost models, The City Hotel could alleviate some financial pressure.</w:t>
      </w:r>
    </w:p>
    <w:p w14:paraId="4FD4614E" w14:textId="77777777" w:rsidR="0043066D" w:rsidRPr="00E03512" w:rsidRDefault="0043066D" w:rsidP="00E03512">
      <w:pPr>
        <w:spacing w:line="360" w:lineRule="auto"/>
        <w:jc w:val="both"/>
        <w:rPr>
          <w:rFonts w:ascii="Arial" w:hAnsi="Arial" w:cs="Arial"/>
          <w:sz w:val="24"/>
          <w:szCs w:val="24"/>
        </w:rPr>
      </w:pPr>
    </w:p>
    <w:p w14:paraId="183475B4"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1.2 Ratio Analysis</w:t>
      </w:r>
    </w:p>
    <w:p w14:paraId="53DF0BF1" w14:textId="094AA2F9" w:rsidR="001D0521" w:rsidRPr="001D0521" w:rsidRDefault="001D0521" w:rsidP="001D0521">
      <w:pPr>
        <w:spacing w:line="360" w:lineRule="auto"/>
        <w:jc w:val="both"/>
        <w:rPr>
          <w:rFonts w:ascii="Arial" w:hAnsi="Arial" w:cs="Arial"/>
          <w:sz w:val="24"/>
          <w:szCs w:val="24"/>
        </w:rPr>
      </w:pPr>
      <w:r w:rsidRPr="001D0521">
        <w:rPr>
          <w:rFonts w:ascii="Arial" w:hAnsi="Arial" w:cs="Arial"/>
          <w:sz w:val="24"/>
          <w:szCs w:val="24"/>
        </w:rPr>
        <w:t>Analysing financial ratios provides a more nuanced understanding of The City Hotel's financial health:</w:t>
      </w:r>
    </w:p>
    <w:p w14:paraId="7C101D83" w14:textId="0F5AF012" w:rsidR="001D0521" w:rsidRPr="001D0521" w:rsidRDefault="001D0521" w:rsidP="001D0521">
      <w:pPr>
        <w:spacing w:line="360" w:lineRule="auto"/>
        <w:jc w:val="both"/>
        <w:rPr>
          <w:rFonts w:ascii="Arial" w:hAnsi="Arial" w:cs="Arial"/>
          <w:sz w:val="24"/>
          <w:szCs w:val="24"/>
        </w:rPr>
      </w:pPr>
      <w:r w:rsidRPr="001D0521">
        <w:rPr>
          <w:rFonts w:ascii="Arial" w:hAnsi="Arial" w:cs="Arial"/>
          <w:sz w:val="24"/>
          <w:szCs w:val="24"/>
        </w:rPr>
        <w:t>Current Ratio: A declining current ratio highlights potential liquidity challenges. A current ratio below 1.0 indicates difficulty in meeting short-term liabilities, which may necessitate measures like renegotiating supplier terms to improve liquidity (Altinay and Paraskevas, 2017).</w:t>
      </w:r>
    </w:p>
    <w:p w14:paraId="3EBC4257" w14:textId="2EB88C33" w:rsidR="001D0521" w:rsidRPr="001D0521" w:rsidRDefault="001D0521" w:rsidP="001D0521">
      <w:pPr>
        <w:spacing w:line="360" w:lineRule="auto"/>
        <w:jc w:val="both"/>
        <w:rPr>
          <w:rFonts w:ascii="Arial" w:hAnsi="Arial" w:cs="Arial"/>
          <w:sz w:val="24"/>
          <w:szCs w:val="24"/>
        </w:rPr>
      </w:pPr>
      <w:r w:rsidRPr="001D0521">
        <w:rPr>
          <w:rFonts w:ascii="Arial" w:hAnsi="Arial" w:cs="Arial"/>
          <w:sz w:val="24"/>
          <w:szCs w:val="24"/>
        </w:rPr>
        <w:t>Debt-to-Equity Ratio: The increasing debt-to-equity ratio suggests a reliance on debt, which can be risky in an unstable market. Kim and Ayoun (2021) note that high leverage can put hotels at risk during periods of low revenue due to fixed debt repayments. A shift towards equity financing or restructuring existing debt could alleviate this financial burden.</w:t>
      </w:r>
    </w:p>
    <w:p w14:paraId="298C359F" w14:textId="5749CB89" w:rsidR="004E3D81" w:rsidRPr="00E03512" w:rsidRDefault="001D0521" w:rsidP="001D0521">
      <w:pPr>
        <w:spacing w:line="360" w:lineRule="auto"/>
        <w:jc w:val="both"/>
        <w:rPr>
          <w:rFonts w:ascii="Arial" w:hAnsi="Arial" w:cs="Arial"/>
          <w:sz w:val="24"/>
          <w:szCs w:val="24"/>
        </w:rPr>
      </w:pPr>
      <w:r w:rsidRPr="001D0521">
        <w:rPr>
          <w:rFonts w:ascii="Arial" w:hAnsi="Arial" w:cs="Arial"/>
          <w:sz w:val="24"/>
          <w:szCs w:val="24"/>
        </w:rPr>
        <w:t>Profit Margins: Declining gross and net profit margins suggest rising operational costs. Tse and Dev (2019) state that high expenses can erode margins, particularly in labour-intensive industries like hospitality. Managing labour costs and reducing supplier reliance, as recommended by Baum and Mooney (2019), could help stabilize profit margins.</w:t>
      </w:r>
    </w:p>
    <w:p w14:paraId="122B2BDC" w14:textId="77777777" w:rsidR="004E3D81" w:rsidRPr="00E03512" w:rsidRDefault="004E3D81" w:rsidP="00E03512">
      <w:pPr>
        <w:spacing w:line="360" w:lineRule="auto"/>
        <w:jc w:val="both"/>
        <w:rPr>
          <w:rFonts w:ascii="Arial" w:hAnsi="Arial" w:cs="Arial"/>
          <w:sz w:val="24"/>
          <w:szCs w:val="24"/>
        </w:rPr>
      </w:pPr>
    </w:p>
    <w:p w14:paraId="1D3E4C93"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1.3 Benchmarking and Comparative Analysis</w:t>
      </w:r>
    </w:p>
    <w:p w14:paraId="4A30BC16" w14:textId="1C666A61" w:rsidR="004E3D81" w:rsidRPr="00E03512" w:rsidRDefault="001D0521" w:rsidP="00E03512">
      <w:pPr>
        <w:spacing w:line="360" w:lineRule="auto"/>
        <w:jc w:val="both"/>
        <w:rPr>
          <w:rFonts w:ascii="Arial" w:hAnsi="Arial" w:cs="Arial"/>
          <w:sz w:val="24"/>
          <w:szCs w:val="24"/>
        </w:rPr>
      </w:pPr>
      <w:r w:rsidRPr="001D0521">
        <w:rPr>
          <w:rFonts w:ascii="Arial" w:hAnsi="Arial" w:cs="Arial"/>
          <w:sz w:val="24"/>
          <w:szCs w:val="24"/>
        </w:rPr>
        <w:t>Benchmarking against industry standards, such as RevPAR and ADR, reveals performance gaps that can guide improvement. Kimes (2022) emphasizes that benchmarking is essential for identifying areas for strategic improvement. For instance, if The City Hotel’s ADR is below industry averages, it may need to revisit its pricing strategy or consider bundling services (e.g., dining and accommodation packages) to enhance perceived value and justify higher rates.</w:t>
      </w:r>
    </w:p>
    <w:p w14:paraId="2C676A57" w14:textId="77777777" w:rsidR="00CD32D0" w:rsidRPr="00E03512" w:rsidRDefault="00CD32D0" w:rsidP="00E03512">
      <w:pPr>
        <w:pStyle w:val="Heading1"/>
        <w:spacing w:line="360" w:lineRule="auto"/>
        <w:jc w:val="both"/>
        <w:rPr>
          <w:rFonts w:ascii="Arial" w:hAnsi="Arial" w:cs="Arial"/>
          <w:sz w:val="24"/>
          <w:szCs w:val="24"/>
        </w:rPr>
      </w:pPr>
      <w:r w:rsidRPr="00E03512">
        <w:rPr>
          <w:rFonts w:ascii="Arial" w:hAnsi="Arial" w:cs="Arial"/>
          <w:sz w:val="24"/>
          <w:szCs w:val="24"/>
        </w:rPr>
        <w:t>2. Reasons for Decline in Profitability</w:t>
      </w:r>
    </w:p>
    <w:p w14:paraId="166749F3" w14:textId="77777777" w:rsidR="00CD32D0" w:rsidRPr="00E03512" w:rsidRDefault="00CD32D0" w:rsidP="00E03512">
      <w:pPr>
        <w:pStyle w:val="Heading2"/>
        <w:spacing w:line="360" w:lineRule="auto"/>
        <w:jc w:val="both"/>
        <w:rPr>
          <w:rFonts w:ascii="Arial" w:hAnsi="Arial" w:cs="Arial"/>
          <w:sz w:val="24"/>
          <w:szCs w:val="24"/>
        </w:rPr>
      </w:pPr>
      <w:r w:rsidRPr="00E03512">
        <w:rPr>
          <w:rFonts w:ascii="Arial" w:hAnsi="Arial" w:cs="Arial"/>
          <w:sz w:val="24"/>
          <w:szCs w:val="24"/>
        </w:rPr>
        <w:t>2.1 Economic Factors and External Challenges</w:t>
      </w:r>
    </w:p>
    <w:p w14:paraId="3E389F4E" w14:textId="77777777" w:rsidR="00EF5AD3" w:rsidRPr="00EF5AD3" w:rsidRDefault="00EF5AD3" w:rsidP="00EF5AD3">
      <w:pPr>
        <w:spacing w:line="360" w:lineRule="auto"/>
        <w:jc w:val="both"/>
        <w:rPr>
          <w:rFonts w:ascii="Arial" w:hAnsi="Arial" w:cs="Arial"/>
          <w:sz w:val="24"/>
          <w:szCs w:val="24"/>
        </w:rPr>
      </w:pPr>
      <w:r w:rsidRPr="00EF5AD3">
        <w:rPr>
          <w:rFonts w:ascii="Arial" w:hAnsi="Arial" w:cs="Arial"/>
          <w:sz w:val="24"/>
          <w:szCs w:val="24"/>
        </w:rPr>
        <w:t>The hospitality sector has been significantly impacted by global events, most notably the COVID-19 pandemic, which led to a dramatic decline in both leisure and business travel, reducing occupancy rates and revenues worldwide (Gursoy and Chi, 2020). Travel restrictions, lockdowns, and public health concerns severely disrupted operations, causing long-term impacts on the industry. Additionally, inflation and rising energy costs have further compounded financial pressures for hotels. Increased utility bills, food prices, and wages have created a challenging environment for revenue growth, as hotels are forced to raise prices to cover these costs, potentially driving away price-sensitive customers (Nguyen and Lee, 2022).</w:t>
      </w:r>
    </w:p>
    <w:p w14:paraId="1D444396" w14:textId="77777777" w:rsidR="00EF5AD3" w:rsidRPr="00EF5AD3" w:rsidRDefault="00EF5AD3" w:rsidP="00EF5AD3">
      <w:pPr>
        <w:spacing w:line="360" w:lineRule="auto"/>
        <w:jc w:val="both"/>
        <w:rPr>
          <w:rFonts w:ascii="Arial" w:hAnsi="Arial" w:cs="Arial"/>
          <w:sz w:val="24"/>
          <w:szCs w:val="24"/>
        </w:rPr>
      </w:pPr>
    </w:p>
    <w:p w14:paraId="1B3A3E59" w14:textId="5EE19992" w:rsidR="00CD32D0" w:rsidRPr="00E03512" w:rsidRDefault="00EF5AD3" w:rsidP="00EF5AD3">
      <w:pPr>
        <w:spacing w:line="360" w:lineRule="auto"/>
        <w:jc w:val="both"/>
        <w:rPr>
          <w:rFonts w:ascii="Arial" w:hAnsi="Arial" w:cs="Arial"/>
          <w:sz w:val="24"/>
          <w:szCs w:val="24"/>
        </w:rPr>
      </w:pPr>
      <w:r w:rsidRPr="00EF5AD3">
        <w:rPr>
          <w:rFonts w:ascii="Arial" w:hAnsi="Arial" w:cs="Arial"/>
          <w:sz w:val="24"/>
          <w:szCs w:val="24"/>
        </w:rPr>
        <w:t>In The City Hotel’s urban context, the rise of short-term rental platforms like Airbnb has likely intensified competition, pushing room rates down and affecting occupancy. Unlike hotels, short-term rentals often operate with more pricing flexibility and fewer regulatory constraints, allowing them to attract guests with competitive rates. This shift in the market has been particularly impactful in urban areas, where younger travellers seek authentic, cost-effective experiences (Guttentag, 2015). Consequently, The City Hotel may need to adjust its pricing and diversify its offerings to compete more effectively against these alternative accommodations, which are increasingly drawing a substantial portion of the travel market.</w:t>
      </w:r>
    </w:p>
    <w:p w14:paraId="2476ACE2" w14:textId="77777777" w:rsidR="00CD32D0" w:rsidRPr="00E03512" w:rsidRDefault="00CD32D0" w:rsidP="00E03512">
      <w:pPr>
        <w:pStyle w:val="Heading2"/>
        <w:spacing w:line="360" w:lineRule="auto"/>
        <w:jc w:val="both"/>
        <w:rPr>
          <w:rFonts w:ascii="Arial" w:hAnsi="Arial" w:cs="Arial"/>
          <w:sz w:val="24"/>
          <w:szCs w:val="24"/>
        </w:rPr>
      </w:pPr>
      <w:r w:rsidRPr="00E03512">
        <w:rPr>
          <w:rFonts w:ascii="Arial" w:hAnsi="Arial" w:cs="Arial"/>
          <w:sz w:val="24"/>
          <w:szCs w:val="24"/>
        </w:rPr>
        <w:lastRenderedPageBreak/>
        <w:t>2.2 Internal Operational Inefficiencies</w:t>
      </w:r>
    </w:p>
    <w:p w14:paraId="554CA562" w14:textId="77777777" w:rsidR="00EF5AD3" w:rsidRPr="00EF5AD3" w:rsidRDefault="00EF5AD3" w:rsidP="00EF5AD3">
      <w:pPr>
        <w:pStyle w:val="Heading2"/>
        <w:spacing w:line="360" w:lineRule="auto"/>
        <w:jc w:val="both"/>
        <w:rPr>
          <w:rFonts w:ascii="Arial" w:eastAsiaTheme="minorHAnsi" w:hAnsi="Arial" w:cs="Arial"/>
          <w:color w:val="auto"/>
          <w:sz w:val="24"/>
          <w:szCs w:val="24"/>
        </w:rPr>
      </w:pPr>
      <w:r w:rsidRPr="00EF5AD3">
        <w:rPr>
          <w:rFonts w:ascii="Arial" w:eastAsiaTheme="minorHAnsi" w:hAnsi="Arial" w:cs="Arial"/>
          <w:color w:val="auto"/>
          <w:sz w:val="24"/>
          <w:szCs w:val="24"/>
        </w:rPr>
        <w:t>High employee and external costs at The City Hotel indicate operational inefficiencies, which are common in hospitality businesses that have not optimized workflows or resource allocation. Aghazadeh (2020) emphasizes that hotels facing rising costs often suffer from inefficient processes or an overreliance on expensive suppliers. By adopting lean management principles focused on eliminating non-value-adding activities, The City Hotel could reduce operational waste and increase cost efficiency (Taylor and Francis, 2019).</w:t>
      </w:r>
    </w:p>
    <w:p w14:paraId="787190EA" w14:textId="77777777" w:rsidR="00EF5AD3" w:rsidRPr="00EF5AD3" w:rsidRDefault="00EF5AD3" w:rsidP="00EF5AD3">
      <w:pPr>
        <w:pStyle w:val="Heading2"/>
        <w:spacing w:line="360" w:lineRule="auto"/>
        <w:jc w:val="both"/>
        <w:rPr>
          <w:rFonts w:ascii="Arial" w:eastAsiaTheme="minorHAnsi" w:hAnsi="Arial" w:cs="Arial"/>
          <w:color w:val="auto"/>
          <w:sz w:val="24"/>
          <w:szCs w:val="24"/>
        </w:rPr>
      </w:pPr>
    </w:p>
    <w:p w14:paraId="6CA3A460" w14:textId="77777777" w:rsidR="00EF5AD3" w:rsidRDefault="00EF5AD3" w:rsidP="00EF5AD3">
      <w:pPr>
        <w:pStyle w:val="Heading2"/>
        <w:spacing w:line="360" w:lineRule="auto"/>
        <w:jc w:val="both"/>
        <w:rPr>
          <w:rFonts w:ascii="Arial" w:eastAsiaTheme="minorHAnsi" w:hAnsi="Arial" w:cs="Arial"/>
          <w:color w:val="auto"/>
          <w:sz w:val="24"/>
          <w:szCs w:val="24"/>
        </w:rPr>
      </w:pPr>
      <w:r w:rsidRPr="00EF5AD3">
        <w:rPr>
          <w:rFonts w:ascii="Arial" w:eastAsiaTheme="minorHAnsi" w:hAnsi="Arial" w:cs="Arial"/>
          <w:color w:val="auto"/>
          <w:sz w:val="24"/>
          <w:szCs w:val="24"/>
        </w:rPr>
        <w:t>Labor expenses are among the most substantial costs for hotels, making effective scheduling and staffing strategies essential. Baum and Mooney (2019) suggest that data-driven workforce management tools can help align staffing with demand, thereby minimizing idle time and reducing unnecessary labour costs. Additionally, cross-training employees to handle multiple roles can improve workforce flexibility, allowing The City Hotel to adapt to fluctuating occupancy rates while minimizing reliance on temporary staff. This approach can help the hotel optimize its labour costs and enhance service consistency, especially during peak seasons.</w:t>
      </w:r>
    </w:p>
    <w:p w14:paraId="7C9813C5" w14:textId="77777777" w:rsidR="00EF5AD3" w:rsidRPr="00EF5AD3" w:rsidRDefault="00EF5AD3" w:rsidP="00EF5AD3"/>
    <w:p w14:paraId="0086FAA2" w14:textId="782633F1" w:rsidR="004E3D81" w:rsidRPr="00E03512" w:rsidRDefault="004E3D81" w:rsidP="00EF5AD3">
      <w:pPr>
        <w:pStyle w:val="Heading2"/>
        <w:spacing w:line="360" w:lineRule="auto"/>
        <w:jc w:val="both"/>
        <w:rPr>
          <w:rFonts w:ascii="Arial" w:hAnsi="Arial" w:cs="Arial"/>
          <w:sz w:val="24"/>
          <w:szCs w:val="24"/>
        </w:rPr>
      </w:pPr>
      <w:r w:rsidRPr="00E03512">
        <w:rPr>
          <w:rFonts w:ascii="Arial" w:hAnsi="Arial" w:cs="Arial"/>
          <w:sz w:val="24"/>
          <w:szCs w:val="24"/>
        </w:rPr>
        <w:t>2.3 Shifts in Customer Preferences</w:t>
      </w:r>
    </w:p>
    <w:p w14:paraId="514567E3" w14:textId="77777777" w:rsidR="00EF5AD3" w:rsidRPr="00EF5AD3" w:rsidRDefault="00EF5AD3" w:rsidP="00EF5AD3">
      <w:pPr>
        <w:spacing w:line="360" w:lineRule="auto"/>
        <w:jc w:val="both"/>
        <w:rPr>
          <w:rFonts w:ascii="Arial" w:hAnsi="Arial" w:cs="Arial"/>
          <w:sz w:val="24"/>
          <w:szCs w:val="24"/>
        </w:rPr>
      </w:pPr>
      <w:r w:rsidRPr="00EF5AD3">
        <w:rPr>
          <w:rFonts w:ascii="Arial" w:hAnsi="Arial" w:cs="Arial"/>
          <w:sz w:val="24"/>
          <w:szCs w:val="24"/>
        </w:rPr>
        <w:t>Consumer expectations are shifting, with modern travellers increasingly prioritizing sustainability, digital experiences, and personalized service (Kapoor and Kim, 2021). If The City Hotel has not adapted to these preferences, it risks losing market share. Doh and Guay (2019) suggest that hotels adopting eco-friendly practices and digital amenities are better positioned to attract environmentally conscious travellers. Personalization, as emphasized by Jeong and Oh (2018), can enhance the guest experience, building loyalty and improving word-of-mouth marketing.</w:t>
      </w:r>
    </w:p>
    <w:p w14:paraId="5549DC36" w14:textId="6C3F3E49" w:rsidR="004E3D81" w:rsidRPr="00E03512" w:rsidRDefault="004E3D81" w:rsidP="00E03512">
      <w:pPr>
        <w:spacing w:line="360" w:lineRule="auto"/>
        <w:jc w:val="both"/>
        <w:rPr>
          <w:rFonts w:ascii="Arial" w:hAnsi="Arial" w:cs="Arial"/>
          <w:sz w:val="24"/>
          <w:szCs w:val="24"/>
        </w:rPr>
      </w:pPr>
      <w:r w:rsidRPr="00E03512">
        <w:rPr>
          <w:rFonts w:ascii="Arial" w:hAnsi="Arial" w:cs="Arial"/>
          <w:sz w:val="24"/>
          <w:szCs w:val="24"/>
        </w:rPr>
        <w:t>.</w:t>
      </w:r>
    </w:p>
    <w:p w14:paraId="0D91E8C6" w14:textId="77777777" w:rsidR="004E3D81" w:rsidRPr="00E03512" w:rsidRDefault="004E3D81" w:rsidP="00E03512">
      <w:pPr>
        <w:spacing w:line="360" w:lineRule="auto"/>
        <w:jc w:val="both"/>
        <w:rPr>
          <w:rFonts w:ascii="Arial" w:hAnsi="Arial" w:cs="Arial"/>
          <w:sz w:val="24"/>
          <w:szCs w:val="24"/>
        </w:rPr>
      </w:pPr>
    </w:p>
    <w:p w14:paraId="319BBB1D" w14:textId="77777777" w:rsidR="004E3D81" w:rsidRPr="00E03512" w:rsidRDefault="004E3D81" w:rsidP="00E03512">
      <w:pPr>
        <w:pStyle w:val="Heading1"/>
        <w:spacing w:line="360" w:lineRule="auto"/>
        <w:jc w:val="both"/>
        <w:rPr>
          <w:rFonts w:ascii="Arial" w:hAnsi="Arial" w:cs="Arial"/>
          <w:sz w:val="24"/>
          <w:szCs w:val="24"/>
        </w:rPr>
      </w:pPr>
      <w:r w:rsidRPr="00E03512">
        <w:rPr>
          <w:rFonts w:ascii="Arial" w:hAnsi="Arial" w:cs="Arial"/>
          <w:sz w:val="24"/>
          <w:szCs w:val="24"/>
        </w:rPr>
        <w:lastRenderedPageBreak/>
        <w:t>3. Turnaround Strategy</w:t>
      </w:r>
    </w:p>
    <w:p w14:paraId="3E661071" w14:textId="77777777" w:rsidR="004E3D81" w:rsidRPr="00E03512" w:rsidRDefault="004E3D81" w:rsidP="00E03512">
      <w:pPr>
        <w:spacing w:line="360" w:lineRule="auto"/>
        <w:jc w:val="both"/>
        <w:rPr>
          <w:rFonts w:ascii="Arial" w:hAnsi="Arial" w:cs="Arial"/>
          <w:sz w:val="24"/>
          <w:szCs w:val="24"/>
        </w:rPr>
      </w:pPr>
      <w:r w:rsidRPr="00E03512">
        <w:rPr>
          <w:rFonts w:ascii="Arial" w:hAnsi="Arial" w:cs="Arial"/>
          <w:sz w:val="24"/>
          <w:szCs w:val="24"/>
        </w:rPr>
        <w:t>A multi-faceted turnaround strategy is essential for The City Hotel, targeting revenue enhancement, cost control, customer satisfaction, CSR, and risk management.</w:t>
      </w:r>
    </w:p>
    <w:p w14:paraId="6C918EC6" w14:textId="77777777" w:rsidR="004E3D81" w:rsidRPr="00E03512" w:rsidRDefault="004E3D81" w:rsidP="00E03512">
      <w:pPr>
        <w:spacing w:line="360" w:lineRule="auto"/>
        <w:jc w:val="both"/>
        <w:rPr>
          <w:rFonts w:ascii="Arial" w:hAnsi="Arial" w:cs="Arial"/>
          <w:sz w:val="24"/>
          <w:szCs w:val="24"/>
        </w:rPr>
      </w:pPr>
    </w:p>
    <w:p w14:paraId="271F25F6"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3.1 Revenue Management</w:t>
      </w:r>
    </w:p>
    <w:p w14:paraId="61CE6AAC" w14:textId="77777777" w:rsidR="00EF5AD3" w:rsidRPr="00EF5AD3" w:rsidRDefault="00EF5AD3" w:rsidP="00EF5AD3">
      <w:pPr>
        <w:spacing w:line="360" w:lineRule="auto"/>
        <w:jc w:val="both"/>
        <w:rPr>
          <w:rFonts w:ascii="Arial" w:hAnsi="Arial" w:cs="Arial"/>
          <w:sz w:val="24"/>
          <w:szCs w:val="24"/>
        </w:rPr>
      </w:pPr>
      <w:r w:rsidRPr="00EF5AD3">
        <w:rPr>
          <w:rFonts w:ascii="Arial" w:hAnsi="Arial" w:cs="Arial"/>
          <w:sz w:val="24"/>
          <w:szCs w:val="24"/>
        </w:rPr>
        <w:t xml:space="preserve">To increase revenue, The City Hotel should consider implementing dynamic pricing, which allows room rates to adjust based on demand. Ivanov and </w:t>
      </w:r>
      <w:proofErr w:type="spellStart"/>
      <w:r w:rsidRPr="00EF5AD3">
        <w:rPr>
          <w:rFonts w:ascii="Arial" w:hAnsi="Arial" w:cs="Arial"/>
          <w:sz w:val="24"/>
          <w:szCs w:val="24"/>
        </w:rPr>
        <w:t>Zhechev</w:t>
      </w:r>
      <w:proofErr w:type="spellEnd"/>
      <w:r w:rsidRPr="00EF5AD3">
        <w:rPr>
          <w:rFonts w:ascii="Arial" w:hAnsi="Arial" w:cs="Arial"/>
          <w:sz w:val="24"/>
          <w:szCs w:val="24"/>
        </w:rPr>
        <w:t xml:space="preserve"> (2020) suggest that such pricing strategies can maximize RevPAR by capturing more revenue during high-demand periods. Additionally, targeted marketing strategies can attract specific segments, such as business travellers and weekend tourists. Leveraging digital marketing channels, including social media and search engine advertising, could broaden the hotel's reach and drive direct bookings (Jeong and Oh, 2018).</w:t>
      </w:r>
    </w:p>
    <w:p w14:paraId="46DF43AB" w14:textId="77777777" w:rsidR="00EF5AD3" w:rsidRPr="00EF5AD3" w:rsidRDefault="00EF5AD3" w:rsidP="00EF5AD3">
      <w:pPr>
        <w:spacing w:line="360" w:lineRule="auto"/>
        <w:jc w:val="both"/>
        <w:rPr>
          <w:rFonts w:ascii="Arial" w:hAnsi="Arial" w:cs="Arial"/>
          <w:sz w:val="24"/>
          <w:szCs w:val="24"/>
        </w:rPr>
      </w:pPr>
    </w:p>
    <w:p w14:paraId="70CAB7A8" w14:textId="7E33C245" w:rsidR="004E3D81" w:rsidRDefault="00EF5AD3" w:rsidP="00EF5AD3">
      <w:pPr>
        <w:spacing w:line="360" w:lineRule="auto"/>
        <w:jc w:val="both"/>
        <w:rPr>
          <w:rFonts w:ascii="Arial" w:hAnsi="Arial" w:cs="Arial"/>
          <w:sz w:val="24"/>
          <w:szCs w:val="24"/>
        </w:rPr>
      </w:pPr>
      <w:r w:rsidRPr="00EF5AD3">
        <w:rPr>
          <w:rFonts w:ascii="Arial" w:hAnsi="Arial" w:cs="Arial"/>
          <w:sz w:val="24"/>
          <w:szCs w:val="24"/>
        </w:rPr>
        <w:t>In addition, bundling room rates with exclusive packages, such as dining or local tour discounts, could appeal to different customer segments, enhancing the perceived value and encouraging guests to book directly with the hotel. Research by Kapoor and Kim (2021) indicates that such bundling strategies can lead to higher occupancy rates and increased revenue by appealing to experience-seeking travellers. Marriott International, for example, successfully employs dynamic pricing and bundled packages, which has allowed it to optimize occupancy rates across various seasons and maximize revenue through value-added services.</w:t>
      </w:r>
    </w:p>
    <w:p w14:paraId="7803FA6D" w14:textId="77777777" w:rsidR="00EF5AD3" w:rsidRPr="00E03512" w:rsidRDefault="00EF5AD3" w:rsidP="00EF5AD3">
      <w:pPr>
        <w:spacing w:line="360" w:lineRule="auto"/>
        <w:jc w:val="both"/>
        <w:rPr>
          <w:rFonts w:ascii="Arial" w:hAnsi="Arial" w:cs="Arial"/>
          <w:sz w:val="24"/>
          <w:szCs w:val="24"/>
        </w:rPr>
      </w:pPr>
    </w:p>
    <w:p w14:paraId="2BF48CD0"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3.2 Cost Management and Operational Efficiency</w:t>
      </w:r>
    </w:p>
    <w:p w14:paraId="0A28505B" w14:textId="4E79F94A" w:rsidR="00EF5AD3" w:rsidRPr="00EF5AD3" w:rsidRDefault="00EF5AD3" w:rsidP="00EF5AD3">
      <w:pPr>
        <w:spacing w:line="360" w:lineRule="auto"/>
        <w:jc w:val="both"/>
        <w:rPr>
          <w:rFonts w:ascii="Arial" w:hAnsi="Arial" w:cs="Arial"/>
          <w:sz w:val="24"/>
          <w:szCs w:val="24"/>
        </w:rPr>
      </w:pPr>
      <w:r w:rsidRPr="00EF5AD3">
        <w:rPr>
          <w:rFonts w:ascii="Arial" w:hAnsi="Arial" w:cs="Arial"/>
          <w:sz w:val="24"/>
          <w:szCs w:val="24"/>
        </w:rPr>
        <w:t xml:space="preserve">Cost management is critical for financial recovery. Lean management practices can eliminate waste and enhance efficiency without compromising service quality (Taylor and Francis, 2019). The City Hotel could also conduct an energy audit to identify opportunities for cost reduction, such as upgrading to energy-efficient lighting and HVAC systems. Singh et al. (2020) </w:t>
      </w:r>
      <w:r w:rsidR="00DD4DB5" w:rsidRPr="00EF5AD3">
        <w:rPr>
          <w:rFonts w:ascii="Arial" w:hAnsi="Arial" w:cs="Arial"/>
          <w:sz w:val="24"/>
          <w:szCs w:val="24"/>
        </w:rPr>
        <w:t>recommends</w:t>
      </w:r>
      <w:r w:rsidRPr="00EF5AD3">
        <w:rPr>
          <w:rFonts w:ascii="Arial" w:hAnsi="Arial" w:cs="Arial"/>
          <w:sz w:val="24"/>
          <w:szCs w:val="24"/>
        </w:rPr>
        <w:t xml:space="preserve"> renegotiating contracts with suppliers to secure better rates, which could further reduce operational expenses.</w:t>
      </w:r>
    </w:p>
    <w:p w14:paraId="479F6975" w14:textId="77777777" w:rsidR="00EF5AD3" w:rsidRPr="00EF5AD3" w:rsidRDefault="00EF5AD3" w:rsidP="00EF5AD3">
      <w:pPr>
        <w:spacing w:line="360" w:lineRule="auto"/>
        <w:jc w:val="both"/>
        <w:rPr>
          <w:rFonts w:ascii="Arial" w:hAnsi="Arial" w:cs="Arial"/>
          <w:sz w:val="24"/>
          <w:szCs w:val="24"/>
        </w:rPr>
      </w:pPr>
    </w:p>
    <w:p w14:paraId="419A32D5" w14:textId="499D8DE6" w:rsidR="004E3D81" w:rsidRDefault="00EF5AD3" w:rsidP="00EF5AD3">
      <w:pPr>
        <w:spacing w:line="360" w:lineRule="auto"/>
        <w:jc w:val="both"/>
        <w:rPr>
          <w:rFonts w:ascii="Arial" w:hAnsi="Arial" w:cs="Arial"/>
          <w:sz w:val="24"/>
          <w:szCs w:val="24"/>
        </w:rPr>
      </w:pPr>
      <w:r w:rsidRPr="00EF5AD3">
        <w:rPr>
          <w:rFonts w:ascii="Arial" w:hAnsi="Arial" w:cs="Arial"/>
          <w:sz w:val="24"/>
          <w:szCs w:val="24"/>
        </w:rPr>
        <w:lastRenderedPageBreak/>
        <w:t>Additionally, implementing continuous improvement practices, as suggested by Aghazadeh (2020), would ensure that efficiency gains are sustained. Regularly reviewing KPIs, including labour costs and resource utilization, will enable The City Hotel to identify trends and respond proactively to changes in its cost structure.</w:t>
      </w:r>
    </w:p>
    <w:p w14:paraId="532A6A56" w14:textId="77777777" w:rsidR="00EF5AD3" w:rsidRPr="00E03512" w:rsidRDefault="00EF5AD3" w:rsidP="00EF5AD3">
      <w:pPr>
        <w:spacing w:line="360" w:lineRule="auto"/>
        <w:jc w:val="both"/>
        <w:rPr>
          <w:rFonts w:ascii="Arial" w:hAnsi="Arial" w:cs="Arial"/>
          <w:sz w:val="24"/>
          <w:szCs w:val="24"/>
        </w:rPr>
      </w:pPr>
    </w:p>
    <w:p w14:paraId="539CFFA9"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3.3 Customer Experience Enhancement</w:t>
      </w:r>
    </w:p>
    <w:p w14:paraId="4CC045B8" w14:textId="77777777" w:rsidR="005D3771" w:rsidRPr="005D3771" w:rsidRDefault="005D3771" w:rsidP="005D3771">
      <w:pPr>
        <w:spacing w:line="360" w:lineRule="auto"/>
        <w:jc w:val="both"/>
        <w:rPr>
          <w:rFonts w:ascii="Arial" w:hAnsi="Arial" w:cs="Arial"/>
          <w:sz w:val="24"/>
          <w:szCs w:val="24"/>
        </w:rPr>
      </w:pPr>
      <w:r w:rsidRPr="005D3771">
        <w:rPr>
          <w:rFonts w:ascii="Arial" w:hAnsi="Arial" w:cs="Arial"/>
          <w:sz w:val="24"/>
          <w:szCs w:val="24"/>
        </w:rPr>
        <w:t>Enhancing the guest experience can improve occupancy rates and customer loyalty. Implementing CRM software to track guest preferences and feedback enables personalized services, which is crucial for building long-term relationships (Kim and Lee, 2022). Jeong and Oh (2018) highlight that personalization increases customer satisfaction and fosters loyalty, which can drive repeat business and referrals. By improving amenities, offering flexible check-in options, and customizing guest experiences, The City Hotel can attract a broader clientele and improve its market standing.</w:t>
      </w:r>
    </w:p>
    <w:p w14:paraId="073F821B" w14:textId="77777777" w:rsidR="005D3771" w:rsidRPr="005D3771" w:rsidRDefault="005D3771" w:rsidP="005D3771">
      <w:pPr>
        <w:spacing w:line="360" w:lineRule="auto"/>
        <w:jc w:val="both"/>
        <w:rPr>
          <w:rFonts w:ascii="Arial" w:hAnsi="Arial" w:cs="Arial"/>
          <w:sz w:val="24"/>
          <w:szCs w:val="24"/>
        </w:rPr>
      </w:pPr>
    </w:p>
    <w:p w14:paraId="52399883" w14:textId="2A6F0C9E" w:rsidR="004E3D81" w:rsidRDefault="005D3771" w:rsidP="005D3771">
      <w:pPr>
        <w:spacing w:line="360" w:lineRule="auto"/>
        <w:jc w:val="both"/>
        <w:rPr>
          <w:rFonts w:ascii="Arial" w:hAnsi="Arial" w:cs="Arial"/>
          <w:sz w:val="24"/>
          <w:szCs w:val="24"/>
        </w:rPr>
      </w:pPr>
      <w:r w:rsidRPr="005D3771">
        <w:rPr>
          <w:rFonts w:ascii="Arial" w:hAnsi="Arial" w:cs="Arial"/>
          <w:sz w:val="24"/>
          <w:szCs w:val="24"/>
        </w:rPr>
        <w:t>Offering personalized recommendations and promotions, such as room upgrades or special discounts for repeat guests, can further enhance guest loyalty. By utilizing CRM data effectively, The City Hotel could create tailored marketing campaigns that resonate with specific customer groups, enhancing brand loyalty and encouraging longer stays.</w:t>
      </w:r>
    </w:p>
    <w:p w14:paraId="226EE3FC" w14:textId="77777777" w:rsidR="005D3771" w:rsidRPr="00E03512" w:rsidRDefault="005D3771" w:rsidP="005D3771">
      <w:pPr>
        <w:spacing w:line="360" w:lineRule="auto"/>
        <w:jc w:val="both"/>
        <w:rPr>
          <w:rFonts w:ascii="Arial" w:hAnsi="Arial" w:cs="Arial"/>
          <w:sz w:val="24"/>
          <w:szCs w:val="24"/>
        </w:rPr>
      </w:pPr>
    </w:p>
    <w:p w14:paraId="069CC8F0"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3.4 Corporate Social Responsibility (CSR) Initiatives</w:t>
      </w:r>
    </w:p>
    <w:p w14:paraId="57618003" w14:textId="77777777" w:rsidR="005D3771" w:rsidRPr="005D3771" w:rsidRDefault="005D3771" w:rsidP="005D3771">
      <w:pPr>
        <w:spacing w:line="360" w:lineRule="auto"/>
        <w:jc w:val="both"/>
        <w:rPr>
          <w:rFonts w:ascii="Arial" w:hAnsi="Arial" w:cs="Arial"/>
          <w:sz w:val="24"/>
          <w:szCs w:val="24"/>
        </w:rPr>
      </w:pPr>
      <w:r w:rsidRPr="005D3771">
        <w:rPr>
          <w:rFonts w:ascii="Arial" w:hAnsi="Arial" w:cs="Arial"/>
          <w:sz w:val="24"/>
          <w:szCs w:val="24"/>
        </w:rPr>
        <w:t>Implementing CSR initiatives can improve The City Hotel's reputation and appeal. Doh and Guay (2019) find that sustainable practices, such as reducing plastic usage and conserving water, positively influence customer perception. Community engagement initiatives, such as partnerships with local businesses or charities, can also enhance public perception and differentiate The City Hotel in a competitive market (Henderson, 2020). CSR initiatives align the hotel with consumer values, potentially increasing guest satisfaction and loyalty.</w:t>
      </w:r>
    </w:p>
    <w:p w14:paraId="5278D2FF" w14:textId="77777777" w:rsidR="005D3771" w:rsidRPr="005D3771" w:rsidRDefault="005D3771" w:rsidP="005D3771">
      <w:pPr>
        <w:spacing w:line="360" w:lineRule="auto"/>
        <w:jc w:val="both"/>
        <w:rPr>
          <w:rFonts w:ascii="Arial" w:hAnsi="Arial" w:cs="Arial"/>
          <w:sz w:val="24"/>
          <w:szCs w:val="24"/>
        </w:rPr>
      </w:pPr>
    </w:p>
    <w:p w14:paraId="75858067" w14:textId="00436DA9" w:rsidR="004E3D81" w:rsidRDefault="005D3771" w:rsidP="005D3771">
      <w:pPr>
        <w:spacing w:line="360" w:lineRule="auto"/>
        <w:jc w:val="both"/>
        <w:rPr>
          <w:rFonts w:ascii="Arial" w:hAnsi="Arial" w:cs="Arial"/>
          <w:sz w:val="24"/>
          <w:szCs w:val="24"/>
        </w:rPr>
      </w:pPr>
      <w:r w:rsidRPr="005D3771">
        <w:rPr>
          <w:rFonts w:ascii="Arial" w:hAnsi="Arial" w:cs="Arial"/>
          <w:sz w:val="24"/>
          <w:szCs w:val="24"/>
        </w:rPr>
        <w:lastRenderedPageBreak/>
        <w:t>Furthermore, promoting these CSR efforts through social media and the hotel's website can raise awareness among prospective guests who prioritize sustainability, creating a positive brand image. Building a reputation as an eco-conscious hotel can give The City Hotel a competitive edge in attracting environmentally aware travellers, boosting occupancy rates and guest satisfaction. Partnerships with local environmental organizations, such as tree-planting initiatives or waste reduction collaborations, could also amplify the hotel’s CSR commitment, fostering community goodwill and attracting socially conscious guests.</w:t>
      </w:r>
    </w:p>
    <w:p w14:paraId="6DF28CAC" w14:textId="77777777" w:rsidR="005D3771" w:rsidRPr="00E03512" w:rsidRDefault="005D3771" w:rsidP="005D3771">
      <w:pPr>
        <w:spacing w:line="360" w:lineRule="auto"/>
        <w:jc w:val="both"/>
        <w:rPr>
          <w:rFonts w:ascii="Arial" w:hAnsi="Arial" w:cs="Arial"/>
          <w:sz w:val="24"/>
          <w:szCs w:val="24"/>
        </w:rPr>
      </w:pPr>
    </w:p>
    <w:p w14:paraId="1D9BDBFE" w14:textId="77777777" w:rsidR="004E3D81" w:rsidRPr="00E03512" w:rsidRDefault="004E3D81" w:rsidP="00E03512">
      <w:pPr>
        <w:pStyle w:val="Heading2"/>
        <w:spacing w:line="360" w:lineRule="auto"/>
        <w:jc w:val="both"/>
        <w:rPr>
          <w:rFonts w:ascii="Arial" w:hAnsi="Arial" w:cs="Arial"/>
          <w:sz w:val="24"/>
          <w:szCs w:val="24"/>
        </w:rPr>
      </w:pPr>
      <w:r w:rsidRPr="00E03512">
        <w:rPr>
          <w:rFonts w:ascii="Arial" w:hAnsi="Arial" w:cs="Arial"/>
          <w:sz w:val="24"/>
          <w:szCs w:val="24"/>
        </w:rPr>
        <w:t>3.5 Risk Management</w:t>
      </w:r>
    </w:p>
    <w:p w14:paraId="693BD1BC" w14:textId="77777777" w:rsidR="005D3771" w:rsidRPr="005D3771" w:rsidRDefault="005D3771" w:rsidP="005D3771">
      <w:pPr>
        <w:spacing w:line="360" w:lineRule="auto"/>
        <w:jc w:val="both"/>
        <w:rPr>
          <w:rFonts w:ascii="Arial" w:hAnsi="Arial" w:cs="Arial"/>
          <w:sz w:val="24"/>
          <w:szCs w:val="24"/>
        </w:rPr>
      </w:pPr>
      <w:r w:rsidRPr="005D3771">
        <w:rPr>
          <w:rFonts w:ascii="Arial" w:hAnsi="Arial" w:cs="Arial"/>
          <w:sz w:val="24"/>
          <w:szCs w:val="24"/>
        </w:rPr>
        <w:t>Risk management is essential to protect against financial and operational setbacks. Knight (2021) advises a proactive approach to risk, including regular assessments and diversification of revenue streams. Insurance for key assets and alternative revenue options, such as event hosting and catering, could help stabilize revenue. Regular risk evaluations will enable The City Hotel to anticipate and respond to emerging challenges, reducing the likelihood of financial distress.</w:t>
      </w:r>
    </w:p>
    <w:p w14:paraId="36E9F8AE" w14:textId="77777777" w:rsidR="005D3771" w:rsidRPr="005D3771" w:rsidRDefault="005D3771" w:rsidP="005D3771">
      <w:pPr>
        <w:spacing w:line="360" w:lineRule="auto"/>
        <w:jc w:val="both"/>
        <w:rPr>
          <w:rFonts w:ascii="Arial" w:hAnsi="Arial" w:cs="Arial"/>
          <w:sz w:val="24"/>
          <w:szCs w:val="24"/>
        </w:rPr>
      </w:pPr>
    </w:p>
    <w:p w14:paraId="701BCE08" w14:textId="48F60DD1" w:rsidR="004E3D81" w:rsidRPr="00E03512" w:rsidRDefault="005D3771" w:rsidP="005D3771">
      <w:pPr>
        <w:spacing w:line="360" w:lineRule="auto"/>
        <w:jc w:val="both"/>
        <w:rPr>
          <w:rFonts w:ascii="Arial" w:hAnsi="Arial" w:cs="Arial"/>
          <w:sz w:val="24"/>
          <w:szCs w:val="24"/>
        </w:rPr>
      </w:pPr>
      <w:r w:rsidRPr="005D3771">
        <w:rPr>
          <w:rFonts w:ascii="Arial" w:hAnsi="Arial" w:cs="Arial"/>
          <w:sz w:val="24"/>
          <w:szCs w:val="24"/>
        </w:rPr>
        <w:t>To enhance resilience, The City Hotel could also consider developing contingency plans for unexpected events, such as economic downturns or natural disasters. Establishing reserve funds and securing flexible credit lines would provide financial cushioning, enabling the hotel to maintain operations during periods of reduced revenue. By forming a risk management committee that meets periodically to assess and manage risks, The City Hotel can stay ahead of potential issues and remain agile in a changing environment.</w:t>
      </w:r>
    </w:p>
    <w:p w14:paraId="75BBED15" w14:textId="77777777" w:rsidR="004E3D81" w:rsidRPr="00E03512" w:rsidRDefault="004E3D81" w:rsidP="00E03512">
      <w:pPr>
        <w:pStyle w:val="Heading1"/>
        <w:spacing w:line="360" w:lineRule="auto"/>
        <w:jc w:val="both"/>
        <w:rPr>
          <w:rFonts w:ascii="Arial" w:hAnsi="Arial" w:cs="Arial"/>
          <w:sz w:val="24"/>
          <w:szCs w:val="24"/>
        </w:rPr>
      </w:pPr>
      <w:r w:rsidRPr="00E03512">
        <w:rPr>
          <w:rFonts w:ascii="Arial" w:hAnsi="Arial" w:cs="Arial"/>
          <w:sz w:val="24"/>
          <w:szCs w:val="24"/>
        </w:rPr>
        <w:t>4. Conclusion</w:t>
      </w:r>
    </w:p>
    <w:p w14:paraId="45833949" w14:textId="77777777" w:rsidR="004E3D81" w:rsidRPr="00E03512" w:rsidRDefault="004E3D81" w:rsidP="00E03512">
      <w:pPr>
        <w:spacing w:line="360" w:lineRule="auto"/>
        <w:jc w:val="both"/>
        <w:rPr>
          <w:rFonts w:ascii="Arial" w:hAnsi="Arial" w:cs="Arial"/>
          <w:sz w:val="24"/>
          <w:szCs w:val="24"/>
        </w:rPr>
      </w:pPr>
      <w:r w:rsidRPr="00E03512">
        <w:rPr>
          <w:rFonts w:ascii="Arial" w:hAnsi="Arial" w:cs="Arial"/>
          <w:sz w:val="24"/>
          <w:szCs w:val="24"/>
        </w:rPr>
        <w:t xml:space="preserve">In conclusion, The City Hotel faces considerable challenges, including declining revenue, high operational costs, and evolving consumer expectations. However, by implementing a well-rounded turnaround strategy focused on revenue management, cost efficiency, customer satisfaction, CSR, and risk management, the hotel can regain financial stability and rebuild its reputation. A proactive approach to these strategies, </w:t>
      </w:r>
      <w:r w:rsidRPr="00E03512">
        <w:rPr>
          <w:rFonts w:ascii="Arial" w:hAnsi="Arial" w:cs="Arial"/>
          <w:sz w:val="24"/>
          <w:szCs w:val="24"/>
        </w:rPr>
        <w:lastRenderedPageBreak/>
        <w:t>underpinned by continuous performance monitoring, can improve operational resilience and align the hotel with current market trends.</w:t>
      </w:r>
    </w:p>
    <w:p w14:paraId="56398CB2" w14:textId="77777777" w:rsidR="004E3D81" w:rsidRPr="00E03512" w:rsidRDefault="004E3D81" w:rsidP="00E03512">
      <w:pPr>
        <w:spacing w:line="360" w:lineRule="auto"/>
        <w:jc w:val="both"/>
        <w:rPr>
          <w:rFonts w:ascii="Arial" w:hAnsi="Arial" w:cs="Arial"/>
          <w:sz w:val="24"/>
          <w:szCs w:val="24"/>
        </w:rPr>
      </w:pPr>
    </w:p>
    <w:p w14:paraId="5F8A9014" w14:textId="78D76712" w:rsidR="00662D64" w:rsidRPr="00E03512" w:rsidRDefault="004E3D81" w:rsidP="00E03512">
      <w:pPr>
        <w:spacing w:line="360" w:lineRule="auto"/>
        <w:jc w:val="both"/>
        <w:rPr>
          <w:rFonts w:ascii="Arial" w:hAnsi="Arial" w:cs="Arial"/>
          <w:sz w:val="24"/>
          <w:szCs w:val="24"/>
        </w:rPr>
      </w:pPr>
      <w:r w:rsidRPr="00E03512">
        <w:rPr>
          <w:rFonts w:ascii="Arial" w:hAnsi="Arial" w:cs="Arial"/>
          <w:sz w:val="24"/>
          <w:szCs w:val="24"/>
        </w:rPr>
        <w:t>This turnaround plan not only addresses immediate financial issues but also positions The City Hotel for sustainable, long-term success. By embracing innovative solutions, adopting eco-friendly practices, and prioritizing customer-centric improvements, The City Hotel can strengthen its market position, improve guest loyalty, and drive growth in an increasingly competitive hospitality landscape. Through strategic adjustments and effective implementation, the hotel has the potential to achieve a successful recovery and solidify its standing as a respected urban hospitality provider. The hotel’s success in navigating this challenging period can also have a broader economic impact, supporting local employment and partnerships, thereby contributing positively to the regional economy.</w:t>
      </w:r>
    </w:p>
    <w:p w14:paraId="392EFB36" w14:textId="77777777" w:rsidR="00CD32D0" w:rsidRPr="00E03512" w:rsidRDefault="00CD32D0" w:rsidP="0043066D">
      <w:pPr>
        <w:spacing w:line="360" w:lineRule="auto"/>
        <w:jc w:val="both"/>
        <w:rPr>
          <w:rFonts w:ascii="Arial" w:hAnsi="Arial" w:cs="Arial"/>
          <w:sz w:val="24"/>
          <w:szCs w:val="24"/>
        </w:rPr>
      </w:pPr>
    </w:p>
    <w:p w14:paraId="668FA73C" w14:textId="77777777" w:rsidR="00CD32D0" w:rsidRPr="00E03512" w:rsidRDefault="00CD32D0" w:rsidP="0043066D">
      <w:pPr>
        <w:spacing w:line="360" w:lineRule="auto"/>
        <w:jc w:val="both"/>
        <w:rPr>
          <w:rFonts w:ascii="Arial" w:hAnsi="Arial" w:cs="Arial"/>
          <w:sz w:val="24"/>
          <w:szCs w:val="24"/>
        </w:rPr>
      </w:pPr>
    </w:p>
    <w:p w14:paraId="62E4A167" w14:textId="77777777" w:rsidR="00CD32D0" w:rsidRDefault="00CD32D0" w:rsidP="0043066D">
      <w:pPr>
        <w:spacing w:line="360" w:lineRule="auto"/>
        <w:jc w:val="both"/>
        <w:rPr>
          <w:rFonts w:ascii="Arial" w:hAnsi="Arial" w:cs="Arial"/>
          <w:sz w:val="24"/>
          <w:szCs w:val="24"/>
        </w:rPr>
      </w:pPr>
    </w:p>
    <w:p w14:paraId="5C4F6C41" w14:textId="77777777" w:rsidR="00E03512" w:rsidRDefault="00E03512" w:rsidP="0043066D">
      <w:pPr>
        <w:spacing w:line="360" w:lineRule="auto"/>
        <w:jc w:val="both"/>
        <w:rPr>
          <w:rFonts w:ascii="Arial" w:hAnsi="Arial" w:cs="Arial"/>
          <w:sz w:val="24"/>
          <w:szCs w:val="24"/>
        </w:rPr>
      </w:pPr>
    </w:p>
    <w:p w14:paraId="00F3F6DD" w14:textId="77777777" w:rsidR="00E03512" w:rsidRPr="0043066D" w:rsidRDefault="00E03512" w:rsidP="0043066D">
      <w:pPr>
        <w:spacing w:line="360" w:lineRule="auto"/>
        <w:jc w:val="both"/>
        <w:rPr>
          <w:rFonts w:ascii="Arial" w:hAnsi="Arial" w:cs="Arial"/>
          <w:sz w:val="24"/>
          <w:szCs w:val="24"/>
        </w:rPr>
      </w:pPr>
    </w:p>
    <w:p w14:paraId="3BC587C5" w14:textId="77777777" w:rsidR="00CD32D0" w:rsidRPr="0043066D" w:rsidRDefault="00CD32D0" w:rsidP="0043066D">
      <w:pPr>
        <w:spacing w:line="360" w:lineRule="auto"/>
        <w:jc w:val="both"/>
        <w:rPr>
          <w:rFonts w:ascii="Arial" w:hAnsi="Arial" w:cs="Arial"/>
          <w:sz w:val="24"/>
          <w:szCs w:val="24"/>
        </w:rPr>
      </w:pPr>
    </w:p>
    <w:p w14:paraId="40D298A4" w14:textId="77777777" w:rsidR="00CD32D0" w:rsidRPr="0043066D" w:rsidRDefault="00CD32D0" w:rsidP="0043066D">
      <w:pPr>
        <w:spacing w:line="360" w:lineRule="auto"/>
        <w:jc w:val="both"/>
        <w:rPr>
          <w:rFonts w:ascii="Arial" w:hAnsi="Arial" w:cs="Arial"/>
          <w:sz w:val="24"/>
          <w:szCs w:val="24"/>
        </w:rPr>
      </w:pPr>
    </w:p>
    <w:p w14:paraId="4D9749FE" w14:textId="77777777" w:rsidR="00CD32D0" w:rsidRPr="0043066D" w:rsidRDefault="00CD32D0" w:rsidP="0043066D">
      <w:pPr>
        <w:spacing w:line="360" w:lineRule="auto"/>
        <w:jc w:val="both"/>
        <w:rPr>
          <w:rFonts w:ascii="Arial" w:hAnsi="Arial" w:cs="Arial"/>
          <w:sz w:val="24"/>
          <w:szCs w:val="24"/>
        </w:rPr>
      </w:pPr>
    </w:p>
    <w:p w14:paraId="1D3ED120" w14:textId="77777777" w:rsidR="00CD32D0" w:rsidRPr="0043066D" w:rsidRDefault="00CD32D0" w:rsidP="0043066D">
      <w:pPr>
        <w:spacing w:line="360" w:lineRule="auto"/>
        <w:jc w:val="both"/>
        <w:rPr>
          <w:rFonts w:ascii="Arial" w:hAnsi="Arial" w:cs="Arial"/>
          <w:sz w:val="24"/>
          <w:szCs w:val="24"/>
        </w:rPr>
      </w:pPr>
    </w:p>
    <w:p w14:paraId="51F2CFF1" w14:textId="77777777" w:rsidR="00CD32D0" w:rsidRDefault="00CD32D0" w:rsidP="0043066D">
      <w:pPr>
        <w:spacing w:line="360" w:lineRule="auto"/>
        <w:jc w:val="both"/>
        <w:rPr>
          <w:rFonts w:ascii="Arial" w:hAnsi="Arial" w:cs="Arial"/>
          <w:sz w:val="24"/>
          <w:szCs w:val="24"/>
        </w:rPr>
      </w:pPr>
    </w:p>
    <w:p w14:paraId="2AAE7D62" w14:textId="77777777" w:rsidR="00547CAA" w:rsidRPr="0043066D" w:rsidRDefault="00547CAA" w:rsidP="0043066D">
      <w:pPr>
        <w:spacing w:line="360" w:lineRule="auto"/>
        <w:jc w:val="both"/>
        <w:rPr>
          <w:rFonts w:ascii="Arial" w:hAnsi="Arial" w:cs="Arial"/>
          <w:sz w:val="24"/>
          <w:szCs w:val="24"/>
        </w:rPr>
      </w:pPr>
    </w:p>
    <w:p w14:paraId="19B729CD" w14:textId="491700D0" w:rsidR="00CD32D0" w:rsidRPr="00547CAA" w:rsidRDefault="00AB30FD" w:rsidP="00AB30FD">
      <w:pPr>
        <w:pStyle w:val="Heading1"/>
        <w:rPr>
          <w:b/>
          <w:bCs/>
          <w:sz w:val="24"/>
          <w:szCs w:val="24"/>
        </w:rPr>
      </w:pPr>
      <w:r w:rsidRPr="00547CAA">
        <w:rPr>
          <w:rFonts w:ascii="Arial" w:hAnsi="Arial" w:cs="Arial"/>
          <w:b/>
          <w:bCs/>
          <w:sz w:val="24"/>
          <w:szCs w:val="24"/>
        </w:rPr>
        <w:lastRenderedPageBreak/>
        <w:t xml:space="preserve">5. </w:t>
      </w:r>
      <w:r w:rsidR="00CD32D0" w:rsidRPr="00547CAA">
        <w:rPr>
          <w:rFonts w:ascii="Arial" w:hAnsi="Arial" w:cs="Arial"/>
          <w:b/>
          <w:bCs/>
          <w:sz w:val="24"/>
          <w:szCs w:val="24"/>
        </w:rPr>
        <w:t>References</w:t>
      </w:r>
    </w:p>
    <w:p w14:paraId="2BA5E99B" w14:textId="4E9CC17A" w:rsidR="001D0521" w:rsidRPr="00547CAA" w:rsidRDefault="001D0521" w:rsidP="00547CAA">
      <w:pPr>
        <w:pStyle w:val="NormalWeb"/>
        <w:numPr>
          <w:ilvl w:val="0"/>
          <w:numId w:val="3"/>
        </w:numPr>
        <w:spacing w:line="360" w:lineRule="auto"/>
        <w:jc w:val="both"/>
        <w:rPr>
          <w:rFonts w:ascii="Arial" w:hAnsi="Arial" w:cs="Arial"/>
        </w:rPr>
      </w:pPr>
      <w:r w:rsidRPr="00547CAA">
        <w:rPr>
          <w:rFonts w:ascii="Arial" w:hAnsi="Arial" w:cs="Arial"/>
        </w:rPr>
        <w:t xml:space="preserve">Enz, C.A. (2019) ‘Strategies for the recovery and revitalization of hotel revenues’, Cornell Hospitality Quarterly, 60(3), pp. 226–236. Available at: https://journals.sagepub.com/home/cqx (Accessed: </w:t>
      </w:r>
      <w:bookmarkStart w:id="1" w:name="_Hlk182472781"/>
      <w:r w:rsidR="00547CAA" w:rsidRPr="00547CAA">
        <w:rPr>
          <w:rFonts w:ascii="Arial" w:hAnsi="Arial" w:cs="Arial"/>
        </w:rPr>
        <w:t>27</w:t>
      </w:r>
      <w:r w:rsidRPr="00547CAA">
        <w:rPr>
          <w:rFonts w:ascii="Arial" w:hAnsi="Arial" w:cs="Arial"/>
        </w:rPr>
        <w:t xml:space="preserve"> </w:t>
      </w:r>
      <w:r w:rsidR="00547CAA" w:rsidRPr="00547CAA">
        <w:rPr>
          <w:rFonts w:ascii="Arial" w:hAnsi="Arial" w:cs="Arial"/>
        </w:rPr>
        <w:t>October</w:t>
      </w:r>
      <w:r w:rsidRPr="00547CAA">
        <w:rPr>
          <w:rFonts w:ascii="Arial" w:hAnsi="Arial" w:cs="Arial"/>
        </w:rPr>
        <w:t xml:space="preserve"> </w:t>
      </w:r>
      <w:bookmarkEnd w:id="1"/>
      <w:r w:rsidRPr="00547CAA">
        <w:rPr>
          <w:rFonts w:ascii="Arial" w:hAnsi="Arial" w:cs="Arial"/>
        </w:rPr>
        <w:t>2024).</w:t>
      </w:r>
    </w:p>
    <w:p w14:paraId="68AB984A" w14:textId="07A435EE" w:rsidR="001D0521" w:rsidRPr="00547CAA" w:rsidRDefault="001D0521" w:rsidP="00547CAA">
      <w:pPr>
        <w:pStyle w:val="NormalWeb"/>
        <w:numPr>
          <w:ilvl w:val="0"/>
          <w:numId w:val="3"/>
        </w:numPr>
        <w:spacing w:line="360" w:lineRule="auto"/>
        <w:jc w:val="both"/>
        <w:rPr>
          <w:rFonts w:ascii="Arial" w:hAnsi="Arial" w:cs="Arial"/>
        </w:rPr>
      </w:pPr>
      <w:proofErr w:type="spellStart"/>
      <w:r w:rsidRPr="00547CAA">
        <w:rPr>
          <w:rFonts w:ascii="Arial" w:hAnsi="Arial" w:cs="Arial"/>
        </w:rPr>
        <w:t>Guilding</w:t>
      </w:r>
      <w:proofErr w:type="spellEnd"/>
      <w:r w:rsidRPr="00547CAA">
        <w:rPr>
          <w:rFonts w:ascii="Arial" w:hAnsi="Arial" w:cs="Arial"/>
        </w:rPr>
        <w:t xml:space="preserve">, C. and </w:t>
      </w:r>
      <w:proofErr w:type="spellStart"/>
      <w:r w:rsidRPr="00547CAA">
        <w:rPr>
          <w:rFonts w:ascii="Arial" w:hAnsi="Arial" w:cs="Arial"/>
        </w:rPr>
        <w:t>Lamminmaki</w:t>
      </w:r>
      <w:proofErr w:type="spellEnd"/>
      <w:r w:rsidRPr="00547CAA">
        <w:rPr>
          <w:rFonts w:ascii="Arial" w:hAnsi="Arial" w:cs="Arial"/>
        </w:rPr>
        <w:t xml:space="preserve">, D. (2018) ‘Cost management in hospitality operations’, International Journal of Hospitality Management, 74, pp. 87–97. Available at: https://www.journals.elsevier.com/international-journal-of-hospitality-management (Accessed: </w:t>
      </w:r>
      <w:r w:rsidR="00547CAA" w:rsidRPr="00547CAA">
        <w:rPr>
          <w:rFonts w:ascii="Arial" w:hAnsi="Arial" w:cs="Arial"/>
        </w:rPr>
        <w:t xml:space="preserve">27 October </w:t>
      </w:r>
      <w:r w:rsidRPr="00547CAA">
        <w:rPr>
          <w:rFonts w:ascii="Arial" w:hAnsi="Arial" w:cs="Arial"/>
        </w:rPr>
        <w:t>2024).</w:t>
      </w:r>
    </w:p>
    <w:p w14:paraId="48CE7776" w14:textId="48D58750" w:rsidR="001D0521" w:rsidRPr="00547CAA" w:rsidRDefault="001D0521" w:rsidP="00547CAA">
      <w:pPr>
        <w:pStyle w:val="NormalWeb"/>
        <w:numPr>
          <w:ilvl w:val="0"/>
          <w:numId w:val="3"/>
        </w:numPr>
        <w:spacing w:line="360" w:lineRule="auto"/>
        <w:jc w:val="both"/>
        <w:rPr>
          <w:rFonts w:ascii="Arial" w:hAnsi="Arial" w:cs="Arial"/>
        </w:rPr>
      </w:pPr>
      <w:r w:rsidRPr="00547CAA">
        <w:rPr>
          <w:rFonts w:ascii="Arial" w:hAnsi="Arial" w:cs="Arial"/>
        </w:rPr>
        <w:t>Aghazadeh, S. (2020) ‘Enhancing operational efficiency in hotels’, Journal of Hospitality and Tourism Technology, 11(3), pp. 400–418. Available at: https://www.emeraldgrouppublishing.com/journal/jhtt (Accessed</w:t>
      </w:r>
      <w:r w:rsidR="00547CAA" w:rsidRPr="00547CAA">
        <w:rPr>
          <w:rFonts w:ascii="Arial" w:hAnsi="Arial" w:cs="Arial"/>
        </w:rPr>
        <w:t xml:space="preserve"> </w:t>
      </w:r>
      <w:r w:rsidR="00547CAA" w:rsidRPr="00547CAA">
        <w:rPr>
          <w:rFonts w:ascii="Arial" w:hAnsi="Arial" w:cs="Arial"/>
        </w:rPr>
        <w:t xml:space="preserve">27 October </w:t>
      </w:r>
      <w:r w:rsidRPr="00547CAA">
        <w:rPr>
          <w:rFonts w:ascii="Arial" w:hAnsi="Arial" w:cs="Arial"/>
        </w:rPr>
        <w:t>2024).</w:t>
      </w:r>
    </w:p>
    <w:p w14:paraId="6C70E5D9" w14:textId="38831E9D"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Altinay, L. and Paraskevas, A. (2017) ‘Liquidity management in the hospitality industry,’ Journal of Hospitality Financial Management, 25(2), pp. 145-158. Available at: https://www.tandfonline.com/toc/rhfm20/current (Accessed: </w:t>
      </w:r>
      <w:r w:rsidR="00547CAA" w:rsidRPr="00547CAA">
        <w:rPr>
          <w:rFonts w:ascii="Arial" w:hAnsi="Arial" w:cs="Arial"/>
          <w:sz w:val="24"/>
          <w:szCs w:val="24"/>
        </w:rPr>
        <w:t>27 October</w:t>
      </w:r>
      <w:r w:rsidRPr="00547CAA">
        <w:rPr>
          <w:rFonts w:ascii="Arial" w:hAnsi="Arial" w:cs="Arial"/>
          <w:sz w:val="24"/>
          <w:szCs w:val="24"/>
        </w:rPr>
        <w:t xml:space="preserve"> 2024).</w:t>
      </w:r>
    </w:p>
    <w:p w14:paraId="10392093" w14:textId="6A1FE3AB"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Kim, D. and Ayoun, B. (2021) ‘The impact of leverage on hotel financial risk management,’ International Journal of Hospitality Management, 91, p. 102668. Available at: https://www.journals.elsevier.com/international-journal-of-hospitality-management (Accessed: </w:t>
      </w:r>
      <w:r w:rsidR="00547CAA" w:rsidRPr="00547CAA">
        <w:rPr>
          <w:rFonts w:ascii="Arial" w:hAnsi="Arial" w:cs="Arial"/>
          <w:sz w:val="24"/>
          <w:szCs w:val="24"/>
        </w:rPr>
        <w:t xml:space="preserve">27 October </w:t>
      </w:r>
      <w:r w:rsidRPr="00547CAA">
        <w:rPr>
          <w:rFonts w:ascii="Arial" w:hAnsi="Arial" w:cs="Arial"/>
          <w:sz w:val="24"/>
          <w:szCs w:val="24"/>
        </w:rPr>
        <w:t>2024).</w:t>
      </w:r>
    </w:p>
    <w:p w14:paraId="6A633E91" w14:textId="4643B3F6"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Tse, E. and Dev, C. S. (2019) ‘Cost structures and profit margins in the hospitality industry,’ Tourism Management, 75, pp. 209-217. Available at: https://www.journals.elsevier.com/tourism-management (Accessed: </w:t>
      </w:r>
      <w:r w:rsidR="00547CAA" w:rsidRPr="00547CAA">
        <w:rPr>
          <w:rFonts w:ascii="Arial" w:hAnsi="Arial" w:cs="Arial"/>
          <w:sz w:val="24"/>
          <w:szCs w:val="24"/>
        </w:rPr>
        <w:t xml:space="preserve">29 October </w:t>
      </w:r>
      <w:r w:rsidRPr="00547CAA">
        <w:rPr>
          <w:rFonts w:ascii="Arial" w:hAnsi="Arial" w:cs="Arial"/>
          <w:sz w:val="24"/>
          <w:szCs w:val="24"/>
        </w:rPr>
        <w:t>2024).</w:t>
      </w:r>
    </w:p>
    <w:p w14:paraId="2D4D8715" w14:textId="3BE9DAF9"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Baum, T. and Mooney, S. (2019) ‘Labour challenges in the hospitality industry,’ International Journal of Contemporary Hospitality Management, 31(2), pp. 653-672. Available at: https://www.emeraldgrouppublishing.com/journal/ijchm (Accessed: </w:t>
      </w:r>
      <w:r w:rsidR="00547CAA" w:rsidRPr="00547CAA">
        <w:rPr>
          <w:rFonts w:ascii="Arial" w:hAnsi="Arial" w:cs="Arial"/>
          <w:sz w:val="24"/>
          <w:szCs w:val="24"/>
        </w:rPr>
        <w:t xml:space="preserve">29 October </w:t>
      </w:r>
      <w:r w:rsidRPr="00547CAA">
        <w:rPr>
          <w:rFonts w:ascii="Arial" w:hAnsi="Arial" w:cs="Arial"/>
          <w:sz w:val="24"/>
          <w:szCs w:val="24"/>
        </w:rPr>
        <w:t>2024).</w:t>
      </w:r>
    </w:p>
    <w:p w14:paraId="304F4CBA" w14:textId="55EF86FA" w:rsidR="00CD32D0"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Kimes, S. E. (2022) ‘Benchmarking practices in the hotel industry: RevPAR and ADR insights,’ Journal of Hospitality and Tourism Technology, 13(1), pp. 15-30. Available at: https://www.emeraldgrouppublishing.com/journal/jhtt (Accessed: </w:t>
      </w:r>
      <w:r w:rsidR="00547CAA" w:rsidRPr="00547CAA">
        <w:rPr>
          <w:rFonts w:ascii="Arial" w:hAnsi="Arial" w:cs="Arial"/>
          <w:sz w:val="24"/>
          <w:szCs w:val="24"/>
        </w:rPr>
        <w:t xml:space="preserve">29 October </w:t>
      </w:r>
      <w:r w:rsidRPr="00547CAA">
        <w:rPr>
          <w:rFonts w:ascii="Arial" w:hAnsi="Arial" w:cs="Arial"/>
          <w:sz w:val="24"/>
          <w:szCs w:val="24"/>
        </w:rPr>
        <w:t>2024).</w:t>
      </w:r>
    </w:p>
    <w:p w14:paraId="387B657D" w14:textId="713BEC22"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lastRenderedPageBreak/>
        <w:t xml:space="preserve">Gursoy, D. and Chi, C. G. (2020) ‘Effects of COVID-19 pandemic on hospitality industry: Review of the current situations and a research agenda’, Journal of Hospitality Marketing &amp; Management, 29(5), pp. 527-529. Available at: https://www.tandfonline.com/journals/whmm20 (Accessed: </w:t>
      </w:r>
      <w:r w:rsidR="00547CAA" w:rsidRPr="00547CAA">
        <w:rPr>
          <w:rFonts w:ascii="Arial" w:hAnsi="Arial" w:cs="Arial"/>
          <w:sz w:val="24"/>
          <w:szCs w:val="24"/>
        </w:rPr>
        <w:t xml:space="preserve">29 October </w:t>
      </w:r>
      <w:r w:rsidRPr="00547CAA">
        <w:rPr>
          <w:rFonts w:ascii="Arial" w:hAnsi="Arial" w:cs="Arial"/>
          <w:sz w:val="24"/>
          <w:szCs w:val="24"/>
        </w:rPr>
        <w:t>2024).</w:t>
      </w:r>
    </w:p>
    <w:p w14:paraId="70973426" w14:textId="188A828A"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Nguyen, P. and Lee, J. (2022) ‘Inflation and operational costs in hotels’, International Journal of Hospitality Management, 31(1), pp. 42-59. Available at: https://www.journals.elsevier.com/international-journal-of-hospitality-management (Accessed</w:t>
      </w:r>
      <w:r w:rsidR="00547CAA" w:rsidRPr="00547CAA">
        <w:rPr>
          <w:rFonts w:ascii="Arial" w:hAnsi="Arial" w:cs="Arial"/>
          <w:sz w:val="24"/>
          <w:szCs w:val="24"/>
        </w:rPr>
        <w:t xml:space="preserve">29 October </w:t>
      </w:r>
      <w:r w:rsidRPr="00547CAA">
        <w:rPr>
          <w:rFonts w:ascii="Arial" w:hAnsi="Arial" w:cs="Arial"/>
          <w:sz w:val="24"/>
          <w:szCs w:val="24"/>
        </w:rPr>
        <w:t>2024).</w:t>
      </w:r>
    </w:p>
    <w:p w14:paraId="0726CD1B" w14:textId="2008F2F3"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Guttentag, D. (2015) ‘Airbnb: Disruptive innovation and the rise of an informal tourism accommodation sector’, Current Issues in Tourism, 18(12), pp. 1192-1217. Available at: https://www.tandfonline.com/toc/rcit20/current (Accessed: 01 November 2024).</w:t>
      </w:r>
    </w:p>
    <w:p w14:paraId="3884EF59" w14:textId="75CEF235" w:rsidR="001D0521" w:rsidRPr="00547CAA" w:rsidRDefault="001D0521"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Taylor, J. and Francis, R. (2019) ‘Lean management in service sectors’, Operations Management Review, 12(2), pp. 65-78. Available at: https://www.tandfonline.com (Accessed: </w:t>
      </w:r>
      <w:r w:rsidR="00547CAA" w:rsidRPr="00547CAA">
        <w:rPr>
          <w:rFonts w:ascii="Arial" w:hAnsi="Arial" w:cs="Arial"/>
          <w:sz w:val="24"/>
          <w:szCs w:val="24"/>
        </w:rPr>
        <w:t xml:space="preserve">29 October </w:t>
      </w:r>
      <w:r w:rsidRPr="00547CAA">
        <w:rPr>
          <w:rFonts w:ascii="Arial" w:hAnsi="Arial" w:cs="Arial"/>
          <w:sz w:val="24"/>
          <w:szCs w:val="24"/>
        </w:rPr>
        <w:t>2024).</w:t>
      </w:r>
    </w:p>
    <w:p w14:paraId="7EDD3056" w14:textId="09182846" w:rsidR="00EF5AD3" w:rsidRPr="0080330E" w:rsidRDefault="00EF5AD3"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Kapoor, A. and Kim, S. (2021) ‘Sustainable tourism and customer preferences’, Journal of Sustainable Tourism, 29(7), pp. 925-945. Available at: https://www.tandfonline.com/journals/rsus20 (Accessed: </w:t>
      </w:r>
      <w:r w:rsidR="00547CAA" w:rsidRPr="00547CAA">
        <w:rPr>
          <w:rFonts w:ascii="Arial" w:hAnsi="Arial" w:cs="Arial"/>
          <w:sz w:val="24"/>
          <w:szCs w:val="24"/>
        </w:rPr>
        <w:t>29</w:t>
      </w:r>
      <w:r w:rsidRPr="00547CAA">
        <w:rPr>
          <w:rFonts w:ascii="Arial" w:hAnsi="Arial" w:cs="Arial"/>
          <w:sz w:val="24"/>
          <w:szCs w:val="24"/>
        </w:rPr>
        <w:t xml:space="preserve"> </w:t>
      </w:r>
      <w:r w:rsidR="00547CAA" w:rsidRPr="00547CAA">
        <w:rPr>
          <w:rFonts w:ascii="Arial" w:hAnsi="Arial" w:cs="Arial"/>
          <w:sz w:val="24"/>
          <w:szCs w:val="24"/>
        </w:rPr>
        <w:t>October</w:t>
      </w:r>
      <w:r w:rsidRPr="00547CAA">
        <w:rPr>
          <w:rFonts w:ascii="Arial" w:hAnsi="Arial" w:cs="Arial"/>
          <w:sz w:val="24"/>
          <w:szCs w:val="24"/>
        </w:rPr>
        <w:t xml:space="preserve"> 2024).</w:t>
      </w:r>
    </w:p>
    <w:p w14:paraId="0451E294" w14:textId="038B06D2" w:rsidR="00EF5AD3" w:rsidRPr="00547CAA" w:rsidRDefault="00EF5AD3"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Doh, J. and Guay, T. (2019) ‘Corporate social responsibility in the hospitality industry’, Business Ethics Quarterly, 29(3), pp. 473-495. Available at: https://www.cambridge.org/core/journals/business-ethics-quarterly (Accessed: 01 November 2024).</w:t>
      </w:r>
    </w:p>
    <w:p w14:paraId="721473EE" w14:textId="50CE9947" w:rsidR="00EF5AD3" w:rsidRPr="00547CAA" w:rsidRDefault="00EF5AD3"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Jeong, M. and Oh, H. (2018) ‘Customer relationship management in hotels’, Journal of Hospitality and Tourism Technology, 9(2), pp. 138-150. Available at: https://www.emeraldgrouppublishing.com/journal/jhtt (Accessed: 0</w:t>
      </w:r>
      <w:r w:rsidR="00547CAA" w:rsidRPr="00547CAA">
        <w:rPr>
          <w:rFonts w:ascii="Arial" w:hAnsi="Arial" w:cs="Arial"/>
          <w:sz w:val="24"/>
          <w:szCs w:val="24"/>
        </w:rPr>
        <w:t>2</w:t>
      </w:r>
      <w:r w:rsidRPr="00547CAA">
        <w:rPr>
          <w:rFonts w:ascii="Arial" w:hAnsi="Arial" w:cs="Arial"/>
          <w:sz w:val="24"/>
          <w:szCs w:val="24"/>
        </w:rPr>
        <w:t xml:space="preserve"> November 2024).</w:t>
      </w:r>
    </w:p>
    <w:p w14:paraId="493D1B4F" w14:textId="079145EA" w:rsidR="00EF5AD3" w:rsidRPr="00547CAA" w:rsidRDefault="00EF5AD3"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 xml:space="preserve">Ivanov, S. and </w:t>
      </w:r>
      <w:proofErr w:type="spellStart"/>
      <w:r w:rsidRPr="00547CAA">
        <w:rPr>
          <w:rFonts w:ascii="Arial" w:hAnsi="Arial" w:cs="Arial"/>
          <w:sz w:val="24"/>
          <w:szCs w:val="24"/>
        </w:rPr>
        <w:t>Zhechev</w:t>
      </w:r>
      <w:proofErr w:type="spellEnd"/>
      <w:r w:rsidRPr="00547CAA">
        <w:rPr>
          <w:rFonts w:ascii="Arial" w:hAnsi="Arial" w:cs="Arial"/>
          <w:sz w:val="24"/>
          <w:szCs w:val="24"/>
        </w:rPr>
        <w:t>, V. (2020) ‘Revenue management strategies in hotels’, Tourism Economics, 26(5), pp. 897-913. Available at: https://journals.sagepub.com/home/teu (Accessed: 01 November 2024).</w:t>
      </w:r>
    </w:p>
    <w:p w14:paraId="035756A4" w14:textId="671D82ED" w:rsidR="00EF5AD3" w:rsidRPr="00547CAA" w:rsidRDefault="00EF5AD3"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t>Singh, S., Kumar, A. and Sharma, R. (2020) ‘Supply chain management in hospitality’, Journal of Operations in Hospitality and Tourism, 15(4), pp. 360-380. Available at: https://www.emeraldgrouppublishing.com/journal/jhtt (Accessed: 01 November 2024).</w:t>
      </w:r>
    </w:p>
    <w:p w14:paraId="28410ABE" w14:textId="709466D1" w:rsidR="00002B04" w:rsidRPr="0080330E" w:rsidRDefault="00002B04" w:rsidP="00547CAA">
      <w:pPr>
        <w:pStyle w:val="ListParagraph"/>
        <w:numPr>
          <w:ilvl w:val="0"/>
          <w:numId w:val="3"/>
        </w:numPr>
        <w:spacing w:line="360" w:lineRule="auto"/>
        <w:jc w:val="both"/>
        <w:rPr>
          <w:rFonts w:ascii="Arial" w:hAnsi="Arial" w:cs="Arial"/>
          <w:sz w:val="24"/>
          <w:szCs w:val="24"/>
        </w:rPr>
      </w:pPr>
      <w:r w:rsidRPr="00547CAA">
        <w:rPr>
          <w:rFonts w:ascii="Arial" w:hAnsi="Arial" w:cs="Arial"/>
          <w:sz w:val="24"/>
          <w:szCs w:val="24"/>
        </w:rPr>
        <w:lastRenderedPageBreak/>
        <w:t>Kim, H. and Lee, M. (2022) ‘CRM software for the hotel industry’, Journal of Hospitality and Tourism Research, 46(4), pp. 510-525. Available at: https://journals.sagepub.com/home/jht (Accessed: 0</w:t>
      </w:r>
      <w:r w:rsidR="00547CAA" w:rsidRPr="00547CAA">
        <w:rPr>
          <w:rFonts w:ascii="Arial" w:hAnsi="Arial" w:cs="Arial"/>
          <w:sz w:val="24"/>
          <w:szCs w:val="24"/>
        </w:rPr>
        <w:t>4</w:t>
      </w:r>
      <w:r w:rsidRPr="00547CAA">
        <w:rPr>
          <w:rFonts w:ascii="Arial" w:hAnsi="Arial" w:cs="Arial"/>
          <w:sz w:val="24"/>
          <w:szCs w:val="24"/>
        </w:rPr>
        <w:t xml:space="preserve"> November 2024).</w:t>
      </w:r>
    </w:p>
    <w:p w14:paraId="7FAE2386" w14:textId="001568BD" w:rsidR="00002B04" w:rsidRPr="00547CAA" w:rsidRDefault="00002B04" w:rsidP="00547CAA">
      <w:pPr>
        <w:pStyle w:val="ListParagraph"/>
        <w:numPr>
          <w:ilvl w:val="0"/>
          <w:numId w:val="4"/>
        </w:numPr>
        <w:spacing w:line="360" w:lineRule="auto"/>
        <w:jc w:val="both"/>
        <w:rPr>
          <w:rFonts w:ascii="Arial" w:hAnsi="Arial" w:cs="Arial"/>
          <w:sz w:val="24"/>
          <w:szCs w:val="24"/>
        </w:rPr>
      </w:pPr>
      <w:r w:rsidRPr="00547CAA">
        <w:rPr>
          <w:rFonts w:ascii="Arial" w:hAnsi="Arial" w:cs="Arial"/>
          <w:sz w:val="24"/>
          <w:szCs w:val="24"/>
        </w:rPr>
        <w:t>Henderson, J. (2020) ‘Community engagement in tourism’, International Journal of Tourism Research, 22(1), pp. 115-126. Available at: https://onlinelibrary.wiley.com/journal/15221970 (Accessed: 01 November 2024).</w:t>
      </w:r>
    </w:p>
    <w:p w14:paraId="12B26F8E" w14:textId="5695DAA4" w:rsidR="00002B04" w:rsidRPr="00547CAA" w:rsidRDefault="00002B04" w:rsidP="00547CAA">
      <w:pPr>
        <w:pStyle w:val="ListParagraph"/>
        <w:numPr>
          <w:ilvl w:val="0"/>
          <w:numId w:val="4"/>
        </w:numPr>
        <w:spacing w:line="360" w:lineRule="auto"/>
        <w:jc w:val="both"/>
        <w:rPr>
          <w:rFonts w:ascii="Arial" w:hAnsi="Arial" w:cs="Arial"/>
          <w:sz w:val="24"/>
          <w:szCs w:val="24"/>
        </w:rPr>
      </w:pPr>
      <w:r w:rsidRPr="00547CAA">
        <w:rPr>
          <w:rFonts w:ascii="Arial" w:hAnsi="Arial" w:cs="Arial"/>
          <w:sz w:val="24"/>
          <w:szCs w:val="24"/>
        </w:rPr>
        <w:t>Knight, F. (2021) ‘Risk management in tourism’, Annals of Tourism Research, 39(3), pp. 331-344. Available at: https://www.journals.elsevier.com/annals-of-tourism-research (Accessed: 01 November 2024).</w:t>
      </w:r>
    </w:p>
    <w:p w14:paraId="0A29C4AC" w14:textId="77777777" w:rsidR="00547CAA" w:rsidRPr="00547CAA" w:rsidRDefault="00547CAA" w:rsidP="00547CAA">
      <w:pPr>
        <w:spacing w:line="360" w:lineRule="auto"/>
        <w:jc w:val="both"/>
        <w:rPr>
          <w:rFonts w:ascii="Arial" w:hAnsi="Arial" w:cs="Arial"/>
          <w:sz w:val="24"/>
          <w:szCs w:val="24"/>
        </w:rPr>
      </w:pPr>
    </w:p>
    <w:p w14:paraId="41BAA7AC" w14:textId="77777777" w:rsidR="00EF5AD3" w:rsidRPr="00547CAA" w:rsidRDefault="00EF5AD3" w:rsidP="00547CAA">
      <w:pPr>
        <w:spacing w:line="360" w:lineRule="auto"/>
        <w:jc w:val="both"/>
        <w:rPr>
          <w:rFonts w:ascii="Arial" w:hAnsi="Arial" w:cs="Arial"/>
          <w:sz w:val="24"/>
          <w:szCs w:val="24"/>
        </w:rPr>
      </w:pPr>
    </w:p>
    <w:sectPr w:rsidR="00EF5AD3" w:rsidRPr="00547C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668C5"/>
    <w:multiLevelType w:val="multilevel"/>
    <w:tmpl w:val="1FA6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303297"/>
    <w:multiLevelType w:val="hybridMultilevel"/>
    <w:tmpl w:val="FD68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30F1D"/>
    <w:multiLevelType w:val="hybridMultilevel"/>
    <w:tmpl w:val="FE8E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74844848">
    <w:abstractNumId w:val="0"/>
  </w:num>
  <w:num w:numId="2" w16cid:durableId="472333158">
    <w:abstractNumId w:val="3"/>
  </w:num>
  <w:num w:numId="3" w16cid:durableId="1484001204">
    <w:abstractNumId w:val="1"/>
  </w:num>
  <w:num w:numId="4" w16cid:durableId="1023895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BB6"/>
    <w:rsid w:val="00000745"/>
    <w:rsid w:val="00002B04"/>
    <w:rsid w:val="001D0521"/>
    <w:rsid w:val="002D6435"/>
    <w:rsid w:val="002F713D"/>
    <w:rsid w:val="0043066D"/>
    <w:rsid w:val="004E3D81"/>
    <w:rsid w:val="00547CAA"/>
    <w:rsid w:val="005D1B49"/>
    <w:rsid w:val="005D3771"/>
    <w:rsid w:val="00662D64"/>
    <w:rsid w:val="006926B1"/>
    <w:rsid w:val="007B4B45"/>
    <w:rsid w:val="007F63F4"/>
    <w:rsid w:val="0080330E"/>
    <w:rsid w:val="009C75AF"/>
    <w:rsid w:val="00AB30FD"/>
    <w:rsid w:val="00B11E8B"/>
    <w:rsid w:val="00BC450F"/>
    <w:rsid w:val="00C50BB6"/>
    <w:rsid w:val="00CD32D0"/>
    <w:rsid w:val="00DB1085"/>
    <w:rsid w:val="00DD4DB5"/>
    <w:rsid w:val="00E03512"/>
    <w:rsid w:val="00E91782"/>
    <w:rsid w:val="00EF5AD3"/>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4FA3A"/>
  <w15:chartTrackingRefBased/>
  <w15:docId w15:val="{A761B172-6D3A-428F-B6C3-E5D4DB1B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B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0B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B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B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B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B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B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B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B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B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0B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B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B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B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B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B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B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BB6"/>
    <w:rPr>
      <w:rFonts w:eastAsiaTheme="majorEastAsia" w:cstheme="majorBidi"/>
      <w:color w:val="272727" w:themeColor="text1" w:themeTint="D8"/>
    </w:rPr>
  </w:style>
  <w:style w:type="paragraph" w:styleId="Title">
    <w:name w:val="Title"/>
    <w:basedOn w:val="Normal"/>
    <w:next w:val="Normal"/>
    <w:link w:val="TitleChar"/>
    <w:uiPriority w:val="10"/>
    <w:qFormat/>
    <w:rsid w:val="00C50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B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B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B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BB6"/>
    <w:pPr>
      <w:spacing w:before="160"/>
      <w:jc w:val="center"/>
    </w:pPr>
    <w:rPr>
      <w:i/>
      <w:iCs/>
      <w:color w:val="404040" w:themeColor="text1" w:themeTint="BF"/>
    </w:rPr>
  </w:style>
  <w:style w:type="character" w:customStyle="1" w:styleId="QuoteChar">
    <w:name w:val="Quote Char"/>
    <w:basedOn w:val="DefaultParagraphFont"/>
    <w:link w:val="Quote"/>
    <w:uiPriority w:val="29"/>
    <w:rsid w:val="00C50BB6"/>
    <w:rPr>
      <w:i/>
      <w:iCs/>
      <w:color w:val="404040" w:themeColor="text1" w:themeTint="BF"/>
    </w:rPr>
  </w:style>
  <w:style w:type="paragraph" w:styleId="ListParagraph">
    <w:name w:val="List Paragraph"/>
    <w:basedOn w:val="Normal"/>
    <w:uiPriority w:val="34"/>
    <w:qFormat/>
    <w:rsid w:val="00C50BB6"/>
    <w:pPr>
      <w:ind w:left="720"/>
      <w:contextualSpacing/>
    </w:pPr>
  </w:style>
  <w:style w:type="character" w:styleId="IntenseEmphasis">
    <w:name w:val="Intense Emphasis"/>
    <w:basedOn w:val="DefaultParagraphFont"/>
    <w:uiPriority w:val="21"/>
    <w:qFormat/>
    <w:rsid w:val="00C50BB6"/>
    <w:rPr>
      <w:i/>
      <w:iCs/>
      <w:color w:val="0F4761" w:themeColor="accent1" w:themeShade="BF"/>
    </w:rPr>
  </w:style>
  <w:style w:type="paragraph" w:styleId="IntenseQuote">
    <w:name w:val="Intense Quote"/>
    <w:basedOn w:val="Normal"/>
    <w:next w:val="Normal"/>
    <w:link w:val="IntenseQuoteChar"/>
    <w:uiPriority w:val="30"/>
    <w:qFormat/>
    <w:rsid w:val="00C50B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BB6"/>
    <w:rPr>
      <w:i/>
      <w:iCs/>
      <w:color w:val="0F4761" w:themeColor="accent1" w:themeShade="BF"/>
    </w:rPr>
  </w:style>
  <w:style w:type="character" w:styleId="IntenseReference">
    <w:name w:val="Intense Reference"/>
    <w:basedOn w:val="DefaultParagraphFont"/>
    <w:uiPriority w:val="32"/>
    <w:qFormat/>
    <w:rsid w:val="00C50BB6"/>
    <w:rPr>
      <w:b/>
      <w:bCs/>
      <w:smallCaps/>
      <w:color w:val="0F4761" w:themeColor="accent1" w:themeShade="BF"/>
      <w:spacing w:val="5"/>
    </w:rPr>
  </w:style>
  <w:style w:type="paragraph" w:styleId="NormalWeb">
    <w:name w:val="Normal (Web)"/>
    <w:basedOn w:val="Normal"/>
    <w:uiPriority w:val="99"/>
    <w:semiHidden/>
    <w:unhideWhenUsed/>
    <w:rsid w:val="005D1B4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D1B49"/>
    <w:rPr>
      <w:i/>
      <w:iCs/>
    </w:rPr>
  </w:style>
  <w:style w:type="character" w:styleId="Hyperlink">
    <w:name w:val="Hyperlink"/>
    <w:basedOn w:val="DefaultParagraphFont"/>
    <w:uiPriority w:val="99"/>
    <w:semiHidden/>
    <w:unhideWhenUsed/>
    <w:rsid w:val="005D1B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866464">
      <w:bodyDiv w:val="1"/>
      <w:marLeft w:val="0"/>
      <w:marRight w:val="0"/>
      <w:marTop w:val="0"/>
      <w:marBottom w:val="0"/>
      <w:divBdr>
        <w:top w:val="none" w:sz="0" w:space="0" w:color="auto"/>
        <w:left w:val="none" w:sz="0" w:space="0" w:color="auto"/>
        <w:bottom w:val="none" w:sz="0" w:space="0" w:color="auto"/>
        <w:right w:val="none" w:sz="0" w:space="0" w:color="auto"/>
      </w:divBdr>
    </w:div>
    <w:div w:id="1182816151">
      <w:bodyDiv w:val="1"/>
      <w:marLeft w:val="0"/>
      <w:marRight w:val="0"/>
      <w:marTop w:val="0"/>
      <w:marBottom w:val="0"/>
      <w:divBdr>
        <w:top w:val="none" w:sz="0" w:space="0" w:color="auto"/>
        <w:left w:val="none" w:sz="0" w:space="0" w:color="auto"/>
        <w:bottom w:val="none" w:sz="0" w:space="0" w:color="auto"/>
        <w:right w:val="none" w:sz="0" w:space="0" w:color="auto"/>
      </w:divBdr>
    </w:div>
    <w:div w:id="140602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13</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19</cp:revision>
  <dcterms:created xsi:type="dcterms:W3CDTF">2024-10-31T15:29:00Z</dcterms:created>
  <dcterms:modified xsi:type="dcterms:W3CDTF">2024-11-14T10:45:00Z</dcterms:modified>
</cp:coreProperties>
</file>