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31514797" w:displacedByCustomXml="next"/>
    <w:sdt>
      <w:sdtPr>
        <w:rPr>
          <w:rFonts w:ascii="Times New Roman" w:hAnsi="Times New Roman" w:cs="Times New Roman"/>
          <w:b/>
          <w:bCs/>
          <w:sz w:val="24"/>
          <w:szCs w:val="24"/>
        </w:rPr>
        <w:id w:val="210008244"/>
        <w:docPartObj>
          <w:docPartGallery w:val="Cover Pages"/>
          <w:docPartUnique/>
        </w:docPartObj>
      </w:sdtPr>
      <w:sdtContent>
        <w:p w14:paraId="23C4441A" w14:textId="362D632C" w:rsidR="00BD613E" w:rsidRDefault="00BD613E">
          <w:pPr>
            <w:spacing w:after="160" w:line="259" w:lineRule="auto"/>
            <w:rPr>
              <w:rFonts w:ascii="Times New Roman" w:hAnsi="Times New Roman" w:cs="Times New Roman"/>
              <w:sz w:val="24"/>
              <w:szCs w:val="24"/>
            </w:rPr>
          </w:pPr>
          <w:r w:rsidRPr="00BD613E">
            <w:rPr>
              <w:rFonts w:ascii="Times New Roman" w:hAnsi="Times New Roman" w:cs="Times New Roman"/>
              <w:noProof/>
              <w:sz w:val="24"/>
              <w:szCs w:val="24"/>
            </w:rPr>
            <mc:AlternateContent>
              <mc:Choice Requires="wps">
                <w:drawing>
                  <wp:anchor distT="0" distB="0" distL="114300" distR="114300" simplePos="0" relativeHeight="251659264" behindDoc="0" locked="0" layoutInCell="1" allowOverlap="1" wp14:anchorId="06425E7D" wp14:editId="3B2F9603">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2056"/>
                                </w:tblGrid>
                                <w:tr w:rsidR="00BD613E" w14:paraId="3A69EE6D" w14:textId="77777777">
                                  <w:trPr>
                                    <w:jc w:val="center"/>
                                  </w:trPr>
                                  <w:tc>
                                    <w:tcPr>
                                      <w:tcW w:w="2568" w:type="pct"/>
                                      <w:vAlign w:val="center"/>
                                    </w:tcPr>
                                    <w:p w14:paraId="1F371E59" w14:textId="77777777" w:rsidR="00BD613E" w:rsidRDefault="00BD613E">
                                      <w:pPr>
                                        <w:jc w:val="right"/>
                                      </w:pPr>
                                      <w:r>
                                        <w:rPr>
                                          <w:noProof/>
                                        </w:rPr>
                                        <w:drawing>
                                          <wp:inline distT="0" distB="0" distL="0" distR="0" wp14:anchorId="1ED80A82" wp14:editId="0A87C41F">
                                            <wp:extent cx="3065006" cy="2273212"/>
                                            <wp:effectExtent l="0" t="0" r="2540" b="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3065006" cy="2273212"/>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2093F521" w14:textId="0171461B" w:rsidR="00BD613E" w:rsidRDefault="00DF0546">
                                          <w:pPr>
                                            <w:pStyle w:val="NoSpacing"/>
                                            <w:spacing w:line="312" w:lineRule="auto"/>
                                            <w:jc w:val="right"/>
                                            <w:rPr>
                                              <w:caps/>
                                              <w:color w:val="191919" w:themeColor="text1" w:themeTint="E6"/>
                                              <w:sz w:val="72"/>
                                              <w:szCs w:val="72"/>
                                            </w:rPr>
                                          </w:pPr>
                                          <w:r>
                                            <w:rPr>
                                              <w:caps/>
                                              <w:color w:val="191919" w:themeColor="text1" w:themeTint="E6"/>
                                              <w:sz w:val="72"/>
                                              <w:szCs w:val="72"/>
                                            </w:rPr>
                                            <w:t>Project Management</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672FC0B0" w14:textId="5FA90692" w:rsidR="00BD613E" w:rsidRDefault="00BD613E">
                                          <w:pPr>
                                            <w:jc w:val="right"/>
                                            <w:rPr>
                                              <w:sz w:val="24"/>
                                              <w:szCs w:val="24"/>
                                            </w:rPr>
                                          </w:pPr>
                                          <w:r>
                                            <w:rPr>
                                              <w:color w:val="000000" w:themeColor="text1"/>
                                              <w:sz w:val="24"/>
                                              <w:szCs w:val="24"/>
                                            </w:rPr>
                                            <w:t>Assessment 1</w:t>
                                          </w:r>
                                        </w:p>
                                      </w:sdtContent>
                                    </w:sdt>
                                  </w:tc>
                                  <w:tc>
                                    <w:tcPr>
                                      <w:tcW w:w="2432" w:type="pct"/>
                                      <w:vAlign w:val="center"/>
                                    </w:tcPr>
                                    <w:p w14:paraId="7F723D10" w14:textId="77777777" w:rsidR="00BD613E" w:rsidRDefault="00BD613E" w:rsidP="00BD613E">
                                      <w:pPr>
                                        <w:pStyle w:val="NoSpacing"/>
                                        <w:rPr>
                                          <w:caps/>
                                          <w:color w:val="ED7D31" w:themeColor="accent2"/>
                                          <w:sz w:val="26"/>
                                          <w:szCs w:val="26"/>
                                        </w:rPr>
                                      </w:pPr>
                                      <w:r>
                                        <w:rPr>
                                          <w:caps/>
                                          <w:color w:val="ED7D31" w:themeColor="accent2"/>
                                          <w:sz w:val="26"/>
                                          <w:szCs w:val="26"/>
                                        </w:rPr>
                                        <w:t>Lecturer: Anupam Mazumdar</w:t>
                                      </w:r>
                                    </w:p>
                                    <w:p w14:paraId="5231E10A" w14:textId="6D23549F" w:rsidR="00BD613E" w:rsidRPr="00BD613E" w:rsidRDefault="00000000" w:rsidP="00BD613E">
                                      <w:pPr>
                                        <w:pStyle w:val="NoSpacing"/>
                                        <w:rPr>
                                          <w:caps/>
                                          <w:color w:val="ED7D31" w:themeColor="accent2"/>
                                          <w:sz w:val="26"/>
                                          <w:szCs w:val="26"/>
                                        </w:rPr>
                                      </w:pPr>
                                      <w:sdt>
                                        <w:sdtPr>
                                          <w:rPr>
                                            <w:caps/>
                                            <w:color w:val="ED7D31" w:themeColor="accent2"/>
                                            <w:sz w:val="26"/>
                                            <w:szCs w:val="26"/>
                                          </w:rPr>
                                          <w:alias w:val="Abstract"/>
                                          <w:tag w:val=""/>
                                          <w:id w:val="-2036181933"/>
                                          <w:dataBinding w:prefixMappings="xmlns:ns0='http://schemas.microsoft.com/office/2006/coverPageProps' " w:xpath="/ns0:CoverPageProperties[1]/ns0:Abstract[1]" w:storeItemID="{55AF091B-3C7A-41E3-B477-F2FDAA23CFDA}"/>
                                          <w:text/>
                                        </w:sdtPr>
                                        <w:sdtContent>
                                          <w:r w:rsidR="00BD613E" w:rsidRPr="00BD613E">
                                            <w:rPr>
                                              <w:caps/>
                                              <w:color w:val="ED7D31" w:themeColor="accent2"/>
                                              <w:sz w:val="26"/>
                                              <w:szCs w:val="26"/>
                                            </w:rPr>
                                            <w:t>University Of Wales Trinity Saint David</w:t>
                                          </w:r>
                                        </w:sdtContent>
                                      </w:sdt>
                                    </w:p>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5E931AE4" w14:textId="64AD24CA" w:rsidR="00BD613E" w:rsidRDefault="00BD613E">
                                          <w:pPr>
                                            <w:pStyle w:val="NoSpacing"/>
                                            <w:rPr>
                                              <w:color w:val="ED7D31" w:themeColor="accent2"/>
                                              <w:sz w:val="26"/>
                                              <w:szCs w:val="26"/>
                                            </w:rPr>
                                          </w:pPr>
                                          <w:proofErr w:type="spellStart"/>
                                          <w:r>
                                            <w:rPr>
                                              <w:color w:val="ED7D31" w:themeColor="accent2"/>
                                              <w:sz w:val="26"/>
                                              <w:szCs w:val="26"/>
                                            </w:rPr>
                                            <w:t>Penko</w:t>
                                          </w:r>
                                          <w:proofErr w:type="spellEnd"/>
                                          <w:r>
                                            <w:rPr>
                                              <w:color w:val="ED7D31" w:themeColor="accent2"/>
                                              <w:sz w:val="26"/>
                                              <w:szCs w:val="26"/>
                                            </w:rPr>
                                            <w:t xml:space="preserve"> </w:t>
                                          </w:r>
                                          <w:proofErr w:type="spellStart"/>
                                          <w:r>
                                            <w:rPr>
                                              <w:color w:val="ED7D31" w:themeColor="accent2"/>
                                              <w:sz w:val="26"/>
                                              <w:szCs w:val="26"/>
                                            </w:rPr>
                                            <w:t>Nedelchev</w:t>
                                          </w:r>
                                          <w:proofErr w:type="spellEnd"/>
                                          <w:r>
                                            <w:rPr>
                                              <w:color w:val="ED7D31" w:themeColor="accent2"/>
                                              <w:sz w:val="26"/>
                                              <w:szCs w:val="26"/>
                                            </w:rPr>
                                            <w:t xml:space="preserve"> (2112415)</w:t>
                                          </w:r>
                                        </w:p>
                                      </w:sdtContent>
                                    </w:sdt>
                                    <w:p w14:paraId="4C7B8A00" w14:textId="12FD12ED" w:rsidR="00BD613E" w:rsidRDefault="00000000">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BD613E">
                                            <w:rPr>
                                              <w:color w:val="44546A" w:themeColor="text2"/>
                                            </w:rPr>
                                            <w:t>Business Management</w:t>
                                          </w:r>
                                        </w:sdtContent>
                                      </w:sdt>
                                    </w:p>
                                  </w:tc>
                                </w:tr>
                              </w:tbl>
                              <w:p w14:paraId="0CECAFEE" w14:textId="77777777" w:rsidR="00BD613E" w:rsidRDefault="00BD613E"/>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06425E7D"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2056"/>
                          </w:tblGrid>
                          <w:tr w:rsidR="00BD613E" w14:paraId="3A69EE6D" w14:textId="77777777">
                            <w:trPr>
                              <w:jc w:val="center"/>
                            </w:trPr>
                            <w:tc>
                              <w:tcPr>
                                <w:tcW w:w="2568" w:type="pct"/>
                                <w:vAlign w:val="center"/>
                              </w:tcPr>
                              <w:p w14:paraId="1F371E59" w14:textId="77777777" w:rsidR="00BD613E" w:rsidRDefault="00BD613E">
                                <w:pPr>
                                  <w:jc w:val="right"/>
                                </w:pPr>
                                <w:r>
                                  <w:rPr>
                                    <w:noProof/>
                                  </w:rPr>
                                  <w:drawing>
                                    <wp:inline distT="0" distB="0" distL="0" distR="0" wp14:anchorId="1ED80A82" wp14:editId="0A87C41F">
                                      <wp:extent cx="3065006" cy="2273212"/>
                                      <wp:effectExtent l="0" t="0" r="2540" b="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3065006" cy="2273212"/>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2093F521" w14:textId="0171461B" w:rsidR="00BD613E" w:rsidRDefault="00DF0546">
                                    <w:pPr>
                                      <w:pStyle w:val="NoSpacing"/>
                                      <w:spacing w:line="312" w:lineRule="auto"/>
                                      <w:jc w:val="right"/>
                                      <w:rPr>
                                        <w:caps/>
                                        <w:color w:val="191919" w:themeColor="text1" w:themeTint="E6"/>
                                        <w:sz w:val="72"/>
                                        <w:szCs w:val="72"/>
                                      </w:rPr>
                                    </w:pPr>
                                    <w:r>
                                      <w:rPr>
                                        <w:caps/>
                                        <w:color w:val="191919" w:themeColor="text1" w:themeTint="E6"/>
                                        <w:sz w:val="72"/>
                                        <w:szCs w:val="72"/>
                                      </w:rPr>
                                      <w:t>Project Management</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672FC0B0" w14:textId="5FA90692" w:rsidR="00BD613E" w:rsidRDefault="00BD613E">
                                    <w:pPr>
                                      <w:jc w:val="right"/>
                                      <w:rPr>
                                        <w:sz w:val="24"/>
                                        <w:szCs w:val="24"/>
                                      </w:rPr>
                                    </w:pPr>
                                    <w:r>
                                      <w:rPr>
                                        <w:color w:val="000000" w:themeColor="text1"/>
                                        <w:sz w:val="24"/>
                                        <w:szCs w:val="24"/>
                                      </w:rPr>
                                      <w:t>Assessment 1</w:t>
                                    </w:r>
                                  </w:p>
                                </w:sdtContent>
                              </w:sdt>
                            </w:tc>
                            <w:tc>
                              <w:tcPr>
                                <w:tcW w:w="2432" w:type="pct"/>
                                <w:vAlign w:val="center"/>
                              </w:tcPr>
                              <w:p w14:paraId="7F723D10" w14:textId="77777777" w:rsidR="00BD613E" w:rsidRDefault="00BD613E" w:rsidP="00BD613E">
                                <w:pPr>
                                  <w:pStyle w:val="NoSpacing"/>
                                  <w:rPr>
                                    <w:caps/>
                                    <w:color w:val="ED7D31" w:themeColor="accent2"/>
                                    <w:sz w:val="26"/>
                                    <w:szCs w:val="26"/>
                                  </w:rPr>
                                </w:pPr>
                                <w:r>
                                  <w:rPr>
                                    <w:caps/>
                                    <w:color w:val="ED7D31" w:themeColor="accent2"/>
                                    <w:sz w:val="26"/>
                                    <w:szCs w:val="26"/>
                                  </w:rPr>
                                  <w:t>Lecturer: Anupam Mazumdar</w:t>
                                </w:r>
                              </w:p>
                              <w:p w14:paraId="5231E10A" w14:textId="6D23549F" w:rsidR="00BD613E" w:rsidRPr="00BD613E" w:rsidRDefault="00000000" w:rsidP="00BD613E">
                                <w:pPr>
                                  <w:pStyle w:val="NoSpacing"/>
                                  <w:rPr>
                                    <w:caps/>
                                    <w:color w:val="ED7D31" w:themeColor="accent2"/>
                                    <w:sz w:val="26"/>
                                    <w:szCs w:val="26"/>
                                  </w:rPr>
                                </w:pPr>
                                <w:sdt>
                                  <w:sdtPr>
                                    <w:rPr>
                                      <w:caps/>
                                      <w:color w:val="ED7D31" w:themeColor="accent2"/>
                                      <w:sz w:val="26"/>
                                      <w:szCs w:val="26"/>
                                    </w:rPr>
                                    <w:alias w:val="Abstract"/>
                                    <w:tag w:val=""/>
                                    <w:id w:val="-2036181933"/>
                                    <w:dataBinding w:prefixMappings="xmlns:ns0='http://schemas.microsoft.com/office/2006/coverPageProps' " w:xpath="/ns0:CoverPageProperties[1]/ns0:Abstract[1]" w:storeItemID="{55AF091B-3C7A-41E3-B477-F2FDAA23CFDA}"/>
                                    <w:text/>
                                  </w:sdtPr>
                                  <w:sdtContent>
                                    <w:r w:rsidR="00BD613E" w:rsidRPr="00BD613E">
                                      <w:rPr>
                                        <w:caps/>
                                        <w:color w:val="ED7D31" w:themeColor="accent2"/>
                                        <w:sz w:val="26"/>
                                        <w:szCs w:val="26"/>
                                      </w:rPr>
                                      <w:t>University Of Wales Trinity Saint David</w:t>
                                    </w:r>
                                  </w:sdtContent>
                                </w:sdt>
                              </w:p>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5E931AE4" w14:textId="64AD24CA" w:rsidR="00BD613E" w:rsidRDefault="00BD613E">
                                    <w:pPr>
                                      <w:pStyle w:val="NoSpacing"/>
                                      <w:rPr>
                                        <w:color w:val="ED7D31" w:themeColor="accent2"/>
                                        <w:sz w:val="26"/>
                                        <w:szCs w:val="26"/>
                                      </w:rPr>
                                    </w:pPr>
                                    <w:proofErr w:type="spellStart"/>
                                    <w:r>
                                      <w:rPr>
                                        <w:color w:val="ED7D31" w:themeColor="accent2"/>
                                        <w:sz w:val="26"/>
                                        <w:szCs w:val="26"/>
                                      </w:rPr>
                                      <w:t>Penko</w:t>
                                    </w:r>
                                    <w:proofErr w:type="spellEnd"/>
                                    <w:r>
                                      <w:rPr>
                                        <w:color w:val="ED7D31" w:themeColor="accent2"/>
                                        <w:sz w:val="26"/>
                                        <w:szCs w:val="26"/>
                                      </w:rPr>
                                      <w:t xml:space="preserve"> </w:t>
                                    </w:r>
                                    <w:proofErr w:type="spellStart"/>
                                    <w:r>
                                      <w:rPr>
                                        <w:color w:val="ED7D31" w:themeColor="accent2"/>
                                        <w:sz w:val="26"/>
                                        <w:szCs w:val="26"/>
                                      </w:rPr>
                                      <w:t>Nedelchev</w:t>
                                    </w:r>
                                    <w:proofErr w:type="spellEnd"/>
                                    <w:r>
                                      <w:rPr>
                                        <w:color w:val="ED7D31" w:themeColor="accent2"/>
                                        <w:sz w:val="26"/>
                                        <w:szCs w:val="26"/>
                                      </w:rPr>
                                      <w:t xml:space="preserve"> (2112415)</w:t>
                                    </w:r>
                                  </w:p>
                                </w:sdtContent>
                              </w:sdt>
                              <w:p w14:paraId="4C7B8A00" w14:textId="12FD12ED" w:rsidR="00BD613E" w:rsidRDefault="00000000">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BD613E">
                                      <w:rPr>
                                        <w:color w:val="44546A" w:themeColor="text2"/>
                                      </w:rPr>
                                      <w:t>Business Management</w:t>
                                    </w:r>
                                  </w:sdtContent>
                                </w:sdt>
                              </w:p>
                            </w:tc>
                          </w:tr>
                        </w:tbl>
                        <w:p w14:paraId="0CECAFEE" w14:textId="77777777" w:rsidR="00BD613E" w:rsidRDefault="00BD613E"/>
                      </w:txbxContent>
                    </v:textbox>
                    <w10:wrap anchorx="page" anchory="page"/>
                  </v:shape>
                </w:pict>
              </mc:Fallback>
            </mc:AlternateContent>
          </w:r>
          <w:r>
            <w:rPr>
              <w:rFonts w:ascii="Times New Roman" w:hAnsi="Times New Roman" w:cs="Times New Roman"/>
              <w:b/>
              <w:bCs/>
              <w:sz w:val="24"/>
              <w:szCs w:val="24"/>
            </w:rPr>
            <w:br w:type="page"/>
          </w:r>
        </w:p>
      </w:sdtContent>
    </w:sdt>
    <w:sdt>
      <w:sdtPr>
        <w:rPr>
          <w:rFonts w:ascii="Times New Roman" w:eastAsiaTheme="minorHAnsi" w:hAnsi="Times New Roman" w:cs="Times New Roman"/>
          <w:b w:val="0"/>
          <w:bCs w:val="0"/>
          <w:color w:val="auto"/>
          <w:sz w:val="24"/>
          <w:szCs w:val="24"/>
          <w:lang w:val="en-GB"/>
        </w:rPr>
        <w:id w:val="834108"/>
        <w:docPartObj>
          <w:docPartGallery w:val="Table of Contents"/>
          <w:docPartUnique/>
        </w:docPartObj>
      </w:sdtPr>
      <w:sdtContent>
        <w:p w14:paraId="1E7C2B3F" w14:textId="50AD4F33" w:rsidR="00BD613E" w:rsidRPr="001570AE" w:rsidRDefault="00BD613E" w:rsidP="00BD613E">
          <w:pPr>
            <w:pStyle w:val="TOCHeading"/>
            <w:spacing w:line="360" w:lineRule="auto"/>
            <w:jc w:val="both"/>
            <w:rPr>
              <w:rFonts w:ascii="Times New Roman" w:hAnsi="Times New Roman" w:cs="Times New Roman"/>
              <w:color w:val="auto"/>
              <w:sz w:val="24"/>
              <w:szCs w:val="24"/>
            </w:rPr>
          </w:pPr>
          <w:r w:rsidRPr="001570AE">
            <w:rPr>
              <w:rFonts w:ascii="Times New Roman" w:hAnsi="Times New Roman" w:cs="Times New Roman"/>
              <w:color w:val="auto"/>
              <w:sz w:val="24"/>
              <w:szCs w:val="24"/>
            </w:rPr>
            <w:t>Table of Contents</w:t>
          </w:r>
        </w:p>
        <w:p w14:paraId="162C050B" w14:textId="1F6361F1" w:rsidR="00B27099" w:rsidRDefault="00BD613E">
          <w:pPr>
            <w:pStyle w:val="TOC1"/>
            <w:tabs>
              <w:tab w:val="right" w:leader="dot" w:pos="9350"/>
            </w:tabs>
            <w:rPr>
              <w:rFonts w:eastAsiaTheme="minorEastAsia"/>
              <w:noProof/>
              <w:lang w:val="en-US"/>
            </w:rPr>
          </w:pPr>
          <w:r w:rsidRPr="001570AE">
            <w:rPr>
              <w:rFonts w:ascii="Times New Roman" w:hAnsi="Times New Roman" w:cs="Times New Roman"/>
              <w:sz w:val="24"/>
              <w:szCs w:val="24"/>
            </w:rPr>
            <w:fldChar w:fldCharType="begin"/>
          </w:r>
          <w:r w:rsidRPr="001570AE">
            <w:rPr>
              <w:rFonts w:ascii="Times New Roman" w:hAnsi="Times New Roman" w:cs="Times New Roman"/>
              <w:sz w:val="24"/>
              <w:szCs w:val="24"/>
            </w:rPr>
            <w:instrText xml:space="preserve"> TOC \o "1-3" \h \z \u </w:instrText>
          </w:r>
          <w:r w:rsidRPr="001570AE">
            <w:rPr>
              <w:rFonts w:ascii="Times New Roman" w:hAnsi="Times New Roman" w:cs="Times New Roman"/>
              <w:sz w:val="24"/>
              <w:szCs w:val="24"/>
            </w:rPr>
            <w:fldChar w:fldCharType="separate"/>
          </w:r>
          <w:hyperlink w:anchor="_Toc131684510" w:history="1">
            <w:r w:rsidR="00B27099" w:rsidRPr="00D8793B">
              <w:rPr>
                <w:rStyle w:val="Hyperlink"/>
                <w:rFonts w:cstheme="minorHAnsi"/>
                <w:noProof/>
              </w:rPr>
              <w:t>Introduction</w:t>
            </w:r>
            <w:r w:rsidR="00B27099">
              <w:rPr>
                <w:noProof/>
                <w:webHidden/>
              </w:rPr>
              <w:tab/>
            </w:r>
            <w:r w:rsidR="00B27099">
              <w:rPr>
                <w:noProof/>
                <w:webHidden/>
              </w:rPr>
              <w:fldChar w:fldCharType="begin"/>
            </w:r>
            <w:r w:rsidR="00B27099">
              <w:rPr>
                <w:noProof/>
                <w:webHidden/>
              </w:rPr>
              <w:instrText xml:space="preserve"> PAGEREF _Toc131684510 \h </w:instrText>
            </w:r>
            <w:r w:rsidR="00B27099">
              <w:rPr>
                <w:noProof/>
                <w:webHidden/>
              </w:rPr>
            </w:r>
            <w:r w:rsidR="00B27099">
              <w:rPr>
                <w:noProof/>
                <w:webHidden/>
              </w:rPr>
              <w:fldChar w:fldCharType="separate"/>
            </w:r>
            <w:r w:rsidR="00B27099">
              <w:rPr>
                <w:noProof/>
                <w:webHidden/>
              </w:rPr>
              <w:t>2</w:t>
            </w:r>
            <w:r w:rsidR="00B27099">
              <w:rPr>
                <w:noProof/>
                <w:webHidden/>
              </w:rPr>
              <w:fldChar w:fldCharType="end"/>
            </w:r>
          </w:hyperlink>
        </w:p>
        <w:p w14:paraId="31CA2D8C" w14:textId="46AB7FEE" w:rsidR="00B27099" w:rsidRDefault="00B27099">
          <w:pPr>
            <w:pStyle w:val="TOC1"/>
            <w:tabs>
              <w:tab w:val="right" w:leader="dot" w:pos="9350"/>
            </w:tabs>
            <w:rPr>
              <w:rFonts w:eastAsiaTheme="minorEastAsia"/>
              <w:noProof/>
              <w:lang w:val="en-US"/>
            </w:rPr>
          </w:pPr>
          <w:hyperlink w:anchor="_Toc131684511" w:history="1">
            <w:r w:rsidRPr="00D8793B">
              <w:rPr>
                <w:rStyle w:val="Hyperlink"/>
                <w:rFonts w:cstheme="minorHAnsi"/>
                <w:noProof/>
              </w:rPr>
              <w:t>Construction project plan</w:t>
            </w:r>
            <w:r>
              <w:rPr>
                <w:noProof/>
                <w:webHidden/>
              </w:rPr>
              <w:tab/>
            </w:r>
            <w:r>
              <w:rPr>
                <w:noProof/>
                <w:webHidden/>
              </w:rPr>
              <w:fldChar w:fldCharType="begin"/>
            </w:r>
            <w:r>
              <w:rPr>
                <w:noProof/>
                <w:webHidden/>
              </w:rPr>
              <w:instrText xml:space="preserve"> PAGEREF _Toc131684511 \h </w:instrText>
            </w:r>
            <w:r>
              <w:rPr>
                <w:noProof/>
                <w:webHidden/>
              </w:rPr>
            </w:r>
            <w:r>
              <w:rPr>
                <w:noProof/>
                <w:webHidden/>
              </w:rPr>
              <w:fldChar w:fldCharType="separate"/>
            </w:r>
            <w:r>
              <w:rPr>
                <w:noProof/>
                <w:webHidden/>
              </w:rPr>
              <w:t>2</w:t>
            </w:r>
            <w:r>
              <w:rPr>
                <w:noProof/>
                <w:webHidden/>
              </w:rPr>
              <w:fldChar w:fldCharType="end"/>
            </w:r>
          </w:hyperlink>
        </w:p>
        <w:p w14:paraId="34421054" w14:textId="20BA2307" w:rsidR="00B27099" w:rsidRDefault="00B27099">
          <w:pPr>
            <w:pStyle w:val="TOC2"/>
            <w:tabs>
              <w:tab w:val="right" w:leader="dot" w:pos="9350"/>
            </w:tabs>
            <w:rPr>
              <w:rFonts w:eastAsiaTheme="minorEastAsia"/>
              <w:noProof/>
              <w:lang w:val="en-US"/>
            </w:rPr>
          </w:pPr>
          <w:hyperlink w:anchor="_Toc131684512" w:history="1">
            <w:r w:rsidRPr="00D8793B">
              <w:rPr>
                <w:rStyle w:val="Hyperlink"/>
                <w:rFonts w:cstheme="minorHAnsi"/>
                <w:noProof/>
              </w:rPr>
              <w:t>Stakeholders of the Hinkley Point C of the UK</w:t>
            </w:r>
            <w:r>
              <w:rPr>
                <w:noProof/>
                <w:webHidden/>
              </w:rPr>
              <w:tab/>
            </w:r>
            <w:r>
              <w:rPr>
                <w:noProof/>
                <w:webHidden/>
              </w:rPr>
              <w:fldChar w:fldCharType="begin"/>
            </w:r>
            <w:r>
              <w:rPr>
                <w:noProof/>
                <w:webHidden/>
              </w:rPr>
              <w:instrText xml:space="preserve"> PAGEREF _Toc131684512 \h </w:instrText>
            </w:r>
            <w:r>
              <w:rPr>
                <w:noProof/>
                <w:webHidden/>
              </w:rPr>
            </w:r>
            <w:r>
              <w:rPr>
                <w:noProof/>
                <w:webHidden/>
              </w:rPr>
              <w:fldChar w:fldCharType="separate"/>
            </w:r>
            <w:r>
              <w:rPr>
                <w:noProof/>
                <w:webHidden/>
              </w:rPr>
              <w:t>2</w:t>
            </w:r>
            <w:r>
              <w:rPr>
                <w:noProof/>
                <w:webHidden/>
              </w:rPr>
              <w:fldChar w:fldCharType="end"/>
            </w:r>
          </w:hyperlink>
        </w:p>
        <w:p w14:paraId="65793065" w14:textId="0E31B435" w:rsidR="00B27099" w:rsidRDefault="00B27099">
          <w:pPr>
            <w:pStyle w:val="TOC2"/>
            <w:tabs>
              <w:tab w:val="right" w:leader="dot" w:pos="9350"/>
            </w:tabs>
            <w:rPr>
              <w:rFonts w:eastAsiaTheme="minorEastAsia"/>
              <w:noProof/>
              <w:lang w:val="en-US"/>
            </w:rPr>
          </w:pPr>
          <w:hyperlink w:anchor="_Toc131684513" w:history="1">
            <w:r w:rsidRPr="00D8793B">
              <w:rPr>
                <w:rStyle w:val="Hyperlink"/>
                <w:rFonts w:cstheme="minorHAnsi"/>
                <w:noProof/>
              </w:rPr>
              <w:t>Timescale</w:t>
            </w:r>
            <w:r>
              <w:rPr>
                <w:noProof/>
                <w:webHidden/>
              </w:rPr>
              <w:tab/>
            </w:r>
            <w:r>
              <w:rPr>
                <w:noProof/>
                <w:webHidden/>
              </w:rPr>
              <w:fldChar w:fldCharType="begin"/>
            </w:r>
            <w:r>
              <w:rPr>
                <w:noProof/>
                <w:webHidden/>
              </w:rPr>
              <w:instrText xml:space="preserve"> PAGEREF _Toc131684513 \h </w:instrText>
            </w:r>
            <w:r>
              <w:rPr>
                <w:noProof/>
                <w:webHidden/>
              </w:rPr>
            </w:r>
            <w:r>
              <w:rPr>
                <w:noProof/>
                <w:webHidden/>
              </w:rPr>
              <w:fldChar w:fldCharType="separate"/>
            </w:r>
            <w:r>
              <w:rPr>
                <w:noProof/>
                <w:webHidden/>
              </w:rPr>
              <w:t>4</w:t>
            </w:r>
            <w:r>
              <w:rPr>
                <w:noProof/>
                <w:webHidden/>
              </w:rPr>
              <w:fldChar w:fldCharType="end"/>
            </w:r>
          </w:hyperlink>
        </w:p>
        <w:p w14:paraId="75427046" w14:textId="3D20129C" w:rsidR="00B27099" w:rsidRDefault="00B27099">
          <w:pPr>
            <w:pStyle w:val="TOC2"/>
            <w:tabs>
              <w:tab w:val="right" w:leader="dot" w:pos="9350"/>
            </w:tabs>
            <w:rPr>
              <w:rFonts w:eastAsiaTheme="minorEastAsia"/>
              <w:noProof/>
              <w:lang w:val="en-US"/>
            </w:rPr>
          </w:pPr>
          <w:hyperlink w:anchor="_Toc131684514" w:history="1">
            <w:r w:rsidRPr="00D8793B">
              <w:rPr>
                <w:rStyle w:val="Hyperlink"/>
                <w:rFonts w:cstheme="minorHAnsi"/>
                <w:noProof/>
              </w:rPr>
              <w:t>Risk Analysis of Hinkley Point C of the UK</w:t>
            </w:r>
            <w:r>
              <w:rPr>
                <w:noProof/>
                <w:webHidden/>
              </w:rPr>
              <w:tab/>
            </w:r>
            <w:r>
              <w:rPr>
                <w:noProof/>
                <w:webHidden/>
              </w:rPr>
              <w:fldChar w:fldCharType="begin"/>
            </w:r>
            <w:r>
              <w:rPr>
                <w:noProof/>
                <w:webHidden/>
              </w:rPr>
              <w:instrText xml:space="preserve"> PAGEREF _Toc131684514 \h </w:instrText>
            </w:r>
            <w:r>
              <w:rPr>
                <w:noProof/>
                <w:webHidden/>
              </w:rPr>
            </w:r>
            <w:r>
              <w:rPr>
                <w:noProof/>
                <w:webHidden/>
              </w:rPr>
              <w:fldChar w:fldCharType="separate"/>
            </w:r>
            <w:r>
              <w:rPr>
                <w:noProof/>
                <w:webHidden/>
              </w:rPr>
              <w:t>6</w:t>
            </w:r>
            <w:r>
              <w:rPr>
                <w:noProof/>
                <w:webHidden/>
              </w:rPr>
              <w:fldChar w:fldCharType="end"/>
            </w:r>
          </w:hyperlink>
        </w:p>
        <w:p w14:paraId="10DA289D" w14:textId="4135B534" w:rsidR="00B27099" w:rsidRDefault="00B27099">
          <w:pPr>
            <w:pStyle w:val="TOC2"/>
            <w:tabs>
              <w:tab w:val="right" w:leader="dot" w:pos="9350"/>
            </w:tabs>
            <w:rPr>
              <w:rFonts w:eastAsiaTheme="minorEastAsia"/>
              <w:noProof/>
              <w:lang w:val="en-US"/>
            </w:rPr>
          </w:pPr>
          <w:hyperlink w:anchor="_Toc131684515" w:history="1">
            <w:r w:rsidRPr="00D8793B">
              <w:rPr>
                <w:rStyle w:val="Hyperlink"/>
                <w:rFonts w:cstheme="minorHAnsi"/>
                <w:noProof/>
              </w:rPr>
              <w:t>Challenges of risks</w:t>
            </w:r>
            <w:r>
              <w:rPr>
                <w:noProof/>
                <w:webHidden/>
              </w:rPr>
              <w:tab/>
            </w:r>
            <w:r>
              <w:rPr>
                <w:noProof/>
                <w:webHidden/>
              </w:rPr>
              <w:fldChar w:fldCharType="begin"/>
            </w:r>
            <w:r>
              <w:rPr>
                <w:noProof/>
                <w:webHidden/>
              </w:rPr>
              <w:instrText xml:space="preserve"> PAGEREF _Toc131684515 \h </w:instrText>
            </w:r>
            <w:r>
              <w:rPr>
                <w:noProof/>
                <w:webHidden/>
              </w:rPr>
            </w:r>
            <w:r>
              <w:rPr>
                <w:noProof/>
                <w:webHidden/>
              </w:rPr>
              <w:fldChar w:fldCharType="separate"/>
            </w:r>
            <w:r>
              <w:rPr>
                <w:noProof/>
                <w:webHidden/>
              </w:rPr>
              <w:t>8</w:t>
            </w:r>
            <w:r>
              <w:rPr>
                <w:noProof/>
                <w:webHidden/>
              </w:rPr>
              <w:fldChar w:fldCharType="end"/>
            </w:r>
          </w:hyperlink>
        </w:p>
        <w:p w14:paraId="1C54DA31" w14:textId="03067713" w:rsidR="00B27099" w:rsidRDefault="00B27099">
          <w:pPr>
            <w:pStyle w:val="TOC1"/>
            <w:tabs>
              <w:tab w:val="right" w:leader="dot" w:pos="9350"/>
            </w:tabs>
            <w:rPr>
              <w:rFonts w:eastAsiaTheme="minorEastAsia"/>
              <w:noProof/>
              <w:lang w:val="en-US"/>
            </w:rPr>
          </w:pPr>
          <w:hyperlink w:anchor="_Toc131684516" w:history="1">
            <w:r w:rsidRPr="00D8793B">
              <w:rPr>
                <w:rStyle w:val="Hyperlink"/>
                <w:rFonts w:cstheme="minorHAnsi"/>
                <w:noProof/>
              </w:rPr>
              <w:t>Recommendation</w:t>
            </w:r>
            <w:r>
              <w:rPr>
                <w:noProof/>
                <w:webHidden/>
              </w:rPr>
              <w:tab/>
            </w:r>
            <w:r>
              <w:rPr>
                <w:noProof/>
                <w:webHidden/>
              </w:rPr>
              <w:fldChar w:fldCharType="begin"/>
            </w:r>
            <w:r>
              <w:rPr>
                <w:noProof/>
                <w:webHidden/>
              </w:rPr>
              <w:instrText xml:space="preserve"> PAGEREF _Toc131684516 \h </w:instrText>
            </w:r>
            <w:r>
              <w:rPr>
                <w:noProof/>
                <w:webHidden/>
              </w:rPr>
            </w:r>
            <w:r>
              <w:rPr>
                <w:noProof/>
                <w:webHidden/>
              </w:rPr>
              <w:fldChar w:fldCharType="separate"/>
            </w:r>
            <w:r>
              <w:rPr>
                <w:noProof/>
                <w:webHidden/>
              </w:rPr>
              <w:t>9</w:t>
            </w:r>
            <w:r>
              <w:rPr>
                <w:noProof/>
                <w:webHidden/>
              </w:rPr>
              <w:fldChar w:fldCharType="end"/>
            </w:r>
          </w:hyperlink>
        </w:p>
        <w:p w14:paraId="7E434464" w14:textId="2B4F5FDC" w:rsidR="00B27099" w:rsidRDefault="00B27099">
          <w:pPr>
            <w:pStyle w:val="TOC1"/>
            <w:tabs>
              <w:tab w:val="right" w:leader="dot" w:pos="9350"/>
            </w:tabs>
            <w:rPr>
              <w:rFonts w:eastAsiaTheme="minorEastAsia"/>
              <w:noProof/>
              <w:lang w:val="en-US"/>
            </w:rPr>
          </w:pPr>
          <w:hyperlink w:anchor="_Toc131684517" w:history="1">
            <w:r w:rsidRPr="00D8793B">
              <w:rPr>
                <w:rStyle w:val="Hyperlink"/>
                <w:rFonts w:cstheme="minorHAnsi"/>
                <w:noProof/>
              </w:rPr>
              <w:t>Conclusion</w:t>
            </w:r>
            <w:r>
              <w:rPr>
                <w:noProof/>
                <w:webHidden/>
              </w:rPr>
              <w:tab/>
            </w:r>
            <w:r>
              <w:rPr>
                <w:noProof/>
                <w:webHidden/>
              </w:rPr>
              <w:fldChar w:fldCharType="begin"/>
            </w:r>
            <w:r>
              <w:rPr>
                <w:noProof/>
                <w:webHidden/>
              </w:rPr>
              <w:instrText xml:space="preserve"> PAGEREF _Toc131684517 \h </w:instrText>
            </w:r>
            <w:r>
              <w:rPr>
                <w:noProof/>
                <w:webHidden/>
              </w:rPr>
            </w:r>
            <w:r>
              <w:rPr>
                <w:noProof/>
                <w:webHidden/>
              </w:rPr>
              <w:fldChar w:fldCharType="separate"/>
            </w:r>
            <w:r>
              <w:rPr>
                <w:noProof/>
                <w:webHidden/>
              </w:rPr>
              <w:t>10</w:t>
            </w:r>
            <w:r>
              <w:rPr>
                <w:noProof/>
                <w:webHidden/>
              </w:rPr>
              <w:fldChar w:fldCharType="end"/>
            </w:r>
          </w:hyperlink>
        </w:p>
        <w:p w14:paraId="75A3B22D" w14:textId="1B7F5A4F" w:rsidR="00B27099" w:rsidRDefault="00B27099">
          <w:pPr>
            <w:pStyle w:val="TOC1"/>
            <w:tabs>
              <w:tab w:val="right" w:leader="dot" w:pos="9350"/>
            </w:tabs>
            <w:rPr>
              <w:rFonts w:eastAsiaTheme="minorEastAsia"/>
              <w:noProof/>
              <w:lang w:val="en-US"/>
            </w:rPr>
          </w:pPr>
          <w:hyperlink w:anchor="_Toc131684518" w:history="1">
            <w:r w:rsidRPr="00D8793B">
              <w:rPr>
                <w:rStyle w:val="Hyperlink"/>
                <w:noProof/>
              </w:rPr>
              <w:t>References</w:t>
            </w:r>
            <w:r>
              <w:rPr>
                <w:noProof/>
                <w:webHidden/>
              </w:rPr>
              <w:tab/>
            </w:r>
            <w:r>
              <w:rPr>
                <w:noProof/>
                <w:webHidden/>
              </w:rPr>
              <w:fldChar w:fldCharType="begin"/>
            </w:r>
            <w:r>
              <w:rPr>
                <w:noProof/>
                <w:webHidden/>
              </w:rPr>
              <w:instrText xml:space="preserve"> PAGEREF _Toc131684518 \h </w:instrText>
            </w:r>
            <w:r>
              <w:rPr>
                <w:noProof/>
                <w:webHidden/>
              </w:rPr>
            </w:r>
            <w:r>
              <w:rPr>
                <w:noProof/>
                <w:webHidden/>
              </w:rPr>
              <w:fldChar w:fldCharType="separate"/>
            </w:r>
            <w:r>
              <w:rPr>
                <w:noProof/>
                <w:webHidden/>
              </w:rPr>
              <w:t>11</w:t>
            </w:r>
            <w:r>
              <w:rPr>
                <w:noProof/>
                <w:webHidden/>
              </w:rPr>
              <w:fldChar w:fldCharType="end"/>
            </w:r>
          </w:hyperlink>
        </w:p>
        <w:p w14:paraId="4AB7F2B5" w14:textId="23F7604F" w:rsidR="00BD613E" w:rsidRPr="001570AE" w:rsidRDefault="00BD613E" w:rsidP="00BD613E">
          <w:pPr>
            <w:spacing w:line="360" w:lineRule="auto"/>
            <w:jc w:val="both"/>
            <w:rPr>
              <w:rFonts w:ascii="Times New Roman" w:hAnsi="Times New Roman" w:cs="Times New Roman"/>
              <w:sz w:val="24"/>
              <w:szCs w:val="24"/>
            </w:rPr>
          </w:pPr>
          <w:r w:rsidRPr="001570AE">
            <w:rPr>
              <w:rFonts w:ascii="Times New Roman" w:hAnsi="Times New Roman" w:cs="Times New Roman"/>
              <w:sz w:val="24"/>
              <w:szCs w:val="24"/>
            </w:rPr>
            <w:fldChar w:fldCharType="end"/>
          </w:r>
        </w:p>
      </w:sdtContent>
    </w:sdt>
    <w:p w14:paraId="0DE6F5F4" w14:textId="77777777" w:rsidR="00BD613E" w:rsidRPr="00B27099" w:rsidRDefault="00BD613E" w:rsidP="00BD613E">
      <w:pPr>
        <w:spacing w:line="360" w:lineRule="auto"/>
        <w:jc w:val="both"/>
        <w:rPr>
          <w:rFonts w:eastAsiaTheme="majorEastAsia" w:cstheme="minorHAnsi"/>
          <w:b/>
          <w:bCs/>
          <w:sz w:val="24"/>
          <w:szCs w:val="24"/>
        </w:rPr>
      </w:pPr>
      <w:r w:rsidRPr="00B27099">
        <w:rPr>
          <w:rFonts w:cstheme="minorHAnsi"/>
          <w:sz w:val="24"/>
          <w:szCs w:val="24"/>
        </w:rPr>
        <w:br w:type="page"/>
      </w:r>
    </w:p>
    <w:p w14:paraId="70765034" w14:textId="77777777" w:rsidR="00BD613E" w:rsidRPr="00B27099" w:rsidRDefault="00BD613E" w:rsidP="00BD613E">
      <w:pPr>
        <w:pStyle w:val="Heading1"/>
        <w:spacing w:line="360" w:lineRule="auto"/>
        <w:jc w:val="both"/>
        <w:rPr>
          <w:rFonts w:asciiTheme="minorHAnsi" w:hAnsiTheme="minorHAnsi" w:cstheme="minorHAnsi"/>
          <w:color w:val="auto"/>
          <w:sz w:val="24"/>
          <w:szCs w:val="24"/>
        </w:rPr>
      </w:pPr>
      <w:bookmarkStart w:id="1" w:name="_Toc131684510"/>
      <w:r w:rsidRPr="00B27099">
        <w:rPr>
          <w:rFonts w:asciiTheme="minorHAnsi" w:hAnsiTheme="minorHAnsi" w:cstheme="minorHAnsi"/>
          <w:color w:val="auto"/>
          <w:sz w:val="24"/>
          <w:szCs w:val="24"/>
        </w:rPr>
        <w:lastRenderedPageBreak/>
        <w:t>Introduction</w:t>
      </w:r>
      <w:bookmarkEnd w:id="1"/>
    </w:p>
    <w:p w14:paraId="05EFCE6F" w14:textId="77777777" w:rsidR="00BD613E" w:rsidRPr="00B27099" w:rsidRDefault="00BD613E" w:rsidP="00BD613E">
      <w:pPr>
        <w:spacing w:line="360" w:lineRule="auto"/>
        <w:jc w:val="both"/>
        <w:rPr>
          <w:rFonts w:cstheme="minorHAnsi"/>
          <w:sz w:val="24"/>
          <w:szCs w:val="24"/>
        </w:rPr>
      </w:pPr>
      <w:r w:rsidRPr="00B27099">
        <w:rPr>
          <w:rFonts w:cstheme="minorHAnsi"/>
          <w:sz w:val="24"/>
          <w:szCs w:val="24"/>
        </w:rPr>
        <w:t xml:space="preserve">The process of effectively monitoring people, procedures, proficiency, knowledge, and methodologies to attain specific project objectives in prearranged restraints described in the project acceptance criteria is known as project management (Alberto, 2019). </w:t>
      </w:r>
      <w:proofErr w:type="gramStart"/>
      <w:r w:rsidRPr="00B27099">
        <w:rPr>
          <w:rFonts w:cstheme="minorHAnsi"/>
          <w:sz w:val="24"/>
          <w:szCs w:val="24"/>
        </w:rPr>
        <w:t>In order to</w:t>
      </w:r>
      <w:proofErr w:type="gramEnd"/>
      <w:r w:rsidRPr="00B27099">
        <w:rPr>
          <w:rFonts w:cstheme="minorHAnsi"/>
          <w:sz w:val="24"/>
          <w:szCs w:val="24"/>
        </w:rPr>
        <w:t xml:space="preserve"> make a successful project certain techniques are used that is mentioned in this study as well a project management plan is effective as it entails various variables like making a business, taking the risk, collaborators, timescale, HRM, quality, value proposition, and so on.  </w:t>
      </w:r>
    </w:p>
    <w:p w14:paraId="5BCF2F65" w14:textId="3AE9A1CC" w:rsidR="00BD613E" w:rsidRPr="00B27099" w:rsidRDefault="00BD613E" w:rsidP="00BD613E">
      <w:pPr>
        <w:spacing w:line="360" w:lineRule="auto"/>
        <w:jc w:val="both"/>
        <w:rPr>
          <w:rFonts w:cstheme="minorHAnsi"/>
          <w:sz w:val="24"/>
          <w:szCs w:val="24"/>
        </w:rPr>
      </w:pPr>
      <w:r w:rsidRPr="00B27099">
        <w:rPr>
          <w:rFonts w:cstheme="minorHAnsi"/>
          <w:sz w:val="24"/>
          <w:szCs w:val="24"/>
        </w:rPr>
        <w:t xml:space="preserve">The Hinkley point C of the UK is situated in Somerset and serves low-carbon electricity for </w:t>
      </w:r>
      <w:r w:rsidR="00DF0546" w:rsidRPr="00B27099">
        <w:rPr>
          <w:rFonts w:cstheme="minorHAnsi"/>
          <w:sz w:val="24"/>
          <w:szCs w:val="24"/>
        </w:rPr>
        <w:t>approx.</w:t>
      </w:r>
      <w:r w:rsidRPr="00B27099">
        <w:rPr>
          <w:rFonts w:cstheme="minorHAnsi"/>
          <w:sz w:val="24"/>
          <w:szCs w:val="24"/>
        </w:rPr>
        <w:t xml:space="preserve"> 6 million homes as well as offers job opportunities to people. They make a major contribution to the environment by lessening carbon emissions and numerous delays are happening in Europe’s biggest construction region presently Hinkley Point C does not produce electricity until June 2027, two years behind its real schedule (Harvey, 2021). However, they are suffering from huge overruns and delays. This is happening due to the pandemic situation following disclosing the new nuclear power station will commence operating a year later than planned and will charge an additional 3bn Euros.  Hence, the UK Company will acquire 64% of the project’s building value and additional capital is required to tackle the construction work and suitably predict the managerial risks when constructing new buildings. This project mainly concentrates on the initial project plan and evaluates what went wrong that resulted in such huge delays and overruns.</w:t>
      </w:r>
    </w:p>
    <w:p w14:paraId="365A22F0" w14:textId="77777777" w:rsidR="00BD613E" w:rsidRPr="00B27099" w:rsidRDefault="00BD613E" w:rsidP="00BD613E">
      <w:pPr>
        <w:pStyle w:val="Heading1"/>
        <w:spacing w:line="360" w:lineRule="auto"/>
        <w:jc w:val="both"/>
        <w:rPr>
          <w:rFonts w:asciiTheme="minorHAnsi" w:hAnsiTheme="minorHAnsi" w:cstheme="minorHAnsi"/>
          <w:color w:val="auto"/>
          <w:sz w:val="24"/>
          <w:szCs w:val="24"/>
        </w:rPr>
      </w:pPr>
      <w:bookmarkStart w:id="2" w:name="_Toc131684511"/>
      <w:r w:rsidRPr="00B27099">
        <w:rPr>
          <w:rFonts w:asciiTheme="minorHAnsi" w:hAnsiTheme="minorHAnsi" w:cstheme="minorHAnsi"/>
          <w:color w:val="auto"/>
          <w:sz w:val="24"/>
          <w:szCs w:val="24"/>
        </w:rPr>
        <w:t>Construction project plan</w:t>
      </w:r>
      <w:bookmarkEnd w:id="2"/>
    </w:p>
    <w:p w14:paraId="3AFB2495" w14:textId="77777777" w:rsidR="00BD613E" w:rsidRPr="00B27099" w:rsidRDefault="00BD613E" w:rsidP="00BD613E">
      <w:pPr>
        <w:pStyle w:val="Heading2"/>
        <w:spacing w:line="360" w:lineRule="auto"/>
        <w:jc w:val="both"/>
        <w:rPr>
          <w:rFonts w:asciiTheme="minorHAnsi" w:hAnsiTheme="minorHAnsi" w:cstheme="minorHAnsi"/>
          <w:sz w:val="24"/>
          <w:szCs w:val="24"/>
        </w:rPr>
      </w:pPr>
      <w:bookmarkStart w:id="3" w:name="_Toc131684512"/>
      <w:r w:rsidRPr="00B27099">
        <w:rPr>
          <w:rFonts w:asciiTheme="minorHAnsi" w:hAnsiTheme="minorHAnsi" w:cstheme="minorHAnsi"/>
          <w:sz w:val="24"/>
          <w:szCs w:val="24"/>
        </w:rPr>
        <w:t>Stakeholders of the Hinkley Point C of the UK</w:t>
      </w:r>
      <w:bookmarkEnd w:id="3"/>
    </w:p>
    <w:p w14:paraId="5C6DB1DC" w14:textId="140F0F21" w:rsidR="00B27099" w:rsidRPr="00B27099" w:rsidRDefault="00BD613E" w:rsidP="00BD613E">
      <w:pPr>
        <w:spacing w:line="360" w:lineRule="auto"/>
        <w:jc w:val="both"/>
        <w:rPr>
          <w:rFonts w:cstheme="minorHAnsi"/>
          <w:sz w:val="24"/>
          <w:szCs w:val="24"/>
        </w:rPr>
      </w:pPr>
      <w:r w:rsidRPr="00B27099">
        <w:rPr>
          <w:rFonts w:cstheme="minorHAnsi"/>
          <w:sz w:val="24"/>
          <w:szCs w:val="24"/>
        </w:rPr>
        <w:t xml:space="preserve">Stakeholders play a major part in developing the new nuclear power plant as they are responsible for accomplishing the tasks provided to them and attaining the project’s motives. The tasks provided to the various stakeholders are useful in handling the construction work of nuclear power plants and completing the task timely </w:t>
      </w:r>
      <w:sdt>
        <w:sdtPr>
          <w:rPr>
            <w:rFonts w:cstheme="minorHAnsi"/>
            <w:sz w:val="24"/>
            <w:szCs w:val="24"/>
          </w:rPr>
          <w:id w:val="902796215"/>
          <w:citation/>
        </w:sdtPr>
        <w:sdtContent>
          <w:r w:rsidR="003A6A1F" w:rsidRPr="00B27099">
            <w:rPr>
              <w:rFonts w:cstheme="minorHAnsi"/>
              <w:sz w:val="24"/>
              <w:szCs w:val="24"/>
            </w:rPr>
            <w:fldChar w:fldCharType="begin"/>
          </w:r>
          <w:r w:rsidR="003A6A1F" w:rsidRPr="00B27099">
            <w:rPr>
              <w:rFonts w:cstheme="minorHAnsi"/>
              <w:sz w:val="24"/>
              <w:szCs w:val="24"/>
              <w:lang w:val="en-US"/>
            </w:rPr>
            <w:instrText xml:space="preserve"> CITATION FIO18 \l 1033 </w:instrText>
          </w:r>
          <w:r w:rsidR="003A6A1F" w:rsidRPr="00B27099">
            <w:rPr>
              <w:rFonts w:cstheme="minorHAnsi"/>
              <w:sz w:val="24"/>
              <w:szCs w:val="24"/>
            </w:rPr>
            <w:fldChar w:fldCharType="separate"/>
          </w:r>
          <w:r w:rsidR="003A6A1F" w:rsidRPr="00B27099">
            <w:rPr>
              <w:rFonts w:cstheme="minorHAnsi"/>
              <w:noProof/>
              <w:sz w:val="24"/>
              <w:szCs w:val="24"/>
              <w:lang w:val="en-US"/>
            </w:rPr>
            <w:t>(MCINTYRE, 2018)</w:t>
          </w:r>
          <w:r w:rsidR="003A6A1F" w:rsidRPr="00B27099">
            <w:rPr>
              <w:rFonts w:cstheme="minorHAnsi"/>
              <w:sz w:val="24"/>
              <w:szCs w:val="24"/>
            </w:rPr>
            <w:fldChar w:fldCharType="end"/>
          </w:r>
        </w:sdtContent>
      </w:sdt>
      <w:r w:rsidRPr="00B27099">
        <w:rPr>
          <w:rFonts w:cstheme="minorHAnsi"/>
          <w:sz w:val="24"/>
          <w:szCs w:val="24"/>
        </w:rPr>
        <w:t xml:space="preserve">.  The Hinkley Point C Stakeholder group is a professional panel that will reassess the implications for Wales of the advancement of the new Hinkley Point C power plant. Before the commencement of the project management plan, stakeholders are evaluated and it is segmented into groups relied on their roles and </w:t>
      </w:r>
      <w:r w:rsidRPr="00B27099">
        <w:rPr>
          <w:rFonts w:cstheme="minorHAnsi"/>
          <w:sz w:val="24"/>
          <w:szCs w:val="24"/>
        </w:rPr>
        <w:lastRenderedPageBreak/>
        <w:t xml:space="preserve">responsibilities, impact on the tactic, and interests which is known as an approach of estimating how to join most efficiently. According to the perspectives of Hinkley point C of the UK, CGNP and EDF have financed the project and approx. 45.5 billion Euros to be the whole lifetime price of planning to sufficiently entail building, disposal, nuclear waste management, and so on. </w:t>
      </w:r>
      <w:proofErr w:type="spellStart"/>
      <w:r w:rsidRPr="00B27099">
        <w:rPr>
          <w:rFonts w:cstheme="minorHAnsi"/>
          <w:sz w:val="24"/>
          <w:szCs w:val="24"/>
        </w:rPr>
        <w:t>Areva</w:t>
      </w:r>
      <w:proofErr w:type="spellEnd"/>
      <w:r w:rsidRPr="00B27099">
        <w:rPr>
          <w:rFonts w:cstheme="minorHAnsi"/>
          <w:sz w:val="24"/>
          <w:szCs w:val="24"/>
        </w:rPr>
        <w:t xml:space="preserve"> NP is majorly a Non </w:t>
      </w:r>
      <w:proofErr w:type="spellStart"/>
      <w:r w:rsidRPr="00B27099">
        <w:rPr>
          <w:rFonts w:cstheme="minorHAnsi"/>
          <w:sz w:val="24"/>
          <w:szCs w:val="24"/>
        </w:rPr>
        <w:t>Framatone</w:t>
      </w:r>
      <w:proofErr w:type="spellEnd"/>
      <w:r w:rsidRPr="00B27099">
        <w:rPr>
          <w:rFonts w:cstheme="minorHAnsi"/>
          <w:sz w:val="24"/>
          <w:szCs w:val="24"/>
        </w:rPr>
        <w:t xml:space="preserve"> business, and they safeguard a contract for the manufacturing and installation of the two EPR reactors for nearly 4.5 billion Euros. GE also acquired the $1.5 billion in 2016 for the delivery of two </w:t>
      </w:r>
      <w:proofErr w:type="spellStart"/>
      <w:r w:rsidRPr="00B27099">
        <w:rPr>
          <w:rFonts w:cstheme="minorHAnsi"/>
          <w:sz w:val="24"/>
          <w:szCs w:val="24"/>
        </w:rPr>
        <w:t>Arrabel</w:t>
      </w:r>
      <w:proofErr w:type="spellEnd"/>
      <w:r w:rsidRPr="00B27099">
        <w:rPr>
          <w:rFonts w:cstheme="minorHAnsi"/>
          <w:sz w:val="24"/>
          <w:szCs w:val="24"/>
        </w:rPr>
        <w:t xml:space="preserve"> steam turbines, connected tool, and generator tool for the nuclear power plant </w:t>
      </w:r>
      <w:sdt>
        <w:sdtPr>
          <w:rPr>
            <w:rFonts w:cstheme="minorHAnsi"/>
            <w:sz w:val="24"/>
            <w:szCs w:val="24"/>
          </w:rPr>
          <w:id w:val="-1737002585"/>
          <w:citation/>
        </w:sdtPr>
        <w:sdtContent>
          <w:r w:rsidR="00B27099" w:rsidRPr="00B27099">
            <w:rPr>
              <w:rFonts w:cstheme="minorHAnsi"/>
              <w:sz w:val="24"/>
              <w:szCs w:val="24"/>
            </w:rPr>
            <w:fldChar w:fldCharType="begin"/>
          </w:r>
          <w:r w:rsidR="00B27099" w:rsidRPr="00B27099">
            <w:rPr>
              <w:rFonts w:cstheme="minorHAnsi"/>
              <w:sz w:val="24"/>
              <w:szCs w:val="24"/>
              <w:lang w:val="en-US"/>
            </w:rPr>
            <w:instrText xml:space="preserve"> CITATION Han22 \l 1033 </w:instrText>
          </w:r>
          <w:r w:rsidR="00B27099" w:rsidRPr="00B27099">
            <w:rPr>
              <w:rFonts w:cstheme="minorHAnsi"/>
              <w:sz w:val="24"/>
              <w:szCs w:val="24"/>
            </w:rPr>
            <w:fldChar w:fldCharType="separate"/>
          </w:r>
          <w:r w:rsidR="00B27099" w:rsidRPr="00B27099">
            <w:rPr>
              <w:rFonts w:cstheme="minorHAnsi"/>
              <w:noProof/>
              <w:sz w:val="24"/>
              <w:szCs w:val="24"/>
              <w:lang w:val="en-US"/>
            </w:rPr>
            <w:t>(Hanine, 2022)</w:t>
          </w:r>
          <w:r w:rsidR="00B27099" w:rsidRPr="00B27099">
            <w:rPr>
              <w:rFonts w:cstheme="minorHAnsi"/>
              <w:sz w:val="24"/>
              <w:szCs w:val="24"/>
            </w:rPr>
            <w:fldChar w:fldCharType="end"/>
          </w:r>
        </w:sdtContent>
      </w:sdt>
      <w:r w:rsidRPr="00B27099">
        <w:rPr>
          <w:rFonts w:cstheme="minorHAnsi"/>
          <w:sz w:val="24"/>
          <w:szCs w:val="24"/>
        </w:rPr>
        <w:t xml:space="preserve">. </w:t>
      </w:r>
    </w:p>
    <w:p w14:paraId="0F1767C5" w14:textId="07C217EB" w:rsidR="003A6A1F" w:rsidRPr="00B27099" w:rsidRDefault="00BD613E" w:rsidP="00BD613E">
      <w:pPr>
        <w:spacing w:line="360" w:lineRule="auto"/>
        <w:jc w:val="both"/>
        <w:rPr>
          <w:rFonts w:cstheme="minorHAnsi"/>
          <w:sz w:val="24"/>
          <w:szCs w:val="24"/>
        </w:rPr>
      </w:pPr>
      <w:r w:rsidRPr="00B27099">
        <w:rPr>
          <w:rFonts w:cstheme="minorHAnsi"/>
          <w:sz w:val="24"/>
          <w:szCs w:val="24"/>
        </w:rPr>
        <w:t xml:space="preserve">An amalgamation among the Bouygues and Laing O’Rourke (BYLOR), the agreement for the HPC NPP’s civil engineering and construction was valued 1.5 billion Euros </w:t>
      </w:r>
      <w:proofErr w:type="gramStart"/>
      <w:r w:rsidRPr="00B27099">
        <w:rPr>
          <w:rFonts w:cstheme="minorHAnsi"/>
          <w:sz w:val="24"/>
          <w:szCs w:val="24"/>
        </w:rPr>
        <w:t>and also</w:t>
      </w:r>
      <w:proofErr w:type="gramEnd"/>
      <w:r w:rsidRPr="00B27099">
        <w:rPr>
          <w:rFonts w:cstheme="minorHAnsi"/>
          <w:sz w:val="24"/>
          <w:szCs w:val="24"/>
        </w:rPr>
        <w:t xml:space="preserve"> $268 million Earthwork plan for the project beginning in October 2015. Partnership has been done between Balfour </w:t>
      </w:r>
      <w:proofErr w:type="spellStart"/>
      <w:r w:rsidRPr="00B27099">
        <w:rPr>
          <w:rFonts w:cstheme="minorHAnsi"/>
          <w:sz w:val="24"/>
          <w:szCs w:val="24"/>
        </w:rPr>
        <w:t>beatty</w:t>
      </w:r>
      <w:proofErr w:type="spellEnd"/>
      <w:r w:rsidRPr="00B27099">
        <w:rPr>
          <w:rFonts w:cstheme="minorHAnsi"/>
          <w:sz w:val="24"/>
          <w:szCs w:val="24"/>
        </w:rPr>
        <w:t xml:space="preserve"> and NG bailey and they won the 477 million Euros deal for the electricity package for HPC in 2015 and under the UK’s national grid, J. Murphy &amp; Sons, Siemens, and Balfour Beatty offered the broadcast lines to the electricity plant in January 2023 (Hanine, 2022). The German industrial building business Bilfinger obtained a balance of plant agreement for building and installation value nearly 58 million Euros and at the perspectives of HPC, 56 km of pipes to adjoin the plant’s two reactor regions’ eight steam generators. Deal has been made with BYLOR in 2017 to serve construction supplies for the development of the power plant. They also offer a big </w:t>
      </w:r>
      <w:proofErr w:type="gramStart"/>
      <w:r w:rsidRPr="00B27099">
        <w:rPr>
          <w:rFonts w:cstheme="minorHAnsi"/>
          <w:sz w:val="24"/>
          <w:szCs w:val="24"/>
        </w:rPr>
        <w:t>stainless steel</w:t>
      </w:r>
      <w:proofErr w:type="gramEnd"/>
      <w:r w:rsidRPr="00B27099">
        <w:rPr>
          <w:rFonts w:cstheme="minorHAnsi"/>
          <w:sz w:val="24"/>
          <w:szCs w:val="24"/>
        </w:rPr>
        <w:t xml:space="preserve"> reservoir covers reactor water storage space tanks, and other power containers and vessels </w:t>
      </w:r>
      <w:sdt>
        <w:sdtPr>
          <w:rPr>
            <w:rFonts w:cstheme="minorHAnsi"/>
            <w:sz w:val="24"/>
            <w:szCs w:val="24"/>
          </w:rPr>
          <w:id w:val="-744946212"/>
          <w:citation/>
        </w:sdtPr>
        <w:sdtContent>
          <w:r w:rsidR="003A6A1F" w:rsidRPr="00B27099">
            <w:rPr>
              <w:rFonts w:cstheme="minorHAnsi"/>
              <w:sz w:val="24"/>
              <w:szCs w:val="24"/>
            </w:rPr>
            <w:fldChar w:fldCharType="begin"/>
          </w:r>
          <w:r w:rsidR="003A6A1F" w:rsidRPr="00B27099">
            <w:rPr>
              <w:rFonts w:cstheme="minorHAnsi"/>
              <w:sz w:val="24"/>
              <w:szCs w:val="24"/>
              <w:lang w:val="en-US"/>
            </w:rPr>
            <w:instrText xml:space="preserve"> CITATION Eri19 \l 1033 </w:instrText>
          </w:r>
          <w:r w:rsidR="003A6A1F" w:rsidRPr="00B27099">
            <w:rPr>
              <w:rFonts w:cstheme="minorHAnsi"/>
              <w:sz w:val="24"/>
              <w:szCs w:val="24"/>
            </w:rPr>
            <w:fldChar w:fldCharType="separate"/>
          </w:r>
          <w:r w:rsidR="003A6A1F" w:rsidRPr="00B27099">
            <w:rPr>
              <w:rFonts w:cstheme="minorHAnsi"/>
              <w:noProof/>
              <w:sz w:val="24"/>
              <w:szCs w:val="24"/>
              <w:lang w:val="en-US"/>
            </w:rPr>
            <w:t>(Daniel &amp; Daniel, 2019)</w:t>
          </w:r>
          <w:r w:rsidR="003A6A1F" w:rsidRPr="00B27099">
            <w:rPr>
              <w:rFonts w:cstheme="minorHAnsi"/>
              <w:sz w:val="24"/>
              <w:szCs w:val="24"/>
            </w:rPr>
            <w:fldChar w:fldCharType="end"/>
          </w:r>
        </w:sdtContent>
      </w:sdt>
      <w:r w:rsidRPr="00B27099">
        <w:rPr>
          <w:rFonts w:cstheme="minorHAnsi"/>
          <w:sz w:val="24"/>
          <w:szCs w:val="24"/>
        </w:rPr>
        <w:t>.</w:t>
      </w:r>
    </w:p>
    <w:p w14:paraId="65D4994C" w14:textId="233EAA7E" w:rsidR="00BD613E" w:rsidRPr="00B27099" w:rsidRDefault="00BD613E" w:rsidP="00BD613E">
      <w:pPr>
        <w:spacing w:line="360" w:lineRule="auto"/>
        <w:jc w:val="both"/>
        <w:rPr>
          <w:rFonts w:cstheme="minorHAnsi"/>
          <w:sz w:val="24"/>
          <w:szCs w:val="24"/>
        </w:rPr>
      </w:pPr>
      <w:r w:rsidRPr="00B27099">
        <w:rPr>
          <w:rFonts w:cstheme="minorHAnsi"/>
          <w:sz w:val="24"/>
          <w:szCs w:val="24"/>
        </w:rPr>
        <w:t xml:space="preserve">A deal for £35.5 million ($27.8 million) was given to Ovivo in June 2017 to design and deliver a cooling water method of control for Hinkley Point </w:t>
      </w:r>
      <w:proofErr w:type="spellStart"/>
      <w:r w:rsidRPr="00B27099">
        <w:rPr>
          <w:rFonts w:cstheme="minorHAnsi"/>
          <w:sz w:val="24"/>
          <w:szCs w:val="24"/>
        </w:rPr>
        <w:t>C at</w:t>
      </w:r>
      <w:proofErr w:type="spellEnd"/>
      <w:r w:rsidRPr="00B27099">
        <w:rPr>
          <w:rFonts w:cstheme="minorHAnsi"/>
          <w:sz w:val="24"/>
          <w:szCs w:val="24"/>
        </w:rPr>
        <w:t xml:space="preserve"> Hinkley Point C in July 2017. Formerly, Rolls-Royce and </w:t>
      </w:r>
      <w:proofErr w:type="spellStart"/>
      <w:r w:rsidRPr="00B27099">
        <w:rPr>
          <w:rFonts w:cstheme="minorHAnsi"/>
          <w:sz w:val="24"/>
          <w:szCs w:val="24"/>
        </w:rPr>
        <w:t>Nuvia</w:t>
      </w:r>
      <w:proofErr w:type="spellEnd"/>
      <w:r w:rsidRPr="00B27099">
        <w:rPr>
          <w:rFonts w:cstheme="minorHAnsi"/>
          <w:sz w:val="24"/>
          <w:szCs w:val="24"/>
        </w:rPr>
        <w:t xml:space="preserve"> collaborated on main and secondary recirculation Cooling applications for power plants (TEP).  The HPC project has been created and handled by the NNB Generation Company and EDF and China general nuclear power group acquire 66.5% and 35% of NNBG as well as the claims that two financiers will envelop the entire project 18 billion Euros process of the HPC building. In March 2017, the prime constant tangible was </w:t>
      </w:r>
      <w:proofErr w:type="gramStart"/>
      <w:r w:rsidRPr="00B27099">
        <w:rPr>
          <w:rFonts w:cstheme="minorHAnsi"/>
          <w:sz w:val="24"/>
          <w:szCs w:val="24"/>
        </w:rPr>
        <w:t>cast</w:t>
      </w:r>
      <w:proofErr w:type="gramEnd"/>
      <w:r w:rsidRPr="00B27099">
        <w:rPr>
          <w:rFonts w:cstheme="minorHAnsi"/>
          <w:sz w:val="24"/>
          <w:szCs w:val="24"/>
        </w:rPr>
        <w:t xml:space="preserve"> and the power station is </w:t>
      </w:r>
      <w:r w:rsidRPr="00B27099">
        <w:rPr>
          <w:rFonts w:cstheme="minorHAnsi"/>
          <w:sz w:val="24"/>
          <w:szCs w:val="24"/>
        </w:rPr>
        <w:lastRenderedPageBreak/>
        <w:t xml:space="preserve">about to begin generating electricity in 2025 and incessant performing until 2085 </w:t>
      </w:r>
      <w:sdt>
        <w:sdtPr>
          <w:rPr>
            <w:rFonts w:cstheme="minorHAnsi"/>
            <w:sz w:val="24"/>
            <w:szCs w:val="24"/>
          </w:rPr>
          <w:id w:val="1425082399"/>
          <w:citation/>
        </w:sdtPr>
        <w:sdtContent>
          <w:r w:rsidR="003A6A1F" w:rsidRPr="00B27099">
            <w:rPr>
              <w:rFonts w:cstheme="minorHAnsi"/>
              <w:sz w:val="24"/>
              <w:szCs w:val="24"/>
            </w:rPr>
            <w:fldChar w:fldCharType="begin"/>
          </w:r>
          <w:r w:rsidR="003A6A1F" w:rsidRPr="00B27099">
            <w:rPr>
              <w:rFonts w:cstheme="minorHAnsi"/>
              <w:sz w:val="24"/>
              <w:szCs w:val="24"/>
              <w:lang w:val="en-US"/>
            </w:rPr>
            <w:instrText xml:space="preserve"> CITATION Ann23 \l 1033 </w:instrText>
          </w:r>
          <w:r w:rsidR="003A6A1F" w:rsidRPr="00B27099">
            <w:rPr>
              <w:rFonts w:cstheme="minorHAnsi"/>
              <w:sz w:val="24"/>
              <w:szCs w:val="24"/>
            </w:rPr>
            <w:fldChar w:fldCharType="separate"/>
          </w:r>
          <w:r w:rsidR="003A6A1F" w:rsidRPr="00B27099">
            <w:rPr>
              <w:rFonts w:cstheme="minorHAnsi"/>
              <w:noProof/>
              <w:sz w:val="24"/>
              <w:szCs w:val="24"/>
              <w:lang w:val="en-US"/>
            </w:rPr>
            <w:t>(Cossins-Smith, 2023)</w:t>
          </w:r>
          <w:r w:rsidR="003A6A1F" w:rsidRPr="00B27099">
            <w:rPr>
              <w:rFonts w:cstheme="minorHAnsi"/>
              <w:sz w:val="24"/>
              <w:szCs w:val="24"/>
            </w:rPr>
            <w:fldChar w:fldCharType="end"/>
          </w:r>
        </w:sdtContent>
      </w:sdt>
      <w:r w:rsidRPr="00B27099">
        <w:rPr>
          <w:rFonts w:cstheme="minorHAnsi"/>
          <w:sz w:val="24"/>
          <w:szCs w:val="24"/>
        </w:rPr>
        <w:t>.</w:t>
      </w:r>
    </w:p>
    <w:p w14:paraId="2809E6AE" w14:textId="77777777" w:rsidR="00BD613E" w:rsidRPr="00B27099" w:rsidRDefault="00BD613E" w:rsidP="00BD613E">
      <w:pPr>
        <w:pStyle w:val="Heading2"/>
        <w:spacing w:line="360" w:lineRule="auto"/>
        <w:jc w:val="both"/>
        <w:rPr>
          <w:rFonts w:asciiTheme="minorHAnsi" w:hAnsiTheme="minorHAnsi" w:cstheme="minorHAnsi"/>
          <w:sz w:val="24"/>
          <w:szCs w:val="24"/>
        </w:rPr>
      </w:pPr>
      <w:bookmarkStart w:id="4" w:name="_Toc131684513"/>
      <w:r w:rsidRPr="00B27099">
        <w:rPr>
          <w:rFonts w:asciiTheme="minorHAnsi" w:hAnsiTheme="minorHAnsi" w:cstheme="minorHAnsi"/>
          <w:sz w:val="24"/>
          <w:szCs w:val="24"/>
        </w:rPr>
        <w:t>Timescale</w:t>
      </w:r>
      <w:bookmarkEnd w:id="4"/>
    </w:p>
    <w:p w14:paraId="1EE37489" w14:textId="77777777" w:rsidR="00BD613E" w:rsidRPr="00B27099" w:rsidRDefault="00BD613E" w:rsidP="00BD613E">
      <w:pPr>
        <w:keepNext/>
        <w:spacing w:line="360" w:lineRule="auto"/>
        <w:jc w:val="both"/>
        <w:rPr>
          <w:rFonts w:cstheme="minorHAnsi"/>
          <w:sz w:val="24"/>
          <w:szCs w:val="24"/>
        </w:rPr>
      </w:pPr>
      <w:r w:rsidRPr="00B27099">
        <w:rPr>
          <w:rFonts w:cstheme="minorHAnsi"/>
          <w:noProof/>
          <w:sz w:val="24"/>
          <w:szCs w:val="24"/>
          <w:lang w:val="en-US"/>
        </w:rPr>
        <w:drawing>
          <wp:inline distT="0" distB="0" distL="0" distR="0" wp14:anchorId="20453E96" wp14:editId="1B7EC042">
            <wp:extent cx="4019180" cy="5053263"/>
            <wp:effectExtent l="0" t="0" r="0" b="0"/>
            <wp:docPr id="7" name="Picture 7"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10;&#10;Description automatically generated with medium confidence"/>
                    <pic:cNvPicPr>
                      <a:picLocks noChangeAspect="1" noChangeArrowheads="1"/>
                    </pic:cNvPicPr>
                  </pic:nvPicPr>
                  <pic:blipFill>
                    <a:blip r:embed="rId10"/>
                    <a:srcRect/>
                    <a:stretch>
                      <a:fillRect/>
                    </a:stretch>
                  </pic:blipFill>
                  <pic:spPr bwMode="auto">
                    <a:xfrm>
                      <a:off x="0" y="0"/>
                      <a:ext cx="4020973" cy="5055517"/>
                    </a:xfrm>
                    <a:prstGeom prst="rect">
                      <a:avLst/>
                    </a:prstGeom>
                    <a:noFill/>
                    <a:ln w="9525">
                      <a:noFill/>
                      <a:miter lim="800000"/>
                      <a:headEnd/>
                      <a:tailEnd/>
                    </a:ln>
                  </pic:spPr>
                </pic:pic>
              </a:graphicData>
            </a:graphic>
          </wp:inline>
        </w:drawing>
      </w:r>
    </w:p>
    <w:p w14:paraId="54FA3C59" w14:textId="77777777" w:rsidR="00440752" w:rsidRPr="00B27099" w:rsidRDefault="00BD613E" w:rsidP="00440752">
      <w:pPr>
        <w:rPr>
          <w:rFonts w:cstheme="minorHAnsi"/>
          <w:sz w:val="24"/>
          <w:szCs w:val="24"/>
        </w:rPr>
      </w:pPr>
      <w:r w:rsidRPr="00B27099">
        <w:rPr>
          <w:rFonts w:cstheme="minorHAnsi"/>
          <w:sz w:val="24"/>
          <w:szCs w:val="24"/>
        </w:rPr>
        <w:t xml:space="preserve">Figure </w:t>
      </w:r>
      <w:r w:rsidRPr="00B27099">
        <w:rPr>
          <w:rFonts w:cstheme="minorHAnsi"/>
          <w:sz w:val="24"/>
          <w:szCs w:val="24"/>
        </w:rPr>
        <w:fldChar w:fldCharType="begin"/>
      </w:r>
      <w:r w:rsidRPr="00B27099">
        <w:rPr>
          <w:rFonts w:cstheme="minorHAnsi"/>
          <w:sz w:val="24"/>
          <w:szCs w:val="24"/>
        </w:rPr>
        <w:instrText xml:space="preserve"> SEQ Figure \* ARABIC </w:instrText>
      </w:r>
      <w:r w:rsidRPr="00B27099">
        <w:rPr>
          <w:rFonts w:cstheme="minorHAnsi"/>
          <w:sz w:val="24"/>
          <w:szCs w:val="24"/>
        </w:rPr>
        <w:fldChar w:fldCharType="separate"/>
      </w:r>
      <w:r w:rsidRPr="00B27099">
        <w:rPr>
          <w:rFonts w:cstheme="minorHAnsi"/>
          <w:noProof/>
          <w:sz w:val="24"/>
          <w:szCs w:val="24"/>
        </w:rPr>
        <w:t>1</w:t>
      </w:r>
      <w:r w:rsidRPr="00B27099">
        <w:rPr>
          <w:rFonts w:cstheme="minorHAnsi"/>
          <w:sz w:val="24"/>
          <w:szCs w:val="24"/>
        </w:rPr>
        <w:fldChar w:fldCharType="end"/>
      </w:r>
      <w:r w:rsidRPr="00B27099">
        <w:rPr>
          <w:rFonts w:cstheme="minorHAnsi"/>
          <w:sz w:val="24"/>
          <w:szCs w:val="24"/>
        </w:rPr>
        <w:t>: timescale of HPC</w:t>
      </w:r>
      <w:r w:rsidR="00440752" w:rsidRPr="00B27099">
        <w:rPr>
          <w:rFonts w:cstheme="minorHAnsi"/>
          <w:sz w:val="24"/>
          <w:szCs w:val="24"/>
        </w:rPr>
        <w:t xml:space="preserve"> </w:t>
      </w:r>
    </w:p>
    <w:p w14:paraId="2957FC39" w14:textId="1DE77EDA" w:rsidR="00440752" w:rsidRPr="00B27099" w:rsidRDefault="00440752" w:rsidP="00440752">
      <w:pPr>
        <w:rPr>
          <w:rFonts w:cstheme="minorHAnsi"/>
        </w:rPr>
      </w:pPr>
      <w:r w:rsidRPr="00B27099">
        <w:rPr>
          <w:rFonts w:cstheme="minorHAnsi"/>
        </w:rPr>
        <w:t xml:space="preserve">Source: National Audit Office-Report by the Controller and Auditor General - </w:t>
      </w:r>
      <w:r w:rsidRPr="00B27099">
        <w:rPr>
          <w:rFonts w:cstheme="minorHAnsi"/>
          <w:color w:val="222222"/>
          <w:sz w:val="24"/>
          <w:szCs w:val="24"/>
          <w:shd w:val="clear" w:color="auto" w:fill="FFFFFF"/>
        </w:rPr>
        <w:t xml:space="preserve">Hinkley Point C </w:t>
      </w:r>
    </w:p>
    <w:p w14:paraId="16FA5EA6" w14:textId="2F73D32D" w:rsidR="00BD613E" w:rsidRPr="00B27099" w:rsidRDefault="00BD613E" w:rsidP="00BD613E">
      <w:pPr>
        <w:pStyle w:val="Caption"/>
        <w:spacing w:line="360" w:lineRule="auto"/>
        <w:jc w:val="both"/>
        <w:rPr>
          <w:rFonts w:cstheme="minorHAnsi"/>
          <w:color w:val="auto"/>
          <w:sz w:val="24"/>
          <w:szCs w:val="24"/>
        </w:rPr>
      </w:pPr>
    </w:p>
    <w:p w14:paraId="1E0DC698" w14:textId="667072ED" w:rsidR="00BD613E" w:rsidRPr="00B27099" w:rsidRDefault="00BD613E" w:rsidP="00BD613E">
      <w:pPr>
        <w:spacing w:line="360" w:lineRule="auto"/>
        <w:jc w:val="both"/>
        <w:rPr>
          <w:rFonts w:cstheme="minorHAnsi"/>
          <w:sz w:val="24"/>
          <w:szCs w:val="24"/>
        </w:rPr>
      </w:pPr>
      <w:r w:rsidRPr="00B27099">
        <w:rPr>
          <w:rFonts w:cstheme="minorHAnsi"/>
          <w:sz w:val="24"/>
          <w:szCs w:val="24"/>
        </w:rPr>
        <w:t xml:space="preserve">The EDF energy takes the responsibility of construction of Hinkley Point C of the </w:t>
      </w:r>
      <w:proofErr w:type="gramStart"/>
      <w:r w:rsidRPr="00B27099">
        <w:rPr>
          <w:rFonts w:cstheme="minorHAnsi"/>
          <w:sz w:val="24"/>
          <w:szCs w:val="24"/>
        </w:rPr>
        <w:t>UK</w:t>
      </w:r>
      <w:proofErr w:type="gramEnd"/>
      <w:r w:rsidRPr="00B27099">
        <w:rPr>
          <w:rFonts w:cstheme="minorHAnsi"/>
          <w:sz w:val="24"/>
          <w:szCs w:val="24"/>
        </w:rPr>
        <w:t xml:space="preserve"> and it is located in Somerset and the administration’s introducing by the project manager. The Nigel Kang </w:t>
      </w:r>
      <w:r w:rsidRPr="00B27099">
        <w:rPr>
          <w:rFonts w:cstheme="minorHAnsi"/>
          <w:sz w:val="24"/>
          <w:szCs w:val="24"/>
        </w:rPr>
        <w:lastRenderedPageBreak/>
        <w:t xml:space="preserve">said their team of construction is more concentrated towards the works and this project is the first nuclear power plant that is acquired by two commercial enterprises. EDF have decided to </w:t>
      </w:r>
      <w:proofErr w:type="gramStart"/>
      <w:r w:rsidRPr="00B27099">
        <w:rPr>
          <w:rFonts w:cstheme="minorHAnsi"/>
          <w:sz w:val="24"/>
          <w:szCs w:val="24"/>
        </w:rPr>
        <w:t>concentrates</w:t>
      </w:r>
      <w:proofErr w:type="gramEnd"/>
      <w:r w:rsidRPr="00B27099">
        <w:rPr>
          <w:rFonts w:cstheme="minorHAnsi"/>
          <w:sz w:val="24"/>
          <w:szCs w:val="24"/>
        </w:rPr>
        <w:t xml:space="preserve"> on the HPC project on 29 September, 2016 and currently, the forest is home to more than 100 cranes and considerable cracks in the Somerset shoreline are fulfilled with involved tangible frameworks and discharged 850, 0000 cubic metres of concretes, or 7600of the double Decker buses. They dug those two huge tunnels. Two miles down the Bristol Channel is where he is 120,000 gallons of water entering per second for cooling via its three channels and two reactors. The epidemic has led to the conclusion of Project. This is a result of the techniques employed to shield society from the truth. Providers are slowing down. The price of construction supplies has climbed dramatically, and truck drivers' wages have gone up. The UK is a significant issue for the sector </w:t>
      </w:r>
      <w:sdt>
        <w:sdtPr>
          <w:rPr>
            <w:rFonts w:cstheme="minorHAnsi"/>
            <w:sz w:val="24"/>
            <w:szCs w:val="24"/>
          </w:rPr>
          <w:id w:val="703217825"/>
          <w:citation/>
        </w:sdtPr>
        <w:sdtContent>
          <w:r w:rsidR="00736274" w:rsidRPr="00B27099">
            <w:rPr>
              <w:rFonts w:cstheme="minorHAnsi"/>
              <w:sz w:val="24"/>
              <w:szCs w:val="24"/>
            </w:rPr>
            <w:fldChar w:fldCharType="begin"/>
          </w:r>
          <w:r w:rsidR="00736274" w:rsidRPr="00B27099">
            <w:rPr>
              <w:rFonts w:cstheme="minorHAnsi"/>
              <w:sz w:val="24"/>
              <w:szCs w:val="24"/>
              <w:lang w:val="en-US"/>
            </w:rPr>
            <w:instrText xml:space="preserve"> CITATION FIO18 \l 1033 </w:instrText>
          </w:r>
          <w:r w:rsidR="00736274" w:rsidRPr="00B27099">
            <w:rPr>
              <w:rFonts w:cstheme="minorHAnsi"/>
              <w:sz w:val="24"/>
              <w:szCs w:val="24"/>
            </w:rPr>
            <w:fldChar w:fldCharType="separate"/>
          </w:r>
          <w:r w:rsidR="00736274" w:rsidRPr="00B27099">
            <w:rPr>
              <w:rFonts w:cstheme="minorHAnsi"/>
              <w:noProof/>
              <w:sz w:val="24"/>
              <w:szCs w:val="24"/>
              <w:lang w:val="en-US"/>
            </w:rPr>
            <w:t>(MCINTYRE, 2018)</w:t>
          </w:r>
          <w:r w:rsidR="00736274" w:rsidRPr="00B27099">
            <w:rPr>
              <w:rFonts w:cstheme="minorHAnsi"/>
              <w:sz w:val="24"/>
              <w:szCs w:val="24"/>
            </w:rPr>
            <w:fldChar w:fldCharType="end"/>
          </w:r>
        </w:sdtContent>
      </w:sdt>
      <w:r w:rsidRPr="00B27099">
        <w:rPr>
          <w:rFonts w:cstheme="minorHAnsi"/>
          <w:sz w:val="24"/>
          <w:szCs w:val="24"/>
        </w:rPr>
        <w:t xml:space="preserve">. </w:t>
      </w:r>
    </w:p>
    <w:p w14:paraId="11888937" w14:textId="77777777" w:rsidR="00BD613E" w:rsidRPr="00B27099" w:rsidRDefault="00BD613E" w:rsidP="00BD613E">
      <w:pPr>
        <w:spacing w:line="360" w:lineRule="auto"/>
        <w:jc w:val="both"/>
        <w:rPr>
          <w:rFonts w:cstheme="minorHAnsi"/>
          <w:b/>
          <w:sz w:val="24"/>
          <w:szCs w:val="24"/>
        </w:rPr>
      </w:pPr>
      <w:r w:rsidRPr="00B27099">
        <w:rPr>
          <w:rFonts w:cstheme="minorHAnsi"/>
          <w:b/>
          <w:sz w:val="24"/>
          <w:szCs w:val="24"/>
        </w:rPr>
        <w:t>Budget</w:t>
      </w:r>
    </w:p>
    <w:p w14:paraId="3E04CE35" w14:textId="77777777" w:rsidR="00BD613E" w:rsidRPr="00B27099" w:rsidRDefault="00BD613E" w:rsidP="00BD613E">
      <w:pPr>
        <w:keepNext/>
        <w:spacing w:line="360" w:lineRule="auto"/>
        <w:jc w:val="both"/>
        <w:rPr>
          <w:rFonts w:cstheme="minorHAnsi"/>
          <w:sz w:val="24"/>
          <w:szCs w:val="24"/>
        </w:rPr>
      </w:pPr>
      <w:r w:rsidRPr="00B27099">
        <w:rPr>
          <w:rFonts w:cstheme="minorHAnsi"/>
          <w:noProof/>
          <w:sz w:val="24"/>
          <w:szCs w:val="24"/>
          <w:lang w:val="en-US"/>
        </w:rPr>
        <w:lastRenderedPageBreak/>
        <w:drawing>
          <wp:inline distT="0" distB="0" distL="0" distR="0" wp14:anchorId="68A26D8E" wp14:editId="3A51C8A9">
            <wp:extent cx="5581650" cy="4381500"/>
            <wp:effectExtent l="19050" t="0" r="0" b="0"/>
            <wp:docPr id="4" name="Picture 4" descr="Graphical user interfac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able&#10;&#10;Description automatically generated"/>
                    <pic:cNvPicPr>
                      <a:picLocks noChangeAspect="1" noChangeArrowheads="1"/>
                    </pic:cNvPicPr>
                  </pic:nvPicPr>
                  <pic:blipFill>
                    <a:blip r:embed="rId11"/>
                    <a:srcRect/>
                    <a:stretch>
                      <a:fillRect/>
                    </a:stretch>
                  </pic:blipFill>
                  <pic:spPr bwMode="auto">
                    <a:xfrm>
                      <a:off x="0" y="0"/>
                      <a:ext cx="5581650" cy="4381500"/>
                    </a:xfrm>
                    <a:prstGeom prst="rect">
                      <a:avLst/>
                    </a:prstGeom>
                    <a:noFill/>
                    <a:ln w="9525">
                      <a:noFill/>
                      <a:miter lim="800000"/>
                      <a:headEnd/>
                      <a:tailEnd/>
                    </a:ln>
                  </pic:spPr>
                </pic:pic>
              </a:graphicData>
            </a:graphic>
          </wp:inline>
        </w:drawing>
      </w:r>
    </w:p>
    <w:p w14:paraId="4D53F5E1" w14:textId="60354265" w:rsidR="00736274" w:rsidRPr="00B27099" w:rsidRDefault="00BD613E" w:rsidP="00BD613E">
      <w:pPr>
        <w:pStyle w:val="Caption"/>
        <w:spacing w:line="360" w:lineRule="auto"/>
        <w:jc w:val="both"/>
        <w:rPr>
          <w:rFonts w:cstheme="minorHAnsi"/>
          <w:b w:val="0"/>
          <w:bCs w:val="0"/>
          <w:color w:val="auto"/>
          <w:sz w:val="24"/>
          <w:szCs w:val="24"/>
        </w:rPr>
      </w:pPr>
      <w:r w:rsidRPr="00B27099">
        <w:rPr>
          <w:rFonts w:cstheme="minorHAnsi"/>
          <w:b w:val="0"/>
          <w:bCs w:val="0"/>
          <w:color w:val="auto"/>
          <w:sz w:val="24"/>
          <w:szCs w:val="24"/>
        </w:rPr>
        <w:t xml:space="preserve">Figure </w:t>
      </w:r>
      <w:r w:rsidRPr="00B27099">
        <w:rPr>
          <w:rFonts w:cstheme="minorHAnsi"/>
          <w:b w:val="0"/>
          <w:bCs w:val="0"/>
          <w:color w:val="auto"/>
          <w:sz w:val="24"/>
          <w:szCs w:val="24"/>
        </w:rPr>
        <w:fldChar w:fldCharType="begin"/>
      </w:r>
      <w:r w:rsidRPr="00B27099">
        <w:rPr>
          <w:rFonts w:cstheme="minorHAnsi"/>
          <w:b w:val="0"/>
          <w:bCs w:val="0"/>
          <w:color w:val="auto"/>
          <w:sz w:val="24"/>
          <w:szCs w:val="24"/>
        </w:rPr>
        <w:instrText xml:space="preserve"> SEQ Figure \* ARABIC </w:instrText>
      </w:r>
      <w:r w:rsidRPr="00B27099">
        <w:rPr>
          <w:rFonts w:cstheme="minorHAnsi"/>
          <w:b w:val="0"/>
          <w:bCs w:val="0"/>
          <w:color w:val="auto"/>
          <w:sz w:val="24"/>
          <w:szCs w:val="24"/>
        </w:rPr>
        <w:fldChar w:fldCharType="separate"/>
      </w:r>
      <w:r w:rsidRPr="00B27099">
        <w:rPr>
          <w:rFonts w:cstheme="minorHAnsi"/>
          <w:b w:val="0"/>
          <w:bCs w:val="0"/>
          <w:noProof/>
          <w:color w:val="auto"/>
          <w:sz w:val="24"/>
          <w:szCs w:val="24"/>
        </w:rPr>
        <w:t>2</w:t>
      </w:r>
      <w:r w:rsidRPr="00B27099">
        <w:rPr>
          <w:rFonts w:cstheme="minorHAnsi"/>
          <w:b w:val="0"/>
          <w:bCs w:val="0"/>
          <w:color w:val="auto"/>
          <w:sz w:val="24"/>
          <w:szCs w:val="24"/>
        </w:rPr>
        <w:fldChar w:fldCharType="end"/>
      </w:r>
      <w:r w:rsidRPr="00B27099">
        <w:rPr>
          <w:rFonts w:cstheme="minorHAnsi"/>
          <w:b w:val="0"/>
          <w:bCs w:val="0"/>
          <w:color w:val="auto"/>
          <w:sz w:val="24"/>
          <w:szCs w:val="24"/>
        </w:rPr>
        <w:t>: Budget of the Hinkley Point C of the UK</w:t>
      </w:r>
    </w:p>
    <w:p w14:paraId="3963415C" w14:textId="77777777" w:rsidR="00736274" w:rsidRPr="00B27099" w:rsidRDefault="00736274" w:rsidP="00736274">
      <w:pPr>
        <w:rPr>
          <w:rFonts w:cstheme="minorHAnsi"/>
        </w:rPr>
      </w:pPr>
      <w:r w:rsidRPr="00B27099">
        <w:rPr>
          <w:rFonts w:cstheme="minorHAnsi"/>
        </w:rPr>
        <w:t xml:space="preserve">Source: National Audit Office-Report by the Controller and Auditor General - </w:t>
      </w:r>
      <w:r w:rsidRPr="00B27099">
        <w:rPr>
          <w:rFonts w:cstheme="minorHAnsi"/>
          <w:color w:val="222222"/>
          <w:sz w:val="24"/>
          <w:szCs w:val="24"/>
          <w:shd w:val="clear" w:color="auto" w:fill="FFFFFF"/>
        </w:rPr>
        <w:t xml:space="preserve">Hinkley Point C </w:t>
      </w:r>
    </w:p>
    <w:p w14:paraId="7641122D" w14:textId="77777777" w:rsidR="00736274" w:rsidRPr="00B27099" w:rsidRDefault="00736274" w:rsidP="00736274">
      <w:pPr>
        <w:rPr>
          <w:rFonts w:cstheme="minorHAnsi"/>
        </w:rPr>
      </w:pPr>
    </w:p>
    <w:p w14:paraId="79B84F13" w14:textId="23E813EC" w:rsidR="00BD613E" w:rsidRPr="00B27099" w:rsidRDefault="00BD613E" w:rsidP="00BD613E">
      <w:pPr>
        <w:spacing w:line="360" w:lineRule="auto"/>
        <w:jc w:val="both"/>
        <w:rPr>
          <w:rFonts w:cstheme="minorHAnsi"/>
          <w:sz w:val="24"/>
          <w:szCs w:val="24"/>
        </w:rPr>
      </w:pPr>
      <w:r w:rsidRPr="00B27099">
        <w:rPr>
          <w:rFonts w:cstheme="minorHAnsi"/>
          <w:sz w:val="24"/>
          <w:szCs w:val="24"/>
        </w:rPr>
        <w:t xml:space="preserve">Total construction prices in fixed costs inflated from a value of 17.9 billion Euros in 2015 prices as well as operating prices entail land lease amid the operations, NNB Generation Company will provide investments to the decommissioning capital so that it can reimburse for decommissioning prices after the plant’s functioning life. NNBG supposes that the investment will be doing well to produce a surplus and a 25% increase in cash presumes a 25% cost addition for every year in which plant decommissioning and fuel management prices have occurred </w:t>
      </w:r>
      <w:sdt>
        <w:sdtPr>
          <w:rPr>
            <w:rFonts w:cstheme="minorHAnsi"/>
            <w:sz w:val="24"/>
            <w:szCs w:val="24"/>
          </w:rPr>
          <w:id w:val="1405961597"/>
          <w:citation/>
        </w:sdtPr>
        <w:sdtContent>
          <w:r w:rsidR="005324D3" w:rsidRPr="00B27099">
            <w:rPr>
              <w:rFonts w:cstheme="minorHAnsi"/>
              <w:sz w:val="24"/>
              <w:szCs w:val="24"/>
            </w:rPr>
            <w:fldChar w:fldCharType="begin"/>
          </w:r>
          <w:r w:rsidR="005324D3" w:rsidRPr="00B27099">
            <w:rPr>
              <w:rFonts w:cstheme="minorHAnsi"/>
              <w:sz w:val="24"/>
              <w:szCs w:val="24"/>
              <w:lang w:val="en-US"/>
            </w:rPr>
            <w:instrText xml:space="preserve"> CITATION Ann23 \l 1033 </w:instrText>
          </w:r>
          <w:r w:rsidR="005324D3" w:rsidRPr="00B27099">
            <w:rPr>
              <w:rFonts w:cstheme="minorHAnsi"/>
              <w:sz w:val="24"/>
              <w:szCs w:val="24"/>
            </w:rPr>
            <w:fldChar w:fldCharType="separate"/>
          </w:r>
          <w:r w:rsidR="005324D3" w:rsidRPr="00B27099">
            <w:rPr>
              <w:rFonts w:cstheme="minorHAnsi"/>
              <w:noProof/>
              <w:sz w:val="24"/>
              <w:szCs w:val="24"/>
              <w:lang w:val="en-US"/>
            </w:rPr>
            <w:t>(Cossins-Smith, 2023)</w:t>
          </w:r>
          <w:r w:rsidR="005324D3" w:rsidRPr="00B27099">
            <w:rPr>
              <w:rFonts w:cstheme="minorHAnsi"/>
              <w:sz w:val="24"/>
              <w:szCs w:val="24"/>
            </w:rPr>
            <w:fldChar w:fldCharType="end"/>
          </w:r>
        </w:sdtContent>
      </w:sdt>
      <w:r w:rsidRPr="00B27099">
        <w:rPr>
          <w:rFonts w:cstheme="minorHAnsi"/>
          <w:sz w:val="24"/>
          <w:szCs w:val="24"/>
        </w:rPr>
        <w:t>.</w:t>
      </w:r>
    </w:p>
    <w:p w14:paraId="2EBE842A" w14:textId="77777777" w:rsidR="00BD613E" w:rsidRPr="00B27099" w:rsidRDefault="00BD613E" w:rsidP="00BD613E">
      <w:pPr>
        <w:pStyle w:val="Heading2"/>
        <w:spacing w:line="360" w:lineRule="auto"/>
        <w:jc w:val="both"/>
        <w:rPr>
          <w:rFonts w:asciiTheme="minorHAnsi" w:hAnsiTheme="minorHAnsi" w:cstheme="minorHAnsi"/>
          <w:sz w:val="24"/>
          <w:szCs w:val="24"/>
        </w:rPr>
      </w:pPr>
      <w:bookmarkStart w:id="5" w:name="_Toc131684514"/>
      <w:r w:rsidRPr="00B27099">
        <w:rPr>
          <w:rFonts w:asciiTheme="minorHAnsi" w:hAnsiTheme="minorHAnsi" w:cstheme="minorHAnsi"/>
          <w:sz w:val="24"/>
          <w:szCs w:val="24"/>
        </w:rPr>
        <w:t>Risk Analysis of Hinkley Point C of the UK</w:t>
      </w:r>
      <w:bookmarkEnd w:id="5"/>
    </w:p>
    <w:p w14:paraId="5DE10743" w14:textId="76AAB8FA" w:rsidR="00BD613E" w:rsidRPr="00B27099" w:rsidRDefault="00BD613E" w:rsidP="00BD613E">
      <w:pPr>
        <w:spacing w:line="360" w:lineRule="auto"/>
        <w:jc w:val="both"/>
        <w:rPr>
          <w:rFonts w:cstheme="minorHAnsi"/>
          <w:sz w:val="24"/>
          <w:szCs w:val="24"/>
        </w:rPr>
      </w:pPr>
      <w:r w:rsidRPr="00B27099">
        <w:rPr>
          <w:rFonts w:cstheme="minorHAnsi"/>
          <w:sz w:val="24"/>
          <w:szCs w:val="24"/>
        </w:rPr>
        <w:lastRenderedPageBreak/>
        <w:t xml:space="preserve">The Hinkley point C of the UK nuclear power station, its method to attain the arrangement and its actions for regulating lingering dangers to electricity customers and taxpayers as well as currently it has not been commercially feasible for private programmers to construct new producing ability in the UK entailing nuclear power stations without the assistance of government. The estimate revenues obtainable in the extensive electricity marketplace do not envelop the extreme forthright prices and other dangers of construction of a new </w:t>
      </w:r>
      <w:proofErr w:type="gramStart"/>
      <w:r w:rsidRPr="00B27099">
        <w:rPr>
          <w:rFonts w:cstheme="minorHAnsi"/>
          <w:sz w:val="24"/>
          <w:szCs w:val="24"/>
        </w:rPr>
        <w:t>building, or</w:t>
      </w:r>
      <w:proofErr w:type="gramEnd"/>
      <w:r w:rsidRPr="00B27099">
        <w:rPr>
          <w:rFonts w:cstheme="minorHAnsi"/>
          <w:sz w:val="24"/>
          <w:szCs w:val="24"/>
        </w:rPr>
        <w:t xml:space="preserve"> operating and decommissioning low-carbon power plants </w:t>
      </w:r>
      <w:sdt>
        <w:sdtPr>
          <w:rPr>
            <w:rFonts w:cstheme="minorHAnsi"/>
            <w:sz w:val="24"/>
            <w:szCs w:val="24"/>
          </w:rPr>
          <w:id w:val="1120499677"/>
          <w:citation/>
        </w:sdtPr>
        <w:sdtContent>
          <w:r w:rsidR="005324D3" w:rsidRPr="00B27099">
            <w:rPr>
              <w:rFonts w:cstheme="minorHAnsi"/>
              <w:sz w:val="24"/>
              <w:szCs w:val="24"/>
            </w:rPr>
            <w:fldChar w:fldCharType="begin"/>
          </w:r>
          <w:r w:rsidR="005324D3" w:rsidRPr="00B27099">
            <w:rPr>
              <w:rFonts w:cstheme="minorHAnsi"/>
              <w:sz w:val="24"/>
              <w:szCs w:val="24"/>
              <w:lang w:val="en-US"/>
            </w:rPr>
            <w:instrText xml:space="preserve"> CITATION Ant21 \l 1033 </w:instrText>
          </w:r>
          <w:r w:rsidR="005324D3" w:rsidRPr="00B27099">
            <w:rPr>
              <w:rFonts w:cstheme="minorHAnsi"/>
              <w:sz w:val="24"/>
              <w:szCs w:val="24"/>
            </w:rPr>
            <w:fldChar w:fldCharType="separate"/>
          </w:r>
          <w:r w:rsidR="005324D3" w:rsidRPr="00B27099">
            <w:rPr>
              <w:rFonts w:cstheme="minorHAnsi"/>
              <w:noProof/>
              <w:sz w:val="24"/>
              <w:szCs w:val="24"/>
              <w:lang w:val="en-US"/>
            </w:rPr>
            <w:t>(Butcher, et al., 2021)</w:t>
          </w:r>
          <w:r w:rsidR="005324D3" w:rsidRPr="00B27099">
            <w:rPr>
              <w:rFonts w:cstheme="minorHAnsi"/>
              <w:sz w:val="24"/>
              <w:szCs w:val="24"/>
            </w:rPr>
            <w:fldChar w:fldCharType="end"/>
          </w:r>
        </w:sdtContent>
      </w:sdt>
      <w:r w:rsidRPr="00B27099">
        <w:rPr>
          <w:rFonts w:cstheme="minorHAnsi"/>
          <w:sz w:val="24"/>
          <w:szCs w:val="24"/>
        </w:rPr>
        <w:t>.</w:t>
      </w:r>
    </w:p>
    <w:p w14:paraId="1CE08489" w14:textId="465F58F6" w:rsidR="00BD613E" w:rsidRPr="00B27099" w:rsidRDefault="00BD613E" w:rsidP="00BD613E">
      <w:pPr>
        <w:spacing w:line="360" w:lineRule="auto"/>
        <w:jc w:val="both"/>
        <w:rPr>
          <w:rFonts w:cstheme="minorHAnsi"/>
          <w:sz w:val="24"/>
          <w:szCs w:val="24"/>
        </w:rPr>
      </w:pPr>
      <w:r w:rsidRPr="00B27099">
        <w:rPr>
          <w:rFonts w:cstheme="minorHAnsi"/>
          <w:sz w:val="24"/>
          <w:szCs w:val="24"/>
        </w:rPr>
        <w:t xml:space="preserve">There are also remaining value-for-money dangers of the contract for customers and taxpayers and the 2010 coalition government conformity stated there would be no financial support for nuclear power and which leads to negotiation for HPC to replacement it’s as soon as possible its bonds to maintain other low-carbon technologies like wind and solar. The private sector financed construction and acquired the entire risk amid the stage of the project in return for </w:t>
      </w:r>
      <w:proofErr w:type="gramStart"/>
      <w:r w:rsidRPr="00B27099">
        <w:rPr>
          <w:rFonts w:cstheme="minorHAnsi"/>
          <w:sz w:val="24"/>
          <w:szCs w:val="24"/>
        </w:rPr>
        <w:t>a</w:t>
      </w:r>
      <w:proofErr w:type="gramEnd"/>
      <w:r w:rsidRPr="00B27099">
        <w:rPr>
          <w:rFonts w:cstheme="minorHAnsi"/>
          <w:sz w:val="24"/>
          <w:szCs w:val="24"/>
        </w:rPr>
        <w:t xml:space="preserve"> assured cost for the electricity produced </w:t>
      </w:r>
      <w:sdt>
        <w:sdtPr>
          <w:rPr>
            <w:rFonts w:cstheme="minorHAnsi"/>
            <w:sz w:val="24"/>
            <w:szCs w:val="24"/>
          </w:rPr>
          <w:id w:val="-676496431"/>
          <w:citation/>
        </w:sdtPr>
        <w:sdtContent>
          <w:r w:rsidR="005324D3" w:rsidRPr="00B27099">
            <w:rPr>
              <w:rFonts w:cstheme="minorHAnsi"/>
              <w:sz w:val="24"/>
              <w:szCs w:val="24"/>
            </w:rPr>
            <w:fldChar w:fldCharType="begin"/>
          </w:r>
          <w:r w:rsidR="005324D3" w:rsidRPr="00B27099">
            <w:rPr>
              <w:rFonts w:cstheme="minorHAnsi"/>
              <w:sz w:val="24"/>
              <w:szCs w:val="24"/>
              <w:lang w:val="en-US"/>
            </w:rPr>
            <w:instrText xml:space="preserve"> CITATION Ann23 \l 1033 </w:instrText>
          </w:r>
          <w:r w:rsidR="005324D3" w:rsidRPr="00B27099">
            <w:rPr>
              <w:rFonts w:cstheme="minorHAnsi"/>
              <w:sz w:val="24"/>
              <w:szCs w:val="24"/>
            </w:rPr>
            <w:fldChar w:fldCharType="separate"/>
          </w:r>
          <w:r w:rsidR="005324D3" w:rsidRPr="00B27099">
            <w:rPr>
              <w:rFonts w:cstheme="minorHAnsi"/>
              <w:noProof/>
              <w:sz w:val="24"/>
              <w:szCs w:val="24"/>
              <w:lang w:val="en-US"/>
            </w:rPr>
            <w:t>(Cossins-Smith, 2023)</w:t>
          </w:r>
          <w:r w:rsidR="005324D3" w:rsidRPr="00B27099">
            <w:rPr>
              <w:rFonts w:cstheme="minorHAnsi"/>
              <w:sz w:val="24"/>
              <w:szCs w:val="24"/>
            </w:rPr>
            <w:fldChar w:fldCharType="end"/>
          </w:r>
        </w:sdtContent>
      </w:sdt>
      <w:r w:rsidRPr="00B27099">
        <w:rPr>
          <w:rFonts w:cstheme="minorHAnsi"/>
          <w:sz w:val="24"/>
          <w:szCs w:val="24"/>
        </w:rPr>
        <w:t xml:space="preserve">. </w:t>
      </w:r>
    </w:p>
    <w:p w14:paraId="6C494486" w14:textId="51DC3EA8" w:rsidR="00BD613E" w:rsidRPr="00B27099" w:rsidRDefault="00BD613E" w:rsidP="00BD613E">
      <w:pPr>
        <w:spacing w:line="360" w:lineRule="auto"/>
        <w:jc w:val="both"/>
        <w:rPr>
          <w:rFonts w:cstheme="minorHAnsi"/>
          <w:sz w:val="24"/>
          <w:szCs w:val="24"/>
        </w:rPr>
      </w:pPr>
      <w:r w:rsidRPr="00B27099">
        <w:rPr>
          <w:rFonts w:cstheme="minorHAnsi"/>
          <w:sz w:val="24"/>
          <w:szCs w:val="24"/>
        </w:rPr>
        <w:t xml:space="preserve">A private sector contractor would finance this project as well as construct and manage this project and has a direct government grant for this project. But when the demand declines the contractor </w:t>
      </w:r>
      <w:proofErr w:type="gramStart"/>
      <w:r w:rsidRPr="00B27099">
        <w:rPr>
          <w:rFonts w:cstheme="minorHAnsi"/>
          <w:sz w:val="24"/>
          <w:szCs w:val="24"/>
        </w:rPr>
        <w:t>cannot</w:t>
      </w:r>
      <w:proofErr w:type="gramEnd"/>
      <w:r w:rsidRPr="00B27099">
        <w:rPr>
          <w:rFonts w:cstheme="minorHAnsi"/>
          <w:sz w:val="24"/>
          <w:szCs w:val="24"/>
        </w:rPr>
        <w:t xml:space="preserve"> able to raise adequate funds for the project and the government also agreed to guarantee the debt needed to build the risk that passenger income was less than expected </w:t>
      </w:r>
      <w:sdt>
        <w:sdtPr>
          <w:rPr>
            <w:rFonts w:cstheme="minorHAnsi"/>
            <w:sz w:val="24"/>
            <w:szCs w:val="24"/>
          </w:rPr>
          <w:id w:val="-2031017565"/>
          <w:citation/>
        </w:sdtPr>
        <w:sdtContent>
          <w:r w:rsidR="005324D3" w:rsidRPr="00B27099">
            <w:rPr>
              <w:rFonts w:cstheme="minorHAnsi"/>
              <w:sz w:val="24"/>
              <w:szCs w:val="24"/>
            </w:rPr>
            <w:fldChar w:fldCharType="begin"/>
          </w:r>
          <w:r w:rsidR="005324D3" w:rsidRPr="00B27099">
            <w:rPr>
              <w:rFonts w:cstheme="minorHAnsi"/>
              <w:sz w:val="24"/>
              <w:szCs w:val="24"/>
              <w:lang w:val="en-US"/>
            </w:rPr>
            <w:instrText xml:space="preserve"> CITATION Dav21 \l 1033 </w:instrText>
          </w:r>
          <w:r w:rsidR="005324D3" w:rsidRPr="00B27099">
            <w:rPr>
              <w:rFonts w:cstheme="minorHAnsi"/>
              <w:sz w:val="24"/>
              <w:szCs w:val="24"/>
            </w:rPr>
            <w:fldChar w:fldCharType="separate"/>
          </w:r>
          <w:r w:rsidR="005324D3" w:rsidRPr="00B27099">
            <w:rPr>
              <w:rFonts w:cstheme="minorHAnsi"/>
              <w:noProof/>
              <w:sz w:val="24"/>
              <w:szCs w:val="24"/>
              <w:lang w:val="en-US"/>
            </w:rPr>
            <w:t>(Harvey, 2021)</w:t>
          </w:r>
          <w:r w:rsidR="005324D3" w:rsidRPr="00B27099">
            <w:rPr>
              <w:rFonts w:cstheme="minorHAnsi"/>
              <w:sz w:val="24"/>
              <w:szCs w:val="24"/>
            </w:rPr>
            <w:fldChar w:fldCharType="end"/>
          </w:r>
        </w:sdtContent>
      </w:sdt>
      <w:r w:rsidRPr="00B27099">
        <w:rPr>
          <w:rFonts w:cstheme="minorHAnsi"/>
          <w:sz w:val="24"/>
          <w:szCs w:val="24"/>
        </w:rPr>
        <w:t>.</w:t>
      </w:r>
    </w:p>
    <w:p w14:paraId="51D6B0D4" w14:textId="77777777" w:rsidR="00BD613E" w:rsidRPr="00B27099" w:rsidRDefault="00BD613E" w:rsidP="00BD613E">
      <w:pPr>
        <w:spacing w:line="360" w:lineRule="auto"/>
        <w:jc w:val="both"/>
        <w:rPr>
          <w:rFonts w:cstheme="minorHAnsi"/>
          <w:sz w:val="24"/>
          <w:szCs w:val="24"/>
        </w:rPr>
      </w:pPr>
      <w:r w:rsidRPr="00B27099">
        <w:rPr>
          <w:rFonts w:cstheme="minorHAnsi"/>
          <w:sz w:val="24"/>
          <w:szCs w:val="24"/>
        </w:rPr>
        <w:t xml:space="preserve">Metronet is also a factor of risk and it was a public-private partnership from the government that also wants to shift the risk of supplying the network to enhance the private sector with contracts that justified the time, price, and needed functioning. However, the bad governance led Metronet to suffer from financial challenges and it goes into administration. </w:t>
      </w:r>
    </w:p>
    <w:p w14:paraId="344AA170" w14:textId="225B7D9D" w:rsidR="00BD613E" w:rsidRPr="00B27099" w:rsidRDefault="00BD613E" w:rsidP="00BD613E">
      <w:pPr>
        <w:spacing w:line="360" w:lineRule="auto"/>
        <w:jc w:val="both"/>
        <w:rPr>
          <w:rFonts w:cstheme="minorHAnsi"/>
          <w:sz w:val="24"/>
          <w:szCs w:val="24"/>
        </w:rPr>
      </w:pPr>
      <w:r w:rsidRPr="00B27099">
        <w:rPr>
          <w:rFonts w:cstheme="minorHAnsi"/>
          <w:sz w:val="24"/>
          <w:szCs w:val="24"/>
        </w:rPr>
        <w:t>It can be seen that private investors have to bear the entire risk entailing the risk of cost overruns but when the price rises, the Ministry of Defence has to fulfil the additional price as well as the MoD agreed for the fixed price deal with the supplier in May 2023 and suppliers under-priced the A40M and are late with delivery however the MoD consent to alter the agreement</w:t>
      </w:r>
      <w:sdt>
        <w:sdtPr>
          <w:rPr>
            <w:rFonts w:cstheme="minorHAnsi"/>
            <w:sz w:val="24"/>
            <w:szCs w:val="24"/>
          </w:rPr>
          <w:id w:val="-1668094353"/>
          <w:citation/>
        </w:sdtPr>
        <w:sdtContent>
          <w:r w:rsidR="00B27099" w:rsidRPr="00B27099">
            <w:rPr>
              <w:rFonts w:cstheme="minorHAnsi"/>
              <w:sz w:val="24"/>
              <w:szCs w:val="24"/>
            </w:rPr>
            <w:fldChar w:fldCharType="begin"/>
          </w:r>
          <w:r w:rsidR="00B27099" w:rsidRPr="00B27099">
            <w:rPr>
              <w:rFonts w:cstheme="minorHAnsi"/>
              <w:sz w:val="24"/>
              <w:szCs w:val="24"/>
              <w:lang w:val="en-US"/>
            </w:rPr>
            <w:instrText xml:space="preserve"> CITATION Han22 \l 1033 </w:instrText>
          </w:r>
          <w:r w:rsidR="00B27099" w:rsidRPr="00B27099">
            <w:rPr>
              <w:rFonts w:cstheme="minorHAnsi"/>
              <w:sz w:val="24"/>
              <w:szCs w:val="24"/>
            </w:rPr>
            <w:fldChar w:fldCharType="separate"/>
          </w:r>
          <w:r w:rsidR="00B27099" w:rsidRPr="00B27099">
            <w:rPr>
              <w:rFonts w:cstheme="minorHAnsi"/>
              <w:noProof/>
              <w:sz w:val="24"/>
              <w:szCs w:val="24"/>
              <w:lang w:val="en-US"/>
            </w:rPr>
            <w:t xml:space="preserve"> (Hanine, 2022)</w:t>
          </w:r>
          <w:r w:rsidR="00B27099" w:rsidRPr="00B27099">
            <w:rPr>
              <w:rFonts w:cstheme="minorHAnsi"/>
              <w:sz w:val="24"/>
              <w:szCs w:val="24"/>
            </w:rPr>
            <w:fldChar w:fldCharType="end"/>
          </w:r>
        </w:sdtContent>
      </w:sdt>
      <w:r w:rsidRPr="00B27099">
        <w:rPr>
          <w:rFonts w:cstheme="minorHAnsi"/>
          <w:sz w:val="24"/>
          <w:szCs w:val="24"/>
        </w:rPr>
        <w:t>.</w:t>
      </w:r>
    </w:p>
    <w:p w14:paraId="2E201929" w14:textId="77777777" w:rsidR="00BD613E" w:rsidRPr="00B27099" w:rsidRDefault="00BD613E" w:rsidP="00BD613E">
      <w:pPr>
        <w:keepNext/>
        <w:spacing w:line="360" w:lineRule="auto"/>
        <w:jc w:val="both"/>
        <w:rPr>
          <w:rFonts w:cstheme="minorHAnsi"/>
          <w:sz w:val="24"/>
          <w:szCs w:val="24"/>
        </w:rPr>
      </w:pPr>
      <w:r w:rsidRPr="00B27099">
        <w:rPr>
          <w:rFonts w:cstheme="minorHAnsi"/>
          <w:noProof/>
          <w:sz w:val="24"/>
          <w:szCs w:val="24"/>
          <w:lang w:val="en-US"/>
        </w:rPr>
        <w:lastRenderedPageBreak/>
        <w:drawing>
          <wp:inline distT="0" distB="0" distL="0" distR="0" wp14:anchorId="6E8BE0B2" wp14:editId="0737FCB0">
            <wp:extent cx="5943600" cy="3254829"/>
            <wp:effectExtent l="19050" t="0" r="0" b="0"/>
            <wp:docPr id="1" name="Picture 1"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line chart&#10;&#10;Description automatically generated"/>
                    <pic:cNvPicPr>
                      <a:picLocks noChangeAspect="1" noChangeArrowheads="1"/>
                    </pic:cNvPicPr>
                  </pic:nvPicPr>
                  <pic:blipFill>
                    <a:blip r:embed="rId12"/>
                    <a:srcRect/>
                    <a:stretch>
                      <a:fillRect/>
                    </a:stretch>
                  </pic:blipFill>
                  <pic:spPr bwMode="auto">
                    <a:xfrm>
                      <a:off x="0" y="0"/>
                      <a:ext cx="5943600" cy="3254829"/>
                    </a:xfrm>
                    <a:prstGeom prst="rect">
                      <a:avLst/>
                    </a:prstGeom>
                    <a:noFill/>
                    <a:ln w="9525">
                      <a:noFill/>
                      <a:miter lim="800000"/>
                      <a:headEnd/>
                      <a:tailEnd/>
                    </a:ln>
                  </pic:spPr>
                </pic:pic>
              </a:graphicData>
            </a:graphic>
          </wp:inline>
        </w:drawing>
      </w:r>
    </w:p>
    <w:p w14:paraId="0AB97E2F" w14:textId="59394FD0" w:rsidR="005324D3" w:rsidRPr="00B27099" w:rsidRDefault="00BD613E" w:rsidP="00BD613E">
      <w:pPr>
        <w:pStyle w:val="Caption"/>
        <w:spacing w:line="360" w:lineRule="auto"/>
        <w:jc w:val="both"/>
        <w:rPr>
          <w:rFonts w:cstheme="minorHAnsi"/>
          <w:b w:val="0"/>
          <w:bCs w:val="0"/>
          <w:color w:val="auto"/>
          <w:sz w:val="24"/>
          <w:szCs w:val="24"/>
        </w:rPr>
      </w:pPr>
      <w:r w:rsidRPr="00B27099">
        <w:rPr>
          <w:rFonts w:cstheme="minorHAnsi"/>
          <w:b w:val="0"/>
          <w:bCs w:val="0"/>
          <w:color w:val="auto"/>
          <w:sz w:val="24"/>
          <w:szCs w:val="24"/>
        </w:rPr>
        <w:t xml:space="preserve">Figure </w:t>
      </w:r>
      <w:r w:rsidRPr="00B27099">
        <w:rPr>
          <w:rFonts w:cstheme="minorHAnsi"/>
          <w:b w:val="0"/>
          <w:bCs w:val="0"/>
          <w:color w:val="auto"/>
          <w:sz w:val="24"/>
          <w:szCs w:val="24"/>
        </w:rPr>
        <w:fldChar w:fldCharType="begin"/>
      </w:r>
      <w:r w:rsidRPr="00B27099">
        <w:rPr>
          <w:rFonts w:cstheme="minorHAnsi"/>
          <w:b w:val="0"/>
          <w:bCs w:val="0"/>
          <w:color w:val="auto"/>
          <w:sz w:val="24"/>
          <w:szCs w:val="24"/>
        </w:rPr>
        <w:instrText xml:space="preserve"> SEQ Figure \* ARABIC </w:instrText>
      </w:r>
      <w:r w:rsidRPr="00B27099">
        <w:rPr>
          <w:rFonts w:cstheme="minorHAnsi"/>
          <w:b w:val="0"/>
          <w:bCs w:val="0"/>
          <w:color w:val="auto"/>
          <w:sz w:val="24"/>
          <w:szCs w:val="24"/>
        </w:rPr>
        <w:fldChar w:fldCharType="separate"/>
      </w:r>
      <w:r w:rsidRPr="00B27099">
        <w:rPr>
          <w:rFonts w:cstheme="minorHAnsi"/>
          <w:b w:val="0"/>
          <w:bCs w:val="0"/>
          <w:noProof/>
          <w:color w:val="auto"/>
          <w:sz w:val="24"/>
          <w:szCs w:val="24"/>
        </w:rPr>
        <w:t>3</w:t>
      </w:r>
      <w:r w:rsidRPr="00B27099">
        <w:rPr>
          <w:rFonts w:cstheme="minorHAnsi"/>
          <w:b w:val="0"/>
          <w:bCs w:val="0"/>
          <w:color w:val="auto"/>
          <w:sz w:val="24"/>
          <w:szCs w:val="24"/>
        </w:rPr>
        <w:fldChar w:fldCharType="end"/>
      </w:r>
      <w:r w:rsidRPr="00B27099">
        <w:rPr>
          <w:rFonts w:cstheme="minorHAnsi"/>
          <w:b w:val="0"/>
          <w:bCs w:val="0"/>
          <w:color w:val="auto"/>
          <w:sz w:val="24"/>
          <w:szCs w:val="24"/>
        </w:rPr>
        <w:t>: Strike price sensitivity to investors’ return</w:t>
      </w:r>
    </w:p>
    <w:p w14:paraId="5077E11B" w14:textId="77777777" w:rsidR="008A1B44" w:rsidRPr="00B27099" w:rsidRDefault="008A1B44" w:rsidP="008A1B44">
      <w:pPr>
        <w:rPr>
          <w:rFonts w:cstheme="minorHAnsi"/>
        </w:rPr>
      </w:pPr>
      <w:r w:rsidRPr="00B27099">
        <w:rPr>
          <w:rFonts w:cstheme="minorHAnsi"/>
        </w:rPr>
        <w:t xml:space="preserve">Source: National Audit Office-Report by the Controller and Auditor General - </w:t>
      </w:r>
      <w:r w:rsidRPr="00B27099">
        <w:rPr>
          <w:rFonts w:cstheme="minorHAnsi"/>
          <w:color w:val="222222"/>
          <w:sz w:val="24"/>
          <w:szCs w:val="24"/>
          <w:shd w:val="clear" w:color="auto" w:fill="FFFFFF"/>
        </w:rPr>
        <w:t xml:space="preserve">Hinkley Point C </w:t>
      </w:r>
    </w:p>
    <w:p w14:paraId="4FABD02A" w14:textId="39CDA360" w:rsidR="00BD613E" w:rsidRPr="00B27099" w:rsidRDefault="00BD613E" w:rsidP="00BD613E">
      <w:pPr>
        <w:spacing w:line="360" w:lineRule="auto"/>
        <w:jc w:val="both"/>
        <w:rPr>
          <w:rFonts w:cstheme="minorHAnsi"/>
          <w:sz w:val="24"/>
          <w:szCs w:val="24"/>
        </w:rPr>
      </w:pPr>
      <w:r w:rsidRPr="00B27099">
        <w:rPr>
          <w:rFonts w:cstheme="minorHAnsi"/>
          <w:sz w:val="24"/>
          <w:szCs w:val="24"/>
        </w:rPr>
        <w:t xml:space="preserve">The investors need a return that is proportional and how much risk they tolerate and varies from 2% and it is more than 12% where investors tolerate the entire uncertainties. The stake cost given to HPC enables NNBG to obtain a return of 9% in the entire project life as well as it is less than 12%.Is due to the deal alleviates the income risks for 35 years via the </w:t>
      </w:r>
      <w:proofErr w:type="spellStart"/>
      <w:r w:rsidRPr="00B27099">
        <w:rPr>
          <w:rFonts w:cstheme="minorHAnsi"/>
          <w:sz w:val="24"/>
          <w:szCs w:val="24"/>
        </w:rPr>
        <w:t>CfD</w:t>
      </w:r>
      <w:proofErr w:type="spellEnd"/>
      <w:r w:rsidRPr="00B27099">
        <w:rPr>
          <w:rFonts w:cstheme="minorHAnsi"/>
          <w:sz w:val="24"/>
          <w:szCs w:val="24"/>
        </w:rPr>
        <w:t xml:space="preserve"> and restricts the waste disposal prices. Though, investors still have to accept other important risks like construction and decommissioning risk. They have not evaluated the viability of various financing and risk allocation for HPC and it reflects the sensitivity of prices to customers to alterations to investors’ needed rate of return. Another method to the contract would have had broad effects on the framework </w:t>
      </w:r>
      <w:sdt>
        <w:sdtPr>
          <w:rPr>
            <w:rFonts w:cstheme="minorHAnsi"/>
            <w:sz w:val="24"/>
            <w:szCs w:val="24"/>
          </w:rPr>
          <w:id w:val="2046938139"/>
          <w:citation/>
        </w:sdtPr>
        <w:sdtContent>
          <w:r w:rsidR="008A1B44" w:rsidRPr="00B27099">
            <w:rPr>
              <w:rFonts w:cstheme="minorHAnsi"/>
              <w:sz w:val="24"/>
              <w:szCs w:val="24"/>
            </w:rPr>
            <w:fldChar w:fldCharType="begin"/>
          </w:r>
          <w:r w:rsidR="008A1B44" w:rsidRPr="00B27099">
            <w:rPr>
              <w:rFonts w:cstheme="minorHAnsi"/>
              <w:sz w:val="24"/>
              <w:szCs w:val="24"/>
              <w:lang w:val="en-US"/>
            </w:rPr>
            <w:instrText xml:space="preserve"> CITATION NSEte \l 1033 </w:instrText>
          </w:r>
          <w:r w:rsidR="008A1B44" w:rsidRPr="00B27099">
            <w:rPr>
              <w:rFonts w:cstheme="minorHAnsi"/>
              <w:sz w:val="24"/>
              <w:szCs w:val="24"/>
            </w:rPr>
            <w:fldChar w:fldCharType="separate"/>
          </w:r>
          <w:r w:rsidR="008A1B44" w:rsidRPr="00B27099">
            <w:rPr>
              <w:rFonts w:cstheme="minorHAnsi"/>
              <w:noProof/>
              <w:sz w:val="24"/>
              <w:szCs w:val="24"/>
              <w:lang w:val="en-US"/>
            </w:rPr>
            <w:t>(NS Energy, no date)</w:t>
          </w:r>
          <w:r w:rsidR="008A1B44" w:rsidRPr="00B27099">
            <w:rPr>
              <w:rFonts w:cstheme="minorHAnsi"/>
              <w:sz w:val="24"/>
              <w:szCs w:val="24"/>
            </w:rPr>
            <w:fldChar w:fldCharType="end"/>
          </w:r>
        </w:sdtContent>
      </w:sdt>
      <w:r w:rsidRPr="00B27099">
        <w:rPr>
          <w:rFonts w:cstheme="minorHAnsi"/>
          <w:sz w:val="24"/>
          <w:szCs w:val="24"/>
        </w:rPr>
        <w:t>.</w:t>
      </w:r>
    </w:p>
    <w:p w14:paraId="1F1243DF" w14:textId="77777777" w:rsidR="008A1B44" w:rsidRPr="00B27099" w:rsidRDefault="008A1B44" w:rsidP="00BD613E">
      <w:pPr>
        <w:spacing w:line="360" w:lineRule="auto"/>
        <w:jc w:val="both"/>
        <w:rPr>
          <w:rFonts w:cstheme="minorHAnsi"/>
          <w:sz w:val="24"/>
          <w:szCs w:val="24"/>
        </w:rPr>
      </w:pPr>
    </w:p>
    <w:p w14:paraId="0D5DB001" w14:textId="77777777" w:rsidR="00BD613E" w:rsidRPr="00B27099" w:rsidRDefault="00BD613E" w:rsidP="00BD613E">
      <w:pPr>
        <w:pStyle w:val="Heading2"/>
        <w:spacing w:line="360" w:lineRule="auto"/>
        <w:jc w:val="both"/>
        <w:rPr>
          <w:rFonts w:asciiTheme="minorHAnsi" w:hAnsiTheme="minorHAnsi" w:cstheme="minorHAnsi"/>
          <w:sz w:val="24"/>
          <w:szCs w:val="24"/>
        </w:rPr>
      </w:pPr>
      <w:bookmarkStart w:id="6" w:name="_Toc131684515"/>
      <w:r w:rsidRPr="00B27099">
        <w:rPr>
          <w:rFonts w:asciiTheme="minorHAnsi" w:hAnsiTheme="minorHAnsi" w:cstheme="minorHAnsi"/>
          <w:sz w:val="24"/>
          <w:szCs w:val="24"/>
        </w:rPr>
        <w:t>Challenges of risks</w:t>
      </w:r>
      <w:bookmarkEnd w:id="6"/>
    </w:p>
    <w:p w14:paraId="5E35DA8C" w14:textId="77777777" w:rsidR="00BD613E" w:rsidRPr="00B27099" w:rsidRDefault="00BD613E" w:rsidP="00BD613E">
      <w:pPr>
        <w:spacing w:line="360" w:lineRule="auto"/>
        <w:jc w:val="both"/>
        <w:rPr>
          <w:rFonts w:cstheme="minorHAnsi"/>
          <w:sz w:val="24"/>
          <w:szCs w:val="24"/>
        </w:rPr>
      </w:pPr>
      <w:r w:rsidRPr="00B27099">
        <w:rPr>
          <w:rFonts w:cstheme="minorHAnsi"/>
          <w:sz w:val="24"/>
          <w:szCs w:val="24"/>
        </w:rPr>
        <w:lastRenderedPageBreak/>
        <w:t xml:space="preserve">According to the HPC, the department is successfully assisting HPC as the type of their motives and aims to effectively regulate the electricity systems of the UK obstacles more than the future decades. The electricity-producing sector of the UK is meaningfully undergoing a major transformation from contaminating technologies to clean Carbon emissions. Numerous prevailing electricity production projects in the UK is established in the next two decades. Contrarily, the legislation anticipates that electricity demand would increase as it take-up up electricity-relied tools and enhanced technology, particularly for heating homes, transport, and also buildings. Additionally, the section is majorly accountable for importantly regulating the energy predicament concerning the electricity supply obstacles. </w:t>
      </w:r>
    </w:p>
    <w:p w14:paraId="530E11F0" w14:textId="77777777" w:rsidR="00BD613E" w:rsidRPr="00B27099" w:rsidRDefault="00BD613E" w:rsidP="00BD613E">
      <w:pPr>
        <w:spacing w:line="360" w:lineRule="auto"/>
        <w:jc w:val="both"/>
        <w:rPr>
          <w:rFonts w:cstheme="minorHAnsi"/>
          <w:sz w:val="24"/>
          <w:szCs w:val="24"/>
        </w:rPr>
      </w:pPr>
      <w:r w:rsidRPr="00B27099">
        <w:rPr>
          <w:rFonts w:cstheme="minorHAnsi"/>
          <w:sz w:val="24"/>
          <w:szCs w:val="24"/>
        </w:rPr>
        <w:t>They aim to ensure that there is an electricity-producing combination that acquires the safety of supply, aids in effectively acquiring the constitutional decarbonisation target of statutory to minimize carbon pollutants in 2050 via 80% in contrast to 1990 levels and also keep the energy bills as less as possible for businesses and home ware items. By 2030, it is estimated that effective investments in novel and innovative production capacity would cost around £140 billion. The delivery and distribution system for power may require an extra £40 billion. Private money will cover the cost of the extra production capacity, which will then be added to the customer's power bill. New low-carbon generation capacity is not appropriate for the existing electrical market. Due to the requirement for substantial security of finances in the new low-carbon generation, the law gets involved through mechanisms like CID.</w:t>
      </w:r>
    </w:p>
    <w:p w14:paraId="5DD2FF4C" w14:textId="77777777" w:rsidR="00BD613E" w:rsidRPr="00B27099" w:rsidRDefault="00BD613E" w:rsidP="00BD613E">
      <w:pPr>
        <w:pStyle w:val="Heading1"/>
        <w:spacing w:line="360" w:lineRule="auto"/>
        <w:jc w:val="both"/>
        <w:rPr>
          <w:rFonts w:asciiTheme="minorHAnsi" w:hAnsiTheme="minorHAnsi" w:cstheme="minorHAnsi"/>
          <w:color w:val="auto"/>
          <w:sz w:val="24"/>
          <w:szCs w:val="24"/>
        </w:rPr>
      </w:pPr>
      <w:bookmarkStart w:id="7" w:name="_Toc131684516"/>
      <w:r w:rsidRPr="00B27099">
        <w:rPr>
          <w:rFonts w:asciiTheme="minorHAnsi" w:hAnsiTheme="minorHAnsi" w:cstheme="minorHAnsi"/>
          <w:color w:val="auto"/>
          <w:sz w:val="24"/>
          <w:szCs w:val="24"/>
        </w:rPr>
        <w:t>Recommendation</w:t>
      </w:r>
      <w:bookmarkEnd w:id="7"/>
    </w:p>
    <w:p w14:paraId="02990205" w14:textId="77777777" w:rsidR="00BD613E" w:rsidRPr="00B27099" w:rsidRDefault="00BD613E" w:rsidP="00BD613E">
      <w:pPr>
        <w:spacing w:line="360" w:lineRule="auto"/>
        <w:jc w:val="both"/>
        <w:rPr>
          <w:rFonts w:cstheme="minorHAnsi"/>
          <w:sz w:val="24"/>
          <w:szCs w:val="24"/>
        </w:rPr>
      </w:pPr>
      <w:r w:rsidRPr="00B27099">
        <w:rPr>
          <w:rFonts w:cstheme="minorHAnsi"/>
          <w:sz w:val="24"/>
          <w:szCs w:val="24"/>
        </w:rPr>
        <w:t xml:space="preserve">A re-examination of the over £18 b Hinkley Point C nuclear power project in Somerset's design, construction, and starting production reveals that no suitable quality-control procedures are being followed. The Office for Nuclear Regulation (ONR) inspection was carried out in response to last year's discovery of fake documents at </w:t>
      </w:r>
      <w:proofErr w:type="spellStart"/>
      <w:r w:rsidRPr="00B27099">
        <w:rPr>
          <w:rFonts w:cstheme="minorHAnsi"/>
          <w:sz w:val="24"/>
          <w:szCs w:val="24"/>
        </w:rPr>
        <w:t>Cresuot</w:t>
      </w:r>
      <w:proofErr w:type="spellEnd"/>
      <w:r w:rsidRPr="00B27099">
        <w:rPr>
          <w:rFonts w:cstheme="minorHAnsi"/>
          <w:sz w:val="24"/>
          <w:szCs w:val="24"/>
        </w:rPr>
        <w:t xml:space="preserve"> Forge in France. The French corporation </w:t>
      </w:r>
      <w:proofErr w:type="spellStart"/>
      <w:r w:rsidRPr="00B27099">
        <w:rPr>
          <w:rFonts w:cstheme="minorHAnsi"/>
          <w:sz w:val="24"/>
          <w:szCs w:val="24"/>
        </w:rPr>
        <w:t>Areva</w:t>
      </w:r>
      <w:proofErr w:type="spellEnd"/>
      <w:r w:rsidRPr="00B27099">
        <w:rPr>
          <w:rFonts w:cstheme="minorHAnsi"/>
          <w:sz w:val="24"/>
          <w:szCs w:val="24"/>
        </w:rPr>
        <w:t xml:space="preserve">, currently known as </w:t>
      </w:r>
      <w:proofErr w:type="spellStart"/>
      <w:r w:rsidRPr="00B27099">
        <w:rPr>
          <w:rFonts w:cstheme="minorHAnsi"/>
          <w:sz w:val="24"/>
          <w:szCs w:val="24"/>
        </w:rPr>
        <w:t>Framatome</w:t>
      </w:r>
      <w:proofErr w:type="spellEnd"/>
      <w:r w:rsidRPr="00B27099">
        <w:rPr>
          <w:rFonts w:cstheme="minorHAnsi"/>
          <w:sz w:val="24"/>
          <w:szCs w:val="24"/>
        </w:rPr>
        <w:t xml:space="preserve">, which served as the primary supplier for Hinkley and its reactor design, owned the forge. The effectiveness of EDF NNB </w:t>
      </w:r>
      <w:proofErr w:type="spellStart"/>
      <w:r w:rsidRPr="00B27099">
        <w:rPr>
          <w:rFonts w:cstheme="minorHAnsi"/>
          <w:sz w:val="24"/>
          <w:szCs w:val="24"/>
        </w:rPr>
        <w:t>GenCo's</w:t>
      </w:r>
      <w:proofErr w:type="spellEnd"/>
      <w:r w:rsidRPr="00B27099">
        <w:rPr>
          <w:rFonts w:cstheme="minorHAnsi"/>
          <w:sz w:val="24"/>
          <w:szCs w:val="24"/>
        </w:rPr>
        <w:t xml:space="preserve"> supply chain management systems is being looked into by ONR. EDF created NNB </w:t>
      </w:r>
      <w:proofErr w:type="spellStart"/>
      <w:r w:rsidRPr="00B27099">
        <w:rPr>
          <w:rFonts w:cstheme="minorHAnsi"/>
          <w:sz w:val="24"/>
          <w:szCs w:val="24"/>
        </w:rPr>
        <w:t>GenCo</w:t>
      </w:r>
      <w:proofErr w:type="spellEnd"/>
      <w:r w:rsidRPr="00B27099">
        <w:rPr>
          <w:rFonts w:cstheme="minorHAnsi"/>
          <w:sz w:val="24"/>
          <w:szCs w:val="24"/>
        </w:rPr>
        <w:t xml:space="preserve"> to handle the building tasks at Hinkley Point C.</w:t>
      </w:r>
    </w:p>
    <w:p w14:paraId="42EF3383" w14:textId="62959304" w:rsidR="00BD613E" w:rsidRPr="00B27099" w:rsidRDefault="00BD613E" w:rsidP="00BD613E">
      <w:pPr>
        <w:spacing w:line="360" w:lineRule="auto"/>
        <w:jc w:val="both"/>
        <w:rPr>
          <w:rFonts w:cstheme="minorHAnsi"/>
          <w:sz w:val="24"/>
          <w:szCs w:val="24"/>
        </w:rPr>
      </w:pPr>
      <w:r w:rsidRPr="00B27099">
        <w:rPr>
          <w:rFonts w:cstheme="minorHAnsi"/>
          <w:sz w:val="24"/>
          <w:szCs w:val="24"/>
        </w:rPr>
        <w:lastRenderedPageBreak/>
        <w:t xml:space="preserve">Even though, the ONR has discovered that good quality control systems had been executed, a few main regions still require development and lugged the entire rating down from green to amber as well as PNR main nuclear examiner mark Foy claims that ONR considers that good progress has been created by NNB Genco and its main supplier </w:t>
      </w:r>
      <w:proofErr w:type="spellStart"/>
      <w:r w:rsidRPr="00B27099">
        <w:rPr>
          <w:rFonts w:cstheme="minorHAnsi"/>
          <w:sz w:val="24"/>
          <w:szCs w:val="24"/>
        </w:rPr>
        <w:t>Areva</w:t>
      </w:r>
      <w:proofErr w:type="spellEnd"/>
      <w:r w:rsidRPr="00B27099">
        <w:rPr>
          <w:rFonts w:cstheme="minorHAnsi"/>
          <w:sz w:val="24"/>
          <w:szCs w:val="24"/>
        </w:rPr>
        <w:t xml:space="preserve"> Creuset Forge in employing their development initiatives like improved production procedures, management system activities, and security and quality tradition. But the review has recognized several regions where enhancements are needed to make sure this place is vigorously preserved as the project improvements and the level of employment and possessions needed rise</w:t>
      </w:r>
      <w:sdt>
        <w:sdtPr>
          <w:rPr>
            <w:rFonts w:cstheme="minorHAnsi"/>
            <w:sz w:val="24"/>
            <w:szCs w:val="24"/>
          </w:rPr>
          <w:id w:val="725336006"/>
          <w:citation/>
        </w:sdtPr>
        <w:sdtContent>
          <w:r w:rsidR="001A30AF" w:rsidRPr="00B27099">
            <w:rPr>
              <w:rFonts w:cstheme="minorHAnsi"/>
              <w:sz w:val="24"/>
              <w:szCs w:val="24"/>
            </w:rPr>
            <w:fldChar w:fldCharType="begin"/>
          </w:r>
          <w:r w:rsidR="001A30AF" w:rsidRPr="00B27099">
            <w:rPr>
              <w:rFonts w:cstheme="minorHAnsi"/>
              <w:sz w:val="24"/>
              <w:szCs w:val="24"/>
              <w:lang w:val="en-US"/>
            </w:rPr>
            <w:instrText xml:space="preserve"> CITATION Nat17 \l 1033 </w:instrText>
          </w:r>
          <w:r w:rsidR="001A30AF" w:rsidRPr="00B27099">
            <w:rPr>
              <w:rFonts w:cstheme="minorHAnsi"/>
              <w:sz w:val="24"/>
              <w:szCs w:val="24"/>
            </w:rPr>
            <w:fldChar w:fldCharType="separate"/>
          </w:r>
          <w:r w:rsidR="001A30AF" w:rsidRPr="00B27099">
            <w:rPr>
              <w:rFonts w:cstheme="minorHAnsi"/>
              <w:noProof/>
              <w:sz w:val="24"/>
              <w:szCs w:val="24"/>
              <w:lang w:val="en-US"/>
            </w:rPr>
            <w:t xml:space="preserve"> (National Audit Office by Comproller and Auditor General Sir Amyas Morse, 2017)</w:t>
          </w:r>
          <w:r w:rsidR="001A30AF" w:rsidRPr="00B27099">
            <w:rPr>
              <w:rFonts w:cstheme="minorHAnsi"/>
              <w:sz w:val="24"/>
              <w:szCs w:val="24"/>
            </w:rPr>
            <w:fldChar w:fldCharType="end"/>
          </w:r>
        </w:sdtContent>
      </w:sdt>
      <w:r w:rsidRPr="00B27099">
        <w:rPr>
          <w:rFonts w:cstheme="minorHAnsi"/>
          <w:sz w:val="24"/>
          <w:szCs w:val="24"/>
        </w:rPr>
        <w:t>.</w:t>
      </w:r>
    </w:p>
    <w:p w14:paraId="6D97FD2F" w14:textId="501687C2" w:rsidR="00BD613E" w:rsidRPr="00B27099" w:rsidRDefault="00BD613E" w:rsidP="00BD613E">
      <w:pPr>
        <w:spacing w:line="360" w:lineRule="auto"/>
        <w:jc w:val="both"/>
        <w:rPr>
          <w:rFonts w:cstheme="minorHAnsi"/>
          <w:sz w:val="24"/>
          <w:szCs w:val="24"/>
        </w:rPr>
      </w:pPr>
      <w:r w:rsidRPr="00B27099">
        <w:rPr>
          <w:rFonts w:cstheme="minorHAnsi"/>
          <w:sz w:val="24"/>
          <w:szCs w:val="24"/>
        </w:rPr>
        <w:t>The ONR of the project has found that there is an absence of clarity near the project-broad management of NNB Genco’s quality business and recommends the company take into account the efficiency of its present project security performance and recognize the regions for development. Also, he discovered that while leadership at “</w:t>
      </w:r>
      <w:proofErr w:type="spellStart"/>
      <w:r w:rsidRPr="00B27099">
        <w:rPr>
          <w:rFonts w:cstheme="minorHAnsi"/>
          <w:sz w:val="24"/>
          <w:szCs w:val="24"/>
        </w:rPr>
        <w:t>Areva</w:t>
      </w:r>
      <w:proofErr w:type="spellEnd"/>
      <w:r w:rsidRPr="00B27099">
        <w:rPr>
          <w:rFonts w:cstheme="minorHAnsi"/>
          <w:sz w:val="24"/>
          <w:szCs w:val="24"/>
        </w:rPr>
        <w:t xml:space="preserve"> </w:t>
      </w:r>
      <w:proofErr w:type="spellStart"/>
      <w:r w:rsidRPr="00B27099">
        <w:rPr>
          <w:rFonts w:cstheme="minorHAnsi"/>
          <w:sz w:val="24"/>
          <w:szCs w:val="24"/>
        </w:rPr>
        <w:t>Creusot</w:t>
      </w:r>
      <w:proofErr w:type="spellEnd"/>
      <w:r w:rsidRPr="00B27099">
        <w:rPr>
          <w:rFonts w:cstheme="minorHAnsi"/>
          <w:sz w:val="24"/>
          <w:szCs w:val="24"/>
        </w:rPr>
        <w:t xml:space="preserve"> Forge” has increased, the adjustments have not yet been put into effect, necessitating bringing in NNB </w:t>
      </w:r>
      <w:proofErr w:type="spellStart"/>
      <w:r w:rsidRPr="00B27099">
        <w:rPr>
          <w:rFonts w:cstheme="minorHAnsi"/>
          <w:sz w:val="24"/>
          <w:szCs w:val="24"/>
        </w:rPr>
        <w:t>GenCo</w:t>
      </w:r>
      <w:proofErr w:type="spellEnd"/>
      <w:r w:rsidRPr="00B27099">
        <w:rPr>
          <w:rFonts w:cstheme="minorHAnsi"/>
          <w:sz w:val="24"/>
          <w:szCs w:val="24"/>
        </w:rPr>
        <w:t xml:space="preserve"> to assess the current setup. According to a representative for “EDF Energy”, the Chief Nuclear Inspector's assessment confirms the suitability of the present quality control procedures at Hinkley Point C. Moreover, he emphasized the positive strides EDF Energy and </w:t>
      </w:r>
      <w:proofErr w:type="spellStart"/>
      <w:r w:rsidRPr="00B27099">
        <w:rPr>
          <w:rFonts w:cstheme="minorHAnsi"/>
          <w:sz w:val="24"/>
          <w:szCs w:val="24"/>
        </w:rPr>
        <w:t>Areva</w:t>
      </w:r>
      <w:proofErr w:type="spellEnd"/>
      <w:r w:rsidRPr="00B27099">
        <w:rPr>
          <w:rFonts w:cstheme="minorHAnsi"/>
          <w:sz w:val="24"/>
          <w:szCs w:val="24"/>
        </w:rPr>
        <w:t xml:space="preserve"> NP (formerly </w:t>
      </w:r>
      <w:proofErr w:type="spellStart"/>
      <w:r w:rsidRPr="00B27099">
        <w:rPr>
          <w:rFonts w:cstheme="minorHAnsi"/>
          <w:sz w:val="24"/>
          <w:szCs w:val="24"/>
        </w:rPr>
        <w:t>Framatome</w:t>
      </w:r>
      <w:proofErr w:type="spellEnd"/>
      <w:r w:rsidRPr="00B27099">
        <w:rPr>
          <w:rFonts w:cstheme="minorHAnsi"/>
          <w:sz w:val="24"/>
          <w:szCs w:val="24"/>
        </w:rPr>
        <w:t xml:space="preserve">) had achieved in streamlining procedures at </w:t>
      </w:r>
      <w:proofErr w:type="spellStart"/>
      <w:r w:rsidRPr="00B27099">
        <w:rPr>
          <w:rFonts w:cstheme="minorHAnsi"/>
          <w:sz w:val="24"/>
          <w:szCs w:val="24"/>
        </w:rPr>
        <w:t>Creusot</w:t>
      </w:r>
      <w:proofErr w:type="spellEnd"/>
      <w:r w:rsidRPr="00B27099">
        <w:rPr>
          <w:rFonts w:cstheme="minorHAnsi"/>
          <w:sz w:val="24"/>
          <w:szCs w:val="24"/>
        </w:rPr>
        <w:t xml:space="preserve"> Forge. Rugged independent regulatory testing enables us to maintain the highest levels of safety and quality, together with our suppliers. Before stepping up construction and production efforts, EDF Energy has been making the required modifications</w:t>
      </w:r>
      <w:sdt>
        <w:sdtPr>
          <w:rPr>
            <w:rFonts w:cstheme="minorHAnsi"/>
            <w:sz w:val="24"/>
            <w:szCs w:val="24"/>
          </w:rPr>
          <w:id w:val="557525650"/>
          <w:citation/>
        </w:sdtPr>
        <w:sdtContent>
          <w:r w:rsidR="001A30AF" w:rsidRPr="00B27099">
            <w:rPr>
              <w:rFonts w:cstheme="minorHAnsi"/>
              <w:sz w:val="24"/>
              <w:szCs w:val="24"/>
            </w:rPr>
            <w:fldChar w:fldCharType="begin"/>
          </w:r>
          <w:r w:rsidR="001A30AF" w:rsidRPr="00B27099">
            <w:rPr>
              <w:rFonts w:cstheme="minorHAnsi"/>
              <w:sz w:val="24"/>
              <w:szCs w:val="24"/>
              <w:lang w:val="en-US"/>
            </w:rPr>
            <w:instrText xml:space="preserve"> CITATION Gui19 \l 1033 </w:instrText>
          </w:r>
          <w:r w:rsidR="001A30AF" w:rsidRPr="00B27099">
            <w:rPr>
              <w:rFonts w:cstheme="minorHAnsi"/>
              <w:sz w:val="24"/>
              <w:szCs w:val="24"/>
            </w:rPr>
            <w:fldChar w:fldCharType="separate"/>
          </w:r>
          <w:r w:rsidR="001A30AF" w:rsidRPr="00B27099">
            <w:rPr>
              <w:rFonts w:cstheme="minorHAnsi"/>
              <w:noProof/>
              <w:sz w:val="24"/>
              <w:szCs w:val="24"/>
              <w:lang w:val="en-US"/>
            </w:rPr>
            <w:t xml:space="preserve"> (Aldama</w:t>
          </w:r>
          <w:r w:rsidR="001A30AF" w:rsidRPr="00B27099">
            <w:rPr>
              <w:rFonts w:cstheme="minorHAnsi"/>
              <w:noProof/>
              <w:sz w:val="24"/>
              <w:szCs w:val="24"/>
              <w:lang w:val="en-US"/>
            </w:rPr>
            <w:noBreakHyphen/>
            <w:t>Bustos, et al., 2019)</w:t>
          </w:r>
          <w:r w:rsidR="001A30AF" w:rsidRPr="00B27099">
            <w:rPr>
              <w:rFonts w:cstheme="minorHAnsi"/>
              <w:sz w:val="24"/>
              <w:szCs w:val="24"/>
            </w:rPr>
            <w:fldChar w:fldCharType="end"/>
          </w:r>
        </w:sdtContent>
      </w:sdt>
      <w:r w:rsidRPr="00B27099">
        <w:rPr>
          <w:rFonts w:cstheme="minorHAnsi"/>
          <w:sz w:val="24"/>
          <w:szCs w:val="24"/>
        </w:rPr>
        <w:t>.</w:t>
      </w:r>
    </w:p>
    <w:p w14:paraId="7AD8E7AF" w14:textId="77777777" w:rsidR="00BD613E" w:rsidRPr="00B27099" w:rsidRDefault="00BD613E" w:rsidP="00BD613E">
      <w:pPr>
        <w:pStyle w:val="Heading1"/>
        <w:spacing w:line="360" w:lineRule="auto"/>
        <w:jc w:val="both"/>
        <w:rPr>
          <w:rFonts w:asciiTheme="minorHAnsi" w:hAnsiTheme="minorHAnsi" w:cstheme="minorHAnsi"/>
          <w:color w:val="auto"/>
          <w:sz w:val="24"/>
          <w:szCs w:val="24"/>
        </w:rPr>
      </w:pPr>
      <w:bookmarkStart w:id="8" w:name="_Toc131684517"/>
      <w:r w:rsidRPr="00B27099">
        <w:rPr>
          <w:rFonts w:asciiTheme="minorHAnsi" w:hAnsiTheme="minorHAnsi" w:cstheme="minorHAnsi"/>
          <w:color w:val="auto"/>
          <w:sz w:val="24"/>
          <w:szCs w:val="24"/>
        </w:rPr>
        <w:t>Conclusion</w:t>
      </w:r>
      <w:bookmarkEnd w:id="8"/>
    </w:p>
    <w:p w14:paraId="6E3D2F44" w14:textId="2AEEA217" w:rsidR="00BD613E" w:rsidRPr="00B27099" w:rsidRDefault="00BD613E" w:rsidP="00BD613E">
      <w:pPr>
        <w:spacing w:line="360" w:lineRule="auto"/>
        <w:jc w:val="both"/>
        <w:rPr>
          <w:rFonts w:cstheme="minorHAnsi"/>
          <w:sz w:val="24"/>
          <w:szCs w:val="24"/>
        </w:rPr>
      </w:pPr>
      <w:r w:rsidRPr="00B27099">
        <w:rPr>
          <w:rFonts w:cstheme="minorHAnsi"/>
          <w:sz w:val="24"/>
          <w:szCs w:val="24"/>
        </w:rPr>
        <w:t xml:space="preserve">This project mainly explains the overruns and delays of the project of Hinkley point c of the UK as it is the first power plant in Europe which creates thousands of jobs as well as provides benefits to the environment by lessening the carbon emissions. The electricity-producing sector of the UK is meaningfully experiences a major transformation from contaminating technologies to clean carbon emissions. Numerous prevailing electricity production projects in the UK is established in the next two decades. This project also explains the associated risk of the project like private </w:t>
      </w:r>
      <w:r w:rsidRPr="00B27099">
        <w:rPr>
          <w:rFonts w:cstheme="minorHAnsi"/>
          <w:sz w:val="24"/>
          <w:szCs w:val="24"/>
        </w:rPr>
        <w:lastRenderedPageBreak/>
        <w:t xml:space="preserve">investors </w:t>
      </w:r>
      <w:proofErr w:type="gramStart"/>
      <w:r w:rsidRPr="00B27099">
        <w:rPr>
          <w:rFonts w:cstheme="minorHAnsi"/>
          <w:sz w:val="24"/>
          <w:szCs w:val="24"/>
        </w:rPr>
        <w:t>have to</w:t>
      </w:r>
      <w:proofErr w:type="gramEnd"/>
      <w:r w:rsidRPr="00B27099">
        <w:rPr>
          <w:rFonts w:cstheme="minorHAnsi"/>
          <w:sz w:val="24"/>
          <w:szCs w:val="24"/>
        </w:rPr>
        <w:t xml:space="preserve"> bear the entire risk entailing the risk of cost overruns but when the price rises, the Ministry of Defence has to fulfil the additional price. When the demand declines the contractor </w:t>
      </w:r>
      <w:proofErr w:type="gramStart"/>
      <w:r w:rsidRPr="00B27099">
        <w:rPr>
          <w:rFonts w:cstheme="minorHAnsi"/>
          <w:sz w:val="24"/>
          <w:szCs w:val="24"/>
        </w:rPr>
        <w:t>cannot</w:t>
      </w:r>
      <w:proofErr w:type="gramEnd"/>
      <w:r w:rsidRPr="00B27099">
        <w:rPr>
          <w:rFonts w:cstheme="minorHAnsi"/>
          <w:sz w:val="24"/>
          <w:szCs w:val="24"/>
        </w:rPr>
        <w:t xml:space="preserve"> able to raise adequate funds for the project. Metronet is also a factor of risk and the bad governance led Metronet to suffer from financial challenges and it goes into administration.</w:t>
      </w:r>
    </w:p>
    <w:p w14:paraId="1FCD0CB9" w14:textId="186DC9CF" w:rsidR="00B27099" w:rsidRDefault="00B27099" w:rsidP="00BD613E">
      <w:pPr>
        <w:spacing w:line="360" w:lineRule="auto"/>
        <w:jc w:val="both"/>
        <w:rPr>
          <w:rFonts w:ascii="Times New Roman" w:hAnsi="Times New Roman" w:cs="Times New Roman"/>
          <w:sz w:val="24"/>
          <w:szCs w:val="24"/>
        </w:rPr>
      </w:pPr>
    </w:p>
    <w:p w14:paraId="46E3D14E" w14:textId="2CE185A3" w:rsidR="00B27099" w:rsidRDefault="00B27099" w:rsidP="00BD613E">
      <w:pPr>
        <w:spacing w:line="360" w:lineRule="auto"/>
        <w:jc w:val="both"/>
        <w:rPr>
          <w:rFonts w:ascii="Times New Roman" w:hAnsi="Times New Roman" w:cs="Times New Roman"/>
          <w:sz w:val="24"/>
          <w:szCs w:val="24"/>
        </w:rPr>
      </w:pPr>
    </w:p>
    <w:bookmarkStart w:id="9" w:name="_Toc131684518" w:displacedByCustomXml="next"/>
    <w:sdt>
      <w:sdtPr>
        <w:id w:val="-452558158"/>
        <w:docPartObj>
          <w:docPartGallery w:val="Bibliographies"/>
          <w:docPartUnique/>
        </w:docPartObj>
      </w:sdtPr>
      <w:sdtEndPr>
        <w:rPr>
          <w:rFonts w:asciiTheme="minorHAnsi" w:eastAsiaTheme="minorHAnsi" w:hAnsiTheme="minorHAnsi" w:cstheme="minorBidi"/>
          <w:b w:val="0"/>
          <w:bCs w:val="0"/>
          <w:color w:val="auto"/>
          <w:sz w:val="22"/>
          <w:szCs w:val="22"/>
        </w:rPr>
      </w:sdtEndPr>
      <w:sdtContent>
        <w:p w14:paraId="08CB8049" w14:textId="6A55A40F" w:rsidR="00B27099" w:rsidRDefault="00B27099">
          <w:pPr>
            <w:pStyle w:val="Heading1"/>
          </w:pPr>
          <w:r>
            <w:t>References</w:t>
          </w:r>
          <w:bookmarkEnd w:id="9"/>
        </w:p>
        <w:sdt>
          <w:sdtPr>
            <w:id w:val="-573587230"/>
            <w:bibliography/>
          </w:sdtPr>
          <w:sdtContent>
            <w:p w14:paraId="38F879BD" w14:textId="77777777" w:rsidR="00B27099" w:rsidRDefault="00B27099" w:rsidP="00B27099">
              <w:pPr>
                <w:pStyle w:val="Bibliography"/>
                <w:rPr>
                  <w:noProof/>
                  <w:sz w:val="24"/>
                  <w:szCs w:val="24"/>
                </w:rPr>
              </w:pPr>
              <w:r>
                <w:fldChar w:fldCharType="begin"/>
              </w:r>
              <w:r>
                <w:instrText xml:space="preserve"> BIBLIOGRAPHY </w:instrText>
              </w:r>
              <w:r>
                <w:fldChar w:fldCharType="separate"/>
              </w:r>
              <w:r>
                <w:rPr>
                  <w:noProof/>
                </w:rPr>
                <w:t xml:space="preserve">Alberto, I., 2019. A Critical Analysis of the Wind Generated Effect on the Rate of Overtopping on the Hinkley Point C Sea Wall Through the use of Physical Modelling. </w:t>
              </w:r>
              <w:r>
                <w:rPr>
                  <w:i/>
                  <w:iCs/>
                  <w:noProof/>
                </w:rPr>
                <w:t xml:space="preserve">The Plymouth Student Scientist, </w:t>
              </w:r>
              <w:r>
                <w:rPr>
                  <w:noProof/>
                </w:rPr>
                <w:t>12(1-2019), pp. 135-186.</w:t>
              </w:r>
            </w:p>
            <w:p w14:paraId="2F630879" w14:textId="77777777" w:rsidR="00B27099" w:rsidRDefault="00B27099" w:rsidP="00B27099">
              <w:pPr>
                <w:pStyle w:val="Bibliography"/>
                <w:rPr>
                  <w:noProof/>
                </w:rPr>
              </w:pPr>
              <w:r>
                <w:rPr>
                  <w:noProof/>
                </w:rPr>
                <w:t>Aldama</w:t>
              </w:r>
              <w:r>
                <w:rPr>
                  <w:noProof/>
                </w:rPr>
                <w:noBreakHyphen/>
                <w:t xml:space="preserve">Bustos, G. et al., 2019. A streamlined approach for the seismic hazard assessment of a new nuclear power plant in the UK. </w:t>
              </w:r>
              <w:r>
                <w:rPr>
                  <w:i/>
                  <w:iCs/>
                  <w:noProof/>
                </w:rPr>
                <w:t xml:space="preserve">Bulletin of Earthquake Engineering, </w:t>
              </w:r>
              <w:r>
                <w:rPr>
                  <w:noProof/>
                </w:rPr>
                <w:t>17(1), pp. 37-54.</w:t>
              </w:r>
            </w:p>
            <w:p w14:paraId="0548E85F" w14:textId="77777777" w:rsidR="00B27099" w:rsidRDefault="00B27099" w:rsidP="00B27099">
              <w:pPr>
                <w:pStyle w:val="Bibliography"/>
                <w:rPr>
                  <w:noProof/>
                </w:rPr>
              </w:pPr>
              <w:r>
                <w:rPr>
                  <w:noProof/>
                </w:rPr>
                <w:t xml:space="preserve">Butcher, A. et al., 2021. Evaluating rock mass disturbance within open-pit excavations using seismic methods: A case study from the Hinkley Point C nuclear power station.. </w:t>
              </w:r>
              <w:r>
                <w:rPr>
                  <w:i/>
                  <w:iCs/>
                  <w:noProof/>
                </w:rPr>
                <w:t xml:space="preserve">Journal of Rock Mechanics and Geotechnical Engineering, </w:t>
              </w:r>
              <w:r>
                <w:rPr>
                  <w:noProof/>
                </w:rPr>
                <w:t>13(1), pp. 500-512.</w:t>
              </w:r>
            </w:p>
            <w:p w14:paraId="590732E4" w14:textId="77777777" w:rsidR="00B27099" w:rsidRDefault="00B27099" w:rsidP="00B27099">
              <w:pPr>
                <w:pStyle w:val="Bibliography"/>
                <w:rPr>
                  <w:noProof/>
                </w:rPr>
              </w:pPr>
              <w:r>
                <w:rPr>
                  <w:noProof/>
                </w:rPr>
                <w:t xml:space="preserve">Cossins-Smith, A., 2023. </w:t>
              </w:r>
              <w:r>
                <w:rPr>
                  <w:i/>
                  <w:iCs/>
                  <w:noProof/>
                </w:rPr>
                <w:t xml:space="preserve">Power Technology-Cost of EDF’s Hinkley Point C nuclear project rises to $40bn. </w:t>
              </w:r>
              <w:r>
                <w:rPr>
                  <w:noProof/>
                </w:rPr>
                <w:t xml:space="preserve">[Online] </w:t>
              </w:r>
              <w:r>
                <w:rPr>
                  <w:noProof/>
                </w:rPr>
                <w:br/>
                <w:t xml:space="preserve">Available at: </w:t>
              </w:r>
              <w:r>
                <w:rPr>
                  <w:noProof/>
                  <w:u w:val="single"/>
                </w:rPr>
                <w:t>https://www.power-technology.com/news/hinkley-point-c-project-costs-rise-again/</w:t>
              </w:r>
              <w:r>
                <w:rPr>
                  <w:noProof/>
                </w:rPr>
                <w:br/>
                <w:t>[Accessed 28 3 2023].</w:t>
              </w:r>
            </w:p>
            <w:p w14:paraId="04383F61" w14:textId="77777777" w:rsidR="00B27099" w:rsidRDefault="00B27099" w:rsidP="00B27099">
              <w:pPr>
                <w:pStyle w:val="Bibliography"/>
                <w:rPr>
                  <w:noProof/>
                </w:rPr>
              </w:pPr>
              <w:r>
                <w:rPr>
                  <w:noProof/>
                </w:rPr>
                <w:t xml:space="preserve">Daniel, E. &amp; Daniel, P. A., 2019. Megaprojects as complex adaptive systems:The Hinkley point C case. </w:t>
              </w:r>
              <w:r>
                <w:rPr>
                  <w:i/>
                  <w:iCs/>
                  <w:noProof/>
                </w:rPr>
                <w:t xml:space="preserve">International Journal of Project Manajement , </w:t>
              </w:r>
              <w:r>
                <w:rPr>
                  <w:noProof/>
                </w:rPr>
                <w:t>37(1), pp. 1017-1033.</w:t>
              </w:r>
            </w:p>
            <w:p w14:paraId="7CE42AF3" w14:textId="77777777" w:rsidR="00B27099" w:rsidRDefault="00B27099" w:rsidP="00B27099">
              <w:pPr>
                <w:pStyle w:val="Bibliography"/>
                <w:rPr>
                  <w:noProof/>
                </w:rPr>
              </w:pPr>
              <w:r>
                <w:rPr>
                  <w:noProof/>
                </w:rPr>
                <w:t xml:space="preserve">Hanine, I., 2022. The financing of new reactors, a major concern for the cost of out power systems. </w:t>
              </w:r>
              <w:r>
                <w:rPr>
                  <w:i/>
                  <w:iCs/>
                  <w:noProof/>
                </w:rPr>
                <w:t xml:space="preserve">Revue Generale Nucleaire, </w:t>
              </w:r>
              <w:r>
                <w:rPr>
                  <w:noProof/>
                </w:rPr>
                <w:t>54(1), pp. 40-41.</w:t>
              </w:r>
            </w:p>
            <w:p w14:paraId="5850ADC1" w14:textId="77777777" w:rsidR="00B27099" w:rsidRDefault="00B27099" w:rsidP="00B27099">
              <w:pPr>
                <w:pStyle w:val="Bibliography"/>
                <w:rPr>
                  <w:noProof/>
                </w:rPr>
              </w:pPr>
              <w:r>
                <w:rPr>
                  <w:noProof/>
                </w:rPr>
                <w:t xml:space="preserve">Harvey, D., 2021. </w:t>
              </w:r>
              <w:r>
                <w:rPr>
                  <w:i/>
                  <w:iCs/>
                  <w:noProof/>
                </w:rPr>
                <w:t xml:space="preserve">Hinkley nuclear power station on track for 2026 opening. </w:t>
              </w:r>
              <w:r>
                <w:rPr>
                  <w:noProof/>
                </w:rPr>
                <w:t xml:space="preserve">[Online] </w:t>
              </w:r>
              <w:r>
                <w:rPr>
                  <w:noProof/>
                </w:rPr>
                <w:br/>
                <w:t xml:space="preserve">Available at: </w:t>
              </w:r>
              <w:r>
                <w:rPr>
                  <w:noProof/>
                  <w:u w:val="single"/>
                </w:rPr>
                <w:t>https://www.bbc.co.uk/news/uk-england-somerset-58724732</w:t>
              </w:r>
              <w:r>
                <w:rPr>
                  <w:noProof/>
                </w:rPr>
                <w:br/>
                <w:t>[Accessed 28 03 2023].</w:t>
              </w:r>
            </w:p>
            <w:p w14:paraId="2A269A29" w14:textId="77777777" w:rsidR="00B27099" w:rsidRDefault="00B27099" w:rsidP="00B27099">
              <w:pPr>
                <w:pStyle w:val="Bibliography"/>
                <w:rPr>
                  <w:noProof/>
                </w:rPr>
              </w:pPr>
              <w:r>
                <w:rPr>
                  <w:noProof/>
                </w:rPr>
                <w:t xml:space="preserve">MCINTYRE, F., 2018. </w:t>
              </w:r>
              <w:r>
                <w:rPr>
                  <w:i/>
                  <w:iCs/>
                  <w:noProof/>
                </w:rPr>
                <w:t xml:space="preserve">New Civil Engineer-Hinkley Point C quality management needs improvement, says nuclear regulator.. </w:t>
              </w:r>
              <w:r>
                <w:rPr>
                  <w:noProof/>
                </w:rPr>
                <w:t xml:space="preserve">[Online] </w:t>
              </w:r>
              <w:r>
                <w:rPr>
                  <w:noProof/>
                </w:rPr>
                <w:br/>
                <w:t xml:space="preserve">Available at: </w:t>
              </w:r>
              <w:r>
                <w:rPr>
                  <w:noProof/>
                  <w:u w:val="single"/>
                </w:rPr>
                <w:t>https://www.newcivilengineer.com/archive/hinkley-point-c-quality-management-needs-</w:t>
              </w:r>
              <w:r>
                <w:rPr>
                  <w:noProof/>
                  <w:u w:val="single"/>
                </w:rPr>
                <w:lastRenderedPageBreak/>
                <w:t>improvement-says-nuclear-regulator-16-03-2018/</w:t>
              </w:r>
              <w:r>
                <w:rPr>
                  <w:noProof/>
                </w:rPr>
                <w:br/>
                <w:t>[Accessed 30 3 2023].</w:t>
              </w:r>
            </w:p>
            <w:p w14:paraId="25F4D097" w14:textId="77777777" w:rsidR="00B27099" w:rsidRDefault="00B27099" w:rsidP="00B27099">
              <w:pPr>
                <w:pStyle w:val="Bibliography"/>
                <w:rPr>
                  <w:noProof/>
                </w:rPr>
              </w:pPr>
              <w:r>
                <w:rPr>
                  <w:noProof/>
                </w:rPr>
                <w:t xml:space="preserve">National Audit Office by Comproller and Auditor General Sir Amyas Morse, 2017. </w:t>
              </w:r>
              <w:r>
                <w:rPr>
                  <w:i/>
                  <w:iCs/>
                  <w:noProof/>
                </w:rPr>
                <w:t xml:space="preserve">Hinkley Point C, </w:t>
              </w:r>
              <w:r>
                <w:rPr>
                  <w:noProof/>
                </w:rPr>
                <w:t>London: NAO.</w:t>
              </w:r>
            </w:p>
            <w:p w14:paraId="3BF30573" w14:textId="77777777" w:rsidR="00B27099" w:rsidRDefault="00B27099" w:rsidP="00B27099">
              <w:pPr>
                <w:pStyle w:val="Bibliography"/>
                <w:rPr>
                  <w:noProof/>
                </w:rPr>
              </w:pPr>
              <w:r>
                <w:rPr>
                  <w:noProof/>
                </w:rPr>
                <w:t xml:space="preserve">NS Energy, no date. </w:t>
              </w:r>
              <w:r>
                <w:rPr>
                  <w:i/>
                  <w:iCs/>
                  <w:noProof/>
                </w:rPr>
                <w:t xml:space="preserve">Hinkley Point C Nuclear Power Station. </w:t>
              </w:r>
              <w:r>
                <w:rPr>
                  <w:noProof/>
                </w:rPr>
                <w:t xml:space="preserve">[Online] </w:t>
              </w:r>
              <w:r>
                <w:rPr>
                  <w:noProof/>
                </w:rPr>
                <w:br/>
                <w:t xml:space="preserve">Available at: </w:t>
              </w:r>
              <w:r>
                <w:rPr>
                  <w:noProof/>
                  <w:u w:val="single"/>
                </w:rPr>
                <w:t>https://www.nsenergybusiness.com/projects/hinkley-point-c-nuclear-power-station-uk</w:t>
              </w:r>
              <w:r>
                <w:rPr>
                  <w:noProof/>
                </w:rPr>
                <w:br/>
                <w:t>[Accessed 30 3 2023].</w:t>
              </w:r>
            </w:p>
            <w:p w14:paraId="0205281F" w14:textId="241F92F6" w:rsidR="00B27099" w:rsidRDefault="00B27099" w:rsidP="00B27099">
              <w:r>
                <w:rPr>
                  <w:b/>
                  <w:bCs/>
                  <w:noProof/>
                </w:rPr>
                <w:fldChar w:fldCharType="end"/>
              </w:r>
            </w:p>
          </w:sdtContent>
        </w:sdt>
      </w:sdtContent>
    </w:sdt>
    <w:p w14:paraId="62D0920F" w14:textId="77777777" w:rsidR="00B27099" w:rsidRPr="001570AE" w:rsidRDefault="00B27099" w:rsidP="00BD613E">
      <w:pPr>
        <w:spacing w:line="360" w:lineRule="auto"/>
        <w:jc w:val="both"/>
        <w:rPr>
          <w:rFonts w:ascii="Times New Roman" w:hAnsi="Times New Roman" w:cs="Times New Roman"/>
          <w:sz w:val="24"/>
          <w:szCs w:val="24"/>
        </w:rPr>
      </w:pPr>
    </w:p>
    <w:p w14:paraId="52A85EAF" w14:textId="17CC1B6E" w:rsidR="00BD613E" w:rsidRPr="001570AE" w:rsidRDefault="00BD613E" w:rsidP="00B27099">
      <w:pPr>
        <w:pStyle w:val="Heading1"/>
        <w:spacing w:line="360" w:lineRule="auto"/>
        <w:jc w:val="both"/>
        <w:rPr>
          <w:rFonts w:ascii="Times New Roman" w:hAnsi="Times New Roman" w:cs="Times New Roman"/>
          <w:sz w:val="24"/>
          <w:szCs w:val="24"/>
        </w:rPr>
      </w:pPr>
      <w:r w:rsidRPr="001570AE">
        <w:rPr>
          <w:rFonts w:ascii="Times New Roman" w:hAnsi="Times New Roman" w:cs="Times New Roman"/>
          <w:color w:val="auto"/>
          <w:sz w:val="24"/>
          <w:szCs w:val="24"/>
        </w:rPr>
        <w:br w:type="page"/>
      </w:r>
      <w:bookmarkEnd w:id="0"/>
    </w:p>
    <w:p w14:paraId="50CC4C90" w14:textId="77777777" w:rsidR="00C70BDF" w:rsidRDefault="00C70BDF"/>
    <w:sectPr w:rsidR="00C70BDF" w:rsidSect="00BD613E">
      <w:footerReference w:type="default" r:id="rId13"/>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C6665F" w14:textId="77777777" w:rsidR="00E5737B" w:rsidRDefault="00E5737B">
      <w:pPr>
        <w:spacing w:after="0" w:line="240" w:lineRule="auto"/>
      </w:pPr>
      <w:r>
        <w:separator/>
      </w:r>
    </w:p>
  </w:endnote>
  <w:endnote w:type="continuationSeparator" w:id="0">
    <w:p w14:paraId="09C785A9" w14:textId="77777777" w:rsidR="00E5737B" w:rsidRDefault="00E573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CC"/>
    <w:family w:val="swiss"/>
    <w:pitch w:val="variable"/>
    <w:sig w:usb0="E4002EFF" w:usb1="C2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libri Light">
    <w:panose1 w:val="020F0302020204030204"/>
    <w:charset w:val="CC"/>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34107"/>
      <w:docPartObj>
        <w:docPartGallery w:val="Page Numbers (Bottom of Page)"/>
        <w:docPartUnique/>
      </w:docPartObj>
    </w:sdtPr>
    <w:sdtContent>
      <w:p w14:paraId="09E58E55" w14:textId="77777777" w:rsidR="00286814" w:rsidRDefault="00000000">
        <w:pPr>
          <w:pStyle w:val="Footer"/>
          <w:jc w:val="right"/>
        </w:pPr>
        <w:r>
          <w:fldChar w:fldCharType="begin"/>
        </w:r>
        <w:r>
          <w:instrText xml:space="preserve"> PAGE   \* MERGEFORMAT </w:instrText>
        </w:r>
        <w:r>
          <w:fldChar w:fldCharType="separate"/>
        </w:r>
        <w:r>
          <w:rPr>
            <w:noProof/>
          </w:rPr>
          <w:t>7</w:t>
        </w:r>
        <w:r>
          <w:rPr>
            <w:noProof/>
          </w:rPr>
          <w:fldChar w:fldCharType="end"/>
        </w:r>
      </w:p>
    </w:sdtContent>
  </w:sdt>
  <w:p w14:paraId="469214AA" w14:textId="77777777" w:rsidR="00286814" w:rsidRDefault="000000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DEFC0B" w14:textId="77777777" w:rsidR="00E5737B" w:rsidRDefault="00E5737B">
      <w:pPr>
        <w:spacing w:after="0" w:line="240" w:lineRule="auto"/>
      </w:pPr>
      <w:r>
        <w:separator/>
      </w:r>
    </w:p>
  </w:footnote>
  <w:footnote w:type="continuationSeparator" w:id="0">
    <w:p w14:paraId="2A523426" w14:textId="77777777" w:rsidR="00E5737B" w:rsidRDefault="00E5737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613E"/>
    <w:rsid w:val="000B2E03"/>
    <w:rsid w:val="001A30AF"/>
    <w:rsid w:val="003A6A1F"/>
    <w:rsid w:val="00440752"/>
    <w:rsid w:val="005324D3"/>
    <w:rsid w:val="00736274"/>
    <w:rsid w:val="008A1B44"/>
    <w:rsid w:val="00B27099"/>
    <w:rsid w:val="00BD613E"/>
    <w:rsid w:val="00C70BDF"/>
    <w:rsid w:val="00DF0546"/>
    <w:rsid w:val="00E5737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A314E5"/>
  <w15:chartTrackingRefBased/>
  <w15:docId w15:val="{E511DF26-2515-4F3B-AB3B-D7B478BCDF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D613E"/>
    <w:pPr>
      <w:spacing w:after="200" w:line="276" w:lineRule="auto"/>
    </w:pPr>
    <w:rPr>
      <w:lang w:val="en-GB"/>
    </w:rPr>
  </w:style>
  <w:style w:type="paragraph" w:styleId="Heading1">
    <w:name w:val="heading 1"/>
    <w:basedOn w:val="Normal"/>
    <w:next w:val="Normal"/>
    <w:link w:val="Heading1Char"/>
    <w:uiPriority w:val="9"/>
    <w:qFormat/>
    <w:rsid w:val="00BD613E"/>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link w:val="Heading2Char"/>
    <w:uiPriority w:val="9"/>
    <w:qFormat/>
    <w:rsid w:val="00BD613E"/>
    <w:pPr>
      <w:spacing w:before="100" w:beforeAutospacing="1" w:after="100" w:afterAutospacing="1" w:line="240" w:lineRule="auto"/>
      <w:outlineLvl w:val="1"/>
    </w:pPr>
    <w:rPr>
      <w:rFonts w:ascii="Times New Roman" w:eastAsia="Times New Roman" w:hAnsi="Times New Roman" w:cs="Times New Roman"/>
      <w:b/>
      <w:bCs/>
      <w:sz w:val="36"/>
      <w:szCs w:val="3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613E"/>
    <w:rPr>
      <w:rFonts w:asciiTheme="majorHAnsi" w:eastAsiaTheme="majorEastAsia" w:hAnsiTheme="majorHAnsi" w:cstheme="majorBidi"/>
      <w:b/>
      <w:bCs/>
      <w:color w:val="2F5496" w:themeColor="accent1" w:themeShade="BF"/>
      <w:sz w:val="28"/>
      <w:szCs w:val="28"/>
      <w:lang w:val="en-GB"/>
    </w:rPr>
  </w:style>
  <w:style w:type="character" w:customStyle="1" w:styleId="Heading2Char">
    <w:name w:val="Heading 2 Char"/>
    <w:basedOn w:val="DefaultParagraphFont"/>
    <w:link w:val="Heading2"/>
    <w:uiPriority w:val="9"/>
    <w:rsid w:val="00BD613E"/>
    <w:rPr>
      <w:rFonts w:ascii="Times New Roman" w:eastAsia="Times New Roman" w:hAnsi="Times New Roman" w:cs="Times New Roman"/>
      <w:b/>
      <w:bCs/>
      <w:sz w:val="36"/>
      <w:szCs w:val="36"/>
    </w:rPr>
  </w:style>
  <w:style w:type="paragraph" w:styleId="Footer">
    <w:name w:val="footer"/>
    <w:basedOn w:val="Normal"/>
    <w:link w:val="FooterChar"/>
    <w:uiPriority w:val="99"/>
    <w:unhideWhenUsed/>
    <w:rsid w:val="00BD613E"/>
    <w:pPr>
      <w:tabs>
        <w:tab w:val="center" w:pos="4680"/>
        <w:tab w:val="right" w:pos="9360"/>
      </w:tabs>
      <w:spacing w:after="0" w:line="240" w:lineRule="auto"/>
    </w:pPr>
  </w:style>
  <w:style w:type="character" w:customStyle="1" w:styleId="FooterChar">
    <w:name w:val="Footer Char"/>
    <w:basedOn w:val="DefaultParagraphFont"/>
    <w:link w:val="Footer"/>
    <w:uiPriority w:val="99"/>
    <w:rsid w:val="00BD613E"/>
    <w:rPr>
      <w:lang w:val="en-GB"/>
    </w:rPr>
  </w:style>
  <w:style w:type="paragraph" w:styleId="Caption">
    <w:name w:val="caption"/>
    <w:basedOn w:val="Normal"/>
    <w:next w:val="Normal"/>
    <w:uiPriority w:val="35"/>
    <w:unhideWhenUsed/>
    <w:qFormat/>
    <w:rsid w:val="00BD613E"/>
    <w:pPr>
      <w:spacing w:line="240" w:lineRule="auto"/>
    </w:pPr>
    <w:rPr>
      <w:b/>
      <w:bCs/>
      <w:color w:val="4472C4" w:themeColor="accent1"/>
      <w:sz w:val="18"/>
      <w:szCs w:val="18"/>
    </w:rPr>
  </w:style>
  <w:style w:type="paragraph" w:styleId="TOCHeading">
    <w:name w:val="TOC Heading"/>
    <w:basedOn w:val="Heading1"/>
    <w:next w:val="Normal"/>
    <w:uiPriority w:val="39"/>
    <w:semiHidden/>
    <w:unhideWhenUsed/>
    <w:qFormat/>
    <w:rsid w:val="00BD613E"/>
    <w:pPr>
      <w:outlineLvl w:val="9"/>
    </w:pPr>
    <w:rPr>
      <w:lang w:val="en-US"/>
    </w:rPr>
  </w:style>
  <w:style w:type="paragraph" w:styleId="TOC1">
    <w:name w:val="toc 1"/>
    <w:basedOn w:val="Normal"/>
    <w:next w:val="Normal"/>
    <w:autoRedefine/>
    <w:uiPriority w:val="39"/>
    <w:unhideWhenUsed/>
    <w:rsid w:val="00BD613E"/>
    <w:pPr>
      <w:spacing w:after="100"/>
    </w:pPr>
  </w:style>
  <w:style w:type="paragraph" w:styleId="TOC2">
    <w:name w:val="toc 2"/>
    <w:basedOn w:val="Normal"/>
    <w:next w:val="Normal"/>
    <w:autoRedefine/>
    <w:uiPriority w:val="39"/>
    <w:unhideWhenUsed/>
    <w:rsid w:val="00BD613E"/>
    <w:pPr>
      <w:spacing w:after="100"/>
      <w:ind w:left="220"/>
    </w:pPr>
  </w:style>
  <w:style w:type="character" w:styleId="Hyperlink">
    <w:name w:val="Hyperlink"/>
    <w:basedOn w:val="DefaultParagraphFont"/>
    <w:uiPriority w:val="99"/>
    <w:unhideWhenUsed/>
    <w:rsid w:val="00BD613E"/>
    <w:rPr>
      <w:color w:val="0563C1" w:themeColor="hyperlink"/>
      <w:u w:val="single"/>
    </w:rPr>
  </w:style>
  <w:style w:type="paragraph" w:styleId="NoSpacing">
    <w:name w:val="No Spacing"/>
    <w:link w:val="NoSpacingChar"/>
    <w:uiPriority w:val="1"/>
    <w:qFormat/>
    <w:rsid w:val="00BD613E"/>
    <w:pPr>
      <w:spacing w:after="0" w:line="240" w:lineRule="auto"/>
    </w:pPr>
    <w:rPr>
      <w:rFonts w:eastAsiaTheme="minorEastAsia"/>
    </w:rPr>
  </w:style>
  <w:style w:type="character" w:customStyle="1" w:styleId="NoSpacingChar">
    <w:name w:val="No Spacing Char"/>
    <w:basedOn w:val="DefaultParagraphFont"/>
    <w:link w:val="NoSpacing"/>
    <w:uiPriority w:val="1"/>
    <w:rsid w:val="00BD613E"/>
    <w:rPr>
      <w:rFonts w:eastAsiaTheme="minorEastAsia"/>
    </w:rPr>
  </w:style>
  <w:style w:type="paragraph" w:styleId="Bibliography">
    <w:name w:val="Bibliography"/>
    <w:basedOn w:val="Normal"/>
    <w:next w:val="Normal"/>
    <w:uiPriority w:val="37"/>
    <w:unhideWhenUsed/>
    <w:rsid w:val="00B270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019707">
      <w:bodyDiv w:val="1"/>
      <w:marLeft w:val="0"/>
      <w:marRight w:val="0"/>
      <w:marTop w:val="0"/>
      <w:marBottom w:val="0"/>
      <w:divBdr>
        <w:top w:val="none" w:sz="0" w:space="0" w:color="auto"/>
        <w:left w:val="none" w:sz="0" w:space="0" w:color="auto"/>
        <w:bottom w:val="none" w:sz="0" w:space="0" w:color="auto"/>
        <w:right w:val="none" w:sz="0" w:space="0" w:color="auto"/>
      </w:divBdr>
    </w:div>
    <w:div w:id="412052357">
      <w:bodyDiv w:val="1"/>
      <w:marLeft w:val="0"/>
      <w:marRight w:val="0"/>
      <w:marTop w:val="0"/>
      <w:marBottom w:val="0"/>
      <w:divBdr>
        <w:top w:val="none" w:sz="0" w:space="0" w:color="auto"/>
        <w:left w:val="none" w:sz="0" w:space="0" w:color="auto"/>
        <w:bottom w:val="none" w:sz="0" w:space="0" w:color="auto"/>
        <w:right w:val="none" w:sz="0" w:space="0" w:color="auto"/>
      </w:divBdr>
    </w:div>
    <w:div w:id="450903763">
      <w:bodyDiv w:val="1"/>
      <w:marLeft w:val="0"/>
      <w:marRight w:val="0"/>
      <w:marTop w:val="0"/>
      <w:marBottom w:val="0"/>
      <w:divBdr>
        <w:top w:val="none" w:sz="0" w:space="0" w:color="auto"/>
        <w:left w:val="none" w:sz="0" w:space="0" w:color="auto"/>
        <w:bottom w:val="none" w:sz="0" w:space="0" w:color="auto"/>
        <w:right w:val="none" w:sz="0" w:space="0" w:color="auto"/>
      </w:divBdr>
    </w:div>
    <w:div w:id="503714579">
      <w:bodyDiv w:val="1"/>
      <w:marLeft w:val="0"/>
      <w:marRight w:val="0"/>
      <w:marTop w:val="0"/>
      <w:marBottom w:val="0"/>
      <w:divBdr>
        <w:top w:val="none" w:sz="0" w:space="0" w:color="auto"/>
        <w:left w:val="none" w:sz="0" w:space="0" w:color="auto"/>
        <w:bottom w:val="none" w:sz="0" w:space="0" w:color="auto"/>
        <w:right w:val="none" w:sz="0" w:space="0" w:color="auto"/>
      </w:divBdr>
    </w:div>
    <w:div w:id="587465773">
      <w:bodyDiv w:val="1"/>
      <w:marLeft w:val="0"/>
      <w:marRight w:val="0"/>
      <w:marTop w:val="0"/>
      <w:marBottom w:val="0"/>
      <w:divBdr>
        <w:top w:val="none" w:sz="0" w:space="0" w:color="auto"/>
        <w:left w:val="none" w:sz="0" w:space="0" w:color="auto"/>
        <w:bottom w:val="none" w:sz="0" w:space="0" w:color="auto"/>
        <w:right w:val="none" w:sz="0" w:space="0" w:color="auto"/>
      </w:divBdr>
    </w:div>
    <w:div w:id="816919528">
      <w:bodyDiv w:val="1"/>
      <w:marLeft w:val="0"/>
      <w:marRight w:val="0"/>
      <w:marTop w:val="0"/>
      <w:marBottom w:val="0"/>
      <w:divBdr>
        <w:top w:val="none" w:sz="0" w:space="0" w:color="auto"/>
        <w:left w:val="none" w:sz="0" w:space="0" w:color="auto"/>
        <w:bottom w:val="none" w:sz="0" w:space="0" w:color="auto"/>
        <w:right w:val="none" w:sz="0" w:space="0" w:color="auto"/>
      </w:divBdr>
    </w:div>
    <w:div w:id="851601094">
      <w:bodyDiv w:val="1"/>
      <w:marLeft w:val="0"/>
      <w:marRight w:val="0"/>
      <w:marTop w:val="0"/>
      <w:marBottom w:val="0"/>
      <w:divBdr>
        <w:top w:val="none" w:sz="0" w:space="0" w:color="auto"/>
        <w:left w:val="none" w:sz="0" w:space="0" w:color="auto"/>
        <w:bottom w:val="none" w:sz="0" w:space="0" w:color="auto"/>
        <w:right w:val="none" w:sz="0" w:space="0" w:color="auto"/>
      </w:divBdr>
    </w:div>
    <w:div w:id="900210205">
      <w:bodyDiv w:val="1"/>
      <w:marLeft w:val="0"/>
      <w:marRight w:val="0"/>
      <w:marTop w:val="0"/>
      <w:marBottom w:val="0"/>
      <w:divBdr>
        <w:top w:val="none" w:sz="0" w:space="0" w:color="auto"/>
        <w:left w:val="none" w:sz="0" w:space="0" w:color="auto"/>
        <w:bottom w:val="none" w:sz="0" w:space="0" w:color="auto"/>
        <w:right w:val="none" w:sz="0" w:space="0" w:color="auto"/>
      </w:divBdr>
    </w:div>
    <w:div w:id="1105538662">
      <w:bodyDiv w:val="1"/>
      <w:marLeft w:val="0"/>
      <w:marRight w:val="0"/>
      <w:marTop w:val="0"/>
      <w:marBottom w:val="0"/>
      <w:divBdr>
        <w:top w:val="none" w:sz="0" w:space="0" w:color="auto"/>
        <w:left w:val="none" w:sz="0" w:space="0" w:color="auto"/>
        <w:bottom w:val="none" w:sz="0" w:space="0" w:color="auto"/>
        <w:right w:val="none" w:sz="0" w:space="0" w:color="auto"/>
      </w:divBdr>
    </w:div>
    <w:div w:id="1125736765">
      <w:bodyDiv w:val="1"/>
      <w:marLeft w:val="0"/>
      <w:marRight w:val="0"/>
      <w:marTop w:val="0"/>
      <w:marBottom w:val="0"/>
      <w:divBdr>
        <w:top w:val="none" w:sz="0" w:space="0" w:color="auto"/>
        <w:left w:val="none" w:sz="0" w:space="0" w:color="auto"/>
        <w:bottom w:val="none" w:sz="0" w:space="0" w:color="auto"/>
        <w:right w:val="none" w:sz="0" w:space="0" w:color="auto"/>
      </w:divBdr>
    </w:div>
    <w:div w:id="1143504826">
      <w:bodyDiv w:val="1"/>
      <w:marLeft w:val="0"/>
      <w:marRight w:val="0"/>
      <w:marTop w:val="0"/>
      <w:marBottom w:val="0"/>
      <w:divBdr>
        <w:top w:val="none" w:sz="0" w:space="0" w:color="auto"/>
        <w:left w:val="none" w:sz="0" w:space="0" w:color="auto"/>
        <w:bottom w:val="none" w:sz="0" w:space="0" w:color="auto"/>
        <w:right w:val="none" w:sz="0" w:space="0" w:color="auto"/>
      </w:divBdr>
    </w:div>
    <w:div w:id="1243837643">
      <w:bodyDiv w:val="1"/>
      <w:marLeft w:val="0"/>
      <w:marRight w:val="0"/>
      <w:marTop w:val="0"/>
      <w:marBottom w:val="0"/>
      <w:divBdr>
        <w:top w:val="none" w:sz="0" w:space="0" w:color="auto"/>
        <w:left w:val="none" w:sz="0" w:space="0" w:color="auto"/>
        <w:bottom w:val="none" w:sz="0" w:space="0" w:color="auto"/>
        <w:right w:val="none" w:sz="0" w:space="0" w:color="auto"/>
      </w:divBdr>
    </w:div>
    <w:div w:id="1344357007">
      <w:bodyDiv w:val="1"/>
      <w:marLeft w:val="0"/>
      <w:marRight w:val="0"/>
      <w:marTop w:val="0"/>
      <w:marBottom w:val="0"/>
      <w:divBdr>
        <w:top w:val="none" w:sz="0" w:space="0" w:color="auto"/>
        <w:left w:val="none" w:sz="0" w:space="0" w:color="auto"/>
        <w:bottom w:val="none" w:sz="0" w:space="0" w:color="auto"/>
        <w:right w:val="none" w:sz="0" w:space="0" w:color="auto"/>
      </w:divBdr>
    </w:div>
    <w:div w:id="14663169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s://scienceforsustainability.org/wiki/Renewable_alternatives_to_nuclear_in_the_UK"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University Of Wales Trinity Saint David</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Dav21</b:Tag>
    <b:SourceType>InternetSite</b:SourceType>
    <b:Guid>{4AB839B5-E36C-40A8-B4E2-40FA7CEBD09D}</b:Guid>
    <b:Author>
      <b:Author>
        <b:NameList>
          <b:Person>
            <b:Last>Harvey</b:Last>
            <b:First>Dave</b:First>
          </b:Person>
        </b:NameList>
      </b:Author>
    </b:Author>
    <b:Title>Hinkley nuclear power station on track for 2026 opening</b:Title>
    <b:Year>2021</b:Year>
    <b:YearAccessed>2023</b:YearAccessed>
    <b:MonthAccessed>03</b:MonthAccessed>
    <b:DayAccessed>28</b:DayAccessed>
    <b:URL>https://www.bbc.co.uk/news/uk-england-somerset-58724732</b:URL>
    <b:RefOrder>6</b:RefOrder>
  </b:Source>
  <b:Source>
    <b:Tag>Ian19</b:Tag>
    <b:SourceType>JournalArticle</b:SourceType>
    <b:Guid>{FA8B9DB8-4EEE-4562-8167-52A81F4841AD}</b:Guid>
    <b:Author>
      <b:Author>
        <b:NameList>
          <b:Person>
            <b:Last>Alberto</b:Last>
            <b:First>Ian</b:First>
          </b:Person>
        </b:NameList>
      </b:Author>
    </b:Author>
    <b:Title>A Critical Analysis of the Wind Generated Effect on the Rate of Overtopping on the Hinkley Point C Sea Wall Through the use of Physical Modelling</b:Title>
    <b:Year>2019</b:Year>
    <b:JournalName>The Plymouth Student Scientist</b:JournalName>
    <b:Pages>135-186</b:Pages>
    <b:Volume>12</b:Volume>
    <b:Issue>1-2019</b:Issue>
    <b:RefOrder>10</b:RefOrder>
  </b:Source>
  <b:Source>
    <b:Tag>FIO18</b:Tag>
    <b:SourceType>InternetSite</b:SourceType>
    <b:Guid>{0A1BB29B-0FEB-44E3-A8DC-463B59A39BA4}</b:Guid>
    <b:Title>New Civil Engineer-Hinkley Point C quality management needs improvement, says nuclear regulator. </b:Title>
    <b:Year>2018</b:Year>
    <b:Author>
      <b:Author>
        <b:NameList>
          <b:Person>
            <b:Last>MCINTYRE</b:Last>
            <b:First>FIONA</b:First>
          </b:Person>
        </b:NameList>
      </b:Author>
    </b:Author>
    <b:YearAccessed>2023</b:YearAccessed>
    <b:MonthAccessed>3</b:MonthAccessed>
    <b:DayAccessed>30</b:DayAccessed>
    <b:URL>https://www.newcivilengineer.com/archive/hinkley-point-c-quality-management-needs-improvement-says-nuclear-regulator-16-03-2018/</b:URL>
    <b:RefOrder>1</b:RefOrder>
  </b:Source>
  <b:Source>
    <b:Tag>Eri19</b:Tag>
    <b:SourceType>JournalArticle</b:SourceType>
    <b:Guid>{68A940DF-0BA5-4513-A4A9-0BF8AF46A847}</b:Guid>
    <b:Title>Megaprojects as complex adaptive systems:The Hinkley point C case</b:Title>
    <b:Year>2019</b:Year>
    <b:Author>
      <b:Author>
        <b:NameList>
          <b:Person>
            <b:Last>Daniel</b:Last>
            <b:First>Eric</b:First>
          </b:Person>
          <b:Person>
            <b:Last>Daniel</b:Last>
            <b:First>Pierre</b:First>
            <b:Middle>A.</b:Middle>
          </b:Person>
        </b:NameList>
      </b:Author>
    </b:Author>
    <b:JournalName>International Journal of Project Manajement </b:JournalName>
    <b:Pages>1017-1033</b:Pages>
    <b:Volume>37</b:Volume>
    <b:Issue>1</b:Issue>
    <b:RefOrder>3</b:RefOrder>
  </b:Source>
  <b:Source>
    <b:Tag>Ann23</b:Tag>
    <b:SourceType>InternetSite</b:SourceType>
    <b:Guid>{7A225DFE-29CC-4B08-A998-36C7212F6AD0}</b:Guid>
    <b:Author>
      <b:Author>
        <b:NameList>
          <b:Person>
            <b:Last>Cossins-Smith</b:Last>
            <b:First>Annabel</b:First>
          </b:Person>
        </b:NameList>
      </b:Author>
    </b:Author>
    <b:Title>Power Technology-Cost of EDF’s Hinkley Point C nuclear project rises to $40bn</b:Title>
    <b:Year>2023</b:Year>
    <b:YearAccessed>2023</b:YearAccessed>
    <b:MonthAccessed>3</b:MonthAccessed>
    <b:DayAccessed>28</b:DayAccessed>
    <b:URL>https://www.power-technology.com/news/hinkley-point-c-project-costs-rise-again/</b:URL>
    <b:RefOrder>4</b:RefOrder>
  </b:Source>
  <b:Source>
    <b:Tag>Ant21</b:Tag>
    <b:SourceType>JournalArticle</b:SourceType>
    <b:Guid>{B8173DCE-3403-4491-8DEF-702C4435E3FE}</b:Guid>
    <b:Author>
      <b:Author>
        <b:NameList>
          <b:Person>
            <b:Last>Butcher</b:Last>
            <b:First>Antony</b:First>
          </b:Person>
          <b:Person>
            <b:Last>Stork</b:Last>
            <b:First>Anna</b:First>
            <b:Middle>L.</b:Middle>
          </b:Person>
          <b:Person>
            <b:Last>Verdon</b:Last>
            <b:First>James</b:First>
            <b:Middle>P.</b:Middle>
          </b:Person>
          <b:Person>
            <b:Last>Kendall</b:Last>
            <b:First>J-Michael</b:First>
          </b:Person>
          <b:Person>
            <b:Last>Plenkers</b:Last>
            <b:First>Katrin</b:First>
          </b:Person>
          <b:Person>
            <b:Last>Booth</b:Last>
            <b:First>Finlay</b:First>
          </b:Person>
          <b:Person>
            <b:Last>Boneham</b:Last>
            <b:First>Marcus</b:First>
          </b:Person>
          <b:Person>
            <b:Last>Koe</b:Last>
            <b:First>Adrian</b:First>
          </b:Person>
        </b:NameList>
      </b:Author>
    </b:Author>
    <b:Title>Evaluating rock mass disturbance within open-pit excavations using seismic methods: A case study from the Hinkley Point C nuclear power station.</b:Title>
    <b:JournalName>Journal of Rock Mechanics and Geotechnical Engineering</b:JournalName>
    <b:Year>2021</b:Year>
    <b:Pages>500-512</b:Pages>
    <b:Volume>13</b:Volume>
    <b:Issue>1</b:Issue>
    <b:RefOrder>5</b:RefOrder>
  </b:Source>
  <b:Source>
    <b:Tag>NSEte</b:Tag>
    <b:SourceType>InternetSite</b:SourceType>
    <b:Guid>{25F59887-8E33-4C5B-AB2C-DC3AD0AC00AB}</b:Guid>
    <b:Title>Hinkley Point C Nuclear Power Station</b:Title>
    <b:Year>no date</b:Year>
    <b:Author>
      <b:Author>
        <b:Corporate>NS Energy</b:Corporate>
      </b:Author>
    </b:Author>
    <b:YearAccessed>2023</b:YearAccessed>
    <b:MonthAccessed>3</b:MonthAccessed>
    <b:DayAccessed>30</b:DayAccessed>
    <b:URL>https://www.nsenergybusiness.com/projects/hinkley-point-c-nuclear-power-station-uk</b:URL>
    <b:RefOrder>7</b:RefOrder>
  </b:Source>
  <b:Source>
    <b:Tag>Nat17</b:Tag>
    <b:SourceType>Report</b:SourceType>
    <b:Guid>{A1424372-FC5C-484C-906E-CCDC208F5FB8}</b:Guid>
    <b:Title>Hinkley Point C</b:Title>
    <b:Year>2017</b:Year>
    <b:Author>
      <b:Author>
        <b:Corporate>National Audit Office by Comproller and Auditor General Sir Amyas Morse</b:Corporate>
      </b:Author>
    </b:Author>
    <b:Publisher>NAO</b:Publisher>
    <b:City>London</b:City>
    <b:RefOrder>8</b:RefOrder>
  </b:Source>
  <b:Source>
    <b:Tag>Gui19</b:Tag>
    <b:SourceType>JournalArticle</b:SourceType>
    <b:Guid>{3AB69F41-8E58-45E1-BB63-19963B3AE4C3}</b:Guid>
    <b:Author>
      <b:Author>
        <b:NameList>
          <b:Person>
            <b:Last>Aldama‑Bustos</b:Last>
            <b:First>Guillermo</b:First>
          </b:Person>
          <b:Person>
            <b:Last>Tromans</b:Last>
            <b:First>Iain</b:First>
            <b:Middle>J.</b:Middle>
          </b:Person>
          <b:Person>
            <b:Last>Strasser</b:Last>
            <b:First>Fleur</b:First>
          </b:Person>
          <b:Person>
            <b:Last>Garrard</b:Last>
            <b:First>Graham</b:First>
          </b:Person>
          <b:Person>
            <b:Last>Green</b:Last>
            <b:First>Guy</b:First>
          </b:Person>
          <b:Person>
            <b:Last>Rivers</b:Last>
            <b:First>Liz</b:First>
          </b:Person>
          <b:Person>
            <b:Last>Douglas</b:Last>
            <b:First>John</b:First>
          </b:Person>
          <b:Person>
            <b:Last>Musson</b:Last>
            <b:First>Roger</b:First>
            <b:Middle>M. W.</b:Middle>
          </b:Person>
          <b:Person>
            <b:Last>Hunt</b:Last>
            <b:First>Simon</b:First>
          </b:Person>
          <b:Person>
            <b:Last>Lessi‑Cheimariou</b:Last>
            <b:First>Angeliki</b:First>
          </b:Person>
          <b:Person>
            <b:Last>Daví</b:Last>
            <b:First>Manuela</b:First>
          </b:Person>
          <b:Person>
            <b:Last>Robertson</b:Last>
            <b:First>Colin</b:First>
          </b:Person>
        </b:NameList>
      </b:Author>
    </b:Author>
    <b:Title>A streamlined approach for the seismic hazard assessment of a new nuclear power plant in the UK</b:Title>
    <b:JournalName>Bulletin of Earthquake Engineering</b:JournalName>
    <b:Year>2019</b:Year>
    <b:Pages>37-54</b:Pages>
    <b:Volume>17</b:Volume>
    <b:Issue>1</b:Issue>
    <b:RefOrder>9</b:RefOrder>
  </b:Source>
  <b:Source>
    <b:Tag>Han22</b:Tag>
    <b:SourceType>JournalArticle</b:SourceType>
    <b:Guid>{2082A30A-1CED-4A8C-A861-A982DE521ABD}</b:Guid>
    <b:Title>The financing of new reactors, a major concern for the cost of out power systems</b:Title>
    <b:Year>2022</b:Year>
    <b:Author>
      <b:Author>
        <b:NameList>
          <b:Person>
            <b:Last>Hanine</b:Last>
            <b:First>I</b:First>
          </b:Person>
        </b:NameList>
      </b:Author>
    </b:Author>
    <b:JournalName>Revue Generale Nucleaire</b:JournalName>
    <b:Pages>40-41</b:Pages>
    <b:Volume>54</b:Volume>
    <b:Issue>1</b:Issue>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7FB16CA-7E11-40EE-A650-63C6E161BB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217</TotalTime>
  <Pages>14</Pages>
  <Words>2810</Words>
  <Characters>16023</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Project Management</vt:lpstr>
    </vt:vector>
  </TitlesOfParts>
  <Company/>
  <LinksUpToDate>false</LinksUpToDate>
  <CharactersWithSpaces>18796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Management</dc:title>
  <dc:subject>Assessment 1</dc:subject>
  <dc:creator>Penko Nedelchev (2112415)</dc:creator>
  <cp:keywords/>
  <dc:description/>
  <cp:lastModifiedBy>Elena Nedelcheva (2112413)</cp:lastModifiedBy>
  <cp:revision>6</cp:revision>
  <dcterms:created xsi:type="dcterms:W3CDTF">2023-04-04T22:39:00Z</dcterms:created>
  <dcterms:modified xsi:type="dcterms:W3CDTF">2023-04-06T13:41:00Z</dcterms:modified>
  <cp:category>Business Management</cp:category>
</cp:coreProperties>
</file>