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C487CD" w14:textId="77777777" w:rsidR="00DE23A0" w:rsidRDefault="00DE23A0" w:rsidP="00DE23A0">
      <w:pPr>
        <w:spacing w:line="360" w:lineRule="auto"/>
        <w:rPr>
          <w:rFonts w:ascii="Calibri" w:hAnsi="Calibri" w:cs="Calibri"/>
          <w:sz w:val="22"/>
          <w:szCs w:val="22"/>
        </w:rPr>
      </w:pPr>
    </w:p>
    <w:p w14:paraId="78885E92" w14:textId="2CBB3AED" w:rsidR="00DE23A0" w:rsidRDefault="00735A3A" w:rsidP="00DE23A0">
      <w:pPr>
        <w:spacing w:line="360" w:lineRule="auto"/>
        <w:rPr>
          <w:rFonts w:ascii="Calibri" w:hAnsi="Calibri" w:cs="Calibri"/>
          <w:sz w:val="22"/>
          <w:szCs w:val="22"/>
        </w:rPr>
      </w:pPr>
      <w:r w:rsidRPr="00A406E5">
        <w:rPr>
          <w:rFonts w:ascii="Arial" w:hAnsi="Arial" w:cs="Arial"/>
          <w:noProof/>
        </w:rPr>
        <w:drawing>
          <wp:anchor distT="0" distB="0" distL="114300" distR="114300" simplePos="0" relativeHeight="251659264" behindDoc="0" locked="0" layoutInCell="1" allowOverlap="1" wp14:anchorId="25D06526" wp14:editId="46C52E7B">
            <wp:simplePos x="0" y="0"/>
            <wp:positionH relativeFrom="margin">
              <wp:posOffset>0</wp:posOffset>
            </wp:positionH>
            <wp:positionV relativeFrom="paragraph">
              <wp:posOffset>351790</wp:posOffset>
            </wp:positionV>
            <wp:extent cx="2162175" cy="7239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62175"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CB47DD" w14:textId="77777777" w:rsidR="00DE23A0" w:rsidRDefault="00DE23A0" w:rsidP="00DE23A0">
      <w:pPr>
        <w:spacing w:line="360" w:lineRule="auto"/>
        <w:rPr>
          <w:rFonts w:ascii="Calibri" w:hAnsi="Calibri" w:cs="Calibri"/>
          <w:sz w:val="22"/>
          <w:szCs w:val="22"/>
        </w:rPr>
      </w:pPr>
    </w:p>
    <w:p w14:paraId="603C469A" w14:textId="77777777" w:rsidR="00DE23A0" w:rsidRDefault="00DE23A0" w:rsidP="00DE23A0">
      <w:pPr>
        <w:spacing w:line="360" w:lineRule="auto"/>
        <w:rPr>
          <w:rFonts w:ascii="Calibri" w:hAnsi="Calibri" w:cs="Calibri"/>
          <w:sz w:val="22"/>
          <w:szCs w:val="22"/>
        </w:rPr>
      </w:pPr>
    </w:p>
    <w:p w14:paraId="35C8E352" w14:textId="77777777" w:rsidR="00735A3A" w:rsidRDefault="00735A3A" w:rsidP="00DE23A0">
      <w:pPr>
        <w:spacing w:line="360" w:lineRule="auto"/>
        <w:rPr>
          <w:rFonts w:ascii="Calibri" w:hAnsi="Calibri" w:cs="Calibri"/>
          <w:sz w:val="32"/>
          <w:szCs w:val="32"/>
        </w:rPr>
      </w:pPr>
    </w:p>
    <w:p w14:paraId="11D8F18F" w14:textId="77777777" w:rsidR="00735A3A" w:rsidRPr="00DB2E30" w:rsidRDefault="00735A3A" w:rsidP="00DE23A0">
      <w:pPr>
        <w:spacing w:line="360" w:lineRule="auto"/>
        <w:rPr>
          <w:rFonts w:ascii="Calibri" w:hAnsi="Calibri" w:cs="Calibri"/>
          <w:b/>
          <w:bCs/>
          <w:sz w:val="32"/>
          <w:szCs w:val="32"/>
        </w:rPr>
      </w:pPr>
    </w:p>
    <w:p w14:paraId="35BFEA2F" w14:textId="76C58053" w:rsidR="00DE23A0" w:rsidRPr="00DB2E30" w:rsidRDefault="00DE23A0" w:rsidP="00735A3A">
      <w:pPr>
        <w:spacing w:line="360" w:lineRule="auto"/>
        <w:jc w:val="center"/>
        <w:rPr>
          <w:rFonts w:ascii="Calibri" w:hAnsi="Calibri" w:cs="Calibri"/>
          <w:b/>
          <w:bCs/>
          <w:sz w:val="36"/>
          <w:szCs w:val="36"/>
        </w:rPr>
      </w:pPr>
      <w:r w:rsidRPr="00DB2E30">
        <w:rPr>
          <w:rFonts w:ascii="Calibri" w:hAnsi="Calibri" w:cs="Calibri"/>
          <w:b/>
          <w:bCs/>
          <w:sz w:val="36"/>
          <w:szCs w:val="36"/>
        </w:rPr>
        <w:t>An Analysis of BMW’s International Marketing Strategies:</w:t>
      </w:r>
    </w:p>
    <w:p w14:paraId="1E87D888" w14:textId="77777777" w:rsidR="00DE23A0" w:rsidRPr="00DB2E30" w:rsidRDefault="00DE23A0" w:rsidP="00735A3A">
      <w:pPr>
        <w:spacing w:line="360" w:lineRule="auto"/>
        <w:jc w:val="center"/>
        <w:rPr>
          <w:rFonts w:ascii="Calibri" w:hAnsi="Calibri" w:cs="Calibri"/>
          <w:b/>
          <w:bCs/>
          <w:sz w:val="36"/>
          <w:szCs w:val="36"/>
        </w:rPr>
      </w:pPr>
      <w:r w:rsidRPr="00DB2E30">
        <w:rPr>
          <w:rFonts w:ascii="Calibri" w:hAnsi="Calibri" w:cs="Calibri"/>
          <w:b/>
          <w:bCs/>
          <w:sz w:val="36"/>
          <w:szCs w:val="36"/>
        </w:rPr>
        <w:t>A Comparative Study Between the United Kingdom and Germany</w:t>
      </w:r>
    </w:p>
    <w:p w14:paraId="5C8A8982" w14:textId="77777777" w:rsidR="00DE23A0" w:rsidRPr="00DB2E30" w:rsidRDefault="00DE23A0" w:rsidP="00DE23A0">
      <w:pPr>
        <w:spacing w:line="360" w:lineRule="auto"/>
        <w:rPr>
          <w:rFonts w:ascii="Calibri" w:hAnsi="Calibri" w:cs="Calibri"/>
          <w:b/>
          <w:bCs/>
          <w:sz w:val="22"/>
          <w:szCs w:val="22"/>
        </w:rPr>
      </w:pPr>
    </w:p>
    <w:p w14:paraId="0DB82ECF" w14:textId="77777777" w:rsidR="00735A3A" w:rsidRPr="00DB2E30" w:rsidRDefault="00735A3A" w:rsidP="00DE23A0">
      <w:pPr>
        <w:spacing w:line="360" w:lineRule="auto"/>
        <w:rPr>
          <w:rFonts w:ascii="Calibri" w:hAnsi="Calibri" w:cs="Calibri"/>
          <w:b/>
          <w:bCs/>
          <w:sz w:val="32"/>
          <w:szCs w:val="32"/>
        </w:rPr>
      </w:pPr>
    </w:p>
    <w:p w14:paraId="0C4BED99" w14:textId="77777777" w:rsidR="00735A3A" w:rsidRPr="00DB2E30" w:rsidRDefault="00735A3A" w:rsidP="00DE23A0">
      <w:pPr>
        <w:spacing w:line="360" w:lineRule="auto"/>
        <w:rPr>
          <w:rFonts w:ascii="Calibri" w:hAnsi="Calibri" w:cs="Calibri"/>
          <w:b/>
          <w:bCs/>
          <w:sz w:val="32"/>
          <w:szCs w:val="32"/>
        </w:rPr>
      </w:pPr>
    </w:p>
    <w:p w14:paraId="49CA3198" w14:textId="6DE8853A" w:rsidR="00DE23A0" w:rsidRPr="00DB2E30" w:rsidRDefault="00DE23A0" w:rsidP="00DE23A0">
      <w:pPr>
        <w:spacing w:line="360" w:lineRule="auto"/>
        <w:rPr>
          <w:rFonts w:ascii="Calibri" w:hAnsi="Calibri" w:cs="Calibri"/>
          <w:b/>
          <w:bCs/>
          <w:sz w:val="32"/>
          <w:szCs w:val="32"/>
        </w:rPr>
      </w:pPr>
      <w:r w:rsidRPr="00DB2E30">
        <w:rPr>
          <w:rFonts w:ascii="Calibri" w:hAnsi="Calibri" w:cs="Calibri"/>
          <w:b/>
          <w:bCs/>
          <w:sz w:val="32"/>
          <w:szCs w:val="32"/>
        </w:rPr>
        <w:t>Master of Business Administration (International Business)</w:t>
      </w:r>
    </w:p>
    <w:p w14:paraId="6CDD673D" w14:textId="77777777" w:rsidR="00DE23A0" w:rsidRPr="00DB2E30" w:rsidRDefault="00DE23A0" w:rsidP="00DE23A0">
      <w:pPr>
        <w:spacing w:line="360" w:lineRule="auto"/>
        <w:rPr>
          <w:rFonts w:ascii="Calibri" w:hAnsi="Calibri" w:cs="Calibri"/>
          <w:b/>
          <w:bCs/>
          <w:sz w:val="32"/>
          <w:szCs w:val="32"/>
        </w:rPr>
      </w:pPr>
      <w:r w:rsidRPr="00DB2E30">
        <w:rPr>
          <w:rFonts w:ascii="Calibri" w:hAnsi="Calibri" w:cs="Calibri"/>
          <w:b/>
          <w:bCs/>
          <w:sz w:val="32"/>
          <w:szCs w:val="32"/>
        </w:rPr>
        <w:t>Module: LCMB7026 – International Marketing: Principles and Practices</w:t>
      </w:r>
    </w:p>
    <w:p w14:paraId="04CE72E5" w14:textId="77777777" w:rsidR="00DE23A0" w:rsidRPr="00DB2E30" w:rsidRDefault="00DE23A0" w:rsidP="00DE23A0">
      <w:pPr>
        <w:spacing w:line="360" w:lineRule="auto"/>
        <w:rPr>
          <w:rFonts w:ascii="Calibri" w:hAnsi="Calibri" w:cs="Calibri"/>
          <w:b/>
          <w:bCs/>
          <w:sz w:val="32"/>
          <w:szCs w:val="32"/>
        </w:rPr>
      </w:pPr>
      <w:r w:rsidRPr="00DB2E30">
        <w:rPr>
          <w:rFonts w:ascii="Calibri" w:hAnsi="Calibri" w:cs="Calibri"/>
          <w:b/>
          <w:bCs/>
          <w:sz w:val="32"/>
          <w:szCs w:val="32"/>
        </w:rPr>
        <w:t>Student Name: Alexandru Netoi</w:t>
      </w:r>
    </w:p>
    <w:p w14:paraId="7F1A65AC" w14:textId="77777777" w:rsidR="00DE23A0" w:rsidRPr="00DB2E30" w:rsidRDefault="00DE23A0" w:rsidP="00DE23A0">
      <w:pPr>
        <w:spacing w:line="360" w:lineRule="auto"/>
        <w:rPr>
          <w:rFonts w:ascii="Calibri" w:hAnsi="Calibri" w:cs="Calibri"/>
          <w:b/>
          <w:bCs/>
          <w:sz w:val="32"/>
          <w:szCs w:val="32"/>
        </w:rPr>
      </w:pPr>
      <w:r w:rsidRPr="00DB2E30">
        <w:rPr>
          <w:rFonts w:ascii="Calibri" w:hAnsi="Calibri" w:cs="Calibri"/>
          <w:b/>
          <w:bCs/>
          <w:sz w:val="32"/>
          <w:szCs w:val="32"/>
        </w:rPr>
        <w:t>Student ID: 2026780</w:t>
      </w:r>
    </w:p>
    <w:p w14:paraId="32BB7750" w14:textId="77777777" w:rsidR="00DE23A0" w:rsidRPr="00DB2E30" w:rsidRDefault="00DE23A0" w:rsidP="00DE23A0">
      <w:pPr>
        <w:spacing w:line="360" w:lineRule="auto"/>
        <w:rPr>
          <w:rFonts w:ascii="Calibri" w:hAnsi="Calibri" w:cs="Calibri"/>
          <w:b/>
          <w:bCs/>
          <w:sz w:val="32"/>
          <w:szCs w:val="32"/>
        </w:rPr>
      </w:pPr>
      <w:r w:rsidRPr="00DB2E30">
        <w:rPr>
          <w:rFonts w:ascii="Calibri" w:hAnsi="Calibri" w:cs="Calibri"/>
          <w:b/>
          <w:bCs/>
          <w:sz w:val="32"/>
          <w:szCs w:val="32"/>
        </w:rPr>
        <w:t>Lecturer: Taonga Kaonga Sobere-Snithers</w:t>
      </w:r>
    </w:p>
    <w:p w14:paraId="5CDD0D68" w14:textId="4782B9E2" w:rsidR="00DE23A0" w:rsidRPr="00DB2E30" w:rsidRDefault="00DE23A0" w:rsidP="00DE23A0">
      <w:pPr>
        <w:spacing w:line="360" w:lineRule="auto"/>
        <w:rPr>
          <w:rFonts w:ascii="Calibri" w:hAnsi="Calibri" w:cs="Calibri"/>
          <w:b/>
          <w:bCs/>
          <w:sz w:val="32"/>
          <w:szCs w:val="32"/>
        </w:rPr>
      </w:pPr>
      <w:r w:rsidRPr="00DB2E30">
        <w:rPr>
          <w:rFonts w:ascii="Calibri" w:hAnsi="Calibri" w:cs="Calibri"/>
          <w:b/>
          <w:bCs/>
          <w:sz w:val="32"/>
          <w:szCs w:val="32"/>
        </w:rPr>
        <w:t>Date: 1</w:t>
      </w:r>
      <w:r w:rsidR="00735A3A" w:rsidRPr="00DB2E30">
        <w:rPr>
          <w:rFonts w:ascii="Calibri" w:hAnsi="Calibri" w:cs="Calibri"/>
          <w:b/>
          <w:bCs/>
          <w:sz w:val="32"/>
          <w:szCs w:val="32"/>
        </w:rPr>
        <w:t>5</w:t>
      </w:r>
      <w:r w:rsidRPr="00DB2E30">
        <w:rPr>
          <w:rFonts w:ascii="Calibri" w:hAnsi="Calibri" w:cs="Calibri"/>
          <w:b/>
          <w:bCs/>
          <w:sz w:val="32"/>
          <w:szCs w:val="32"/>
        </w:rPr>
        <w:t xml:space="preserve"> November 2025</w:t>
      </w:r>
    </w:p>
    <w:p w14:paraId="749609CE" w14:textId="77777777" w:rsidR="00735A3A" w:rsidRDefault="00735A3A" w:rsidP="00DE23A0">
      <w:pPr>
        <w:spacing w:line="360" w:lineRule="auto"/>
        <w:rPr>
          <w:rFonts w:ascii="Calibri" w:hAnsi="Calibri" w:cs="Calibri"/>
          <w:sz w:val="22"/>
          <w:szCs w:val="22"/>
        </w:rPr>
      </w:pPr>
    </w:p>
    <w:sdt>
      <w:sdtPr>
        <w:id w:val="191494948"/>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52BF4DF4" w14:textId="6B285793" w:rsidR="009960F9" w:rsidRDefault="009960F9">
          <w:pPr>
            <w:pStyle w:val="TOCHeading"/>
          </w:pPr>
          <w:r>
            <w:t>Table of Contents</w:t>
          </w:r>
        </w:p>
        <w:p w14:paraId="14BFC2E3" w14:textId="24D55134" w:rsidR="008623D9" w:rsidRDefault="009960F9">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4106251" w:history="1">
            <w:r w:rsidR="008623D9" w:rsidRPr="00E4107B">
              <w:rPr>
                <w:rStyle w:val="Hyperlink"/>
                <w:noProof/>
              </w:rPr>
              <w:t>INTRODUCTION</w:t>
            </w:r>
            <w:r w:rsidR="008623D9">
              <w:rPr>
                <w:noProof/>
                <w:webHidden/>
              </w:rPr>
              <w:tab/>
            </w:r>
            <w:r w:rsidR="008623D9">
              <w:rPr>
                <w:noProof/>
                <w:webHidden/>
              </w:rPr>
              <w:fldChar w:fldCharType="begin"/>
            </w:r>
            <w:r w:rsidR="008623D9">
              <w:rPr>
                <w:noProof/>
                <w:webHidden/>
              </w:rPr>
              <w:instrText xml:space="preserve"> PAGEREF _Toc214106251 \h </w:instrText>
            </w:r>
            <w:r w:rsidR="008623D9">
              <w:rPr>
                <w:noProof/>
                <w:webHidden/>
              </w:rPr>
            </w:r>
            <w:r w:rsidR="008623D9">
              <w:rPr>
                <w:noProof/>
                <w:webHidden/>
              </w:rPr>
              <w:fldChar w:fldCharType="separate"/>
            </w:r>
            <w:r w:rsidR="008623D9">
              <w:rPr>
                <w:noProof/>
                <w:webHidden/>
              </w:rPr>
              <w:t>2</w:t>
            </w:r>
            <w:r w:rsidR="008623D9">
              <w:rPr>
                <w:noProof/>
                <w:webHidden/>
              </w:rPr>
              <w:fldChar w:fldCharType="end"/>
            </w:r>
          </w:hyperlink>
        </w:p>
        <w:p w14:paraId="1BA42DE6" w14:textId="55C92CF4" w:rsidR="008623D9" w:rsidRDefault="008623D9">
          <w:pPr>
            <w:pStyle w:val="TOC1"/>
            <w:tabs>
              <w:tab w:val="right" w:leader="dot" w:pos="9350"/>
            </w:tabs>
            <w:rPr>
              <w:rFonts w:eastAsiaTheme="minorEastAsia"/>
              <w:noProof/>
            </w:rPr>
          </w:pPr>
          <w:hyperlink w:anchor="_Toc214106252" w:history="1">
            <w:r w:rsidRPr="00E4107B">
              <w:rPr>
                <w:rStyle w:val="Hyperlink"/>
                <w:noProof/>
              </w:rPr>
              <w:t>BRAND OVERVIEW</w:t>
            </w:r>
            <w:r>
              <w:rPr>
                <w:noProof/>
                <w:webHidden/>
              </w:rPr>
              <w:tab/>
            </w:r>
            <w:r>
              <w:rPr>
                <w:noProof/>
                <w:webHidden/>
              </w:rPr>
              <w:fldChar w:fldCharType="begin"/>
            </w:r>
            <w:r>
              <w:rPr>
                <w:noProof/>
                <w:webHidden/>
              </w:rPr>
              <w:instrText xml:space="preserve"> PAGEREF _Toc214106252 \h </w:instrText>
            </w:r>
            <w:r>
              <w:rPr>
                <w:noProof/>
                <w:webHidden/>
              </w:rPr>
            </w:r>
            <w:r>
              <w:rPr>
                <w:noProof/>
                <w:webHidden/>
              </w:rPr>
              <w:fldChar w:fldCharType="separate"/>
            </w:r>
            <w:r>
              <w:rPr>
                <w:noProof/>
                <w:webHidden/>
              </w:rPr>
              <w:t>4</w:t>
            </w:r>
            <w:r>
              <w:rPr>
                <w:noProof/>
                <w:webHidden/>
              </w:rPr>
              <w:fldChar w:fldCharType="end"/>
            </w:r>
          </w:hyperlink>
        </w:p>
        <w:p w14:paraId="04818336" w14:textId="0923ECFE" w:rsidR="008623D9" w:rsidRDefault="008623D9">
          <w:pPr>
            <w:pStyle w:val="TOC1"/>
            <w:tabs>
              <w:tab w:val="right" w:leader="dot" w:pos="9350"/>
            </w:tabs>
            <w:rPr>
              <w:rFonts w:eastAsiaTheme="minorEastAsia"/>
              <w:noProof/>
            </w:rPr>
          </w:pPr>
          <w:hyperlink w:anchor="_Toc214106253" w:history="1">
            <w:r w:rsidRPr="00E4107B">
              <w:rPr>
                <w:rStyle w:val="Hyperlink"/>
                <w:noProof/>
              </w:rPr>
              <w:t>SOCIO-CULTURAL AND MACROENVIRONMENTAL COMPARISON (PESTLE)</w:t>
            </w:r>
            <w:r>
              <w:rPr>
                <w:noProof/>
                <w:webHidden/>
              </w:rPr>
              <w:tab/>
            </w:r>
            <w:r>
              <w:rPr>
                <w:noProof/>
                <w:webHidden/>
              </w:rPr>
              <w:fldChar w:fldCharType="begin"/>
            </w:r>
            <w:r>
              <w:rPr>
                <w:noProof/>
                <w:webHidden/>
              </w:rPr>
              <w:instrText xml:space="preserve"> PAGEREF _Toc214106253 \h </w:instrText>
            </w:r>
            <w:r>
              <w:rPr>
                <w:noProof/>
                <w:webHidden/>
              </w:rPr>
            </w:r>
            <w:r>
              <w:rPr>
                <w:noProof/>
                <w:webHidden/>
              </w:rPr>
              <w:fldChar w:fldCharType="separate"/>
            </w:r>
            <w:r>
              <w:rPr>
                <w:noProof/>
                <w:webHidden/>
              </w:rPr>
              <w:t>7</w:t>
            </w:r>
            <w:r>
              <w:rPr>
                <w:noProof/>
                <w:webHidden/>
              </w:rPr>
              <w:fldChar w:fldCharType="end"/>
            </w:r>
          </w:hyperlink>
        </w:p>
        <w:p w14:paraId="779359FF" w14:textId="4D8F2851" w:rsidR="008623D9" w:rsidRDefault="008623D9">
          <w:pPr>
            <w:pStyle w:val="TOC1"/>
            <w:tabs>
              <w:tab w:val="right" w:leader="dot" w:pos="9350"/>
            </w:tabs>
            <w:rPr>
              <w:rFonts w:eastAsiaTheme="minorEastAsia"/>
              <w:noProof/>
            </w:rPr>
          </w:pPr>
          <w:hyperlink w:anchor="_Toc214106254" w:history="1">
            <w:r w:rsidRPr="00E4107B">
              <w:rPr>
                <w:rStyle w:val="Hyperlink"/>
                <w:noProof/>
              </w:rPr>
              <w:t>COMPARISON OF STP STRATEGIES IN COUNTRY A AND COUNTRY B</w:t>
            </w:r>
            <w:r>
              <w:rPr>
                <w:noProof/>
                <w:webHidden/>
              </w:rPr>
              <w:tab/>
            </w:r>
            <w:r>
              <w:rPr>
                <w:noProof/>
                <w:webHidden/>
              </w:rPr>
              <w:fldChar w:fldCharType="begin"/>
            </w:r>
            <w:r>
              <w:rPr>
                <w:noProof/>
                <w:webHidden/>
              </w:rPr>
              <w:instrText xml:space="preserve"> PAGEREF _Toc214106254 \h </w:instrText>
            </w:r>
            <w:r>
              <w:rPr>
                <w:noProof/>
                <w:webHidden/>
              </w:rPr>
            </w:r>
            <w:r>
              <w:rPr>
                <w:noProof/>
                <w:webHidden/>
              </w:rPr>
              <w:fldChar w:fldCharType="separate"/>
            </w:r>
            <w:r>
              <w:rPr>
                <w:noProof/>
                <w:webHidden/>
              </w:rPr>
              <w:t>12</w:t>
            </w:r>
            <w:r>
              <w:rPr>
                <w:noProof/>
                <w:webHidden/>
              </w:rPr>
              <w:fldChar w:fldCharType="end"/>
            </w:r>
          </w:hyperlink>
        </w:p>
        <w:p w14:paraId="6AF0925B" w14:textId="165C96BE" w:rsidR="008623D9" w:rsidRDefault="008623D9">
          <w:pPr>
            <w:pStyle w:val="TOC1"/>
            <w:tabs>
              <w:tab w:val="right" w:leader="dot" w:pos="9350"/>
            </w:tabs>
            <w:rPr>
              <w:rFonts w:eastAsiaTheme="minorEastAsia"/>
              <w:noProof/>
            </w:rPr>
          </w:pPr>
          <w:hyperlink w:anchor="_Toc214106255" w:history="1">
            <w:r w:rsidRPr="00E4107B">
              <w:rPr>
                <w:rStyle w:val="Hyperlink"/>
                <w:noProof/>
              </w:rPr>
              <w:t>COMPARISON OF MARKETING MIX (7Ps)</w:t>
            </w:r>
            <w:r>
              <w:rPr>
                <w:noProof/>
                <w:webHidden/>
              </w:rPr>
              <w:tab/>
            </w:r>
            <w:r>
              <w:rPr>
                <w:noProof/>
                <w:webHidden/>
              </w:rPr>
              <w:fldChar w:fldCharType="begin"/>
            </w:r>
            <w:r>
              <w:rPr>
                <w:noProof/>
                <w:webHidden/>
              </w:rPr>
              <w:instrText xml:space="preserve"> PAGEREF _Toc214106255 \h </w:instrText>
            </w:r>
            <w:r>
              <w:rPr>
                <w:noProof/>
                <w:webHidden/>
              </w:rPr>
            </w:r>
            <w:r>
              <w:rPr>
                <w:noProof/>
                <w:webHidden/>
              </w:rPr>
              <w:fldChar w:fldCharType="separate"/>
            </w:r>
            <w:r>
              <w:rPr>
                <w:noProof/>
                <w:webHidden/>
              </w:rPr>
              <w:t>16</w:t>
            </w:r>
            <w:r>
              <w:rPr>
                <w:noProof/>
                <w:webHidden/>
              </w:rPr>
              <w:fldChar w:fldCharType="end"/>
            </w:r>
          </w:hyperlink>
        </w:p>
        <w:p w14:paraId="2A2B9DAD" w14:textId="67CAD0A7" w:rsidR="008623D9" w:rsidRDefault="008623D9">
          <w:pPr>
            <w:pStyle w:val="TOC1"/>
            <w:tabs>
              <w:tab w:val="right" w:leader="dot" w:pos="9350"/>
            </w:tabs>
            <w:rPr>
              <w:rFonts w:eastAsiaTheme="minorEastAsia"/>
              <w:noProof/>
            </w:rPr>
          </w:pPr>
          <w:hyperlink w:anchor="_Toc214106256" w:history="1">
            <w:r w:rsidRPr="00E4107B">
              <w:rPr>
                <w:rStyle w:val="Hyperlink"/>
                <w:noProof/>
              </w:rPr>
              <w:t>EVALUATION OF THE PERFORMANCE OF MARKETING STRATEGIES</w:t>
            </w:r>
            <w:r>
              <w:rPr>
                <w:noProof/>
                <w:webHidden/>
              </w:rPr>
              <w:tab/>
            </w:r>
            <w:r>
              <w:rPr>
                <w:noProof/>
                <w:webHidden/>
              </w:rPr>
              <w:fldChar w:fldCharType="begin"/>
            </w:r>
            <w:r>
              <w:rPr>
                <w:noProof/>
                <w:webHidden/>
              </w:rPr>
              <w:instrText xml:space="preserve"> PAGEREF _Toc214106256 \h </w:instrText>
            </w:r>
            <w:r>
              <w:rPr>
                <w:noProof/>
                <w:webHidden/>
              </w:rPr>
            </w:r>
            <w:r>
              <w:rPr>
                <w:noProof/>
                <w:webHidden/>
              </w:rPr>
              <w:fldChar w:fldCharType="separate"/>
            </w:r>
            <w:r>
              <w:rPr>
                <w:noProof/>
                <w:webHidden/>
              </w:rPr>
              <w:t>21</w:t>
            </w:r>
            <w:r>
              <w:rPr>
                <w:noProof/>
                <w:webHidden/>
              </w:rPr>
              <w:fldChar w:fldCharType="end"/>
            </w:r>
          </w:hyperlink>
        </w:p>
        <w:p w14:paraId="664CCFFC" w14:textId="06D23923" w:rsidR="008623D9" w:rsidRDefault="008623D9">
          <w:pPr>
            <w:pStyle w:val="TOC1"/>
            <w:tabs>
              <w:tab w:val="right" w:leader="dot" w:pos="9350"/>
            </w:tabs>
            <w:rPr>
              <w:rFonts w:eastAsiaTheme="minorEastAsia"/>
              <w:noProof/>
            </w:rPr>
          </w:pPr>
          <w:hyperlink w:anchor="_Toc214106257" w:history="1">
            <w:r w:rsidRPr="00E4107B">
              <w:rPr>
                <w:rStyle w:val="Hyperlink"/>
                <w:noProof/>
              </w:rPr>
              <w:t>EVALUATION OF MARKETING ETHICS PRACTICE</w:t>
            </w:r>
            <w:r>
              <w:rPr>
                <w:noProof/>
                <w:webHidden/>
              </w:rPr>
              <w:tab/>
            </w:r>
            <w:r>
              <w:rPr>
                <w:noProof/>
                <w:webHidden/>
              </w:rPr>
              <w:fldChar w:fldCharType="begin"/>
            </w:r>
            <w:r>
              <w:rPr>
                <w:noProof/>
                <w:webHidden/>
              </w:rPr>
              <w:instrText xml:space="preserve"> PAGEREF _Toc214106257 \h </w:instrText>
            </w:r>
            <w:r>
              <w:rPr>
                <w:noProof/>
                <w:webHidden/>
              </w:rPr>
            </w:r>
            <w:r>
              <w:rPr>
                <w:noProof/>
                <w:webHidden/>
              </w:rPr>
              <w:fldChar w:fldCharType="separate"/>
            </w:r>
            <w:r>
              <w:rPr>
                <w:noProof/>
                <w:webHidden/>
              </w:rPr>
              <w:t>26</w:t>
            </w:r>
            <w:r>
              <w:rPr>
                <w:noProof/>
                <w:webHidden/>
              </w:rPr>
              <w:fldChar w:fldCharType="end"/>
            </w:r>
          </w:hyperlink>
        </w:p>
        <w:p w14:paraId="2BD3E418" w14:textId="2EEE2864" w:rsidR="008623D9" w:rsidRDefault="008623D9">
          <w:pPr>
            <w:pStyle w:val="TOC1"/>
            <w:tabs>
              <w:tab w:val="right" w:leader="dot" w:pos="9350"/>
            </w:tabs>
            <w:rPr>
              <w:rFonts w:eastAsiaTheme="minorEastAsia"/>
              <w:noProof/>
            </w:rPr>
          </w:pPr>
          <w:hyperlink w:anchor="_Toc214106258" w:history="1">
            <w:r w:rsidRPr="00E4107B">
              <w:rPr>
                <w:rStyle w:val="Hyperlink"/>
                <w:noProof/>
              </w:rPr>
              <w:t>RECOMMENDATIONS &amp; CONCLUSION</w:t>
            </w:r>
            <w:r>
              <w:rPr>
                <w:noProof/>
                <w:webHidden/>
              </w:rPr>
              <w:tab/>
            </w:r>
            <w:r>
              <w:rPr>
                <w:noProof/>
                <w:webHidden/>
              </w:rPr>
              <w:fldChar w:fldCharType="begin"/>
            </w:r>
            <w:r>
              <w:rPr>
                <w:noProof/>
                <w:webHidden/>
              </w:rPr>
              <w:instrText xml:space="preserve"> PAGEREF _Toc214106258 \h </w:instrText>
            </w:r>
            <w:r>
              <w:rPr>
                <w:noProof/>
                <w:webHidden/>
              </w:rPr>
            </w:r>
            <w:r>
              <w:rPr>
                <w:noProof/>
                <w:webHidden/>
              </w:rPr>
              <w:fldChar w:fldCharType="separate"/>
            </w:r>
            <w:r>
              <w:rPr>
                <w:noProof/>
                <w:webHidden/>
              </w:rPr>
              <w:t>29</w:t>
            </w:r>
            <w:r>
              <w:rPr>
                <w:noProof/>
                <w:webHidden/>
              </w:rPr>
              <w:fldChar w:fldCharType="end"/>
            </w:r>
          </w:hyperlink>
        </w:p>
        <w:p w14:paraId="7AE2359F" w14:textId="17C78855" w:rsidR="008623D9" w:rsidRDefault="008623D9">
          <w:pPr>
            <w:pStyle w:val="TOC1"/>
            <w:tabs>
              <w:tab w:val="right" w:leader="dot" w:pos="9350"/>
            </w:tabs>
            <w:rPr>
              <w:rFonts w:eastAsiaTheme="minorEastAsia"/>
              <w:noProof/>
            </w:rPr>
          </w:pPr>
          <w:hyperlink w:anchor="_Toc214106259" w:history="1">
            <w:r w:rsidRPr="00E4107B">
              <w:rPr>
                <w:rStyle w:val="Hyperlink"/>
                <w:noProof/>
              </w:rPr>
              <w:t>REFERENCE LIST</w:t>
            </w:r>
            <w:r>
              <w:rPr>
                <w:noProof/>
                <w:webHidden/>
              </w:rPr>
              <w:tab/>
            </w:r>
            <w:r>
              <w:rPr>
                <w:noProof/>
                <w:webHidden/>
              </w:rPr>
              <w:fldChar w:fldCharType="begin"/>
            </w:r>
            <w:r>
              <w:rPr>
                <w:noProof/>
                <w:webHidden/>
              </w:rPr>
              <w:instrText xml:space="preserve"> PAGEREF _Toc214106259 \h </w:instrText>
            </w:r>
            <w:r>
              <w:rPr>
                <w:noProof/>
                <w:webHidden/>
              </w:rPr>
            </w:r>
            <w:r>
              <w:rPr>
                <w:noProof/>
                <w:webHidden/>
              </w:rPr>
              <w:fldChar w:fldCharType="separate"/>
            </w:r>
            <w:r>
              <w:rPr>
                <w:noProof/>
                <w:webHidden/>
              </w:rPr>
              <w:t>34</w:t>
            </w:r>
            <w:r>
              <w:rPr>
                <w:noProof/>
                <w:webHidden/>
              </w:rPr>
              <w:fldChar w:fldCharType="end"/>
            </w:r>
          </w:hyperlink>
        </w:p>
        <w:p w14:paraId="53300AD9" w14:textId="31768547" w:rsidR="008623D9" w:rsidRDefault="008623D9">
          <w:pPr>
            <w:pStyle w:val="TOC1"/>
            <w:tabs>
              <w:tab w:val="right" w:leader="dot" w:pos="9350"/>
            </w:tabs>
            <w:rPr>
              <w:rFonts w:eastAsiaTheme="minorEastAsia"/>
              <w:noProof/>
            </w:rPr>
          </w:pPr>
          <w:hyperlink w:anchor="_Toc214106260" w:history="1">
            <w:r w:rsidRPr="00E4107B">
              <w:rPr>
                <w:rStyle w:val="Hyperlink"/>
                <w:noProof/>
              </w:rPr>
              <w:t>APPENDIX</w:t>
            </w:r>
            <w:r>
              <w:rPr>
                <w:noProof/>
                <w:webHidden/>
              </w:rPr>
              <w:tab/>
            </w:r>
            <w:r>
              <w:rPr>
                <w:noProof/>
                <w:webHidden/>
              </w:rPr>
              <w:fldChar w:fldCharType="begin"/>
            </w:r>
            <w:r>
              <w:rPr>
                <w:noProof/>
                <w:webHidden/>
              </w:rPr>
              <w:instrText xml:space="preserve"> PAGEREF _Toc214106260 \h </w:instrText>
            </w:r>
            <w:r>
              <w:rPr>
                <w:noProof/>
                <w:webHidden/>
              </w:rPr>
            </w:r>
            <w:r>
              <w:rPr>
                <w:noProof/>
                <w:webHidden/>
              </w:rPr>
              <w:fldChar w:fldCharType="separate"/>
            </w:r>
            <w:r>
              <w:rPr>
                <w:noProof/>
                <w:webHidden/>
              </w:rPr>
              <w:t>35</w:t>
            </w:r>
            <w:r>
              <w:rPr>
                <w:noProof/>
                <w:webHidden/>
              </w:rPr>
              <w:fldChar w:fldCharType="end"/>
            </w:r>
          </w:hyperlink>
        </w:p>
        <w:p w14:paraId="101E5CF7" w14:textId="751D0ADC" w:rsidR="009960F9" w:rsidRDefault="009960F9">
          <w:r>
            <w:rPr>
              <w:b/>
              <w:bCs/>
              <w:noProof/>
            </w:rPr>
            <w:fldChar w:fldCharType="end"/>
          </w:r>
        </w:p>
      </w:sdtContent>
    </w:sdt>
    <w:p w14:paraId="375CF080" w14:textId="4379820D" w:rsidR="00DE23A0" w:rsidRPr="00DE23A0" w:rsidRDefault="00DE23A0" w:rsidP="00DE23A0">
      <w:pPr>
        <w:spacing w:line="360" w:lineRule="auto"/>
        <w:rPr>
          <w:rFonts w:ascii="Calibri" w:hAnsi="Calibri" w:cs="Calibri"/>
          <w:sz w:val="22"/>
          <w:szCs w:val="22"/>
        </w:rPr>
      </w:pPr>
    </w:p>
    <w:p w14:paraId="03833E6A" w14:textId="77777777" w:rsidR="00DE23A0" w:rsidRPr="00DE23A0" w:rsidRDefault="00DE23A0" w:rsidP="00DE23A0">
      <w:pPr>
        <w:spacing w:line="360" w:lineRule="auto"/>
        <w:rPr>
          <w:rFonts w:ascii="Calibri" w:hAnsi="Calibri" w:cs="Calibri"/>
          <w:sz w:val="22"/>
          <w:szCs w:val="22"/>
        </w:rPr>
      </w:pPr>
    </w:p>
    <w:p w14:paraId="5CFE08CD" w14:textId="77777777" w:rsidR="00DE23A0" w:rsidRPr="00DE23A0" w:rsidRDefault="00DE23A0" w:rsidP="00DE23A0">
      <w:pPr>
        <w:spacing w:line="360" w:lineRule="auto"/>
        <w:rPr>
          <w:rFonts w:ascii="Calibri" w:hAnsi="Calibri" w:cs="Calibri"/>
          <w:sz w:val="22"/>
          <w:szCs w:val="22"/>
        </w:rPr>
      </w:pPr>
    </w:p>
    <w:p w14:paraId="18A48554" w14:textId="77777777" w:rsidR="00DE23A0" w:rsidRPr="00DE23A0" w:rsidRDefault="00DE23A0" w:rsidP="00DE23A0">
      <w:pPr>
        <w:spacing w:line="360" w:lineRule="auto"/>
        <w:rPr>
          <w:rFonts w:ascii="Calibri" w:hAnsi="Calibri" w:cs="Calibri"/>
          <w:sz w:val="22"/>
          <w:szCs w:val="22"/>
        </w:rPr>
      </w:pPr>
    </w:p>
    <w:p w14:paraId="7A9BADB8" w14:textId="77777777" w:rsidR="00DE23A0" w:rsidRPr="00DE23A0" w:rsidRDefault="00DE23A0" w:rsidP="00DE23A0">
      <w:pPr>
        <w:spacing w:line="360" w:lineRule="auto"/>
        <w:rPr>
          <w:rFonts w:ascii="Calibri" w:hAnsi="Calibri" w:cs="Calibri"/>
          <w:sz w:val="22"/>
          <w:szCs w:val="22"/>
        </w:rPr>
      </w:pPr>
    </w:p>
    <w:p w14:paraId="652551B3" w14:textId="77777777" w:rsidR="00735A3A" w:rsidRDefault="00735A3A" w:rsidP="00DE23A0">
      <w:pPr>
        <w:spacing w:line="360" w:lineRule="auto"/>
        <w:rPr>
          <w:rFonts w:ascii="Calibri" w:hAnsi="Calibri" w:cs="Calibri"/>
          <w:sz w:val="22"/>
          <w:szCs w:val="22"/>
        </w:rPr>
      </w:pPr>
    </w:p>
    <w:p w14:paraId="4F7C105D" w14:textId="77777777" w:rsidR="00092F64" w:rsidRDefault="00092F64" w:rsidP="00DE23A0">
      <w:pPr>
        <w:spacing w:line="360" w:lineRule="auto"/>
        <w:rPr>
          <w:rFonts w:ascii="Calibri" w:hAnsi="Calibri" w:cs="Calibri"/>
          <w:b/>
          <w:bCs/>
          <w:sz w:val="32"/>
          <w:szCs w:val="32"/>
        </w:rPr>
      </w:pPr>
    </w:p>
    <w:p w14:paraId="5DD1A217" w14:textId="77777777" w:rsidR="00092F64" w:rsidRDefault="00092F64" w:rsidP="00DE23A0">
      <w:pPr>
        <w:spacing w:line="360" w:lineRule="auto"/>
        <w:rPr>
          <w:rFonts w:ascii="Calibri" w:hAnsi="Calibri" w:cs="Calibri"/>
          <w:b/>
          <w:bCs/>
          <w:sz w:val="32"/>
          <w:szCs w:val="32"/>
        </w:rPr>
      </w:pPr>
    </w:p>
    <w:p w14:paraId="27D619B3" w14:textId="77777777" w:rsidR="00092F64" w:rsidRDefault="00092F64" w:rsidP="00DE23A0">
      <w:pPr>
        <w:spacing w:line="360" w:lineRule="auto"/>
        <w:rPr>
          <w:rFonts w:ascii="Calibri" w:hAnsi="Calibri" w:cs="Calibri"/>
          <w:b/>
          <w:bCs/>
          <w:sz w:val="32"/>
          <w:szCs w:val="32"/>
        </w:rPr>
      </w:pPr>
    </w:p>
    <w:p w14:paraId="58191110" w14:textId="77777777" w:rsidR="00092F64" w:rsidRDefault="00092F64" w:rsidP="00DE23A0">
      <w:pPr>
        <w:spacing w:line="360" w:lineRule="auto"/>
        <w:rPr>
          <w:rFonts w:ascii="Calibri" w:hAnsi="Calibri" w:cs="Calibri"/>
          <w:b/>
          <w:bCs/>
          <w:sz w:val="32"/>
          <w:szCs w:val="32"/>
        </w:rPr>
      </w:pPr>
    </w:p>
    <w:p w14:paraId="6FEFFF5A" w14:textId="77777777" w:rsidR="008623D9" w:rsidRDefault="008623D9" w:rsidP="002E2664">
      <w:pPr>
        <w:pStyle w:val="Heading1"/>
      </w:pPr>
    </w:p>
    <w:p w14:paraId="33C51D61" w14:textId="50D7554B" w:rsidR="00DE23A0" w:rsidRPr="008C06A7" w:rsidRDefault="00DE23A0" w:rsidP="002E2664">
      <w:pPr>
        <w:pStyle w:val="Heading1"/>
      </w:pPr>
      <w:bookmarkStart w:id="0" w:name="_Toc214106251"/>
      <w:r w:rsidRPr="008C06A7">
        <w:t>INTRODUCTION</w:t>
      </w:r>
      <w:bookmarkEnd w:id="0"/>
    </w:p>
    <w:p w14:paraId="2C04EA2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international automotive industry has undergone a profound transformation over the past decade, driven by technological innovation, environmental pressures, digitisation, regulatory shifts, and evolving consumer expectations (PwC, 2024). As one of the world’s most globalised industries, automotive manufacturers must continuously adapt their international marketing strategies to remain competitive in diverse markets. Success depends on understanding local cultural preferences, regulatory frameworks, economic conditions, and technological infrastructures, while still maintaining a cohesive global brand identity (Levitt, 1983).</w:t>
      </w:r>
    </w:p>
    <w:p w14:paraId="5396D04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(Bayerische Motoren Werke AG), founded in Munich in 1916, is globally recognised for engineering excellence, performance-oriented design, and technological leadership within the premium automotive segment (BMW Group, 2023). Operating in more than 140 countries with a portfolio that includes BMW, MINI, and Rolls-Royce, the company represents a benchmark for innovation and international marketing effectiveness (BMW Group, 2024). Given the rising prominence of electric vehicles (EVs), digital retail channels, and sustainability expectations, BMW’s ability to balance global standardisation with local adaptation has become increasingly critical (BMW Group, 2024).</w:t>
      </w:r>
    </w:p>
    <w:p w14:paraId="5BC1EB6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report examines BMW’s international marketing strategies in two major markets:</w:t>
      </w:r>
    </w:p>
    <w:p w14:paraId="397152B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Country A: The United Kingdom, one of BMW’s most important foreign markets, and</w:t>
      </w:r>
    </w:p>
    <w:p w14:paraId="4B7F376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Country B: Germany, BMW’s home market and core production and R&amp;D base (BMW Group, 2023).</w:t>
      </w:r>
    </w:p>
    <w:p w14:paraId="6A7E67F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These two countries provide highly contrasting socio-cultural, political, economic, and technological contexts, offering an ideal comparative framework for evaluating international marketing decisions. Germany represents a rational, engineering-led, industrial market with strong domestic brand loyalty</w:t>
      </w:r>
    </w:p>
    <w:p w14:paraId="0E66D23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and high consumer expectations around precision and sustainability (Statista, 2024a). Conversely, the UK is a service-driven, aspirational, digitally advanced market where consumers rely heavily on financing and interpret premium brands as symbols of personal identity and lifestyle expression (Mintel, 2023).</w:t>
      </w:r>
    </w:p>
    <w:p w14:paraId="199A270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Several academic theories support this comparative analysis. PESTLE is used to examine macroenvironmental differences; Hofstede’s cultural dimensions provide insight into social and behavioural distinctions (Hofstede Insights, 2023);  STP (Segmentation, Targeting, Positioning) is applied to assess market selection and positioning strategies; the 7Ps marketing mix highlights how tactical marketing elements are adapted to local needs; and the transnational strategy framework (Bartlett &amp; Ghoshal, 1989) explains how BMW integrates global efficiency with market-specific responsiveness. The report also draws upon Levitt’s (1983) globalisation theory to assess the extent of marketing standardisation and localisation.</w:t>
      </w:r>
    </w:p>
    <w:p w14:paraId="49D8C64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To evaluate the success of BMW’s marketing strategies, the study incorporates annual sales data, market share indicators, brand equity rankings (Kantar BrandZ, 2024), digital engagement metrics, and financial performance (BMW Group, 2024). Ethical considerations are assessed in line with environmental sustainability, transparency, advertising practices, and supply chain responsibility — particularly important in an industry facing scrutiny over emissions, greenwashing, and EV battery sourcing (UK Government, 2024).</w:t>
      </w:r>
    </w:p>
    <w:p w14:paraId="1C3AB61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Finally, the report provides strategic recommendations to strengthen BMW’s international marketing performance across both markets, considering emerging trends in digital mobility, EV demand, and consumer behaviour.</w:t>
      </w:r>
    </w:p>
    <w:p w14:paraId="136810E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Overall, this analysis offers an in-depth, empirically supported evaluation of how BMW navigates two distinct markets through adaptive marketing strategies, reinforcing its position as a leader in the global premium automotive sector.</w:t>
      </w:r>
    </w:p>
    <w:p w14:paraId="1A5C6BFF" w14:textId="77777777" w:rsidR="00DE23A0" w:rsidRPr="00DE23A0" w:rsidRDefault="00DE23A0" w:rsidP="00DE23A0">
      <w:pPr>
        <w:spacing w:line="360" w:lineRule="auto"/>
        <w:rPr>
          <w:rFonts w:ascii="Calibri" w:hAnsi="Calibri" w:cs="Calibri"/>
          <w:sz w:val="22"/>
          <w:szCs w:val="22"/>
        </w:rPr>
      </w:pPr>
    </w:p>
    <w:p w14:paraId="66A7CA76" w14:textId="77777777" w:rsidR="00DE23A0" w:rsidRPr="00DE23A0" w:rsidRDefault="00DE23A0" w:rsidP="00DE23A0">
      <w:pPr>
        <w:spacing w:line="360" w:lineRule="auto"/>
        <w:rPr>
          <w:rFonts w:ascii="Calibri" w:hAnsi="Calibri" w:cs="Calibri"/>
          <w:sz w:val="22"/>
          <w:szCs w:val="22"/>
        </w:rPr>
      </w:pPr>
    </w:p>
    <w:p w14:paraId="4E0EECE1" w14:textId="77777777" w:rsidR="00DE23A0" w:rsidRPr="00DE23A0" w:rsidRDefault="00DE23A0" w:rsidP="00DE23A0">
      <w:pPr>
        <w:spacing w:line="360" w:lineRule="auto"/>
        <w:rPr>
          <w:rFonts w:ascii="Calibri" w:hAnsi="Calibri" w:cs="Calibri"/>
          <w:sz w:val="22"/>
          <w:szCs w:val="22"/>
        </w:rPr>
      </w:pPr>
    </w:p>
    <w:p w14:paraId="2DA24FAD" w14:textId="77777777" w:rsidR="00DE23A0" w:rsidRPr="00DE23A0" w:rsidRDefault="00DE23A0" w:rsidP="00DE23A0">
      <w:pPr>
        <w:spacing w:line="360" w:lineRule="auto"/>
        <w:rPr>
          <w:rFonts w:ascii="Calibri" w:hAnsi="Calibri" w:cs="Calibri"/>
          <w:sz w:val="22"/>
          <w:szCs w:val="22"/>
        </w:rPr>
      </w:pPr>
    </w:p>
    <w:p w14:paraId="086E8D42" w14:textId="77777777" w:rsidR="008623D9" w:rsidRDefault="008623D9" w:rsidP="00891656">
      <w:pPr>
        <w:pStyle w:val="Heading1"/>
      </w:pPr>
    </w:p>
    <w:p w14:paraId="38D47341" w14:textId="5261AE75" w:rsidR="00DE23A0" w:rsidRPr="008C06A7" w:rsidRDefault="00DE23A0" w:rsidP="00891656">
      <w:pPr>
        <w:pStyle w:val="Heading1"/>
      </w:pPr>
      <w:bookmarkStart w:id="1" w:name="_Toc214106252"/>
      <w:r w:rsidRPr="008C06A7">
        <w:t>BRAND OVERVIEW</w:t>
      </w:r>
      <w:bookmarkEnd w:id="1"/>
    </w:p>
    <w:p w14:paraId="495654B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(Bayerische Motoren Werke AG) is one of the most globally recognised premium automotive manufacturers, known for its strong engineering heritage, cutting-edge innovation, and distinct brand identity encapsulated by the iconic slogan “The Ultimate Driving Machine” (BMW Group, 2023). Headquartered in Munich, Germany, BMW operates across more than 140 countries and maintains a diversified brand portfolio that includes BMW, BMW i (electric mobility division), MINI, and Rolls-Royce. The company has built a reputation for producing high-quality vehicles that integrate advanced performance, safety, comfort, and digital features, appealing to affluent and aspirational consumers worldwide (Mintel, 2023).</w:t>
      </w:r>
    </w:p>
    <w:p w14:paraId="0FFCAAA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BMW’s business model is characterised by vertical integration, advanced manufacturing capabilities, and a global distribution network that combines authorised dealerships, digital sales platforms, and direct customer engagement channels (BMW Group, 2024). The firm invests heavily in research and development, focusing on electric mobility, autonomous driving, artificial intelligence, sustainable materials, and circular economy principles (BMW Group, 2023). With over €14 billion invested in R&amp;D in 2023 alone, BMW remains one of the most technologically advanced companies in the automotive sector.</w:t>
      </w:r>
    </w:p>
    <w:p w14:paraId="6B2A942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as BMW’s home market, plays a crucial role in its global operations. The country hosts BMW’s main assembly plants, R&amp;D centres, and engineering hubs, which contribute to innovations such as EfficientDynamics, hydrogen mobility research, and next-generation EV battery technologies (BMW Group, 2023). German consumers widely associate the BMW brand with engineering quality, technical superiority, performance reliability, and manufacturing excellence. Competition in Germany is intense, with Mercedes-Benz and Audi serving as key domestic rivals.</w:t>
      </w:r>
    </w:p>
    <w:p w14:paraId="5B82F98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In contrast, the United Kingdom is BMW’s fourth-largest global sales market (BMW Group, 2024) and one of its most strategically significant markets for premium vehicles. The UK’s strong demand for luxury cars, growing EV adoption, and digitally engaged consumer base make it a vital arena for BMW’s marketing experimentation and customer-centric innovations (Mintel, 2023). The United Kingdom also hosts the BMW-owned MINI manufacturing plant in Oxford, underscoring BMW’s long-term commitment to the market.</w:t>
      </w:r>
    </w:p>
    <w:p w14:paraId="115EADF3" w14:textId="77777777" w:rsidR="008C06A7" w:rsidRDefault="008C06A7" w:rsidP="00DE23A0">
      <w:pPr>
        <w:spacing w:line="360" w:lineRule="auto"/>
        <w:rPr>
          <w:rFonts w:ascii="Calibri" w:hAnsi="Calibri" w:cs="Calibri"/>
          <w:sz w:val="22"/>
          <w:szCs w:val="22"/>
        </w:rPr>
      </w:pPr>
    </w:p>
    <w:p w14:paraId="4AAAB995" w14:textId="2BF92DCC" w:rsidR="00DE23A0" w:rsidRPr="008C06A7" w:rsidRDefault="00DE23A0" w:rsidP="00DE23A0">
      <w:pPr>
        <w:spacing w:line="360" w:lineRule="auto"/>
        <w:rPr>
          <w:rFonts w:ascii="Calibri" w:hAnsi="Calibri" w:cs="Calibri"/>
          <w:b/>
          <w:bCs/>
          <w:sz w:val="22"/>
          <w:szCs w:val="22"/>
        </w:rPr>
      </w:pPr>
      <w:r w:rsidRPr="00DE23A0">
        <w:rPr>
          <w:rFonts w:ascii="Calibri" w:hAnsi="Calibri" w:cs="Calibri"/>
          <w:sz w:val="22"/>
          <w:szCs w:val="22"/>
        </w:rPr>
        <w:t xml:space="preserve"> </w:t>
      </w:r>
      <w:r w:rsidRPr="008C06A7">
        <w:rPr>
          <w:rFonts w:ascii="Calibri" w:hAnsi="Calibri" w:cs="Calibri"/>
          <w:b/>
          <w:bCs/>
          <w:sz w:val="22"/>
          <w:szCs w:val="22"/>
        </w:rPr>
        <w:t>BMW in Country A: United Kingdom</w:t>
      </w:r>
    </w:p>
    <w:p w14:paraId="129E5C4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has a strong and long-established presence in the UK, with the brand consistently ranking among the top three premium car manufacturers by sales volume (Mintel, 2023). The UK’s premium automotive market is shaped by consumer preference for stylish, aspirational vehicles supported by flexible financing solutions such as PCP (Personal Contract Purchase). As a result, BMW’s offering in the UK emphasises lifestyle appeal, design aesthetics, and aspirational value.</w:t>
      </w:r>
    </w:p>
    <w:p w14:paraId="6047C14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Key characteristics of BMW’s UK operations include:</w:t>
      </w:r>
    </w:p>
    <w:p w14:paraId="3BCE895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A strong retail network of authorised dealerships and digital purchasing platforms (BMW Group, 2024)</w:t>
      </w:r>
    </w:p>
    <w:p w14:paraId="7D77086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High adoption of digital channels for car configuration, financing, and virtual showrooms</w:t>
      </w:r>
    </w:p>
    <w:p w14:paraId="5A8A035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A large base of young professionals and urban consumers seeking prestige and modern functionality (Kantar BrandZ, 2024).</w:t>
      </w:r>
    </w:p>
    <w:p w14:paraId="7BAE721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Marketing communication that prioritises emotion, individualism, and lifestyle experiences (Hofstede Insights, 2023).</w:t>
      </w:r>
    </w:p>
    <w:p w14:paraId="6E5B247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Growing demand for electric models such as the i4, iX1, and i7 (Statista, 2024b)</w:t>
      </w:r>
    </w:p>
    <w:p w14:paraId="3992898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BMW’s MINI brand, produced in Oxford, further reinforces the firm's local footprint and enhances brand visibility. Additionally, BMW maintains partnerships with UK cultural and sporting institutions, including Wimbledon and British film and fashion sectors, to strengthen premium brand associations.</w:t>
      </w:r>
    </w:p>
    <w:p w14:paraId="45B2BE9C" w14:textId="77777777" w:rsidR="00DE23A0" w:rsidRPr="00DE23A0" w:rsidRDefault="00DE23A0" w:rsidP="00DE23A0">
      <w:pPr>
        <w:spacing w:line="360" w:lineRule="auto"/>
        <w:rPr>
          <w:rFonts w:ascii="Calibri" w:hAnsi="Calibri" w:cs="Calibri"/>
          <w:sz w:val="22"/>
          <w:szCs w:val="22"/>
        </w:rPr>
      </w:pPr>
    </w:p>
    <w:p w14:paraId="754733D8" w14:textId="77777777" w:rsidR="00DE23A0" w:rsidRPr="008C06A7" w:rsidRDefault="00DE23A0" w:rsidP="00DE23A0">
      <w:pPr>
        <w:spacing w:line="360" w:lineRule="auto"/>
        <w:rPr>
          <w:rFonts w:ascii="Calibri" w:hAnsi="Calibri" w:cs="Calibri"/>
          <w:b/>
          <w:bCs/>
          <w:sz w:val="22"/>
          <w:szCs w:val="22"/>
        </w:rPr>
      </w:pPr>
      <w:r w:rsidRPr="008C06A7">
        <w:rPr>
          <w:rFonts w:ascii="Calibri" w:hAnsi="Calibri" w:cs="Calibri"/>
          <w:b/>
          <w:bCs/>
          <w:sz w:val="22"/>
          <w:szCs w:val="22"/>
        </w:rPr>
        <w:t xml:space="preserve"> BMW in Country B: Germany</w:t>
      </w:r>
    </w:p>
    <w:p w14:paraId="479CE91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remains BMW’s most important market for brand loyalty, technological leadership, and manufacturing excellence (BMW Group, 2023). German consumers are typically rational, detail-oriented, and highly concerned with build quality, safety performance, and engineering reliability (Hofstede Insights, 2023). As a result, BMW’s positioning in Germany emphasises advanced technology, superior drivetrain engineering, and innovation credentials.</w:t>
      </w:r>
    </w:p>
    <w:p w14:paraId="69A8034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Key characteristics of BMW’s German operations include:</w:t>
      </w:r>
    </w:p>
    <w:p w14:paraId="6D92C3C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Strong domestic production facilities such as Munich, Dingolfing, Leipzig, and Regensburg (BMW Group, 2023).</w:t>
      </w:r>
    </w:p>
    <w:p w14:paraId="326CEB2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High market share (8.2% in 2024) with strong sales of models such as the 3 Series, 5 Series, and the electric i4 (Statista, 2024a)</w:t>
      </w:r>
    </w:p>
    <w:p w14:paraId="1787076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Marketing communication that focuses on technical specifications, safety ratings, performance metrics, and engineering superiority</w:t>
      </w:r>
    </w:p>
    <w:p w14:paraId="3232A22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Strong competition from other German luxury brands, which drives continuous product innovation</w:t>
      </w:r>
    </w:p>
    <w:p w14:paraId="5B8469F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A mature EV market shaped by government incentives, environmental awareness, and strict regulatory standards (UK Government, 2024).</w:t>
      </w:r>
    </w:p>
    <w:p w14:paraId="01E13B5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Furthermore, BMW’s German operations serve as the innovation centre for the company’s global electric mobility platform (BMW i), hydrogen research initiatives, and circular economy practices. This enables the brand to leverage technological breakthroughs to strengthen its positioning globally, including in markets such as the UK.</w:t>
      </w:r>
    </w:p>
    <w:p w14:paraId="38AE2497" w14:textId="77777777" w:rsidR="00DE23A0" w:rsidRPr="00DE23A0" w:rsidRDefault="00DE23A0" w:rsidP="00DE23A0">
      <w:pPr>
        <w:spacing w:line="360" w:lineRule="auto"/>
        <w:rPr>
          <w:rFonts w:ascii="Calibri" w:hAnsi="Calibri" w:cs="Calibri"/>
          <w:sz w:val="22"/>
          <w:szCs w:val="22"/>
        </w:rPr>
      </w:pPr>
    </w:p>
    <w:p w14:paraId="0BBE803D" w14:textId="77777777" w:rsidR="00DE23A0" w:rsidRPr="00DE23A0" w:rsidRDefault="00DE23A0" w:rsidP="00DE23A0">
      <w:pPr>
        <w:spacing w:line="360" w:lineRule="auto"/>
        <w:rPr>
          <w:rFonts w:ascii="Calibri" w:hAnsi="Calibri" w:cs="Calibri"/>
          <w:sz w:val="22"/>
          <w:szCs w:val="22"/>
        </w:rPr>
      </w:pPr>
    </w:p>
    <w:p w14:paraId="264A644D" w14:textId="77777777" w:rsidR="00DE23A0" w:rsidRPr="00DE23A0" w:rsidRDefault="00DE23A0" w:rsidP="00DE23A0">
      <w:pPr>
        <w:spacing w:line="360" w:lineRule="auto"/>
        <w:rPr>
          <w:rFonts w:ascii="Calibri" w:hAnsi="Calibri" w:cs="Calibri"/>
          <w:sz w:val="22"/>
          <w:szCs w:val="22"/>
        </w:rPr>
      </w:pPr>
    </w:p>
    <w:p w14:paraId="0EF6A409" w14:textId="77777777" w:rsidR="00DE23A0" w:rsidRPr="00DE23A0" w:rsidRDefault="00DE23A0" w:rsidP="00DE23A0">
      <w:pPr>
        <w:spacing w:line="360" w:lineRule="auto"/>
        <w:rPr>
          <w:rFonts w:ascii="Calibri" w:hAnsi="Calibri" w:cs="Calibri"/>
          <w:sz w:val="22"/>
          <w:szCs w:val="22"/>
        </w:rPr>
      </w:pPr>
    </w:p>
    <w:p w14:paraId="26FF9A61" w14:textId="77777777" w:rsidR="00DE23A0" w:rsidRPr="00DE23A0" w:rsidRDefault="00DE23A0" w:rsidP="00DE23A0">
      <w:pPr>
        <w:spacing w:line="360" w:lineRule="auto"/>
        <w:rPr>
          <w:rFonts w:ascii="Calibri" w:hAnsi="Calibri" w:cs="Calibri"/>
          <w:sz w:val="22"/>
          <w:szCs w:val="22"/>
        </w:rPr>
      </w:pPr>
    </w:p>
    <w:p w14:paraId="36D23C0D" w14:textId="77777777" w:rsidR="00DE23A0" w:rsidRPr="00DE23A0" w:rsidRDefault="00DE23A0" w:rsidP="00DE23A0">
      <w:pPr>
        <w:spacing w:line="360" w:lineRule="auto"/>
        <w:rPr>
          <w:rFonts w:ascii="Calibri" w:hAnsi="Calibri" w:cs="Calibri"/>
          <w:sz w:val="22"/>
          <w:szCs w:val="22"/>
        </w:rPr>
      </w:pPr>
    </w:p>
    <w:p w14:paraId="3A569D22" w14:textId="77777777" w:rsidR="00DE23A0" w:rsidRPr="00DE23A0" w:rsidRDefault="00DE23A0" w:rsidP="00DE23A0">
      <w:pPr>
        <w:spacing w:line="360" w:lineRule="auto"/>
        <w:rPr>
          <w:rFonts w:ascii="Calibri" w:hAnsi="Calibri" w:cs="Calibri"/>
          <w:sz w:val="22"/>
          <w:szCs w:val="22"/>
        </w:rPr>
      </w:pPr>
    </w:p>
    <w:p w14:paraId="27D6F619" w14:textId="77777777" w:rsidR="00DE23A0" w:rsidRPr="00DE23A0" w:rsidRDefault="00DE23A0" w:rsidP="00DE23A0">
      <w:pPr>
        <w:spacing w:line="360" w:lineRule="auto"/>
        <w:rPr>
          <w:rFonts w:ascii="Calibri" w:hAnsi="Calibri" w:cs="Calibri"/>
          <w:sz w:val="22"/>
          <w:szCs w:val="22"/>
        </w:rPr>
      </w:pPr>
    </w:p>
    <w:p w14:paraId="7CABE143" w14:textId="77777777" w:rsidR="00DE23A0" w:rsidRPr="00DE23A0" w:rsidRDefault="00DE23A0" w:rsidP="00DE23A0">
      <w:pPr>
        <w:spacing w:line="360" w:lineRule="auto"/>
        <w:rPr>
          <w:rFonts w:ascii="Calibri" w:hAnsi="Calibri" w:cs="Calibri"/>
          <w:sz w:val="22"/>
          <w:szCs w:val="22"/>
        </w:rPr>
      </w:pPr>
    </w:p>
    <w:p w14:paraId="68EDD2C7" w14:textId="77777777" w:rsidR="00DE23A0" w:rsidRPr="00DE23A0" w:rsidRDefault="00DE23A0" w:rsidP="00DE23A0">
      <w:pPr>
        <w:spacing w:line="360" w:lineRule="auto"/>
        <w:rPr>
          <w:rFonts w:ascii="Calibri" w:hAnsi="Calibri" w:cs="Calibri"/>
          <w:sz w:val="22"/>
          <w:szCs w:val="22"/>
        </w:rPr>
      </w:pPr>
    </w:p>
    <w:p w14:paraId="79D1C37A" w14:textId="0428A0D1" w:rsidR="00DE23A0" w:rsidRPr="008C06A7" w:rsidRDefault="00DE23A0" w:rsidP="00891656">
      <w:pPr>
        <w:pStyle w:val="Heading1"/>
      </w:pPr>
      <w:bookmarkStart w:id="2" w:name="_Toc214106253"/>
      <w:r w:rsidRPr="008C06A7">
        <w:lastRenderedPageBreak/>
        <w:t>SOCIO-CULTURAL AND MACROENVIRONMENTAL COMPARISON (PESTLE)</w:t>
      </w:r>
      <w:bookmarkEnd w:id="2"/>
    </w:p>
    <w:p w14:paraId="7F45219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external environment significantly shapes BMW’s marketing strategies across international markets. A PESTLE analysis allows for a structured comparison between Country A (United Kingdom) and Country B (Germany), revealing how political, economic, socio-cultural, technological, legal, and environmental factors influence BMW’s strategic decisions (Levitt, 1983; Hofstede Insights, 2023). This section assesses the macroenvironmental contexts of both markets and highlights their implications for BMW’s marketing approach.</w:t>
      </w:r>
    </w:p>
    <w:p w14:paraId="1A27A5CF" w14:textId="77777777" w:rsidR="00DE23A0" w:rsidRPr="00DE23A0" w:rsidRDefault="00DE23A0" w:rsidP="00DE23A0">
      <w:pPr>
        <w:spacing w:line="360" w:lineRule="auto"/>
        <w:rPr>
          <w:rFonts w:ascii="Calibri" w:hAnsi="Calibri" w:cs="Calibri"/>
          <w:sz w:val="22"/>
          <w:szCs w:val="22"/>
        </w:rPr>
      </w:pPr>
    </w:p>
    <w:p w14:paraId="7E10AFF7" w14:textId="77777777" w:rsidR="00DE23A0" w:rsidRPr="008C06A7" w:rsidRDefault="00DE23A0" w:rsidP="00DE23A0">
      <w:pPr>
        <w:spacing w:line="360" w:lineRule="auto"/>
        <w:rPr>
          <w:rFonts w:ascii="Calibri" w:hAnsi="Calibri" w:cs="Calibri"/>
          <w:b/>
          <w:bCs/>
          <w:sz w:val="22"/>
          <w:szCs w:val="22"/>
        </w:rPr>
      </w:pPr>
      <w:r w:rsidRPr="008C06A7">
        <w:rPr>
          <w:rFonts w:ascii="Calibri" w:hAnsi="Calibri" w:cs="Calibri"/>
          <w:b/>
          <w:bCs/>
          <w:sz w:val="22"/>
          <w:szCs w:val="22"/>
        </w:rPr>
        <w:t>Political Factors</w:t>
      </w:r>
    </w:p>
    <w:p w14:paraId="613B98A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Country A: United Kingdom</w:t>
      </w:r>
    </w:p>
    <w:p w14:paraId="465C3DA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UK has experienced political volatility in recent years, primarily due to Brexit. The withdrawal from the EU has resulted in complex trade regulations, supply chain disruptions, currency fluctuations, and uncertainty for automotive manufacturers importing components from Europe (UK Government, 2024). Tariffs, customs procedures, and regulatory divergence create challenges for BMW’s supply chain and retail pricing. Nonetheless, the UK government supports EV adoption through grants, charging infrastructure investments, and long-term net-zero commitments (UK Government, 2024).</w:t>
      </w:r>
    </w:p>
    <w:p w14:paraId="5BB6C4C0" w14:textId="77777777" w:rsidR="00DE23A0" w:rsidRPr="00DE23A0" w:rsidRDefault="00DE23A0" w:rsidP="00DE23A0">
      <w:pPr>
        <w:spacing w:line="360" w:lineRule="auto"/>
        <w:rPr>
          <w:rFonts w:ascii="Calibri" w:hAnsi="Calibri" w:cs="Calibri"/>
          <w:sz w:val="22"/>
          <w:szCs w:val="22"/>
        </w:rPr>
      </w:pPr>
    </w:p>
    <w:p w14:paraId="0DA6EEB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Country B: Germany</w:t>
      </w:r>
    </w:p>
    <w:p w14:paraId="5820AAB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offers a politically stable environment supportive of industrial growth and technological innovation (BMW Group, 2023). Government policies strongly favour electric mobility, R&amp;D investment, and green manufacturing, making Germany an ideal location for BMW’s technological and production initiatives. Tax incentives and innovation grants further support BMW’s EV .</w:t>
      </w:r>
    </w:p>
    <w:p w14:paraId="7841E5D9" w14:textId="77777777" w:rsidR="00DE23A0" w:rsidRPr="00DE23A0" w:rsidRDefault="00DE23A0" w:rsidP="00DE23A0">
      <w:pPr>
        <w:spacing w:line="360" w:lineRule="auto"/>
        <w:rPr>
          <w:rFonts w:ascii="Calibri" w:hAnsi="Calibri" w:cs="Calibri"/>
          <w:sz w:val="22"/>
          <w:szCs w:val="22"/>
        </w:rPr>
      </w:pPr>
    </w:p>
    <w:p w14:paraId="131BBEF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Implications for BMW</w:t>
      </w:r>
    </w:p>
    <w:p w14:paraId="2A7959B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 the UK, BMW must maintain flexible supply-chain strategies and adapt pricing to mitigate Brexit-related volatility.</w:t>
      </w:r>
    </w:p>
    <w:p w14:paraId="0C7317A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In Germany, BMW benefits from strong industrial policies that reinforce its leadership in EV and engineering innovation.</w:t>
      </w:r>
    </w:p>
    <w:p w14:paraId="365FEDB0" w14:textId="77777777" w:rsidR="00DE23A0" w:rsidRPr="008C06A7" w:rsidRDefault="00DE23A0" w:rsidP="00DE23A0">
      <w:pPr>
        <w:spacing w:line="360" w:lineRule="auto"/>
        <w:rPr>
          <w:rFonts w:ascii="Calibri" w:hAnsi="Calibri" w:cs="Calibri"/>
          <w:b/>
          <w:bCs/>
          <w:sz w:val="22"/>
          <w:szCs w:val="22"/>
        </w:rPr>
      </w:pPr>
      <w:r w:rsidRPr="008C06A7">
        <w:rPr>
          <w:rFonts w:ascii="Calibri" w:hAnsi="Calibri" w:cs="Calibri"/>
          <w:b/>
          <w:bCs/>
          <w:sz w:val="22"/>
          <w:szCs w:val="22"/>
        </w:rPr>
        <w:t xml:space="preserve"> Economic Factors</w:t>
      </w:r>
    </w:p>
    <w:p w14:paraId="192E485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1F9ADFF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UK is a large and economically advanced market with a GDP of approximately £2.8 trillion. However, economic fluctuations, inflationary pressures, and rising living costs influence automotive purchase behaviour (Mintel, 2023). UK consumers rely heavily on financing options, making PCP and leasing central to BMW’s business model. The premium segment remains resilient, supported by aspirational consumption patterns.</w:t>
      </w:r>
    </w:p>
    <w:p w14:paraId="138DF75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4855C54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with a GDP of around €4.5 trillion, represents a stable and high-income market, characterised by strong consumer purchasing power and a large engineering-oriented workforce (PwC, 2024). German consumers prioritise long-term value and technical reliability, often purchasing vehicles outright or through structured leasing.</w:t>
      </w:r>
    </w:p>
    <w:p w14:paraId="1D7F03E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Implications for BMW</w:t>
      </w:r>
    </w:p>
    <w:p w14:paraId="2CC4673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UK marketing must highlight affordability through flexible plans and incentives.</w:t>
      </w:r>
    </w:p>
    <w:p w14:paraId="05B9783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German marketing should emphasise long-term value, quality, and engineering performance.</w:t>
      </w:r>
    </w:p>
    <w:p w14:paraId="37457C6B" w14:textId="77777777" w:rsidR="00DE23A0" w:rsidRPr="00DE23A0" w:rsidRDefault="00DE23A0" w:rsidP="00DE23A0">
      <w:pPr>
        <w:spacing w:line="360" w:lineRule="auto"/>
        <w:rPr>
          <w:rFonts w:ascii="Calibri" w:hAnsi="Calibri" w:cs="Calibri"/>
          <w:sz w:val="22"/>
          <w:szCs w:val="22"/>
        </w:rPr>
      </w:pPr>
    </w:p>
    <w:p w14:paraId="7FC2F5AD" w14:textId="77777777" w:rsidR="00DE23A0" w:rsidRPr="00DE23A0" w:rsidRDefault="00DE23A0" w:rsidP="00DE23A0">
      <w:pPr>
        <w:spacing w:line="360" w:lineRule="auto"/>
        <w:rPr>
          <w:rFonts w:ascii="Calibri" w:hAnsi="Calibri" w:cs="Calibri"/>
          <w:sz w:val="22"/>
          <w:szCs w:val="22"/>
        </w:rPr>
      </w:pPr>
    </w:p>
    <w:p w14:paraId="7557E1C2" w14:textId="77777777" w:rsidR="00DE23A0" w:rsidRPr="00DE23A0" w:rsidRDefault="00DE23A0" w:rsidP="00DE23A0">
      <w:pPr>
        <w:spacing w:line="360" w:lineRule="auto"/>
        <w:rPr>
          <w:rFonts w:ascii="Calibri" w:hAnsi="Calibri" w:cs="Calibri"/>
          <w:sz w:val="22"/>
          <w:szCs w:val="22"/>
        </w:rPr>
      </w:pPr>
    </w:p>
    <w:p w14:paraId="477CCFAE" w14:textId="77777777" w:rsidR="00DE23A0" w:rsidRPr="00DE23A0" w:rsidRDefault="00DE23A0" w:rsidP="00DE23A0">
      <w:pPr>
        <w:spacing w:line="360" w:lineRule="auto"/>
        <w:rPr>
          <w:rFonts w:ascii="Calibri" w:hAnsi="Calibri" w:cs="Calibri"/>
          <w:sz w:val="22"/>
          <w:szCs w:val="22"/>
        </w:rPr>
      </w:pPr>
    </w:p>
    <w:p w14:paraId="1A3817F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Social Factors (Including Hofstede’s Cultural Dimensions)</w:t>
      </w:r>
    </w:p>
    <w:p w14:paraId="74FBF25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 (High Individualism, Low Uncertainty Avoidance)</w:t>
      </w:r>
    </w:p>
    <w:p w14:paraId="008DA3E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UK consumers value individuality, lifestyle expression, and convenience. Premium brands represent personal success and aspiration (Hofstede Insights, 2023). Digital channels, convenience services, and emotional advertising appeal strongly.</w:t>
      </w:r>
    </w:p>
    <w:p w14:paraId="54D52E0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Germany (Lower Individualism, High Uncertainty Avoidance)</w:t>
      </w:r>
    </w:p>
    <w:p w14:paraId="1153B85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 consumers prioritise security, durability, and precision. They seek detailed product information and rational justification before purchasing (Hofstede Insights, 2023). Technical demonstrations and engineering-focused communication resonate most.</w:t>
      </w:r>
    </w:p>
    <w:p w14:paraId="53D3687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Implications for BMW</w:t>
      </w:r>
    </w:p>
    <w:p w14:paraId="705CC53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UK: Emphasise lifestyle, identity, and emotional storytelling.</w:t>
      </w:r>
    </w:p>
    <w:p w14:paraId="3207FE6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Germany: Emphasise performance, engineering, safety, and efficiency.</w:t>
      </w:r>
    </w:p>
    <w:p w14:paraId="77B82483" w14:textId="77777777" w:rsidR="00DE23A0" w:rsidRPr="00DE23A0" w:rsidRDefault="00DE23A0" w:rsidP="00DE23A0">
      <w:pPr>
        <w:spacing w:line="360" w:lineRule="auto"/>
        <w:rPr>
          <w:rFonts w:ascii="Calibri" w:hAnsi="Calibri" w:cs="Calibri"/>
          <w:sz w:val="22"/>
          <w:szCs w:val="22"/>
        </w:rPr>
      </w:pPr>
    </w:p>
    <w:p w14:paraId="6E5DA707" w14:textId="77777777" w:rsidR="00DE23A0" w:rsidRPr="008C06A7" w:rsidRDefault="00DE23A0" w:rsidP="00DE23A0">
      <w:pPr>
        <w:spacing w:line="360" w:lineRule="auto"/>
        <w:rPr>
          <w:rFonts w:ascii="Calibri" w:hAnsi="Calibri" w:cs="Calibri"/>
          <w:b/>
          <w:bCs/>
          <w:sz w:val="22"/>
          <w:szCs w:val="22"/>
        </w:rPr>
      </w:pPr>
      <w:r w:rsidRPr="008C06A7">
        <w:rPr>
          <w:rFonts w:ascii="Calibri" w:hAnsi="Calibri" w:cs="Calibri"/>
          <w:b/>
          <w:bCs/>
          <w:sz w:val="22"/>
          <w:szCs w:val="22"/>
        </w:rPr>
        <w:t>Technological Factors</w:t>
      </w:r>
    </w:p>
    <w:p w14:paraId="19DDB80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69EA6B9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UK leads in digital retail adoption, with widespread use of virtual showrooms, online car configurators, and remote financing applications (Mintel, 2023). BMW leverages this by offering advanced digital experiences and online-first sales channels.</w:t>
      </w:r>
    </w:p>
    <w:p w14:paraId="612F5C4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70F3B50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leads in automotive engineering technology. BMW’s German operations specialise in EV battery development, AI-based manufacturing systems, and advanced autonomous driving research (BMW Group, 2023).</w:t>
      </w:r>
    </w:p>
    <w:p w14:paraId="5074D84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Implications for BMW</w:t>
      </w:r>
    </w:p>
    <w:p w14:paraId="2D9B37D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UK operations serve as testing grounds for digital retail innovations.</w:t>
      </w:r>
    </w:p>
    <w:p w14:paraId="36B96D6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German operations underpin BMW’s global technological leadership.</w:t>
      </w:r>
    </w:p>
    <w:p w14:paraId="02A7A4ED" w14:textId="77777777" w:rsidR="00DE23A0" w:rsidRPr="008C06A7" w:rsidRDefault="00DE23A0" w:rsidP="00DE23A0">
      <w:pPr>
        <w:spacing w:line="360" w:lineRule="auto"/>
        <w:rPr>
          <w:rFonts w:ascii="Calibri" w:hAnsi="Calibri" w:cs="Calibri"/>
          <w:b/>
          <w:bCs/>
          <w:sz w:val="22"/>
          <w:szCs w:val="22"/>
        </w:rPr>
      </w:pPr>
      <w:r w:rsidRPr="008C06A7">
        <w:rPr>
          <w:rFonts w:ascii="Calibri" w:hAnsi="Calibri" w:cs="Calibri"/>
          <w:b/>
          <w:bCs/>
          <w:sz w:val="22"/>
          <w:szCs w:val="22"/>
        </w:rPr>
        <w:t>Legal Factors</w:t>
      </w:r>
    </w:p>
    <w:p w14:paraId="746EBFA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626969BB" w14:textId="77777777" w:rsidR="00735A3A" w:rsidRDefault="00DE23A0" w:rsidP="00DE23A0">
      <w:pPr>
        <w:spacing w:line="360" w:lineRule="auto"/>
        <w:rPr>
          <w:rFonts w:ascii="Calibri" w:hAnsi="Calibri" w:cs="Calibri"/>
          <w:sz w:val="22"/>
          <w:szCs w:val="22"/>
        </w:rPr>
      </w:pPr>
      <w:r w:rsidRPr="00DE23A0">
        <w:rPr>
          <w:rFonts w:ascii="Calibri" w:hAnsi="Calibri" w:cs="Calibri"/>
          <w:sz w:val="22"/>
          <w:szCs w:val="22"/>
        </w:rPr>
        <w:t>Post-Brexit regulatory divergence means BMW must comply with evolving local automotive laws, safety standards, emissions regulations, and advertising rules enforced by bodies such as the Advertising Standards Authority ASA (UK Government, 2024).</w:t>
      </w:r>
    </w:p>
    <w:p w14:paraId="671BDF79" w14:textId="5393A68E"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Germany</w:t>
      </w:r>
    </w:p>
    <w:p w14:paraId="3359003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adheres to stringent EU and national regulations on emissions, data protection (GDPR), safety standards, and environmental compliance (BMW Group, 2023). Automotive advertising must provide factual accuracy, especially regarding sustainability claims.</w:t>
      </w:r>
    </w:p>
    <w:p w14:paraId="786A475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Implications for BMW</w:t>
      </w:r>
    </w:p>
    <w:p w14:paraId="203F12F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UK requires increased compliance flexibility due to regulatory divergence.</w:t>
      </w:r>
    </w:p>
    <w:p w14:paraId="2EC7897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Germany requires strict technical accuracy in all product messaging.</w:t>
      </w:r>
    </w:p>
    <w:p w14:paraId="37F06342" w14:textId="77777777" w:rsidR="00DE23A0" w:rsidRPr="00DE23A0" w:rsidRDefault="00DE23A0" w:rsidP="00DE23A0">
      <w:pPr>
        <w:spacing w:line="360" w:lineRule="auto"/>
        <w:rPr>
          <w:rFonts w:ascii="Calibri" w:hAnsi="Calibri" w:cs="Calibri"/>
          <w:sz w:val="22"/>
          <w:szCs w:val="22"/>
        </w:rPr>
      </w:pPr>
    </w:p>
    <w:p w14:paraId="1C1C9F17" w14:textId="77777777" w:rsidR="00DE23A0" w:rsidRPr="008C06A7" w:rsidRDefault="00DE23A0" w:rsidP="00DE23A0">
      <w:pPr>
        <w:spacing w:line="360" w:lineRule="auto"/>
        <w:rPr>
          <w:rFonts w:ascii="Calibri" w:hAnsi="Calibri" w:cs="Calibri"/>
          <w:b/>
          <w:bCs/>
          <w:sz w:val="22"/>
          <w:szCs w:val="22"/>
        </w:rPr>
      </w:pPr>
      <w:r w:rsidRPr="008C06A7">
        <w:rPr>
          <w:rFonts w:ascii="Calibri" w:hAnsi="Calibri" w:cs="Calibri"/>
          <w:b/>
          <w:bCs/>
          <w:sz w:val="22"/>
          <w:szCs w:val="22"/>
        </w:rPr>
        <w:t>Environmental Factors</w:t>
      </w:r>
    </w:p>
    <w:p w14:paraId="110FED1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Both countries are committed to reducing carbon emissions, promoting electric mobility, and phasing out traditional combustion engines (UK Government, 2024). Germany targets neutrality by 2045, while the UK plans to ban new diesel and petrol vehicles by 2035. BMW must therefore accelerate its EV strategy and ensure sustainability transparency in both markets (BMW Group, 2024).</w:t>
      </w:r>
    </w:p>
    <w:p w14:paraId="2B07DDA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xml:space="preserve">5.7 PESTLE Summary Table </w:t>
      </w:r>
    </w:p>
    <w:tbl>
      <w:tblPr>
        <w:tblW w:w="0" w:type="auto"/>
        <w:tblCellSpacing w:w="15" w:type="dxa"/>
        <w:tblInd w:w="-1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17"/>
        <w:gridCol w:w="2497"/>
        <w:gridCol w:w="2209"/>
        <w:gridCol w:w="3269"/>
      </w:tblGrid>
      <w:tr w:rsidR="00CD5453" w:rsidRPr="00FD298A" w14:paraId="18190FB8" w14:textId="77777777" w:rsidTr="00000181">
        <w:trPr>
          <w:tblHeader/>
          <w:tblCellSpacing w:w="15" w:type="dxa"/>
        </w:trPr>
        <w:tc>
          <w:tcPr>
            <w:tcW w:w="1472" w:type="dxa"/>
            <w:vAlign w:val="center"/>
            <w:hideMark/>
          </w:tcPr>
          <w:p w14:paraId="3DFBBD7F" w14:textId="77777777" w:rsidR="00CD5453" w:rsidRPr="00FD298A" w:rsidRDefault="00CD5453" w:rsidP="00000181">
            <w:pPr>
              <w:spacing w:line="360" w:lineRule="auto"/>
              <w:jc w:val="center"/>
              <w:rPr>
                <w:rFonts w:ascii="Calibri" w:hAnsi="Calibri" w:cs="Calibri"/>
                <w:b/>
                <w:bCs/>
                <w:sz w:val="22"/>
                <w:szCs w:val="22"/>
              </w:rPr>
            </w:pPr>
            <w:r w:rsidRPr="00FD298A">
              <w:rPr>
                <w:rFonts w:ascii="Calibri" w:hAnsi="Calibri" w:cs="Calibri"/>
                <w:b/>
                <w:bCs/>
                <w:sz w:val="22"/>
                <w:szCs w:val="22"/>
              </w:rPr>
              <w:t>PESTLE Factor</w:t>
            </w:r>
          </w:p>
        </w:tc>
        <w:tc>
          <w:tcPr>
            <w:tcW w:w="0" w:type="auto"/>
            <w:vAlign w:val="center"/>
            <w:hideMark/>
          </w:tcPr>
          <w:p w14:paraId="7DA18A00" w14:textId="77777777" w:rsidR="00CD5453" w:rsidRPr="00FD298A" w:rsidRDefault="00CD5453" w:rsidP="00000181">
            <w:pPr>
              <w:spacing w:line="360" w:lineRule="auto"/>
              <w:jc w:val="center"/>
              <w:rPr>
                <w:rFonts w:ascii="Calibri" w:hAnsi="Calibri" w:cs="Calibri"/>
                <w:b/>
                <w:bCs/>
                <w:sz w:val="22"/>
                <w:szCs w:val="22"/>
              </w:rPr>
            </w:pPr>
            <w:r w:rsidRPr="00FD298A">
              <w:rPr>
                <w:rFonts w:ascii="Calibri" w:hAnsi="Calibri" w:cs="Calibri"/>
                <w:b/>
                <w:bCs/>
                <w:sz w:val="22"/>
                <w:szCs w:val="22"/>
              </w:rPr>
              <w:t>Country A: United Kingdom</w:t>
            </w:r>
          </w:p>
        </w:tc>
        <w:tc>
          <w:tcPr>
            <w:tcW w:w="0" w:type="auto"/>
            <w:vAlign w:val="center"/>
            <w:hideMark/>
          </w:tcPr>
          <w:p w14:paraId="39380C2D" w14:textId="77777777" w:rsidR="00CD5453" w:rsidRPr="00FD298A" w:rsidRDefault="00CD5453" w:rsidP="00000181">
            <w:pPr>
              <w:spacing w:line="360" w:lineRule="auto"/>
              <w:jc w:val="center"/>
              <w:rPr>
                <w:rFonts w:ascii="Calibri" w:hAnsi="Calibri" w:cs="Calibri"/>
                <w:b/>
                <w:bCs/>
                <w:sz w:val="22"/>
                <w:szCs w:val="22"/>
              </w:rPr>
            </w:pPr>
            <w:r w:rsidRPr="00FD298A">
              <w:rPr>
                <w:rFonts w:ascii="Calibri" w:hAnsi="Calibri" w:cs="Calibri"/>
                <w:b/>
                <w:bCs/>
                <w:sz w:val="22"/>
                <w:szCs w:val="22"/>
              </w:rPr>
              <w:t>Country B: Germany</w:t>
            </w:r>
          </w:p>
        </w:tc>
        <w:tc>
          <w:tcPr>
            <w:tcW w:w="0" w:type="auto"/>
            <w:vAlign w:val="center"/>
            <w:hideMark/>
          </w:tcPr>
          <w:p w14:paraId="3637DCA9" w14:textId="77777777" w:rsidR="00CD5453" w:rsidRPr="00FD298A" w:rsidRDefault="00CD5453" w:rsidP="00000181">
            <w:pPr>
              <w:spacing w:line="360" w:lineRule="auto"/>
              <w:jc w:val="center"/>
              <w:rPr>
                <w:rFonts w:ascii="Calibri" w:hAnsi="Calibri" w:cs="Calibri"/>
                <w:b/>
                <w:bCs/>
                <w:sz w:val="22"/>
                <w:szCs w:val="22"/>
              </w:rPr>
            </w:pPr>
            <w:r w:rsidRPr="00FD298A">
              <w:rPr>
                <w:rFonts w:ascii="Calibri" w:hAnsi="Calibri" w:cs="Calibri"/>
                <w:b/>
                <w:bCs/>
                <w:sz w:val="22"/>
                <w:szCs w:val="22"/>
              </w:rPr>
              <w:t>Implications for BMW</w:t>
            </w:r>
          </w:p>
        </w:tc>
      </w:tr>
      <w:tr w:rsidR="00CD5453" w:rsidRPr="00FD298A" w14:paraId="132D3070" w14:textId="77777777" w:rsidTr="00000181">
        <w:trPr>
          <w:tblCellSpacing w:w="15" w:type="dxa"/>
        </w:trPr>
        <w:tc>
          <w:tcPr>
            <w:tcW w:w="1472" w:type="dxa"/>
            <w:vAlign w:val="center"/>
            <w:hideMark/>
          </w:tcPr>
          <w:p w14:paraId="147CD4E5"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Political</w:t>
            </w:r>
          </w:p>
        </w:tc>
        <w:tc>
          <w:tcPr>
            <w:tcW w:w="0" w:type="auto"/>
            <w:vAlign w:val="center"/>
            <w:hideMark/>
          </w:tcPr>
          <w:p w14:paraId="140020DF"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Brexit instability</w:t>
            </w:r>
          </w:p>
        </w:tc>
        <w:tc>
          <w:tcPr>
            <w:tcW w:w="0" w:type="auto"/>
            <w:vAlign w:val="center"/>
            <w:hideMark/>
          </w:tcPr>
          <w:p w14:paraId="63F9D005"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Stable industrial policies</w:t>
            </w:r>
          </w:p>
        </w:tc>
        <w:tc>
          <w:tcPr>
            <w:tcW w:w="0" w:type="auto"/>
            <w:vAlign w:val="center"/>
            <w:hideMark/>
          </w:tcPr>
          <w:p w14:paraId="01AE34D3"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Adapt supply chain vs leverage R&amp;D support</w:t>
            </w:r>
          </w:p>
        </w:tc>
      </w:tr>
      <w:tr w:rsidR="00CD5453" w:rsidRPr="00FD298A" w14:paraId="738D9EEA" w14:textId="77777777" w:rsidTr="00000181">
        <w:trPr>
          <w:tblCellSpacing w:w="15" w:type="dxa"/>
        </w:trPr>
        <w:tc>
          <w:tcPr>
            <w:tcW w:w="1472" w:type="dxa"/>
            <w:vAlign w:val="center"/>
            <w:hideMark/>
          </w:tcPr>
          <w:p w14:paraId="47A7EB7E"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Economic</w:t>
            </w:r>
          </w:p>
        </w:tc>
        <w:tc>
          <w:tcPr>
            <w:tcW w:w="0" w:type="auto"/>
            <w:vAlign w:val="center"/>
            <w:hideMark/>
          </w:tcPr>
          <w:p w14:paraId="1002111A"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Financing-driven demand</w:t>
            </w:r>
          </w:p>
        </w:tc>
        <w:tc>
          <w:tcPr>
            <w:tcW w:w="0" w:type="auto"/>
            <w:vAlign w:val="center"/>
            <w:hideMark/>
          </w:tcPr>
          <w:p w14:paraId="3A56BB22"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High purchasing power</w:t>
            </w:r>
          </w:p>
        </w:tc>
        <w:tc>
          <w:tcPr>
            <w:tcW w:w="0" w:type="auto"/>
            <w:vAlign w:val="center"/>
            <w:hideMark/>
          </w:tcPr>
          <w:p w14:paraId="2C55D308"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Promote affordability vs value engineering</w:t>
            </w:r>
          </w:p>
        </w:tc>
      </w:tr>
      <w:tr w:rsidR="00CD5453" w:rsidRPr="00FD298A" w14:paraId="7350F8D6" w14:textId="77777777" w:rsidTr="00000181">
        <w:trPr>
          <w:tblCellSpacing w:w="15" w:type="dxa"/>
        </w:trPr>
        <w:tc>
          <w:tcPr>
            <w:tcW w:w="1472" w:type="dxa"/>
            <w:vAlign w:val="center"/>
            <w:hideMark/>
          </w:tcPr>
          <w:p w14:paraId="1B165C04"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Social</w:t>
            </w:r>
          </w:p>
        </w:tc>
        <w:tc>
          <w:tcPr>
            <w:tcW w:w="0" w:type="auto"/>
            <w:vAlign w:val="center"/>
            <w:hideMark/>
          </w:tcPr>
          <w:p w14:paraId="43D4B33C"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Lifestyle, emotion, individualism</w:t>
            </w:r>
          </w:p>
        </w:tc>
        <w:tc>
          <w:tcPr>
            <w:tcW w:w="0" w:type="auto"/>
            <w:vAlign w:val="center"/>
            <w:hideMark/>
          </w:tcPr>
          <w:p w14:paraId="51ECDDF6"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Rationality, safety, precision</w:t>
            </w:r>
          </w:p>
        </w:tc>
        <w:tc>
          <w:tcPr>
            <w:tcW w:w="0" w:type="auto"/>
            <w:vAlign w:val="center"/>
            <w:hideMark/>
          </w:tcPr>
          <w:p w14:paraId="070C060E"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Emotional ads vs technical ads</w:t>
            </w:r>
          </w:p>
        </w:tc>
      </w:tr>
      <w:tr w:rsidR="00CD5453" w:rsidRPr="00FD298A" w14:paraId="775210AC" w14:textId="77777777" w:rsidTr="00000181">
        <w:trPr>
          <w:tblCellSpacing w:w="15" w:type="dxa"/>
        </w:trPr>
        <w:tc>
          <w:tcPr>
            <w:tcW w:w="1472" w:type="dxa"/>
            <w:vAlign w:val="center"/>
            <w:hideMark/>
          </w:tcPr>
          <w:p w14:paraId="04671AF6"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Technological</w:t>
            </w:r>
          </w:p>
        </w:tc>
        <w:tc>
          <w:tcPr>
            <w:tcW w:w="0" w:type="auto"/>
            <w:vAlign w:val="center"/>
            <w:hideMark/>
          </w:tcPr>
          <w:p w14:paraId="02821488"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Digital retail leadership</w:t>
            </w:r>
          </w:p>
        </w:tc>
        <w:tc>
          <w:tcPr>
            <w:tcW w:w="0" w:type="auto"/>
            <w:vAlign w:val="center"/>
            <w:hideMark/>
          </w:tcPr>
          <w:p w14:paraId="535A4B9E"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Engineering leadership</w:t>
            </w:r>
          </w:p>
        </w:tc>
        <w:tc>
          <w:tcPr>
            <w:tcW w:w="0" w:type="auto"/>
            <w:vAlign w:val="center"/>
            <w:hideMark/>
          </w:tcPr>
          <w:p w14:paraId="4A13DEAB"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UK digital innovation vs German R&amp;D</w:t>
            </w:r>
          </w:p>
        </w:tc>
      </w:tr>
      <w:tr w:rsidR="00CD5453" w:rsidRPr="00FD298A" w14:paraId="283142FB" w14:textId="77777777" w:rsidTr="00000181">
        <w:trPr>
          <w:tblCellSpacing w:w="15" w:type="dxa"/>
        </w:trPr>
        <w:tc>
          <w:tcPr>
            <w:tcW w:w="1472" w:type="dxa"/>
            <w:vAlign w:val="center"/>
            <w:hideMark/>
          </w:tcPr>
          <w:p w14:paraId="22568C6C"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lastRenderedPageBreak/>
              <w:t>Legal</w:t>
            </w:r>
          </w:p>
        </w:tc>
        <w:tc>
          <w:tcPr>
            <w:tcW w:w="0" w:type="auto"/>
            <w:vAlign w:val="center"/>
            <w:hideMark/>
          </w:tcPr>
          <w:p w14:paraId="6D55E179"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ASA standards, post-Brexit rules</w:t>
            </w:r>
          </w:p>
        </w:tc>
        <w:tc>
          <w:tcPr>
            <w:tcW w:w="0" w:type="auto"/>
            <w:vAlign w:val="center"/>
            <w:hideMark/>
          </w:tcPr>
          <w:p w14:paraId="12B7E1C9"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Strict EU standards</w:t>
            </w:r>
          </w:p>
        </w:tc>
        <w:tc>
          <w:tcPr>
            <w:tcW w:w="0" w:type="auto"/>
            <w:vAlign w:val="center"/>
            <w:hideMark/>
          </w:tcPr>
          <w:p w14:paraId="335D9531"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Market-specific compliance needed</w:t>
            </w:r>
          </w:p>
        </w:tc>
      </w:tr>
      <w:tr w:rsidR="00CD5453" w:rsidRPr="00FD298A" w14:paraId="7FB14762" w14:textId="77777777" w:rsidTr="00000181">
        <w:trPr>
          <w:tblCellSpacing w:w="15" w:type="dxa"/>
        </w:trPr>
        <w:tc>
          <w:tcPr>
            <w:tcW w:w="1472" w:type="dxa"/>
            <w:vAlign w:val="center"/>
            <w:hideMark/>
          </w:tcPr>
          <w:p w14:paraId="04E36A48"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Environmental</w:t>
            </w:r>
          </w:p>
        </w:tc>
        <w:tc>
          <w:tcPr>
            <w:tcW w:w="0" w:type="auto"/>
            <w:vAlign w:val="center"/>
            <w:hideMark/>
          </w:tcPr>
          <w:p w14:paraId="2371107E"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ICE ban 2035</w:t>
            </w:r>
          </w:p>
        </w:tc>
        <w:tc>
          <w:tcPr>
            <w:tcW w:w="0" w:type="auto"/>
            <w:vAlign w:val="center"/>
            <w:hideMark/>
          </w:tcPr>
          <w:p w14:paraId="43927E6D"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Sustainability focus</w:t>
            </w:r>
          </w:p>
        </w:tc>
        <w:tc>
          <w:tcPr>
            <w:tcW w:w="0" w:type="auto"/>
            <w:vAlign w:val="center"/>
            <w:hideMark/>
          </w:tcPr>
          <w:p w14:paraId="6608EE77" w14:textId="77777777" w:rsidR="00CD5453" w:rsidRPr="00FD298A" w:rsidRDefault="00CD5453" w:rsidP="00000181">
            <w:pPr>
              <w:spacing w:line="360" w:lineRule="auto"/>
              <w:jc w:val="center"/>
              <w:rPr>
                <w:rFonts w:ascii="Calibri" w:hAnsi="Calibri" w:cs="Calibri"/>
                <w:sz w:val="22"/>
                <w:szCs w:val="22"/>
              </w:rPr>
            </w:pPr>
            <w:r w:rsidRPr="00FD298A">
              <w:rPr>
                <w:rFonts w:ascii="Calibri" w:hAnsi="Calibri" w:cs="Calibri"/>
                <w:sz w:val="22"/>
                <w:szCs w:val="22"/>
              </w:rPr>
              <w:t>Stronger EV positioning required</w:t>
            </w:r>
          </w:p>
        </w:tc>
      </w:tr>
    </w:tbl>
    <w:p w14:paraId="04244C47" w14:textId="77777777" w:rsidR="008A1DB1" w:rsidRDefault="008A1DB1" w:rsidP="00DE23A0">
      <w:pPr>
        <w:spacing w:line="360" w:lineRule="auto"/>
        <w:rPr>
          <w:rFonts w:ascii="Calibri" w:hAnsi="Calibri" w:cs="Calibri"/>
          <w:sz w:val="22"/>
          <w:szCs w:val="22"/>
        </w:rPr>
      </w:pPr>
    </w:p>
    <w:p w14:paraId="5CDF1F64" w14:textId="77777777" w:rsidR="00CD5453" w:rsidRDefault="00CD5453" w:rsidP="00DE23A0">
      <w:pPr>
        <w:spacing w:line="360" w:lineRule="auto"/>
        <w:rPr>
          <w:rFonts w:ascii="Calibri" w:hAnsi="Calibri" w:cs="Calibri"/>
          <w:sz w:val="22"/>
          <w:szCs w:val="22"/>
        </w:rPr>
      </w:pPr>
    </w:p>
    <w:p w14:paraId="5FB80DBE" w14:textId="10EC9945" w:rsidR="00CD5453" w:rsidRDefault="00724B85" w:rsidP="00561C01">
      <w:pPr>
        <w:spacing w:line="360" w:lineRule="auto"/>
        <w:jc w:val="center"/>
        <w:rPr>
          <w:rFonts w:ascii="Calibri" w:hAnsi="Calibri" w:cs="Calibri"/>
          <w:sz w:val="22"/>
          <w:szCs w:val="22"/>
        </w:rPr>
      </w:pPr>
      <w:r w:rsidRPr="00724B85">
        <w:rPr>
          <w:rFonts w:ascii="Calibri" w:hAnsi="Calibri" w:cs="Calibri"/>
          <w:sz w:val="22"/>
          <w:szCs w:val="22"/>
        </w:rPr>
        <w:t>Source: Mintel (2023); BMW Group (2023); UK Government (2024); Statista (2024a); PwC (2024).</w:t>
      </w:r>
    </w:p>
    <w:p w14:paraId="5B324405" w14:textId="77777777" w:rsidR="00CD5453" w:rsidRDefault="00CD5453" w:rsidP="00DE23A0">
      <w:pPr>
        <w:spacing w:line="360" w:lineRule="auto"/>
        <w:rPr>
          <w:rFonts w:ascii="Calibri" w:hAnsi="Calibri" w:cs="Calibri"/>
          <w:sz w:val="22"/>
          <w:szCs w:val="22"/>
        </w:rPr>
      </w:pPr>
    </w:p>
    <w:p w14:paraId="6855223C" w14:textId="77777777" w:rsidR="00CD5453" w:rsidRDefault="00CD5453" w:rsidP="00DE23A0">
      <w:pPr>
        <w:spacing w:line="360" w:lineRule="auto"/>
        <w:rPr>
          <w:rFonts w:ascii="Calibri" w:hAnsi="Calibri" w:cs="Calibri"/>
          <w:sz w:val="22"/>
          <w:szCs w:val="22"/>
        </w:rPr>
      </w:pPr>
    </w:p>
    <w:p w14:paraId="53D6018A" w14:textId="77777777" w:rsidR="00CD5453" w:rsidRDefault="00CD5453" w:rsidP="00DE23A0">
      <w:pPr>
        <w:spacing w:line="360" w:lineRule="auto"/>
        <w:rPr>
          <w:rFonts w:ascii="Calibri" w:hAnsi="Calibri" w:cs="Calibri"/>
          <w:sz w:val="22"/>
          <w:szCs w:val="22"/>
        </w:rPr>
      </w:pPr>
    </w:p>
    <w:p w14:paraId="03729C02" w14:textId="77777777" w:rsidR="00CD5453" w:rsidRDefault="00CD5453" w:rsidP="00DE23A0">
      <w:pPr>
        <w:spacing w:line="360" w:lineRule="auto"/>
        <w:rPr>
          <w:rFonts w:ascii="Calibri" w:hAnsi="Calibri" w:cs="Calibri"/>
          <w:sz w:val="22"/>
          <w:szCs w:val="22"/>
        </w:rPr>
      </w:pPr>
    </w:p>
    <w:p w14:paraId="149F856D" w14:textId="77777777" w:rsidR="00CD5453" w:rsidRDefault="00CD5453" w:rsidP="00DE23A0">
      <w:pPr>
        <w:spacing w:line="360" w:lineRule="auto"/>
        <w:rPr>
          <w:rFonts w:ascii="Calibri" w:hAnsi="Calibri" w:cs="Calibri"/>
          <w:sz w:val="22"/>
          <w:szCs w:val="22"/>
        </w:rPr>
      </w:pPr>
    </w:p>
    <w:p w14:paraId="75E6969F" w14:textId="77777777" w:rsidR="00CD5453" w:rsidRDefault="00CD5453" w:rsidP="00DE23A0">
      <w:pPr>
        <w:spacing w:line="360" w:lineRule="auto"/>
        <w:rPr>
          <w:rFonts w:ascii="Calibri" w:hAnsi="Calibri" w:cs="Calibri"/>
          <w:sz w:val="22"/>
          <w:szCs w:val="22"/>
        </w:rPr>
      </w:pPr>
    </w:p>
    <w:p w14:paraId="27F33F60" w14:textId="77777777" w:rsidR="00CD5453" w:rsidRDefault="00CD5453" w:rsidP="00DE23A0">
      <w:pPr>
        <w:spacing w:line="360" w:lineRule="auto"/>
        <w:rPr>
          <w:rFonts w:ascii="Calibri" w:hAnsi="Calibri" w:cs="Calibri"/>
          <w:sz w:val="22"/>
          <w:szCs w:val="22"/>
        </w:rPr>
      </w:pPr>
    </w:p>
    <w:p w14:paraId="711BBC2E" w14:textId="77777777" w:rsidR="00CD5453" w:rsidRDefault="00CD5453" w:rsidP="00DE23A0">
      <w:pPr>
        <w:spacing w:line="360" w:lineRule="auto"/>
        <w:rPr>
          <w:rFonts w:ascii="Calibri" w:hAnsi="Calibri" w:cs="Calibri"/>
          <w:sz w:val="22"/>
          <w:szCs w:val="22"/>
        </w:rPr>
      </w:pPr>
    </w:p>
    <w:p w14:paraId="6E9B57CB" w14:textId="77777777" w:rsidR="00CD5453" w:rsidRDefault="00CD5453" w:rsidP="00DE23A0">
      <w:pPr>
        <w:spacing w:line="360" w:lineRule="auto"/>
        <w:rPr>
          <w:rFonts w:ascii="Calibri" w:hAnsi="Calibri" w:cs="Calibri"/>
          <w:sz w:val="22"/>
          <w:szCs w:val="22"/>
        </w:rPr>
      </w:pPr>
    </w:p>
    <w:p w14:paraId="5B001620" w14:textId="77777777" w:rsidR="00CD5453" w:rsidRDefault="00CD5453" w:rsidP="00DE23A0">
      <w:pPr>
        <w:spacing w:line="360" w:lineRule="auto"/>
        <w:rPr>
          <w:rFonts w:ascii="Calibri" w:hAnsi="Calibri" w:cs="Calibri"/>
          <w:sz w:val="22"/>
          <w:szCs w:val="22"/>
        </w:rPr>
      </w:pPr>
    </w:p>
    <w:p w14:paraId="7E4BE744" w14:textId="77777777" w:rsidR="00CD5453" w:rsidRDefault="00CD5453" w:rsidP="00DE23A0">
      <w:pPr>
        <w:spacing w:line="360" w:lineRule="auto"/>
        <w:rPr>
          <w:rFonts w:ascii="Calibri" w:hAnsi="Calibri" w:cs="Calibri"/>
          <w:sz w:val="22"/>
          <w:szCs w:val="22"/>
        </w:rPr>
      </w:pPr>
    </w:p>
    <w:p w14:paraId="70F63868" w14:textId="77777777" w:rsidR="00CD5453" w:rsidRDefault="00CD5453" w:rsidP="00DE23A0">
      <w:pPr>
        <w:spacing w:line="360" w:lineRule="auto"/>
        <w:rPr>
          <w:rFonts w:ascii="Calibri" w:hAnsi="Calibri" w:cs="Calibri"/>
          <w:sz w:val="22"/>
          <w:szCs w:val="22"/>
        </w:rPr>
      </w:pPr>
    </w:p>
    <w:p w14:paraId="70E16AF2" w14:textId="77777777" w:rsidR="00CD5453" w:rsidRDefault="00CD5453" w:rsidP="00DE23A0">
      <w:pPr>
        <w:spacing w:line="360" w:lineRule="auto"/>
        <w:rPr>
          <w:rFonts w:ascii="Calibri" w:hAnsi="Calibri" w:cs="Calibri"/>
          <w:sz w:val="22"/>
          <w:szCs w:val="22"/>
        </w:rPr>
      </w:pPr>
    </w:p>
    <w:p w14:paraId="6ED458A4" w14:textId="77777777" w:rsidR="00CD5453" w:rsidRDefault="00CD5453" w:rsidP="00DE23A0">
      <w:pPr>
        <w:spacing w:line="360" w:lineRule="auto"/>
        <w:rPr>
          <w:rFonts w:ascii="Calibri" w:hAnsi="Calibri" w:cs="Calibri"/>
          <w:sz w:val="22"/>
          <w:szCs w:val="22"/>
        </w:rPr>
      </w:pPr>
    </w:p>
    <w:p w14:paraId="795217A5" w14:textId="77777777" w:rsidR="00CD5453" w:rsidRDefault="00CD5453" w:rsidP="00DE23A0">
      <w:pPr>
        <w:spacing w:line="360" w:lineRule="auto"/>
        <w:rPr>
          <w:rFonts w:ascii="Calibri" w:hAnsi="Calibri" w:cs="Calibri"/>
          <w:sz w:val="22"/>
          <w:szCs w:val="22"/>
        </w:rPr>
      </w:pPr>
    </w:p>
    <w:p w14:paraId="08D00262" w14:textId="04AD3704" w:rsidR="00DE23A0" w:rsidRPr="008A1DB1" w:rsidRDefault="00DE23A0" w:rsidP="008623D9">
      <w:pPr>
        <w:pStyle w:val="Heading1"/>
      </w:pPr>
      <w:bookmarkStart w:id="3" w:name="_Toc214106254"/>
      <w:r w:rsidRPr="008A1DB1">
        <w:lastRenderedPageBreak/>
        <w:t>COMPARISON OF STP STRATEGIES IN COUNTRY A AND COUNTRY B</w:t>
      </w:r>
      <w:bookmarkEnd w:id="3"/>
    </w:p>
    <w:p w14:paraId="2EF80D4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Segmentation, Targeting, and Positioning (STP) framework is central to understanding how BMW adapts its marketing strategies across international markets. BMW’s premium brand identity is globally consistent; however, the way the company segments consumers, identifies target groups, and positions its products varies significantly between the United Kingdom (Country A) and Germany (Country B) (Kantar BrandZ, 2024). These differences reflect local socio-cultural values, economic conditions, and consumer expectations.</w:t>
      </w:r>
    </w:p>
    <w:p w14:paraId="7D21D53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section compares BMW’s STP strategies in the UK and Germany, highlighting similarities, differences, and strategic implications.</w:t>
      </w:r>
    </w:p>
    <w:p w14:paraId="15FDDEA6" w14:textId="77777777" w:rsidR="00DE23A0" w:rsidRPr="00CD5453" w:rsidRDefault="00DE23A0" w:rsidP="00DE23A0">
      <w:pPr>
        <w:spacing w:line="360" w:lineRule="auto"/>
        <w:rPr>
          <w:rFonts w:ascii="Calibri" w:hAnsi="Calibri" w:cs="Calibri"/>
          <w:b/>
          <w:bCs/>
          <w:sz w:val="22"/>
          <w:szCs w:val="22"/>
        </w:rPr>
      </w:pPr>
      <w:r w:rsidRPr="00CD5453">
        <w:rPr>
          <w:rFonts w:ascii="Calibri" w:hAnsi="Calibri" w:cs="Calibri"/>
          <w:b/>
          <w:bCs/>
          <w:sz w:val="22"/>
          <w:szCs w:val="22"/>
        </w:rPr>
        <w:t>Segmentation</w:t>
      </w:r>
    </w:p>
    <w:p w14:paraId="4753525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uses a combination of demographic, psychographic, behavioural, and geographic segmentation to identify suitable consumer groups. While the overall segmentation approach is similar in both countries, the emphasis differs according to local market characteristics.</w:t>
      </w:r>
    </w:p>
    <w:p w14:paraId="628B54E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Country A (United Kingdom)</w:t>
      </w:r>
    </w:p>
    <w:p w14:paraId="16453F0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Segmentation in the UK is strongly centred around psychographic and behavioural factors. UK consumers commonly view premium automotive brands as an extension of their personal identity (Mintel, 2023). As a result, BMW identifies segments that value prestige, lifestyle expression, comfort, advanced digital features, and brand symbolism.</w:t>
      </w:r>
    </w:p>
    <w:p w14:paraId="79905F0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Key UK segmentation characteristics include:</w:t>
      </w:r>
    </w:p>
    <w:p w14:paraId="3299E40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Demographic: professionals aged 25–55, high-income earners, urban dwellers</w:t>
      </w:r>
    </w:p>
    <w:p w14:paraId="54CD0C8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Psychographic: aspirational consumers, status-driven, emotionally motivated</w:t>
      </w:r>
    </w:p>
    <w:p w14:paraId="59673F4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Behavioural: strong reliance on PCP financing, interest in digital retail, preference for convenience</w:t>
      </w:r>
    </w:p>
    <w:p w14:paraId="68F49B7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Geographic: strong demand in metropolitan areas such as London, Manchester, and Birmingham</w:t>
      </w:r>
    </w:p>
    <w:p w14:paraId="0AFD991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segmentation aligns closely with UK cultural traits such as high individualism and the desire for lifestyle differentiation.</w:t>
      </w:r>
    </w:p>
    <w:p w14:paraId="3DE71EA3" w14:textId="77777777" w:rsidR="00DE23A0" w:rsidRPr="00DE23A0" w:rsidRDefault="00DE23A0" w:rsidP="00DE23A0">
      <w:pPr>
        <w:spacing w:line="360" w:lineRule="auto"/>
        <w:rPr>
          <w:rFonts w:ascii="Calibri" w:hAnsi="Calibri" w:cs="Calibri"/>
          <w:sz w:val="22"/>
          <w:szCs w:val="22"/>
        </w:rPr>
      </w:pPr>
    </w:p>
    <w:p w14:paraId="668F22C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Country B (Germany)</w:t>
      </w:r>
    </w:p>
    <w:p w14:paraId="1C36757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In Germany, segmentation leans strongly toward demographic and behavioural rationality. German consumers emphasise technical performance, engineering reliability, and value for money (Statista, 2024a). They demand detailed product information and prioritise functional attributes over emotional storytelling.</w:t>
      </w:r>
    </w:p>
    <w:p w14:paraId="704597D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Key German segmentation characteristics include:</w:t>
      </w:r>
    </w:p>
    <w:p w14:paraId="38DF211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Demographic: professionals aged 30–60, engineers, high-income families, fleet buyers</w:t>
      </w:r>
    </w:p>
    <w:p w14:paraId="630577A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Psychographic: rational, quality-oriented, risk-averse</w:t>
      </w:r>
    </w:p>
    <w:p w14:paraId="63CC04A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Behavioural: interest in technical specifications, safety, and efficiency; higher propensity for outright purchase or structured leasing</w:t>
      </w:r>
    </w:p>
    <w:p w14:paraId="24DB635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Geographic: strong demand in Bavaria, Baden-Württemberg, and industrial hubs</w:t>
      </w:r>
    </w:p>
    <w:p w14:paraId="0F7EF74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 segmentation reflects Hofstede’s cultural traits of high uncertainty avoidance, stronger long-term orientation, and preference for precision.</w:t>
      </w:r>
    </w:p>
    <w:p w14:paraId="14E1C74C" w14:textId="77777777" w:rsidR="00DE23A0" w:rsidRPr="00DE23A0" w:rsidRDefault="00DE23A0" w:rsidP="00DE23A0">
      <w:pPr>
        <w:spacing w:line="360" w:lineRule="auto"/>
        <w:rPr>
          <w:rFonts w:ascii="Calibri" w:hAnsi="Calibri" w:cs="Calibri"/>
          <w:sz w:val="22"/>
          <w:szCs w:val="22"/>
        </w:rPr>
      </w:pPr>
    </w:p>
    <w:p w14:paraId="34A77A4A" w14:textId="77777777" w:rsidR="00DE23A0" w:rsidRPr="00CD5453" w:rsidRDefault="00DE23A0" w:rsidP="00DE23A0">
      <w:pPr>
        <w:spacing w:line="360" w:lineRule="auto"/>
        <w:rPr>
          <w:rFonts w:ascii="Calibri" w:hAnsi="Calibri" w:cs="Calibri"/>
          <w:b/>
          <w:bCs/>
          <w:sz w:val="22"/>
          <w:szCs w:val="22"/>
        </w:rPr>
      </w:pPr>
      <w:r w:rsidRPr="00CD5453">
        <w:rPr>
          <w:rFonts w:ascii="Calibri" w:hAnsi="Calibri" w:cs="Calibri"/>
          <w:b/>
          <w:bCs/>
          <w:sz w:val="22"/>
          <w:szCs w:val="22"/>
        </w:rPr>
        <w:t>Targeting</w:t>
      </w:r>
    </w:p>
    <w:p w14:paraId="180B2DE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targets affluent, professional consumers in both markets, but the core motivations and communication strategies differ.</w:t>
      </w:r>
    </w:p>
    <w:p w14:paraId="7FEC68D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Targeting in the UK</w:t>
      </w:r>
    </w:p>
    <w:p w14:paraId="2B7E878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primarily targets individuals seeking a prestigious, stylish, and technologically advanced vehicle. These include young professionals and middle-to-upper-income earners who aspire to own a premium brand. BMW also targets digital-first consumers who engage heavily through online platforms.</w:t>
      </w:r>
    </w:p>
    <w:p w14:paraId="3021F8E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Financial accessibility through PCP is central to the UK targeting strategy. Marketing messages frequently highlight low monthly payments, making premium vehicles appear more accessible to aspirational consumers.</w:t>
      </w:r>
    </w:p>
    <w:p w14:paraId="22573606" w14:textId="77777777" w:rsidR="00DE23A0" w:rsidRPr="00DE23A0" w:rsidRDefault="00DE23A0" w:rsidP="00DE23A0">
      <w:pPr>
        <w:spacing w:line="360" w:lineRule="auto"/>
        <w:rPr>
          <w:rFonts w:ascii="Calibri" w:hAnsi="Calibri" w:cs="Calibri"/>
          <w:sz w:val="22"/>
          <w:szCs w:val="22"/>
        </w:rPr>
      </w:pPr>
    </w:p>
    <w:p w14:paraId="06C0582E" w14:textId="77777777" w:rsidR="00DE23A0" w:rsidRPr="00DE23A0" w:rsidRDefault="00DE23A0" w:rsidP="00DE23A0">
      <w:pPr>
        <w:spacing w:line="360" w:lineRule="auto"/>
        <w:rPr>
          <w:rFonts w:ascii="Calibri" w:hAnsi="Calibri" w:cs="Calibri"/>
          <w:sz w:val="22"/>
          <w:szCs w:val="22"/>
        </w:rPr>
      </w:pPr>
    </w:p>
    <w:p w14:paraId="1C03819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Targeting in Germany</w:t>
      </w:r>
    </w:p>
    <w:p w14:paraId="4D8ECC5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In Germany, BMW targets highly rational, quality-driven consumers and corporate fleet buyers. These customers value engineering reliability, brand heritage, and long-term durability.</w:t>
      </w:r>
    </w:p>
    <w:p w14:paraId="7A4189E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 targeting is structured around:</w:t>
      </w:r>
    </w:p>
    <w:p w14:paraId="3F53750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Long-term owners</w:t>
      </w:r>
    </w:p>
    <w:p w14:paraId="7FBC490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Technical enthusiasts</w:t>
      </w:r>
    </w:p>
    <w:p w14:paraId="75499A8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Families seeking safety and durability</w:t>
      </w:r>
    </w:p>
    <w:p w14:paraId="23BB28B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Corporate buyers selecting fleet vehicles for employee mobility</w:t>
      </w:r>
    </w:p>
    <w:p w14:paraId="5E15699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Marketing messages emphasise precision engineering, performance efficiency, and technological advancement.</w:t>
      </w:r>
    </w:p>
    <w:p w14:paraId="76819F46" w14:textId="77777777" w:rsidR="00DE23A0" w:rsidRPr="00DE23A0" w:rsidRDefault="00DE23A0" w:rsidP="00DE23A0">
      <w:pPr>
        <w:spacing w:line="360" w:lineRule="auto"/>
        <w:rPr>
          <w:rFonts w:ascii="Calibri" w:hAnsi="Calibri" w:cs="Calibri"/>
          <w:sz w:val="22"/>
          <w:szCs w:val="22"/>
        </w:rPr>
      </w:pPr>
    </w:p>
    <w:p w14:paraId="65C82834" w14:textId="77777777" w:rsidR="00DE23A0" w:rsidRPr="003260CC" w:rsidRDefault="00DE23A0" w:rsidP="00DE23A0">
      <w:pPr>
        <w:spacing w:line="360" w:lineRule="auto"/>
        <w:rPr>
          <w:rFonts w:ascii="Calibri" w:hAnsi="Calibri" w:cs="Calibri"/>
          <w:b/>
          <w:bCs/>
          <w:sz w:val="22"/>
          <w:szCs w:val="22"/>
        </w:rPr>
      </w:pPr>
      <w:r w:rsidRPr="003260CC">
        <w:rPr>
          <w:rFonts w:ascii="Calibri" w:hAnsi="Calibri" w:cs="Calibri"/>
          <w:b/>
          <w:bCs/>
          <w:sz w:val="22"/>
          <w:szCs w:val="22"/>
        </w:rPr>
        <w:t>Positioning</w:t>
      </w:r>
    </w:p>
    <w:p w14:paraId="4ABB42C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Positioning refers to how BMW differentiates itself within the competitive landscape of each market.</w:t>
      </w:r>
    </w:p>
    <w:p w14:paraId="0CFCED9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Positioning in Country A (United Kingdom)</w:t>
      </w:r>
    </w:p>
    <w:p w14:paraId="5E33568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is positioned as a premium lifestyle brand in the UK, emphasising:</w:t>
      </w:r>
    </w:p>
    <w:p w14:paraId="728C4ED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Emotional appeal</w:t>
      </w:r>
    </w:p>
    <w:p w14:paraId="0BBA66D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Stylish design</w:t>
      </w:r>
    </w:p>
    <w:p w14:paraId="090888B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Driving experience</w:t>
      </w:r>
    </w:p>
    <w:p w14:paraId="2770E3C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Digital innovation</w:t>
      </w:r>
    </w:p>
    <w:p w14:paraId="30DF8F0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Personal expression</w:t>
      </w:r>
    </w:p>
    <w:p w14:paraId="0B7EE6C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UK advertisements typically show aspirational imagery, urban environments, young professionals, and lifestyle narratives. For example, BMW UK’s campaigns for the i4 frequently include London cityscapes accompanied by lifestyle-focused messages such as “The Future Feels Electric.”</w:t>
      </w:r>
    </w:p>
    <w:p w14:paraId="1E68DF2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This positioning resonates with UK consumers’ desire for individuality and prestige.</w:t>
      </w:r>
    </w:p>
    <w:p w14:paraId="38449F40" w14:textId="77777777" w:rsidR="00DE23A0" w:rsidRPr="00DE23A0" w:rsidRDefault="00DE23A0" w:rsidP="00DE23A0">
      <w:pPr>
        <w:spacing w:line="360" w:lineRule="auto"/>
        <w:rPr>
          <w:rFonts w:ascii="Calibri" w:hAnsi="Calibri" w:cs="Calibri"/>
          <w:sz w:val="22"/>
          <w:szCs w:val="22"/>
        </w:rPr>
      </w:pPr>
    </w:p>
    <w:p w14:paraId="3B9E1EC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Positioning in Country B (Germany)</w:t>
      </w:r>
    </w:p>
    <w:p w14:paraId="3C10CCC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In Germany, BMW is positioned as a precision-engineered, technologically superior automotive brand. German advertisements emphasise:</w:t>
      </w:r>
    </w:p>
    <w:p w14:paraId="6B8BF4F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Safety</w:t>
      </w:r>
    </w:p>
    <w:p w14:paraId="73423E7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Performance metrics</w:t>
      </w:r>
    </w:p>
    <w:p w14:paraId="4F6329A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Engineering detail</w:t>
      </w:r>
    </w:p>
    <w:p w14:paraId="2A42D8F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Durability</w:t>
      </w:r>
    </w:p>
    <w:p w14:paraId="6189827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Efficiency</w:t>
      </w:r>
    </w:p>
    <w:p w14:paraId="7360200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Germany frequently uses technical demonstrations, drivetrain visualisations, and efficiency charts in its marketing communications. This technical and rational positioning aligns with German market expectations and cultural values</w:t>
      </w:r>
    </w:p>
    <w:p w14:paraId="49B95082" w14:textId="77777777" w:rsidR="00DE23A0" w:rsidRPr="00DE23A0" w:rsidRDefault="00DE23A0" w:rsidP="00DE23A0">
      <w:pPr>
        <w:spacing w:line="360" w:lineRule="auto"/>
        <w:rPr>
          <w:rFonts w:ascii="Calibri" w:hAnsi="Calibri" w:cs="Calibri"/>
          <w:sz w:val="22"/>
          <w:szCs w:val="22"/>
        </w:rPr>
      </w:pPr>
    </w:p>
    <w:p w14:paraId="65526C42" w14:textId="77777777" w:rsidR="00DE23A0" w:rsidRPr="00724B85" w:rsidRDefault="00DE23A0" w:rsidP="00DE23A0">
      <w:pPr>
        <w:spacing w:line="360" w:lineRule="auto"/>
        <w:rPr>
          <w:rFonts w:ascii="Calibri" w:hAnsi="Calibri" w:cs="Calibri"/>
          <w:b/>
          <w:bCs/>
          <w:sz w:val="22"/>
          <w:szCs w:val="22"/>
        </w:rPr>
      </w:pPr>
      <w:r w:rsidRPr="00724B85">
        <w:rPr>
          <w:rFonts w:ascii="Calibri" w:hAnsi="Calibri" w:cs="Calibri"/>
          <w:b/>
          <w:bCs/>
          <w:sz w:val="22"/>
          <w:szCs w:val="22"/>
        </w:rPr>
        <w:t xml:space="preserve">Summary of STP Differences </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37"/>
        <w:gridCol w:w="3754"/>
        <w:gridCol w:w="4259"/>
      </w:tblGrid>
      <w:tr w:rsidR="00110BC4" w:rsidRPr="00124567" w14:paraId="74E3DE50" w14:textId="77777777" w:rsidTr="00000181">
        <w:trPr>
          <w:tblHeader/>
          <w:tblCellSpacing w:w="15" w:type="dxa"/>
          <w:jc w:val="center"/>
        </w:trPr>
        <w:tc>
          <w:tcPr>
            <w:tcW w:w="0" w:type="auto"/>
            <w:vAlign w:val="center"/>
            <w:hideMark/>
          </w:tcPr>
          <w:p w14:paraId="2D359DE6" w14:textId="77777777" w:rsidR="00110BC4" w:rsidRPr="00124567" w:rsidRDefault="00110BC4" w:rsidP="00724B85">
            <w:pPr>
              <w:jc w:val="center"/>
              <w:rPr>
                <w:rFonts w:ascii="Calibri" w:hAnsi="Calibri" w:cs="Calibri"/>
                <w:b/>
                <w:bCs/>
                <w:sz w:val="22"/>
                <w:szCs w:val="22"/>
              </w:rPr>
            </w:pPr>
            <w:r w:rsidRPr="00124567">
              <w:rPr>
                <w:rFonts w:ascii="Calibri" w:hAnsi="Calibri" w:cs="Calibri"/>
                <w:b/>
                <w:bCs/>
                <w:sz w:val="22"/>
                <w:szCs w:val="22"/>
              </w:rPr>
              <w:t>STP Element</w:t>
            </w:r>
          </w:p>
        </w:tc>
        <w:tc>
          <w:tcPr>
            <w:tcW w:w="0" w:type="auto"/>
            <w:vAlign w:val="center"/>
            <w:hideMark/>
          </w:tcPr>
          <w:p w14:paraId="7CF740FD" w14:textId="77777777" w:rsidR="00110BC4" w:rsidRPr="00124567" w:rsidRDefault="00110BC4" w:rsidP="00724B85">
            <w:pPr>
              <w:jc w:val="center"/>
              <w:rPr>
                <w:rFonts w:ascii="Calibri" w:hAnsi="Calibri" w:cs="Calibri"/>
                <w:b/>
                <w:bCs/>
                <w:sz w:val="22"/>
                <w:szCs w:val="22"/>
              </w:rPr>
            </w:pPr>
            <w:r w:rsidRPr="00124567">
              <w:rPr>
                <w:rFonts w:ascii="Calibri" w:hAnsi="Calibri" w:cs="Calibri"/>
                <w:b/>
                <w:bCs/>
                <w:sz w:val="22"/>
                <w:szCs w:val="22"/>
              </w:rPr>
              <w:t>United Kingdom (Country A)</w:t>
            </w:r>
          </w:p>
        </w:tc>
        <w:tc>
          <w:tcPr>
            <w:tcW w:w="0" w:type="auto"/>
            <w:vAlign w:val="center"/>
            <w:hideMark/>
          </w:tcPr>
          <w:p w14:paraId="34853235" w14:textId="77777777" w:rsidR="00110BC4" w:rsidRPr="00124567" w:rsidRDefault="00110BC4" w:rsidP="00724B85">
            <w:pPr>
              <w:jc w:val="center"/>
              <w:rPr>
                <w:rFonts w:ascii="Calibri" w:hAnsi="Calibri" w:cs="Calibri"/>
                <w:b/>
                <w:bCs/>
                <w:sz w:val="22"/>
                <w:szCs w:val="22"/>
              </w:rPr>
            </w:pPr>
            <w:r w:rsidRPr="00124567">
              <w:rPr>
                <w:rFonts w:ascii="Calibri" w:hAnsi="Calibri" w:cs="Calibri"/>
                <w:b/>
                <w:bCs/>
                <w:sz w:val="22"/>
                <w:szCs w:val="22"/>
              </w:rPr>
              <w:t>Germany (Country B)</w:t>
            </w:r>
          </w:p>
        </w:tc>
      </w:tr>
      <w:tr w:rsidR="00110BC4" w:rsidRPr="00124567" w14:paraId="329922E6" w14:textId="77777777" w:rsidTr="00000181">
        <w:trPr>
          <w:tblCellSpacing w:w="15" w:type="dxa"/>
          <w:jc w:val="center"/>
        </w:trPr>
        <w:tc>
          <w:tcPr>
            <w:tcW w:w="0" w:type="auto"/>
            <w:vAlign w:val="center"/>
            <w:hideMark/>
          </w:tcPr>
          <w:p w14:paraId="64D492B4"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Segmentation</w:t>
            </w:r>
          </w:p>
        </w:tc>
        <w:tc>
          <w:tcPr>
            <w:tcW w:w="0" w:type="auto"/>
            <w:vAlign w:val="center"/>
            <w:hideMark/>
          </w:tcPr>
          <w:p w14:paraId="4A0CF61B"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Aspirational, emotional, lifestyle-based</w:t>
            </w:r>
            <w:r w:rsidRPr="00FF51E2">
              <w:rPr>
                <w:rFonts w:ascii="Calibri" w:hAnsi="Calibri" w:cs="Calibri"/>
                <w:sz w:val="22"/>
                <w:szCs w:val="22"/>
              </w:rPr>
              <w:t xml:space="preserve"> (Mintel, 2023)</w:t>
            </w:r>
          </w:p>
        </w:tc>
        <w:tc>
          <w:tcPr>
            <w:tcW w:w="0" w:type="auto"/>
            <w:vAlign w:val="center"/>
            <w:hideMark/>
          </w:tcPr>
          <w:p w14:paraId="6E4A472B"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Rational, performance-focused, engineering-based</w:t>
            </w:r>
            <w:r>
              <w:rPr>
                <w:rFonts w:ascii="Calibri" w:hAnsi="Calibri" w:cs="Calibri"/>
                <w:sz w:val="22"/>
                <w:szCs w:val="22"/>
              </w:rPr>
              <w:t xml:space="preserve"> </w:t>
            </w:r>
            <w:r w:rsidRPr="00FF51E2">
              <w:rPr>
                <w:rFonts w:ascii="Calibri" w:hAnsi="Calibri" w:cs="Calibri"/>
                <w:sz w:val="22"/>
                <w:szCs w:val="22"/>
              </w:rPr>
              <w:t>(Statista, 2024a)</w:t>
            </w:r>
          </w:p>
        </w:tc>
      </w:tr>
      <w:tr w:rsidR="00110BC4" w:rsidRPr="00124567" w14:paraId="70B1167D" w14:textId="77777777" w:rsidTr="00000181">
        <w:trPr>
          <w:tblCellSpacing w:w="15" w:type="dxa"/>
          <w:jc w:val="center"/>
        </w:trPr>
        <w:tc>
          <w:tcPr>
            <w:tcW w:w="0" w:type="auto"/>
            <w:vAlign w:val="center"/>
            <w:hideMark/>
          </w:tcPr>
          <w:p w14:paraId="37DCA926"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Targeting</w:t>
            </w:r>
          </w:p>
        </w:tc>
        <w:tc>
          <w:tcPr>
            <w:tcW w:w="0" w:type="auto"/>
            <w:vAlign w:val="center"/>
            <w:hideMark/>
          </w:tcPr>
          <w:p w14:paraId="2751D73F"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Young professionals; digital-first consumers; PCP users</w:t>
            </w:r>
          </w:p>
        </w:tc>
        <w:tc>
          <w:tcPr>
            <w:tcW w:w="0" w:type="auto"/>
            <w:vAlign w:val="center"/>
            <w:hideMark/>
          </w:tcPr>
          <w:p w14:paraId="09BB4775"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Families, professionals, technical enthusiasts, fleet buyers</w:t>
            </w:r>
          </w:p>
        </w:tc>
      </w:tr>
      <w:tr w:rsidR="00110BC4" w:rsidRPr="00124567" w14:paraId="09DE8DE4" w14:textId="77777777" w:rsidTr="00000181">
        <w:trPr>
          <w:tblCellSpacing w:w="15" w:type="dxa"/>
          <w:jc w:val="center"/>
        </w:trPr>
        <w:tc>
          <w:tcPr>
            <w:tcW w:w="0" w:type="auto"/>
            <w:vAlign w:val="center"/>
            <w:hideMark/>
          </w:tcPr>
          <w:p w14:paraId="54B8A216"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Positioning</w:t>
            </w:r>
          </w:p>
        </w:tc>
        <w:tc>
          <w:tcPr>
            <w:tcW w:w="0" w:type="auto"/>
            <w:vAlign w:val="center"/>
            <w:hideMark/>
          </w:tcPr>
          <w:p w14:paraId="4A2EF664"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Premium lifestyle brand emphasising emotion and identity</w:t>
            </w:r>
          </w:p>
        </w:tc>
        <w:tc>
          <w:tcPr>
            <w:tcW w:w="0" w:type="auto"/>
            <w:vAlign w:val="center"/>
            <w:hideMark/>
          </w:tcPr>
          <w:p w14:paraId="06AF305A" w14:textId="77777777" w:rsidR="00110BC4" w:rsidRPr="00124567" w:rsidRDefault="00110BC4" w:rsidP="00724B85">
            <w:pPr>
              <w:jc w:val="center"/>
              <w:rPr>
                <w:rFonts w:ascii="Calibri" w:hAnsi="Calibri" w:cs="Calibri"/>
                <w:sz w:val="22"/>
                <w:szCs w:val="22"/>
              </w:rPr>
            </w:pPr>
            <w:r w:rsidRPr="00124567">
              <w:rPr>
                <w:rFonts w:ascii="Calibri" w:hAnsi="Calibri" w:cs="Calibri"/>
                <w:sz w:val="22"/>
                <w:szCs w:val="22"/>
              </w:rPr>
              <w:t>Engineering excellence, technical precision, performance</w:t>
            </w:r>
          </w:p>
        </w:tc>
      </w:tr>
    </w:tbl>
    <w:p w14:paraId="55C318C3" w14:textId="77777777" w:rsidR="00DE23A0" w:rsidRPr="00DE23A0" w:rsidRDefault="00DE23A0" w:rsidP="00DE23A0">
      <w:pPr>
        <w:spacing w:line="360" w:lineRule="auto"/>
        <w:rPr>
          <w:rFonts w:ascii="Calibri" w:hAnsi="Calibri" w:cs="Calibri"/>
          <w:sz w:val="22"/>
          <w:szCs w:val="22"/>
        </w:rPr>
      </w:pPr>
    </w:p>
    <w:p w14:paraId="3899C5BC" w14:textId="77777777" w:rsidR="00DE23A0" w:rsidRPr="00DE23A0" w:rsidRDefault="00DE23A0" w:rsidP="00DE23A0">
      <w:pPr>
        <w:spacing w:line="360" w:lineRule="auto"/>
        <w:rPr>
          <w:rFonts w:ascii="Calibri" w:hAnsi="Calibri" w:cs="Calibri"/>
          <w:sz w:val="22"/>
          <w:szCs w:val="22"/>
        </w:rPr>
      </w:pPr>
    </w:p>
    <w:p w14:paraId="0285EF1C" w14:textId="3A2BC53C" w:rsidR="00110BC4" w:rsidRDefault="00724B85" w:rsidP="00561C01">
      <w:pPr>
        <w:spacing w:line="360" w:lineRule="auto"/>
        <w:jc w:val="center"/>
        <w:rPr>
          <w:rFonts w:ascii="Calibri" w:hAnsi="Calibri" w:cs="Calibri"/>
          <w:sz w:val="22"/>
          <w:szCs w:val="22"/>
        </w:rPr>
      </w:pPr>
      <w:r w:rsidRPr="00724B85">
        <w:rPr>
          <w:rFonts w:ascii="Calibri" w:hAnsi="Calibri" w:cs="Calibri"/>
          <w:sz w:val="22"/>
          <w:szCs w:val="22"/>
        </w:rPr>
        <w:t>Source: Mintel (2023); Statista (2024a); Hofstede Insights (2023); Kantar BrandZ (2024).</w:t>
      </w:r>
    </w:p>
    <w:p w14:paraId="7DBA2244" w14:textId="6450958B" w:rsidR="00DE23A0" w:rsidRPr="00110BC4" w:rsidRDefault="00DE23A0" w:rsidP="008623D9">
      <w:pPr>
        <w:pStyle w:val="Heading1"/>
      </w:pPr>
      <w:bookmarkStart w:id="4" w:name="_Toc214106255"/>
      <w:r w:rsidRPr="00110BC4">
        <w:lastRenderedPageBreak/>
        <w:t xml:space="preserve">COMPARISON OF </w:t>
      </w:r>
      <w:r w:rsidR="00110BC4" w:rsidRPr="00110BC4">
        <w:t>MARKETING</w:t>
      </w:r>
      <w:r w:rsidRPr="00110BC4">
        <w:t xml:space="preserve"> MIX (7Ps)</w:t>
      </w:r>
      <w:bookmarkEnd w:id="4"/>
    </w:p>
    <w:p w14:paraId="68C195B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7Ps marketing mix (Product, Price, Place, Promotion, People, Process, and Physical Evidence) provides a comprehensive framework for analysing how BMW adapts its tactical marketing strategies across Country A (UK) and Country B (Germany). Although BMW maintains a consistent global brand identity, local market conditions influence the degree of adaptation in product offerings, pricing, distribution channels, and promotional activities.</w:t>
      </w:r>
    </w:p>
    <w:p w14:paraId="6598A567" w14:textId="77777777" w:rsidR="00DE23A0" w:rsidRPr="00DE23A0" w:rsidRDefault="00DE23A0" w:rsidP="00DE23A0">
      <w:pPr>
        <w:spacing w:line="360" w:lineRule="auto"/>
        <w:rPr>
          <w:rFonts w:ascii="Calibri" w:hAnsi="Calibri" w:cs="Calibri"/>
          <w:sz w:val="22"/>
          <w:szCs w:val="22"/>
        </w:rPr>
      </w:pPr>
    </w:p>
    <w:p w14:paraId="2C0E5528" w14:textId="77777777" w:rsidR="00DE23A0" w:rsidRPr="00110BC4" w:rsidRDefault="00DE23A0" w:rsidP="00DE23A0">
      <w:pPr>
        <w:spacing w:line="360" w:lineRule="auto"/>
        <w:rPr>
          <w:rFonts w:ascii="Calibri" w:hAnsi="Calibri" w:cs="Calibri"/>
          <w:b/>
          <w:bCs/>
          <w:sz w:val="22"/>
          <w:szCs w:val="22"/>
        </w:rPr>
      </w:pPr>
      <w:r w:rsidRPr="00110BC4">
        <w:rPr>
          <w:rFonts w:ascii="Calibri" w:hAnsi="Calibri" w:cs="Calibri"/>
          <w:b/>
          <w:bCs/>
          <w:sz w:val="22"/>
          <w:szCs w:val="22"/>
        </w:rPr>
        <w:t>Product Strategy</w:t>
      </w:r>
    </w:p>
    <w:p w14:paraId="3CE5B93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maintains a globally standardised product portfolio, yet alters configurations, features, and marketing emphasis based on local market needs.</w:t>
      </w:r>
    </w:p>
    <w:p w14:paraId="53FF837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 (Country A)</w:t>
      </w:r>
    </w:p>
    <w:p w14:paraId="0C6267B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UK consumers favour expressive designs, technology-rich interiors, and vehicles that complement an aspirational lifestyle.</w:t>
      </w:r>
    </w:p>
    <w:p w14:paraId="3630720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Notable product characteristics:</w:t>
      </w:r>
    </w:p>
    <w:p w14:paraId="7B942F8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High demand for compact and mid-size models (1 Series, X1, 3 Series)</w:t>
      </w:r>
    </w:p>
    <w:p w14:paraId="7EEFD02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Strong interest in electric vehicles (i4, iX1)</w:t>
      </w:r>
    </w:p>
    <w:p w14:paraId="5110D23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Enhanced infotainment features and digital connectivity</w:t>
      </w:r>
    </w:p>
    <w:p w14:paraId="0D5D596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Customisation packages aligned with lifestyle preferences</w:t>
      </w:r>
    </w:p>
    <w:p w14:paraId="513C957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UK promotional materials often highlight luxury interiors, digital dashboards, and environmental credentials.</w:t>
      </w:r>
    </w:p>
    <w:p w14:paraId="1C3E1101" w14:textId="77777777" w:rsidR="00DE23A0" w:rsidRPr="00DE23A0" w:rsidRDefault="00DE23A0" w:rsidP="00DE23A0">
      <w:pPr>
        <w:spacing w:line="360" w:lineRule="auto"/>
        <w:rPr>
          <w:rFonts w:ascii="Calibri" w:hAnsi="Calibri" w:cs="Calibri"/>
          <w:sz w:val="22"/>
          <w:szCs w:val="22"/>
        </w:rPr>
      </w:pPr>
    </w:p>
    <w:p w14:paraId="141F1DF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(Country B)</w:t>
      </w:r>
    </w:p>
    <w:p w14:paraId="08CE6FD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 consumers prefer vehicles with technical upgrades, performance enhancements, and superior engineering.</w:t>
      </w:r>
    </w:p>
    <w:p w14:paraId="72A476E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Notable product characteristics:</w:t>
      </w:r>
    </w:p>
    <w:p w14:paraId="2A72247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High demand for 3 Series, 5 Series, and performance-oriented models</w:t>
      </w:r>
    </w:p>
    <w:p w14:paraId="77ED5A5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Greater emphasis on technical features, safety, and efficiency</w:t>
      </w:r>
    </w:p>
    <w:p w14:paraId="67AED00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EV adoption driven by environmental regulation and incentives</w:t>
      </w:r>
    </w:p>
    <w:p w14:paraId="386EBCD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Consumers frequently choose factory options related to performance and safety</w:t>
      </w:r>
    </w:p>
    <w:p w14:paraId="0B501F7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Product messaging in Germany focuses on drivetrain engineering, torque, efficiency, and innovation.</w:t>
      </w:r>
    </w:p>
    <w:p w14:paraId="1BD4B08A" w14:textId="77777777" w:rsidR="00DE23A0" w:rsidRPr="00DE23A0" w:rsidRDefault="00DE23A0" w:rsidP="00DE23A0">
      <w:pPr>
        <w:spacing w:line="360" w:lineRule="auto"/>
        <w:rPr>
          <w:rFonts w:ascii="Calibri" w:hAnsi="Calibri" w:cs="Calibri"/>
          <w:sz w:val="22"/>
          <w:szCs w:val="22"/>
        </w:rPr>
      </w:pPr>
    </w:p>
    <w:p w14:paraId="49856577" w14:textId="77777777" w:rsidR="00DE23A0" w:rsidRPr="00110BC4" w:rsidRDefault="00DE23A0" w:rsidP="00DE23A0">
      <w:pPr>
        <w:spacing w:line="360" w:lineRule="auto"/>
        <w:rPr>
          <w:rFonts w:ascii="Calibri" w:hAnsi="Calibri" w:cs="Calibri"/>
          <w:b/>
          <w:bCs/>
          <w:sz w:val="22"/>
          <w:szCs w:val="22"/>
        </w:rPr>
      </w:pPr>
      <w:r w:rsidRPr="00110BC4">
        <w:rPr>
          <w:rFonts w:ascii="Calibri" w:hAnsi="Calibri" w:cs="Calibri"/>
          <w:b/>
          <w:bCs/>
          <w:sz w:val="22"/>
          <w:szCs w:val="22"/>
        </w:rPr>
        <w:t>Pricing Strategy</w:t>
      </w:r>
    </w:p>
    <w:p w14:paraId="1D925D1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uses market-based pricing with adaptations based on economic conditions, competition, and consumer purchasing behaviour.</w:t>
      </w:r>
    </w:p>
    <w:p w14:paraId="13096963" w14:textId="77777777" w:rsidR="00DE23A0" w:rsidRPr="00060C11" w:rsidRDefault="00DE23A0" w:rsidP="00DE23A0">
      <w:pPr>
        <w:spacing w:line="360" w:lineRule="auto"/>
        <w:rPr>
          <w:rFonts w:ascii="Calibri" w:hAnsi="Calibri" w:cs="Calibri"/>
          <w:b/>
          <w:bCs/>
          <w:sz w:val="22"/>
          <w:szCs w:val="22"/>
        </w:rPr>
      </w:pPr>
      <w:r w:rsidRPr="00060C11">
        <w:rPr>
          <w:rFonts w:ascii="Calibri" w:hAnsi="Calibri" w:cs="Calibri"/>
          <w:b/>
          <w:bCs/>
          <w:sz w:val="22"/>
          <w:szCs w:val="22"/>
        </w:rPr>
        <w:t xml:space="preserve">Price comparison </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34"/>
        <w:gridCol w:w="1479"/>
        <w:gridCol w:w="2065"/>
      </w:tblGrid>
      <w:tr w:rsidR="00F55663" w:rsidRPr="002636BA" w14:paraId="312A02EB" w14:textId="77777777" w:rsidTr="00C31C42">
        <w:trPr>
          <w:tblHeader/>
          <w:tblCellSpacing w:w="15" w:type="dxa"/>
          <w:jc w:val="center"/>
        </w:trPr>
        <w:tc>
          <w:tcPr>
            <w:tcW w:w="2189" w:type="dxa"/>
            <w:vAlign w:val="center"/>
            <w:hideMark/>
          </w:tcPr>
          <w:p w14:paraId="6883CCCD" w14:textId="77777777" w:rsidR="00F55663" w:rsidRPr="002636BA" w:rsidRDefault="00F55663" w:rsidP="00C31C42">
            <w:pPr>
              <w:spacing w:line="360" w:lineRule="auto"/>
              <w:jc w:val="center"/>
              <w:rPr>
                <w:rFonts w:ascii="Calibri" w:hAnsi="Calibri" w:cs="Calibri"/>
                <w:b/>
                <w:bCs/>
                <w:sz w:val="22"/>
                <w:szCs w:val="22"/>
              </w:rPr>
            </w:pPr>
            <w:r w:rsidRPr="002636BA">
              <w:rPr>
                <w:rFonts w:ascii="Calibri" w:hAnsi="Calibri" w:cs="Calibri"/>
                <w:b/>
                <w:bCs/>
                <w:sz w:val="22"/>
                <w:szCs w:val="22"/>
              </w:rPr>
              <w:t>Model</w:t>
            </w:r>
          </w:p>
        </w:tc>
        <w:tc>
          <w:tcPr>
            <w:tcW w:w="0" w:type="auto"/>
            <w:vAlign w:val="center"/>
            <w:hideMark/>
          </w:tcPr>
          <w:p w14:paraId="2354C624" w14:textId="77777777" w:rsidR="00F55663" w:rsidRPr="002636BA" w:rsidRDefault="00F55663" w:rsidP="00C31C42">
            <w:pPr>
              <w:spacing w:line="360" w:lineRule="auto"/>
              <w:jc w:val="center"/>
              <w:rPr>
                <w:rFonts w:ascii="Calibri" w:hAnsi="Calibri" w:cs="Calibri"/>
                <w:b/>
                <w:bCs/>
                <w:sz w:val="22"/>
                <w:szCs w:val="22"/>
              </w:rPr>
            </w:pPr>
            <w:r w:rsidRPr="002636BA">
              <w:rPr>
                <w:rFonts w:ascii="Calibri" w:hAnsi="Calibri" w:cs="Calibri"/>
                <w:b/>
                <w:bCs/>
                <w:sz w:val="22"/>
                <w:szCs w:val="22"/>
              </w:rPr>
              <w:t>UK Price (2024)</w:t>
            </w:r>
          </w:p>
        </w:tc>
        <w:tc>
          <w:tcPr>
            <w:tcW w:w="0" w:type="auto"/>
            <w:vAlign w:val="center"/>
            <w:hideMark/>
          </w:tcPr>
          <w:p w14:paraId="06421B9D" w14:textId="77777777" w:rsidR="00F55663" w:rsidRPr="002636BA" w:rsidRDefault="00F55663" w:rsidP="00C31C42">
            <w:pPr>
              <w:spacing w:line="360" w:lineRule="auto"/>
              <w:jc w:val="center"/>
              <w:rPr>
                <w:rFonts w:ascii="Calibri" w:hAnsi="Calibri" w:cs="Calibri"/>
                <w:b/>
                <w:bCs/>
                <w:sz w:val="22"/>
                <w:szCs w:val="22"/>
              </w:rPr>
            </w:pPr>
            <w:r w:rsidRPr="002636BA">
              <w:rPr>
                <w:rFonts w:ascii="Calibri" w:hAnsi="Calibri" w:cs="Calibri"/>
                <w:b/>
                <w:bCs/>
                <w:sz w:val="22"/>
                <w:szCs w:val="22"/>
              </w:rPr>
              <w:t>Germany Price (2024)</w:t>
            </w:r>
          </w:p>
        </w:tc>
      </w:tr>
      <w:tr w:rsidR="00F55663" w:rsidRPr="002636BA" w14:paraId="200FBF2D" w14:textId="77777777" w:rsidTr="00C31C42">
        <w:trPr>
          <w:tblCellSpacing w:w="15" w:type="dxa"/>
          <w:jc w:val="center"/>
        </w:trPr>
        <w:tc>
          <w:tcPr>
            <w:tcW w:w="2189" w:type="dxa"/>
            <w:vAlign w:val="center"/>
            <w:hideMark/>
          </w:tcPr>
          <w:p w14:paraId="33BEC3A5"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BMW 320i</w:t>
            </w:r>
          </w:p>
        </w:tc>
        <w:tc>
          <w:tcPr>
            <w:tcW w:w="0" w:type="auto"/>
            <w:vAlign w:val="center"/>
            <w:hideMark/>
          </w:tcPr>
          <w:p w14:paraId="3864555A"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£38,000</w:t>
            </w:r>
          </w:p>
        </w:tc>
        <w:tc>
          <w:tcPr>
            <w:tcW w:w="0" w:type="auto"/>
            <w:vAlign w:val="center"/>
            <w:hideMark/>
          </w:tcPr>
          <w:p w14:paraId="7C2B3150"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€45,900</w:t>
            </w:r>
          </w:p>
        </w:tc>
      </w:tr>
      <w:tr w:rsidR="00F55663" w:rsidRPr="002636BA" w14:paraId="206999CF" w14:textId="77777777" w:rsidTr="00C31C42">
        <w:trPr>
          <w:tblCellSpacing w:w="15" w:type="dxa"/>
          <w:jc w:val="center"/>
        </w:trPr>
        <w:tc>
          <w:tcPr>
            <w:tcW w:w="2189" w:type="dxa"/>
            <w:vAlign w:val="center"/>
            <w:hideMark/>
          </w:tcPr>
          <w:p w14:paraId="1725F798"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BMW i4 eDrive40</w:t>
            </w:r>
          </w:p>
        </w:tc>
        <w:tc>
          <w:tcPr>
            <w:tcW w:w="0" w:type="auto"/>
            <w:vAlign w:val="center"/>
            <w:hideMark/>
          </w:tcPr>
          <w:p w14:paraId="26983852"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£50,755</w:t>
            </w:r>
          </w:p>
        </w:tc>
        <w:tc>
          <w:tcPr>
            <w:tcW w:w="0" w:type="auto"/>
            <w:vAlign w:val="center"/>
            <w:hideMark/>
          </w:tcPr>
          <w:p w14:paraId="38B55ACF"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€56,500</w:t>
            </w:r>
          </w:p>
        </w:tc>
      </w:tr>
      <w:tr w:rsidR="00F55663" w:rsidRPr="002636BA" w14:paraId="2DA12C09" w14:textId="77777777" w:rsidTr="00C31C42">
        <w:trPr>
          <w:tblCellSpacing w:w="15" w:type="dxa"/>
          <w:jc w:val="center"/>
        </w:trPr>
        <w:tc>
          <w:tcPr>
            <w:tcW w:w="2189" w:type="dxa"/>
            <w:vAlign w:val="center"/>
            <w:hideMark/>
          </w:tcPr>
          <w:p w14:paraId="0E3E4F2D"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BMW X1</w:t>
            </w:r>
          </w:p>
        </w:tc>
        <w:tc>
          <w:tcPr>
            <w:tcW w:w="0" w:type="auto"/>
            <w:vAlign w:val="center"/>
            <w:hideMark/>
          </w:tcPr>
          <w:p w14:paraId="077034F0"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£35,000</w:t>
            </w:r>
          </w:p>
        </w:tc>
        <w:tc>
          <w:tcPr>
            <w:tcW w:w="0" w:type="auto"/>
            <w:vAlign w:val="center"/>
            <w:hideMark/>
          </w:tcPr>
          <w:p w14:paraId="76AB8884" w14:textId="77777777" w:rsidR="00F55663" w:rsidRPr="002636BA" w:rsidRDefault="00F55663" w:rsidP="00C31C42">
            <w:pPr>
              <w:spacing w:line="360" w:lineRule="auto"/>
              <w:jc w:val="center"/>
              <w:rPr>
                <w:rFonts w:ascii="Calibri" w:hAnsi="Calibri" w:cs="Calibri"/>
                <w:sz w:val="22"/>
                <w:szCs w:val="22"/>
              </w:rPr>
            </w:pPr>
            <w:r w:rsidRPr="002636BA">
              <w:rPr>
                <w:rFonts w:ascii="Calibri" w:hAnsi="Calibri" w:cs="Calibri"/>
                <w:sz w:val="22"/>
                <w:szCs w:val="22"/>
              </w:rPr>
              <w:t>€42,100</w:t>
            </w:r>
          </w:p>
        </w:tc>
      </w:tr>
    </w:tbl>
    <w:p w14:paraId="034903D4" w14:textId="77777777" w:rsidR="00DE23A0" w:rsidRDefault="00DE23A0" w:rsidP="00C31C42">
      <w:pPr>
        <w:spacing w:line="360" w:lineRule="auto"/>
        <w:jc w:val="center"/>
        <w:rPr>
          <w:rFonts w:ascii="Calibri" w:hAnsi="Calibri" w:cs="Calibri"/>
          <w:sz w:val="22"/>
          <w:szCs w:val="22"/>
        </w:rPr>
      </w:pPr>
    </w:p>
    <w:p w14:paraId="7D9939AF" w14:textId="1BFFD3E0" w:rsidR="00561C01" w:rsidRPr="00DE23A0" w:rsidRDefault="00561C01" w:rsidP="00C31C42">
      <w:pPr>
        <w:spacing w:line="360" w:lineRule="auto"/>
        <w:jc w:val="center"/>
        <w:rPr>
          <w:rFonts w:ascii="Calibri" w:hAnsi="Calibri" w:cs="Calibri"/>
          <w:sz w:val="22"/>
          <w:szCs w:val="22"/>
        </w:rPr>
      </w:pPr>
      <w:r w:rsidRPr="00561C01">
        <w:rPr>
          <w:rFonts w:ascii="Calibri" w:hAnsi="Calibri" w:cs="Calibri"/>
          <w:sz w:val="22"/>
          <w:szCs w:val="22"/>
        </w:rPr>
        <w:t>Source: BMW UK Official Website (2024); BMW Deutschland Website (2024).</w:t>
      </w:r>
    </w:p>
    <w:p w14:paraId="232497F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 (Country A)</w:t>
      </w:r>
    </w:p>
    <w:p w14:paraId="4DE677D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Prices in the UK are strategically aligned with financing models. PCP reduces the psychological barrier to premium vehicle ownership. BMW emphasises “affordable monthly payments,” reflecting UK behavioural preferences.</w:t>
      </w:r>
    </w:p>
    <w:p w14:paraId="1D90117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(Country B)</w:t>
      </w:r>
    </w:p>
    <w:p w14:paraId="3AFA584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In Germany, prices are higher due to local taxes and demand for advanced features. Customers emphasise value and technical superiority rather than monthly affordability.</w:t>
      </w:r>
    </w:p>
    <w:p w14:paraId="311933B2" w14:textId="77777777" w:rsidR="00DE23A0" w:rsidRPr="00DE23A0" w:rsidRDefault="00DE23A0" w:rsidP="00DE23A0">
      <w:pPr>
        <w:spacing w:line="360" w:lineRule="auto"/>
        <w:rPr>
          <w:rFonts w:ascii="Calibri" w:hAnsi="Calibri" w:cs="Calibri"/>
          <w:sz w:val="22"/>
          <w:szCs w:val="22"/>
        </w:rPr>
      </w:pPr>
    </w:p>
    <w:p w14:paraId="2EE10B55" w14:textId="77777777" w:rsidR="00DE23A0" w:rsidRPr="00DE23A0" w:rsidRDefault="00DE23A0" w:rsidP="00DE23A0">
      <w:pPr>
        <w:spacing w:line="360" w:lineRule="auto"/>
        <w:rPr>
          <w:rFonts w:ascii="Calibri" w:hAnsi="Calibri" w:cs="Calibri"/>
          <w:sz w:val="22"/>
          <w:szCs w:val="22"/>
        </w:rPr>
      </w:pPr>
    </w:p>
    <w:p w14:paraId="0A7C834A" w14:textId="77777777" w:rsidR="00DE23A0" w:rsidRPr="00DE23A0" w:rsidRDefault="00DE23A0" w:rsidP="00DE23A0">
      <w:pPr>
        <w:spacing w:line="360" w:lineRule="auto"/>
        <w:rPr>
          <w:rFonts w:ascii="Calibri" w:hAnsi="Calibri" w:cs="Calibri"/>
          <w:sz w:val="22"/>
          <w:szCs w:val="22"/>
        </w:rPr>
      </w:pPr>
    </w:p>
    <w:p w14:paraId="65C56554" w14:textId="77777777" w:rsidR="00DE23A0" w:rsidRPr="00F55663" w:rsidRDefault="00DE23A0" w:rsidP="00DE23A0">
      <w:pPr>
        <w:spacing w:line="360" w:lineRule="auto"/>
        <w:rPr>
          <w:rFonts w:ascii="Calibri" w:hAnsi="Calibri" w:cs="Calibri"/>
          <w:b/>
          <w:bCs/>
          <w:sz w:val="22"/>
          <w:szCs w:val="22"/>
        </w:rPr>
      </w:pPr>
      <w:r w:rsidRPr="00F55663">
        <w:rPr>
          <w:rFonts w:ascii="Calibri" w:hAnsi="Calibri" w:cs="Calibri"/>
          <w:b/>
          <w:bCs/>
          <w:sz w:val="22"/>
          <w:szCs w:val="22"/>
        </w:rPr>
        <w:t>Place (Distribution) Strategy</w:t>
      </w:r>
    </w:p>
    <w:p w14:paraId="60CD313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3AE6D65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leverages:</w:t>
      </w:r>
    </w:p>
    <w:p w14:paraId="44B89D2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Strong digital platforms</w:t>
      </w:r>
    </w:p>
    <w:p w14:paraId="7971655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Virtual showrooms</w:t>
      </w:r>
    </w:p>
    <w:p w14:paraId="0E4A813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Click-and-buy options</w:t>
      </w:r>
    </w:p>
    <w:p w14:paraId="5B4C127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A nationwide dealer network</w:t>
      </w:r>
    </w:p>
    <w:p w14:paraId="106E3AC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UK market is highly digital, with over 70% of consumers using online tools before purchase.</w:t>
      </w:r>
    </w:p>
    <w:p w14:paraId="6FD09C7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310F240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relies more on:</w:t>
      </w:r>
    </w:p>
    <w:p w14:paraId="2CE4D24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Traditional dealerships</w:t>
      </w:r>
    </w:p>
    <w:p w14:paraId="6163525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Technical demonstration centres</w:t>
      </w:r>
    </w:p>
    <w:p w14:paraId="3A5BCDE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Performance test tracks</w:t>
      </w:r>
    </w:p>
    <w:p w14:paraId="6EF78E2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Engineering-focused customer experiences</w:t>
      </w:r>
    </w:p>
    <w:p w14:paraId="2A16647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Digital channels are used but supplemented by extensive in-person consultation.</w:t>
      </w:r>
    </w:p>
    <w:p w14:paraId="3817DB8E" w14:textId="77777777" w:rsidR="00DE23A0" w:rsidRPr="00DE23A0" w:rsidRDefault="00DE23A0" w:rsidP="00DE23A0">
      <w:pPr>
        <w:spacing w:line="360" w:lineRule="auto"/>
        <w:rPr>
          <w:rFonts w:ascii="Calibri" w:hAnsi="Calibri" w:cs="Calibri"/>
          <w:sz w:val="22"/>
          <w:szCs w:val="22"/>
        </w:rPr>
      </w:pPr>
    </w:p>
    <w:p w14:paraId="064E9947" w14:textId="77777777" w:rsidR="00DE23A0" w:rsidRPr="00F55663" w:rsidRDefault="00DE23A0" w:rsidP="00DE23A0">
      <w:pPr>
        <w:spacing w:line="360" w:lineRule="auto"/>
        <w:rPr>
          <w:rFonts w:ascii="Calibri" w:hAnsi="Calibri" w:cs="Calibri"/>
          <w:b/>
          <w:bCs/>
          <w:sz w:val="22"/>
          <w:szCs w:val="22"/>
        </w:rPr>
      </w:pPr>
      <w:r w:rsidRPr="00F55663">
        <w:rPr>
          <w:rFonts w:ascii="Calibri" w:hAnsi="Calibri" w:cs="Calibri"/>
          <w:b/>
          <w:bCs/>
          <w:sz w:val="22"/>
          <w:szCs w:val="22"/>
        </w:rPr>
        <w:t>Promotion Strategy</w:t>
      </w:r>
    </w:p>
    <w:p w14:paraId="105ADF3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Promotional strategies differ significantly:</w:t>
      </w:r>
    </w:p>
    <w:p w14:paraId="0932BB3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 (Emotional + Lifestyle)</w:t>
      </w:r>
    </w:p>
    <w:p w14:paraId="7A46071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UK campaigns prioritise:</w:t>
      </w:r>
    </w:p>
    <w:p w14:paraId="6B8A3DA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Aspirational imagery</w:t>
      </w:r>
    </w:p>
    <w:p w14:paraId="316C93F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Urban lifestyle scenes</w:t>
      </w:r>
    </w:p>
    <w:p w14:paraId="2D75A2F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Digital influencers</w:t>
      </w:r>
    </w:p>
    <w:p w14:paraId="14FA43C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Sponsorships (Wimbledon, art &amp; fashion events)</w:t>
      </w:r>
    </w:p>
    <w:p w14:paraId="60065BB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Messages emphasise identity, freedom, design, and prestige.</w:t>
      </w:r>
    </w:p>
    <w:p w14:paraId="6EFA61E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(Technical + Rational)</w:t>
      </w:r>
    </w:p>
    <w:p w14:paraId="168C0CD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Germany campaigns highlight:</w:t>
      </w:r>
    </w:p>
    <w:p w14:paraId="15D4F65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Technical animations</w:t>
      </w:r>
    </w:p>
    <w:p w14:paraId="25FBFCF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Safety testing</w:t>
      </w:r>
    </w:p>
    <w:p w14:paraId="4F25606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Performance metrics</w:t>
      </w:r>
    </w:p>
    <w:p w14:paraId="67EF6DB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Engineering reliability</w:t>
      </w:r>
    </w:p>
    <w:p w14:paraId="6750BE5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Messages focus on efficiency, safety, and precision.</w:t>
      </w:r>
    </w:p>
    <w:p w14:paraId="1FA3575E" w14:textId="77777777" w:rsidR="00DE23A0" w:rsidRPr="00DE23A0" w:rsidRDefault="00DE23A0" w:rsidP="00DE23A0">
      <w:pPr>
        <w:spacing w:line="360" w:lineRule="auto"/>
        <w:rPr>
          <w:rFonts w:ascii="Calibri" w:hAnsi="Calibri" w:cs="Calibri"/>
          <w:sz w:val="22"/>
          <w:szCs w:val="22"/>
        </w:rPr>
      </w:pPr>
    </w:p>
    <w:p w14:paraId="585B6E5D" w14:textId="502A8A2E" w:rsidR="00DE23A0" w:rsidRPr="00F55663" w:rsidRDefault="00F55663" w:rsidP="00DE23A0">
      <w:pPr>
        <w:spacing w:line="360" w:lineRule="auto"/>
        <w:rPr>
          <w:rFonts w:ascii="Calibri" w:hAnsi="Calibri" w:cs="Calibri"/>
          <w:b/>
          <w:bCs/>
          <w:sz w:val="22"/>
          <w:szCs w:val="22"/>
        </w:rPr>
      </w:pPr>
      <w:r w:rsidRPr="00F55663">
        <w:rPr>
          <w:rFonts w:ascii="Calibri" w:hAnsi="Calibri" w:cs="Calibri"/>
          <w:b/>
          <w:bCs/>
          <w:sz w:val="22"/>
          <w:szCs w:val="22"/>
        </w:rPr>
        <w:t>People’s</w:t>
      </w:r>
      <w:r w:rsidR="00DE23A0" w:rsidRPr="00F55663">
        <w:rPr>
          <w:rFonts w:ascii="Calibri" w:hAnsi="Calibri" w:cs="Calibri"/>
          <w:b/>
          <w:bCs/>
          <w:sz w:val="22"/>
          <w:szCs w:val="22"/>
        </w:rPr>
        <w:t xml:space="preserve"> Strategy</w:t>
      </w:r>
    </w:p>
    <w:p w14:paraId="46A5CEF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staff, dealership employees, and customer service teams are central to brand experience.</w:t>
      </w:r>
    </w:p>
    <w:p w14:paraId="6202744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UK</w:t>
      </w:r>
    </w:p>
    <w:p w14:paraId="1333ED1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Staff are trained to provide lifestyle guidance, digital support, and finance explanations.</w:t>
      </w:r>
    </w:p>
    <w:p w14:paraId="4A1B334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108B96F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Staff are trained to provide technical expertise, detailed product knowledge, and engineering-focused consultation.</w:t>
      </w:r>
    </w:p>
    <w:p w14:paraId="562B6FF3" w14:textId="77777777" w:rsidR="00DE23A0" w:rsidRPr="00DE23A0" w:rsidRDefault="00DE23A0" w:rsidP="00DE23A0">
      <w:pPr>
        <w:spacing w:line="360" w:lineRule="auto"/>
        <w:rPr>
          <w:rFonts w:ascii="Calibri" w:hAnsi="Calibri" w:cs="Calibri"/>
          <w:sz w:val="22"/>
          <w:szCs w:val="22"/>
        </w:rPr>
      </w:pPr>
    </w:p>
    <w:p w14:paraId="5B729E8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Process Strategy</w:t>
      </w:r>
    </w:p>
    <w:p w14:paraId="5738BEC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36FB4C9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process prioritises convenience and speed.</w:t>
      </w:r>
    </w:p>
    <w:p w14:paraId="61B6A34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Examples:</w:t>
      </w:r>
    </w:p>
    <w:p w14:paraId="36A209B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Online finance approval</w:t>
      </w:r>
    </w:p>
    <w:p w14:paraId="015BC38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Virtual test drives</w:t>
      </w:r>
    </w:p>
    <w:p w14:paraId="3868797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Home delivery options</w:t>
      </w:r>
    </w:p>
    <w:p w14:paraId="1B08B442" w14:textId="77777777" w:rsidR="00DE23A0" w:rsidRPr="00DE23A0" w:rsidRDefault="00DE23A0" w:rsidP="00DE23A0">
      <w:pPr>
        <w:spacing w:line="360" w:lineRule="auto"/>
        <w:rPr>
          <w:rFonts w:ascii="Calibri" w:hAnsi="Calibri" w:cs="Calibri"/>
          <w:sz w:val="22"/>
          <w:szCs w:val="22"/>
        </w:rPr>
      </w:pPr>
    </w:p>
    <w:p w14:paraId="37F807B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414DCD9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process prioritises thoroughness and accuracy.</w:t>
      </w:r>
    </w:p>
    <w:p w14:paraId="60D5750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Examples:</w:t>
      </w:r>
    </w:p>
    <w:p w14:paraId="77F7261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Longer consultation times</w:t>
      </w:r>
    </w:p>
    <w:p w14:paraId="5F7E3CE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Technical demonstrations</w:t>
      </w:r>
    </w:p>
    <w:p w14:paraId="08F3CC2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In-depth vehicle configuration sessions</w:t>
      </w:r>
    </w:p>
    <w:p w14:paraId="0BEACFC7" w14:textId="77777777" w:rsidR="00DE23A0" w:rsidRPr="00DE23A0" w:rsidRDefault="00DE23A0" w:rsidP="00DE23A0">
      <w:pPr>
        <w:spacing w:line="360" w:lineRule="auto"/>
        <w:rPr>
          <w:rFonts w:ascii="Calibri" w:hAnsi="Calibri" w:cs="Calibri"/>
          <w:sz w:val="22"/>
          <w:szCs w:val="22"/>
        </w:rPr>
      </w:pPr>
    </w:p>
    <w:p w14:paraId="4A31CB33" w14:textId="77777777" w:rsidR="00DE23A0" w:rsidRPr="00F55663" w:rsidRDefault="00DE23A0" w:rsidP="00DE23A0">
      <w:pPr>
        <w:spacing w:line="360" w:lineRule="auto"/>
        <w:rPr>
          <w:rFonts w:ascii="Calibri" w:hAnsi="Calibri" w:cs="Calibri"/>
          <w:b/>
          <w:bCs/>
          <w:sz w:val="22"/>
          <w:szCs w:val="22"/>
        </w:rPr>
      </w:pPr>
      <w:r w:rsidRPr="00F55663">
        <w:rPr>
          <w:rFonts w:ascii="Calibri" w:hAnsi="Calibri" w:cs="Calibri"/>
          <w:b/>
          <w:bCs/>
          <w:sz w:val="22"/>
          <w:szCs w:val="22"/>
        </w:rPr>
        <w:t>Physical Evidence</w:t>
      </w:r>
    </w:p>
    <w:p w14:paraId="734D4F6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77ECD1A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Dealerships and retail outlets emphasise luxury aesthetics, digital screens, and lifestyle cues.</w:t>
      </w:r>
    </w:p>
    <w:p w14:paraId="5333D16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05F53F4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Dealerships emphasise engineering displays, technical equipment, and transparent workshops.</w:t>
      </w:r>
    </w:p>
    <w:p w14:paraId="2C884421" w14:textId="77777777" w:rsidR="00DE23A0" w:rsidRPr="00DE23A0" w:rsidRDefault="00DE23A0" w:rsidP="00DE23A0">
      <w:pPr>
        <w:spacing w:line="360" w:lineRule="auto"/>
        <w:rPr>
          <w:rFonts w:ascii="Calibri" w:hAnsi="Calibri" w:cs="Calibri"/>
          <w:sz w:val="22"/>
          <w:szCs w:val="22"/>
        </w:rPr>
      </w:pPr>
    </w:p>
    <w:p w14:paraId="02AA8394" w14:textId="77777777" w:rsidR="00DE23A0" w:rsidRPr="00DE23A0" w:rsidRDefault="00DE23A0" w:rsidP="00DE23A0">
      <w:pPr>
        <w:spacing w:line="360" w:lineRule="auto"/>
        <w:rPr>
          <w:rFonts w:ascii="Calibri" w:hAnsi="Calibri" w:cs="Calibri"/>
          <w:sz w:val="22"/>
          <w:szCs w:val="22"/>
        </w:rPr>
      </w:pPr>
    </w:p>
    <w:p w14:paraId="62867338" w14:textId="77777777" w:rsidR="00DE23A0" w:rsidRPr="00DE23A0" w:rsidRDefault="00DE23A0" w:rsidP="00DE23A0">
      <w:pPr>
        <w:spacing w:line="360" w:lineRule="auto"/>
        <w:rPr>
          <w:rFonts w:ascii="Calibri" w:hAnsi="Calibri" w:cs="Calibri"/>
          <w:sz w:val="22"/>
          <w:szCs w:val="22"/>
        </w:rPr>
      </w:pPr>
    </w:p>
    <w:p w14:paraId="5AFF1CDC" w14:textId="77777777" w:rsidR="00DE23A0" w:rsidRPr="00DE23A0" w:rsidRDefault="00DE23A0" w:rsidP="00DE23A0">
      <w:pPr>
        <w:spacing w:line="360" w:lineRule="auto"/>
        <w:rPr>
          <w:rFonts w:ascii="Calibri" w:hAnsi="Calibri" w:cs="Calibri"/>
          <w:sz w:val="22"/>
          <w:szCs w:val="22"/>
        </w:rPr>
      </w:pPr>
    </w:p>
    <w:p w14:paraId="08031BE3" w14:textId="77777777" w:rsidR="00DE23A0" w:rsidRPr="00DE23A0" w:rsidRDefault="00DE23A0" w:rsidP="00DE23A0">
      <w:pPr>
        <w:spacing w:line="360" w:lineRule="auto"/>
        <w:rPr>
          <w:rFonts w:ascii="Calibri" w:hAnsi="Calibri" w:cs="Calibri"/>
          <w:sz w:val="22"/>
          <w:szCs w:val="22"/>
        </w:rPr>
      </w:pPr>
    </w:p>
    <w:p w14:paraId="7A517F85" w14:textId="77777777" w:rsidR="00DE23A0" w:rsidRPr="00DE23A0" w:rsidRDefault="00DE23A0" w:rsidP="00DE23A0">
      <w:pPr>
        <w:spacing w:line="360" w:lineRule="auto"/>
        <w:rPr>
          <w:rFonts w:ascii="Calibri" w:hAnsi="Calibri" w:cs="Calibri"/>
          <w:sz w:val="22"/>
          <w:szCs w:val="22"/>
        </w:rPr>
      </w:pPr>
    </w:p>
    <w:p w14:paraId="23960A07" w14:textId="77777777" w:rsidR="00DE23A0" w:rsidRPr="00DE23A0" w:rsidRDefault="00DE23A0" w:rsidP="00DE23A0">
      <w:pPr>
        <w:spacing w:line="360" w:lineRule="auto"/>
        <w:rPr>
          <w:rFonts w:ascii="Calibri" w:hAnsi="Calibri" w:cs="Calibri"/>
          <w:sz w:val="22"/>
          <w:szCs w:val="22"/>
        </w:rPr>
      </w:pPr>
    </w:p>
    <w:p w14:paraId="4E0B79FF" w14:textId="77777777" w:rsidR="00DE23A0" w:rsidRPr="00DE23A0" w:rsidRDefault="00DE23A0" w:rsidP="00DE23A0">
      <w:pPr>
        <w:spacing w:line="360" w:lineRule="auto"/>
        <w:rPr>
          <w:rFonts w:ascii="Calibri" w:hAnsi="Calibri" w:cs="Calibri"/>
          <w:sz w:val="22"/>
          <w:szCs w:val="22"/>
        </w:rPr>
      </w:pPr>
    </w:p>
    <w:p w14:paraId="2954021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xml:space="preserve">Summary of 7Ps Differences </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47"/>
        <w:gridCol w:w="1901"/>
        <w:gridCol w:w="2282"/>
      </w:tblGrid>
      <w:tr w:rsidR="00D816F6" w:rsidRPr="002636BA" w14:paraId="71BE4AF3" w14:textId="77777777" w:rsidTr="00000181">
        <w:trPr>
          <w:tblHeader/>
          <w:tblCellSpacing w:w="15" w:type="dxa"/>
          <w:jc w:val="center"/>
        </w:trPr>
        <w:tc>
          <w:tcPr>
            <w:tcW w:w="0" w:type="auto"/>
            <w:vAlign w:val="center"/>
            <w:hideMark/>
          </w:tcPr>
          <w:p w14:paraId="65FDB4E9" w14:textId="77777777" w:rsidR="00D816F6" w:rsidRPr="002636BA" w:rsidRDefault="00D816F6" w:rsidP="00000181">
            <w:pPr>
              <w:spacing w:line="360" w:lineRule="auto"/>
              <w:rPr>
                <w:rFonts w:ascii="Calibri" w:hAnsi="Calibri" w:cs="Calibri"/>
                <w:b/>
                <w:bCs/>
                <w:sz w:val="22"/>
                <w:szCs w:val="22"/>
              </w:rPr>
            </w:pPr>
            <w:r w:rsidRPr="002636BA">
              <w:rPr>
                <w:rFonts w:ascii="Calibri" w:hAnsi="Calibri" w:cs="Calibri"/>
                <w:b/>
                <w:bCs/>
                <w:sz w:val="22"/>
                <w:szCs w:val="22"/>
              </w:rPr>
              <w:t>Marketing Mix</w:t>
            </w:r>
          </w:p>
        </w:tc>
        <w:tc>
          <w:tcPr>
            <w:tcW w:w="0" w:type="auto"/>
            <w:vAlign w:val="center"/>
            <w:hideMark/>
          </w:tcPr>
          <w:p w14:paraId="51122ABB" w14:textId="77777777" w:rsidR="00D816F6" w:rsidRPr="002636BA" w:rsidRDefault="00D816F6" w:rsidP="00000181">
            <w:pPr>
              <w:spacing w:line="360" w:lineRule="auto"/>
              <w:rPr>
                <w:rFonts w:ascii="Calibri" w:hAnsi="Calibri" w:cs="Calibri"/>
                <w:b/>
                <w:bCs/>
                <w:sz w:val="22"/>
                <w:szCs w:val="22"/>
              </w:rPr>
            </w:pPr>
            <w:r w:rsidRPr="002636BA">
              <w:rPr>
                <w:rFonts w:ascii="Calibri" w:hAnsi="Calibri" w:cs="Calibri"/>
                <w:b/>
                <w:bCs/>
                <w:sz w:val="22"/>
                <w:szCs w:val="22"/>
              </w:rPr>
              <w:t>United Kingdom</w:t>
            </w:r>
          </w:p>
        </w:tc>
        <w:tc>
          <w:tcPr>
            <w:tcW w:w="0" w:type="auto"/>
            <w:vAlign w:val="center"/>
            <w:hideMark/>
          </w:tcPr>
          <w:p w14:paraId="40FE2AD7" w14:textId="77777777" w:rsidR="00D816F6" w:rsidRPr="002636BA" w:rsidRDefault="00D816F6" w:rsidP="00000181">
            <w:pPr>
              <w:spacing w:line="360" w:lineRule="auto"/>
              <w:rPr>
                <w:rFonts w:ascii="Calibri" w:hAnsi="Calibri" w:cs="Calibri"/>
                <w:b/>
                <w:bCs/>
                <w:sz w:val="22"/>
                <w:szCs w:val="22"/>
              </w:rPr>
            </w:pPr>
            <w:r w:rsidRPr="002636BA">
              <w:rPr>
                <w:rFonts w:ascii="Calibri" w:hAnsi="Calibri" w:cs="Calibri"/>
                <w:b/>
                <w:bCs/>
                <w:sz w:val="22"/>
                <w:szCs w:val="22"/>
              </w:rPr>
              <w:t>Germany</w:t>
            </w:r>
          </w:p>
        </w:tc>
      </w:tr>
      <w:tr w:rsidR="00D816F6" w:rsidRPr="002636BA" w14:paraId="78E514C4" w14:textId="77777777" w:rsidTr="00000181">
        <w:trPr>
          <w:tblCellSpacing w:w="15" w:type="dxa"/>
          <w:jc w:val="center"/>
        </w:trPr>
        <w:tc>
          <w:tcPr>
            <w:tcW w:w="0" w:type="auto"/>
            <w:vAlign w:val="center"/>
            <w:hideMark/>
          </w:tcPr>
          <w:p w14:paraId="2C4E4C1B"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Product</w:t>
            </w:r>
          </w:p>
        </w:tc>
        <w:tc>
          <w:tcPr>
            <w:tcW w:w="0" w:type="auto"/>
            <w:vAlign w:val="center"/>
            <w:hideMark/>
          </w:tcPr>
          <w:p w14:paraId="52CA7D27"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Lifestyle orientation</w:t>
            </w:r>
          </w:p>
        </w:tc>
        <w:tc>
          <w:tcPr>
            <w:tcW w:w="0" w:type="auto"/>
            <w:vAlign w:val="center"/>
            <w:hideMark/>
          </w:tcPr>
          <w:p w14:paraId="3D3016BD"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Engineering orientation</w:t>
            </w:r>
          </w:p>
        </w:tc>
      </w:tr>
      <w:tr w:rsidR="00D816F6" w:rsidRPr="002636BA" w14:paraId="15518831" w14:textId="77777777" w:rsidTr="00000181">
        <w:trPr>
          <w:tblCellSpacing w:w="15" w:type="dxa"/>
          <w:jc w:val="center"/>
        </w:trPr>
        <w:tc>
          <w:tcPr>
            <w:tcW w:w="0" w:type="auto"/>
            <w:vAlign w:val="center"/>
            <w:hideMark/>
          </w:tcPr>
          <w:p w14:paraId="075AA7AE"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Price</w:t>
            </w:r>
          </w:p>
        </w:tc>
        <w:tc>
          <w:tcPr>
            <w:tcW w:w="0" w:type="auto"/>
            <w:vAlign w:val="center"/>
            <w:hideMark/>
          </w:tcPr>
          <w:p w14:paraId="3BDF7715"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PCP-focused</w:t>
            </w:r>
          </w:p>
        </w:tc>
        <w:tc>
          <w:tcPr>
            <w:tcW w:w="0" w:type="auto"/>
            <w:vAlign w:val="center"/>
            <w:hideMark/>
          </w:tcPr>
          <w:p w14:paraId="06E8354D"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Value &amp; feature-focused</w:t>
            </w:r>
          </w:p>
        </w:tc>
      </w:tr>
      <w:tr w:rsidR="00D816F6" w:rsidRPr="002636BA" w14:paraId="7F4D0D6C" w14:textId="77777777" w:rsidTr="00000181">
        <w:trPr>
          <w:tblCellSpacing w:w="15" w:type="dxa"/>
          <w:jc w:val="center"/>
        </w:trPr>
        <w:tc>
          <w:tcPr>
            <w:tcW w:w="0" w:type="auto"/>
            <w:vAlign w:val="center"/>
            <w:hideMark/>
          </w:tcPr>
          <w:p w14:paraId="73E282A2"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Place</w:t>
            </w:r>
          </w:p>
        </w:tc>
        <w:tc>
          <w:tcPr>
            <w:tcW w:w="0" w:type="auto"/>
            <w:vAlign w:val="center"/>
            <w:hideMark/>
          </w:tcPr>
          <w:p w14:paraId="53BA81F4"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Highly digital</w:t>
            </w:r>
          </w:p>
        </w:tc>
        <w:tc>
          <w:tcPr>
            <w:tcW w:w="0" w:type="auto"/>
            <w:vAlign w:val="center"/>
            <w:hideMark/>
          </w:tcPr>
          <w:p w14:paraId="35184648"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Hybrid traditional-digital</w:t>
            </w:r>
          </w:p>
        </w:tc>
      </w:tr>
      <w:tr w:rsidR="00D816F6" w:rsidRPr="002636BA" w14:paraId="11D0B144" w14:textId="77777777" w:rsidTr="00000181">
        <w:trPr>
          <w:tblCellSpacing w:w="15" w:type="dxa"/>
          <w:jc w:val="center"/>
        </w:trPr>
        <w:tc>
          <w:tcPr>
            <w:tcW w:w="0" w:type="auto"/>
            <w:vAlign w:val="center"/>
            <w:hideMark/>
          </w:tcPr>
          <w:p w14:paraId="4A08DD32"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Promotion</w:t>
            </w:r>
          </w:p>
        </w:tc>
        <w:tc>
          <w:tcPr>
            <w:tcW w:w="0" w:type="auto"/>
            <w:vAlign w:val="center"/>
            <w:hideMark/>
          </w:tcPr>
          <w:p w14:paraId="511AB5D5"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Emotional, lifestyle</w:t>
            </w:r>
          </w:p>
        </w:tc>
        <w:tc>
          <w:tcPr>
            <w:tcW w:w="0" w:type="auto"/>
            <w:vAlign w:val="center"/>
            <w:hideMark/>
          </w:tcPr>
          <w:p w14:paraId="08BE9116"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Technical, rational</w:t>
            </w:r>
          </w:p>
        </w:tc>
      </w:tr>
      <w:tr w:rsidR="00D816F6" w:rsidRPr="002636BA" w14:paraId="544B3C48" w14:textId="77777777" w:rsidTr="00000181">
        <w:trPr>
          <w:tblCellSpacing w:w="15" w:type="dxa"/>
          <w:jc w:val="center"/>
        </w:trPr>
        <w:tc>
          <w:tcPr>
            <w:tcW w:w="0" w:type="auto"/>
            <w:vAlign w:val="center"/>
            <w:hideMark/>
          </w:tcPr>
          <w:p w14:paraId="0E2D40FE"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People</w:t>
            </w:r>
          </w:p>
        </w:tc>
        <w:tc>
          <w:tcPr>
            <w:tcW w:w="0" w:type="auto"/>
            <w:vAlign w:val="center"/>
            <w:hideMark/>
          </w:tcPr>
          <w:p w14:paraId="79230818"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Lifestyle advisors</w:t>
            </w:r>
          </w:p>
        </w:tc>
        <w:tc>
          <w:tcPr>
            <w:tcW w:w="0" w:type="auto"/>
            <w:vAlign w:val="center"/>
            <w:hideMark/>
          </w:tcPr>
          <w:p w14:paraId="4FFA66EC"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Technical consultants</w:t>
            </w:r>
          </w:p>
        </w:tc>
      </w:tr>
      <w:tr w:rsidR="00D816F6" w:rsidRPr="002636BA" w14:paraId="48BDEEF4" w14:textId="77777777" w:rsidTr="00000181">
        <w:trPr>
          <w:tblCellSpacing w:w="15" w:type="dxa"/>
          <w:jc w:val="center"/>
        </w:trPr>
        <w:tc>
          <w:tcPr>
            <w:tcW w:w="0" w:type="auto"/>
            <w:vAlign w:val="center"/>
            <w:hideMark/>
          </w:tcPr>
          <w:p w14:paraId="65547A1C"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Process</w:t>
            </w:r>
          </w:p>
        </w:tc>
        <w:tc>
          <w:tcPr>
            <w:tcW w:w="0" w:type="auto"/>
            <w:vAlign w:val="center"/>
            <w:hideMark/>
          </w:tcPr>
          <w:p w14:paraId="74DD69D9"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Convenience-driven</w:t>
            </w:r>
          </w:p>
        </w:tc>
        <w:tc>
          <w:tcPr>
            <w:tcW w:w="0" w:type="auto"/>
            <w:vAlign w:val="center"/>
            <w:hideMark/>
          </w:tcPr>
          <w:p w14:paraId="6D329653"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Detail-oriented</w:t>
            </w:r>
          </w:p>
        </w:tc>
      </w:tr>
      <w:tr w:rsidR="00D816F6" w:rsidRPr="002636BA" w14:paraId="277D8F26" w14:textId="77777777" w:rsidTr="00000181">
        <w:trPr>
          <w:tblCellSpacing w:w="15" w:type="dxa"/>
          <w:jc w:val="center"/>
        </w:trPr>
        <w:tc>
          <w:tcPr>
            <w:tcW w:w="0" w:type="auto"/>
            <w:vAlign w:val="center"/>
            <w:hideMark/>
          </w:tcPr>
          <w:p w14:paraId="3984E9C5"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Physical Evidence</w:t>
            </w:r>
          </w:p>
        </w:tc>
        <w:tc>
          <w:tcPr>
            <w:tcW w:w="0" w:type="auto"/>
            <w:vAlign w:val="center"/>
            <w:hideMark/>
          </w:tcPr>
          <w:p w14:paraId="3B091052"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Luxurious &amp; modern</w:t>
            </w:r>
          </w:p>
        </w:tc>
        <w:tc>
          <w:tcPr>
            <w:tcW w:w="0" w:type="auto"/>
            <w:vAlign w:val="center"/>
            <w:hideMark/>
          </w:tcPr>
          <w:p w14:paraId="65C3E6E3" w14:textId="77777777" w:rsidR="00D816F6" w:rsidRPr="002636BA" w:rsidRDefault="00D816F6" w:rsidP="00000181">
            <w:pPr>
              <w:spacing w:line="360" w:lineRule="auto"/>
              <w:rPr>
                <w:rFonts w:ascii="Calibri" w:hAnsi="Calibri" w:cs="Calibri"/>
                <w:sz w:val="22"/>
                <w:szCs w:val="22"/>
              </w:rPr>
            </w:pPr>
            <w:r w:rsidRPr="002636BA">
              <w:rPr>
                <w:rFonts w:ascii="Calibri" w:hAnsi="Calibri" w:cs="Calibri"/>
                <w:sz w:val="22"/>
                <w:szCs w:val="22"/>
              </w:rPr>
              <w:t>Technical &amp; structured</w:t>
            </w:r>
          </w:p>
        </w:tc>
      </w:tr>
    </w:tbl>
    <w:p w14:paraId="00C22E98" w14:textId="77777777" w:rsidR="00DE23A0" w:rsidRPr="00DE23A0" w:rsidRDefault="00DE23A0" w:rsidP="00DE23A0">
      <w:pPr>
        <w:spacing w:line="360" w:lineRule="auto"/>
        <w:rPr>
          <w:rFonts w:ascii="Calibri" w:hAnsi="Calibri" w:cs="Calibri"/>
          <w:sz w:val="22"/>
          <w:szCs w:val="22"/>
        </w:rPr>
      </w:pPr>
    </w:p>
    <w:p w14:paraId="3482386A" w14:textId="5FCDCA83" w:rsidR="00DE23A0" w:rsidRPr="00DE23A0" w:rsidRDefault="008340F2" w:rsidP="00561C01">
      <w:pPr>
        <w:spacing w:line="360" w:lineRule="auto"/>
        <w:jc w:val="center"/>
        <w:rPr>
          <w:rFonts w:ascii="Calibri" w:hAnsi="Calibri" w:cs="Calibri"/>
          <w:sz w:val="22"/>
          <w:szCs w:val="22"/>
        </w:rPr>
      </w:pPr>
      <w:r w:rsidRPr="008340F2">
        <w:rPr>
          <w:rFonts w:ascii="Calibri" w:hAnsi="Calibri" w:cs="Calibri"/>
          <w:sz w:val="22"/>
          <w:szCs w:val="22"/>
        </w:rPr>
        <w:t>Sources: BMW Group (2024); Mintel (2023); Statista (2024a); BMW UK Website (2024); BMW Germany Website (2024).</w:t>
      </w:r>
    </w:p>
    <w:p w14:paraId="7BA9C5D7" w14:textId="2D34EC7F" w:rsidR="00DE23A0" w:rsidRPr="00D816F6" w:rsidRDefault="00D816F6" w:rsidP="008623D9">
      <w:pPr>
        <w:pStyle w:val="Heading1"/>
      </w:pPr>
      <w:bookmarkStart w:id="5" w:name="_Toc214106256"/>
      <w:r w:rsidRPr="00D816F6">
        <w:t xml:space="preserve">EVALUATION </w:t>
      </w:r>
      <w:r w:rsidR="00DE23A0" w:rsidRPr="00D816F6">
        <w:t>OF THE PERFORMANCE OF MARKETING STRATEGIES</w:t>
      </w:r>
      <w:bookmarkEnd w:id="5"/>
    </w:p>
    <w:p w14:paraId="3B17C4AA" w14:textId="77777777" w:rsidR="00DE23A0" w:rsidRPr="00DE23A0" w:rsidRDefault="00DE23A0" w:rsidP="00DE23A0">
      <w:pPr>
        <w:spacing w:line="360" w:lineRule="auto"/>
        <w:rPr>
          <w:rFonts w:ascii="Calibri" w:hAnsi="Calibri" w:cs="Calibri"/>
          <w:sz w:val="22"/>
          <w:szCs w:val="22"/>
        </w:rPr>
      </w:pPr>
    </w:p>
    <w:p w14:paraId="19E0757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Evaluating the effectiveness of BMW’s marketing strategies in the United Kingdom (Country A) and Germany (Country B) requires an assessment of market share performance, sales growth, brand equity, digital engagement, and alignment with consumer expectations (BMW Group, 2023; BMW Group, 2024). Both markets play a critical role in BMW’s global footprint, but their performance outcomes differ due to contrasting cultural values, economic conditions, and competitive landscapes.</w:t>
      </w:r>
    </w:p>
    <w:p w14:paraId="5307298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BMW’s ability to standardise global brand identity while adapting marketing elements such as messaging, positioning, and pricing has contributed significantly to its success in both the UK and Germany (Levitt, 1983). However, each market presents unique strengths and challenges that influence overall performance.</w:t>
      </w:r>
    </w:p>
    <w:p w14:paraId="54D1DF76" w14:textId="77777777" w:rsidR="00DE23A0" w:rsidRPr="00DE23A0" w:rsidRDefault="00DE23A0" w:rsidP="00DE23A0">
      <w:pPr>
        <w:spacing w:line="360" w:lineRule="auto"/>
        <w:rPr>
          <w:rFonts w:ascii="Calibri" w:hAnsi="Calibri" w:cs="Calibri"/>
          <w:sz w:val="22"/>
          <w:szCs w:val="22"/>
        </w:rPr>
      </w:pPr>
    </w:p>
    <w:p w14:paraId="12769886" w14:textId="77777777" w:rsidR="00DE23A0" w:rsidRPr="00D816F6" w:rsidRDefault="00DE23A0" w:rsidP="00DE23A0">
      <w:pPr>
        <w:spacing w:line="360" w:lineRule="auto"/>
        <w:rPr>
          <w:rFonts w:ascii="Calibri" w:hAnsi="Calibri" w:cs="Calibri"/>
          <w:b/>
          <w:bCs/>
          <w:sz w:val="22"/>
          <w:szCs w:val="22"/>
        </w:rPr>
      </w:pPr>
      <w:r w:rsidRPr="00D816F6">
        <w:rPr>
          <w:rFonts w:ascii="Calibri" w:hAnsi="Calibri" w:cs="Calibri"/>
          <w:b/>
          <w:bCs/>
          <w:sz w:val="22"/>
          <w:szCs w:val="22"/>
        </w:rPr>
        <w:t>Market Share and Sales Performance</w:t>
      </w:r>
    </w:p>
    <w:p w14:paraId="6AC5FA4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 (Country A)</w:t>
      </w:r>
    </w:p>
    <w:p w14:paraId="48209A4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UK is BMW’s fourth-largest global market and one of its most profitable international regions. According to BMW’s annual report (BMW Group, 2024), the brand achieves approximately 7% market share in the UK automotive market, consistently performing as one of the top three premium marques.</w:t>
      </w:r>
    </w:p>
    <w:p w14:paraId="25CBF0C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BMW’s performance in the UK is underpinned by:</w:t>
      </w:r>
    </w:p>
    <w:p w14:paraId="1BE20C9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High demand for premium compact and mid-size models 1 Series, 3 Series, X1 (Mintel, 2023)</w:t>
      </w:r>
    </w:p>
    <w:p w14:paraId="4A08E89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Rapidly growing interest in electric models such as the i4, iX1, and i7 (Statista, 2024b).</w:t>
      </w:r>
    </w:p>
    <w:p w14:paraId="52CF175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Strong adoption of Personal Contract Purchase (PCP), which makes premium cars financially accessible</w:t>
      </w:r>
    </w:p>
    <w:p w14:paraId="6DBF001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High digital engagement, with a significant percentage of consumers using online tools for configuration and purchasing (BMW Group, 2024)</w:t>
      </w:r>
    </w:p>
    <w:p w14:paraId="5373D8A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UK market’s emphasis on lifestyle expression and design aligns strongly with BMW’s emotionally driven promotional strategy. The introduction of hybrid and EV models further strengthens BMW’s presence in an environmentally conscious market.</w:t>
      </w:r>
    </w:p>
    <w:p w14:paraId="1E4C998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Overall, BMW’s marketing strategy in the UK is highly successful, particularly due to its combination of aspirational branding and flexible financial solutions.</w:t>
      </w:r>
    </w:p>
    <w:p w14:paraId="7BA99ADD" w14:textId="77777777" w:rsidR="00DE23A0" w:rsidRPr="00DE23A0" w:rsidRDefault="00DE23A0" w:rsidP="00DE23A0">
      <w:pPr>
        <w:spacing w:line="360" w:lineRule="auto"/>
        <w:rPr>
          <w:rFonts w:ascii="Calibri" w:hAnsi="Calibri" w:cs="Calibri"/>
          <w:sz w:val="22"/>
          <w:szCs w:val="22"/>
        </w:rPr>
      </w:pPr>
    </w:p>
    <w:p w14:paraId="34A7088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(Country B)</w:t>
      </w:r>
    </w:p>
    <w:p w14:paraId="06FFAAD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xml:space="preserve">Germany is BMW’s home market and accounts for a significant share of its global sales. With an 8.2% market share (Statista, 2024a), BMW competes closely with Mercedes-Benz and Audi, forming the </w:t>
      </w:r>
      <w:r w:rsidRPr="00DE23A0">
        <w:rPr>
          <w:rFonts w:ascii="Calibri" w:hAnsi="Calibri" w:cs="Calibri"/>
          <w:sz w:val="22"/>
          <w:szCs w:val="22"/>
        </w:rPr>
        <w:lastRenderedPageBreak/>
        <w:t>German premium automotive triad. The brand’s strong local performance is attributed to its reputation for engineering excellence, technological innovation, and manufacturing quality.</w:t>
      </w:r>
    </w:p>
    <w:p w14:paraId="194ACF7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Key drivers of BMW’s strong performance in Germany include:</w:t>
      </w:r>
    </w:p>
    <w:p w14:paraId="66066A7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High domestic loyalty towards premium German brands</w:t>
      </w:r>
    </w:p>
    <w:p w14:paraId="1F2E32D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Strong demand for engineering-focused models such as the 3 Series and 5 Series</w:t>
      </w:r>
    </w:p>
    <w:p w14:paraId="4A61280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A mature EV market with strong federal incentives</w:t>
      </w:r>
    </w:p>
    <w:p w14:paraId="0C48E6F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Domestic trust in BMW’s safety, durability, and technical reliability</w:t>
      </w:r>
    </w:p>
    <w:p w14:paraId="63D240F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Strong fleet sales due to corporate company car programmes</w:t>
      </w:r>
    </w:p>
    <w:p w14:paraId="1413216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Germany’s highly rational consumer base responds effectively to BMW’s technical and performance-oriented marketing strategy. Product features, drivetrain efficiency, safety enhancements, and performance metrics are central to BMW’s communication in Germany — and these themes resonate strongly with consumers.</w:t>
      </w:r>
    </w:p>
    <w:p w14:paraId="3CF4D51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BMW’s performance in Germany can therefore be classified as very successful, driven by the brand’s heritage and the alignment between product features and consumer expectations.</w:t>
      </w:r>
    </w:p>
    <w:p w14:paraId="17A0A6EF" w14:textId="77777777" w:rsidR="00DE23A0" w:rsidRPr="00DE23A0" w:rsidRDefault="00DE23A0" w:rsidP="00DE23A0">
      <w:pPr>
        <w:spacing w:line="360" w:lineRule="auto"/>
        <w:rPr>
          <w:rFonts w:ascii="Calibri" w:hAnsi="Calibri" w:cs="Calibri"/>
          <w:sz w:val="22"/>
          <w:szCs w:val="22"/>
        </w:rPr>
      </w:pPr>
    </w:p>
    <w:p w14:paraId="5669195E" w14:textId="77777777" w:rsidR="00D816F6" w:rsidRDefault="00D816F6" w:rsidP="00DE23A0">
      <w:pPr>
        <w:spacing w:line="360" w:lineRule="auto"/>
        <w:rPr>
          <w:rFonts w:ascii="Calibri" w:hAnsi="Calibri" w:cs="Calibri"/>
          <w:b/>
          <w:bCs/>
          <w:sz w:val="22"/>
          <w:szCs w:val="22"/>
        </w:rPr>
      </w:pPr>
    </w:p>
    <w:p w14:paraId="09EAF589" w14:textId="77777777" w:rsidR="00D816F6" w:rsidRDefault="00D816F6" w:rsidP="00DE23A0">
      <w:pPr>
        <w:spacing w:line="360" w:lineRule="auto"/>
        <w:rPr>
          <w:rFonts w:ascii="Calibri" w:hAnsi="Calibri" w:cs="Calibri"/>
          <w:b/>
          <w:bCs/>
          <w:sz w:val="22"/>
          <w:szCs w:val="22"/>
        </w:rPr>
      </w:pPr>
    </w:p>
    <w:p w14:paraId="0930D9CC" w14:textId="18FF018B" w:rsidR="00DE23A0" w:rsidRPr="00D816F6" w:rsidRDefault="00DE23A0" w:rsidP="00DE23A0">
      <w:pPr>
        <w:spacing w:line="360" w:lineRule="auto"/>
        <w:rPr>
          <w:rFonts w:ascii="Calibri" w:hAnsi="Calibri" w:cs="Calibri"/>
          <w:b/>
          <w:bCs/>
          <w:sz w:val="22"/>
          <w:szCs w:val="22"/>
        </w:rPr>
      </w:pPr>
      <w:r w:rsidRPr="00D816F6">
        <w:rPr>
          <w:rFonts w:ascii="Calibri" w:hAnsi="Calibri" w:cs="Calibri"/>
          <w:b/>
          <w:bCs/>
          <w:sz w:val="22"/>
          <w:szCs w:val="22"/>
        </w:rPr>
        <w:t>Brand Equity and Consumer Perception</w:t>
      </w:r>
    </w:p>
    <w:p w14:paraId="322018B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1460E16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enjoys strong brand equity in the UK, frequently ranking within the top premium automotive brands for brand awareness, desirability, and perceived quality (Kantar BrandZ, 2024). Kantar BrandZ reports consistent improvements in BMW’s brand strength due to its blend of lifestyle appeal, digital integration, and technological innovation.</w:t>
      </w:r>
    </w:p>
    <w:p w14:paraId="63B3D36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is widely perceived as:</w:t>
      </w:r>
    </w:p>
    <w:p w14:paraId="04C11B7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Prestigious</w:t>
      </w:r>
    </w:p>
    <w:p w14:paraId="7F4754E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Stylish</w:t>
      </w:r>
    </w:p>
    <w:p w14:paraId="6E92313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Technologically advanced</w:t>
      </w:r>
    </w:p>
    <w:p w14:paraId="7976BD1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Environmentally progressive</w:t>
      </w:r>
    </w:p>
    <w:p w14:paraId="5B41A29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UK consumers often interpret BMW as a symbol of success and personal achievement, supporting the effectiveness of emotional and lifestyle-oriented advertising.</w:t>
      </w:r>
    </w:p>
    <w:p w14:paraId="0006E5A8" w14:textId="77777777" w:rsidR="00DE23A0" w:rsidRPr="00DE23A0" w:rsidRDefault="00DE23A0" w:rsidP="00DE23A0">
      <w:pPr>
        <w:spacing w:line="360" w:lineRule="auto"/>
        <w:rPr>
          <w:rFonts w:ascii="Calibri" w:hAnsi="Calibri" w:cs="Calibri"/>
          <w:sz w:val="22"/>
          <w:szCs w:val="22"/>
        </w:rPr>
      </w:pPr>
    </w:p>
    <w:p w14:paraId="23A5020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0C4A74A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In Germany, BMW’s brand equity is tied closely to its engineering pedigree, representing:</w:t>
      </w:r>
    </w:p>
    <w:p w14:paraId="1F6AB43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Manufacturing excellence</w:t>
      </w:r>
    </w:p>
    <w:p w14:paraId="5B9071A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Precision and performance</w:t>
      </w:r>
    </w:p>
    <w:p w14:paraId="4F640A8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Reliability and safety</w:t>
      </w:r>
    </w:p>
    <w:p w14:paraId="4BF58DA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Technological superiority (BMW Group, 2023).</w:t>
      </w:r>
    </w:p>
    <w:p w14:paraId="26471B2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 consumers trust BMW’s technical capabilities, which reinforces the brand’s long-standing reputation in its home market. BMW’s position as a leader in EV and hybrid powertrains enhances this perception further.</w:t>
      </w:r>
    </w:p>
    <w:p w14:paraId="10E878F7" w14:textId="77777777" w:rsidR="00DE23A0" w:rsidRPr="00DE23A0" w:rsidRDefault="00DE23A0" w:rsidP="00DE23A0">
      <w:pPr>
        <w:spacing w:line="360" w:lineRule="auto"/>
        <w:rPr>
          <w:rFonts w:ascii="Calibri" w:hAnsi="Calibri" w:cs="Calibri"/>
          <w:sz w:val="22"/>
          <w:szCs w:val="22"/>
        </w:rPr>
      </w:pPr>
    </w:p>
    <w:p w14:paraId="6FDE9336" w14:textId="77777777" w:rsidR="00D816F6" w:rsidRDefault="00D816F6" w:rsidP="00DE23A0">
      <w:pPr>
        <w:spacing w:line="360" w:lineRule="auto"/>
        <w:rPr>
          <w:rFonts w:ascii="Calibri" w:hAnsi="Calibri" w:cs="Calibri"/>
          <w:sz w:val="22"/>
          <w:szCs w:val="22"/>
        </w:rPr>
      </w:pPr>
    </w:p>
    <w:p w14:paraId="41754325" w14:textId="15DA398D" w:rsidR="00DE23A0" w:rsidRPr="00D816F6" w:rsidRDefault="00DE23A0" w:rsidP="00DE23A0">
      <w:pPr>
        <w:spacing w:line="360" w:lineRule="auto"/>
        <w:rPr>
          <w:rFonts w:ascii="Calibri" w:hAnsi="Calibri" w:cs="Calibri"/>
          <w:b/>
          <w:bCs/>
          <w:sz w:val="22"/>
          <w:szCs w:val="22"/>
        </w:rPr>
      </w:pPr>
      <w:r w:rsidRPr="00D816F6">
        <w:rPr>
          <w:rFonts w:ascii="Calibri" w:hAnsi="Calibri" w:cs="Calibri"/>
          <w:b/>
          <w:bCs/>
          <w:sz w:val="22"/>
          <w:szCs w:val="22"/>
        </w:rPr>
        <w:t>Digital and Social Media Performance</w:t>
      </w:r>
    </w:p>
    <w:p w14:paraId="4A9DAAB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1DAC461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UK’s digital presence is exceptionally strong, leveraging social media, influencers, and online configurators. Instagram and YouTube campaigns frequently showcase urban lifestyles, test-drive experiences, and electric vehicle benefits. BMW UK’s digital-first strategy aligns with the market’s high adoption of online research and purchasing.</w:t>
      </w:r>
    </w:p>
    <w:p w14:paraId="7509BEF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Engagement is driven by:</w:t>
      </w:r>
    </w:p>
    <w:p w14:paraId="11F0D99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Influencer partnerships</w:t>
      </w:r>
    </w:p>
    <w:p w14:paraId="5FD7214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Digital storytelling</w:t>
      </w:r>
    </w:p>
    <w:p w14:paraId="5B24BB4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User-generated content</w:t>
      </w:r>
    </w:p>
    <w:p w14:paraId="2B321AE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Virtual showrooms and AR experiences (BMW Group, 2024).</w:t>
      </w:r>
    </w:p>
    <w:p w14:paraId="3C3F67B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contributes significantly to consumer interest and lead generation.</w:t>
      </w:r>
    </w:p>
    <w:p w14:paraId="677A8FC0" w14:textId="77777777" w:rsidR="00DE23A0" w:rsidRPr="00DE23A0" w:rsidRDefault="00DE23A0" w:rsidP="00DE23A0">
      <w:pPr>
        <w:spacing w:line="360" w:lineRule="auto"/>
        <w:rPr>
          <w:rFonts w:ascii="Calibri" w:hAnsi="Calibri" w:cs="Calibri"/>
          <w:sz w:val="22"/>
          <w:szCs w:val="22"/>
        </w:rPr>
      </w:pPr>
    </w:p>
    <w:p w14:paraId="63E9A26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1508013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Germany’s digital performance is strong but takes a more technical orientation. Social media content focuses on engineering processes, safety demonstrations, and technological innovations. German consumers prefer factual, informative content rather than lifestyle-driven advertising.</w:t>
      </w:r>
    </w:p>
    <w:p w14:paraId="6F24675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Thus, BMW successfully aligns its digital communication approach with local cultural expectations.</w:t>
      </w:r>
    </w:p>
    <w:p w14:paraId="629E2B55" w14:textId="77777777" w:rsidR="00DE23A0" w:rsidRPr="00DE23A0" w:rsidRDefault="00DE23A0" w:rsidP="00DE23A0">
      <w:pPr>
        <w:spacing w:line="360" w:lineRule="auto"/>
        <w:rPr>
          <w:rFonts w:ascii="Calibri" w:hAnsi="Calibri" w:cs="Calibri"/>
          <w:sz w:val="22"/>
          <w:szCs w:val="22"/>
        </w:rPr>
      </w:pPr>
    </w:p>
    <w:p w14:paraId="68F13FE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Strategic and Financial Outcomes</w:t>
      </w:r>
    </w:p>
    <w:p w14:paraId="0A2D93E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Overall, BMW’s strategic outcomes in both markets demonstrate high effectiveness:</w:t>
      </w:r>
    </w:p>
    <w:p w14:paraId="1190D37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 — Key Outcomes</w:t>
      </w:r>
    </w:p>
    <w:p w14:paraId="7C0DA3C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Stable market share approx. 7% (BMW Group, 2024).</w:t>
      </w:r>
    </w:p>
    <w:p w14:paraId="32509C1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Growth in EV sales (Statista, 2024b).</w:t>
      </w:r>
    </w:p>
    <w:p w14:paraId="59815BB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High PCP adoption (Mintel, 2023).</w:t>
      </w:r>
    </w:p>
    <w:p w14:paraId="52A7BC1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Strong digital engagement</w:t>
      </w:r>
    </w:p>
    <w:p w14:paraId="07E7A4F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Positive brand equity growth</w:t>
      </w:r>
    </w:p>
    <w:p w14:paraId="5CAF31D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 — Key Outcomes</w:t>
      </w:r>
    </w:p>
    <w:p w14:paraId="4818478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Strong loyalty from domestic consumers</w:t>
      </w:r>
    </w:p>
    <w:p w14:paraId="667D870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Competitive advantage in engineering perception</w:t>
      </w:r>
    </w:p>
    <w:p w14:paraId="78B2B23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High EV uptake supported by government incentives</w:t>
      </w:r>
    </w:p>
    <w:p w14:paraId="7A6D016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Continuous technological leadership</w:t>
      </w:r>
    </w:p>
    <w:p w14:paraId="42DB1F6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High-value fleet sales</w:t>
      </w:r>
    </w:p>
    <w:p w14:paraId="6B4FEC82" w14:textId="77777777" w:rsidR="00DE23A0" w:rsidRPr="00DE23A0" w:rsidRDefault="00DE23A0" w:rsidP="00DE23A0">
      <w:pPr>
        <w:spacing w:line="360" w:lineRule="auto"/>
        <w:rPr>
          <w:rFonts w:ascii="Calibri" w:hAnsi="Calibri" w:cs="Calibri"/>
          <w:sz w:val="22"/>
          <w:szCs w:val="22"/>
        </w:rPr>
      </w:pPr>
    </w:p>
    <w:p w14:paraId="7431255E" w14:textId="77777777" w:rsidR="00DE23A0" w:rsidRPr="005C2A93" w:rsidRDefault="00DE23A0" w:rsidP="00DE23A0">
      <w:pPr>
        <w:spacing w:line="360" w:lineRule="auto"/>
        <w:rPr>
          <w:rFonts w:ascii="Calibri" w:hAnsi="Calibri" w:cs="Calibri"/>
          <w:b/>
          <w:bCs/>
          <w:sz w:val="22"/>
          <w:szCs w:val="22"/>
        </w:rPr>
      </w:pPr>
      <w:r w:rsidRPr="005C2A93">
        <w:rPr>
          <w:rFonts w:ascii="Calibri" w:hAnsi="Calibri" w:cs="Calibri"/>
          <w:b/>
          <w:bCs/>
          <w:sz w:val="22"/>
          <w:szCs w:val="22"/>
        </w:rPr>
        <w:t>Evaluation Summary</w:t>
      </w:r>
    </w:p>
    <w:p w14:paraId="1C7387F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BMW’s marketing strategies in the UK and Germany are both successful, but for different reasons:</w:t>
      </w:r>
    </w:p>
    <w:p w14:paraId="1733586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 the UK, success comes from emotional branding, affordability through financing, and strong digital marketing.</w:t>
      </w:r>
    </w:p>
    <w:p w14:paraId="27D3738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 Germany, success is driven by technical credibility, rational product communication, and brand heritage.</w:t>
      </w:r>
    </w:p>
    <w:p w14:paraId="76041BD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demonstrates a strong ability to adapt to contrasting consumer behaviours while maintaining a unified global identity. This balance between global standardisation and local adaptation is central to the brand’s sustained success.</w:t>
      </w:r>
    </w:p>
    <w:p w14:paraId="16AE1055" w14:textId="77777777" w:rsidR="00DE23A0" w:rsidRPr="00DE23A0" w:rsidRDefault="00DE23A0" w:rsidP="00DE23A0">
      <w:pPr>
        <w:spacing w:line="360" w:lineRule="auto"/>
        <w:rPr>
          <w:rFonts w:ascii="Calibri" w:hAnsi="Calibri" w:cs="Calibri"/>
          <w:sz w:val="22"/>
          <w:szCs w:val="22"/>
        </w:rPr>
      </w:pPr>
    </w:p>
    <w:p w14:paraId="2EB549F2" w14:textId="77777777" w:rsidR="00DE23A0" w:rsidRPr="00DE23A0" w:rsidRDefault="00DE23A0" w:rsidP="00DE23A0">
      <w:pPr>
        <w:spacing w:line="360" w:lineRule="auto"/>
        <w:rPr>
          <w:rFonts w:ascii="Calibri" w:hAnsi="Calibri" w:cs="Calibri"/>
          <w:sz w:val="22"/>
          <w:szCs w:val="22"/>
        </w:rPr>
      </w:pPr>
    </w:p>
    <w:p w14:paraId="7BE2A42C" w14:textId="77777777" w:rsidR="00DE23A0" w:rsidRPr="00DE23A0" w:rsidRDefault="00DE23A0" w:rsidP="00DE23A0">
      <w:pPr>
        <w:spacing w:line="360" w:lineRule="auto"/>
        <w:rPr>
          <w:rFonts w:ascii="Calibri" w:hAnsi="Calibri" w:cs="Calibri"/>
          <w:sz w:val="22"/>
          <w:szCs w:val="22"/>
        </w:rPr>
      </w:pPr>
    </w:p>
    <w:p w14:paraId="40C13554" w14:textId="77777777" w:rsidR="00DE23A0" w:rsidRPr="00DE23A0" w:rsidRDefault="00DE23A0" w:rsidP="00DE23A0">
      <w:pPr>
        <w:spacing w:line="360" w:lineRule="auto"/>
        <w:rPr>
          <w:rFonts w:ascii="Calibri" w:hAnsi="Calibri" w:cs="Calibri"/>
          <w:sz w:val="22"/>
          <w:szCs w:val="22"/>
        </w:rPr>
      </w:pPr>
    </w:p>
    <w:p w14:paraId="0853A212" w14:textId="77777777" w:rsidR="005C2A93" w:rsidRDefault="005C2A93" w:rsidP="00DE23A0">
      <w:pPr>
        <w:spacing w:line="360" w:lineRule="auto"/>
        <w:rPr>
          <w:rFonts w:ascii="Calibri" w:hAnsi="Calibri" w:cs="Calibri"/>
          <w:sz w:val="22"/>
          <w:szCs w:val="22"/>
        </w:rPr>
      </w:pPr>
    </w:p>
    <w:p w14:paraId="17D12EB0" w14:textId="377B17FA" w:rsidR="00DE23A0" w:rsidRPr="005C2A93" w:rsidRDefault="00DE23A0" w:rsidP="008623D9">
      <w:pPr>
        <w:pStyle w:val="Heading1"/>
      </w:pPr>
      <w:bookmarkStart w:id="6" w:name="_Toc214106257"/>
      <w:r w:rsidRPr="005C2A93">
        <w:t>EVALUATION OF MARKETING ETHICS PRACTICE</w:t>
      </w:r>
      <w:bookmarkEnd w:id="6"/>
    </w:p>
    <w:p w14:paraId="4EF8D1A8" w14:textId="77777777" w:rsidR="00DE23A0" w:rsidRPr="00DE23A0" w:rsidRDefault="00DE23A0" w:rsidP="00DE23A0">
      <w:pPr>
        <w:spacing w:line="360" w:lineRule="auto"/>
        <w:rPr>
          <w:rFonts w:ascii="Calibri" w:hAnsi="Calibri" w:cs="Calibri"/>
          <w:sz w:val="22"/>
          <w:szCs w:val="22"/>
        </w:rPr>
      </w:pPr>
    </w:p>
    <w:p w14:paraId="3A8FEAF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Ethical marketing practices are increasingly important in the automotive sector, driven by consumer expectations, regulatory pressures, and environmental concerns (UK Government, 2024).</w:t>
      </w:r>
    </w:p>
    <w:p w14:paraId="3E35731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xml:space="preserve"> This section evaluates BMW’s ethical performance in both the UK and Germany, specifically in relation to the marketing mix (product, price, and promotion), as required by the assignment brief.</w:t>
      </w:r>
    </w:p>
    <w:p w14:paraId="238C70FA" w14:textId="77777777" w:rsidR="00DE23A0" w:rsidRPr="00DE23A0" w:rsidRDefault="00DE23A0" w:rsidP="00DE23A0">
      <w:pPr>
        <w:spacing w:line="360" w:lineRule="auto"/>
        <w:rPr>
          <w:rFonts w:ascii="Calibri" w:hAnsi="Calibri" w:cs="Calibri"/>
          <w:sz w:val="22"/>
          <w:szCs w:val="22"/>
        </w:rPr>
      </w:pPr>
    </w:p>
    <w:p w14:paraId="5DD6EED3" w14:textId="77777777" w:rsidR="00DE23A0" w:rsidRPr="005C2A93" w:rsidRDefault="00DE23A0" w:rsidP="00DE23A0">
      <w:pPr>
        <w:spacing w:line="360" w:lineRule="auto"/>
        <w:rPr>
          <w:rFonts w:ascii="Calibri" w:hAnsi="Calibri" w:cs="Calibri"/>
          <w:b/>
          <w:bCs/>
          <w:sz w:val="22"/>
          <w:szCs w:val="22"/>
        </w:rPr>
      </w:pPr>
      <w:r w:rsidRPr="005C2A93">
        <w:rPr>
          <w:rFonts w:ascii="Calibri" w:hAnsi="Calibri" w:cs="Calibri"/>
          <w:b/>
          <w:bCs/>
          <w:sz w:val="22"/>
          <w:szCs w:val="22"/>
        </w:rPr>
        <w:t>Product Ethics</w:t>
      </w:r>
    </w:p>
    <w:p w14:paraId="199503D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Environmental Sustainability &amp; EV Transparency</w:t>
      </w:r>
    </w:p>
    <w:p w14:paraId="04C1649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positions itself as a leader in sustainable mobility through its i-Series electric vehicles. However, ethical concerns have been raised over the sourcing of raw materials used in EV battery production, particularly cobalt and lithium (BMW Group, 2024). Environmental groups argue that BMW must enhance transparency in its supply chain and ensure responsible sourcing practices.</w:t>
      </w:r>
    </w:p>
    <w:p w14:paraId="0A3CB6A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Additionally, plug-in hybrid cars (PHEVs) have faced criticism across Europe for overstating real-world fuel efficiency. While BMW complies with WLTP testing standards, ethical marketing requires clearer communication around real-world energy consumption.</w:t>
      </w:r>
    </w:p>
    <w:p w14:paraId="56379DD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w:t>
      </w:r>
    </w:p>
    <w:p w14:paraId="2EAF79B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 regulators enforce strict requirements on environmental claims. BMW’s technical emphasis reduces the risk of overstated sustainability claims, but must still ensure factual accuracy.</w:t>
      </w:r>
    </w:p>
    <w:p w14:paraId="1CDDC3F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United Kingdom</w:t>
      </w:r>
    </w:p>
    <w:p w14:paraId="02B49E9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UK consumers are more likely to interpret sustainability claims aspirationally. This increases the risk of accusations of “greenwashing” if marketing focuses too heavily on emotional sustainability narratives.</w:t>
      </w:r>
    </w:p>
    <w:p w14:paraId="663422D3" w14:textId="77777777" w:rsidR="00DE23A0" w:rsidRPr="00DE23A0" w:rsidRDefault="00DE23A0" w:rsidP="00DE23A0">
      <w:pPr>
        <w:spacing w:line="360" w:lineRule="auto"/>
        <w:rPr>
          <w:rFonts w:ascii="Calibri" w:hAnsi="Calibri" w:cs="Calibri"/>
          <w:sz w:val="22"/>
          <w:szCs w:val="22"/>
        </w:rPr>
      </w:pPr>
    </w:p>
    <w:p w14:paraId="6224278F" w14:textId="77777777" w:rsidR="005C2A93" w:rsidRDefault="005C2A93" w:rsidP="00DE23A0">
      <w:pPr>
        <w:spacing w:line="360" w:lineRule="auto"/>
        <w:rPr>
          <w:rFonts w:ascii="Calibri" w:hAnsi="Calibri" w:cs="Calibri"/>
          <w:b/>
          <w:bCs/>
          <w:sz w:val="22"/>
          <w:szCs w:val="22"/>
        </w:rPr>
      </w:pPr>
    </w:p>
    <w:p w14:paraId="67E8C370" w14:textId="77777777" w:rsidR="005C2A93" w:rsidRDefault="005C2A93" w:rsidP="00DE23A0">
      <w:pPr>
        <w:spacing w:line="360" w:lineRule="auto"/>
        <w:rPr>
          <w:rFonts w:ascii="Calibri" w:hAnsi="Calibri" w:cs="Calibri"/>
          <w:b/>
          <w:bCs/>
          <w:sz w:val="22"/>
          <w:szCs w:val="22"/>
        </w:rPr>
      </w:pPr>
    </w:p>
    <w:p w14:paraId="7928E60C" w14:textId="200E83F3" w:rsidR="00DE23A0" w:rsidRPr="005C2A93" w:rsidRDefault="00DE23A0" w:rsidP="00DE23A0">
      <w:pPr>
        <w:spacing w:line="360" w:lineRule="auto"/>
        <w:rPr>
          <w:rFonts w:ascii="Calibri" w:hAnsi="Calibri" w:cs="Calibri"/>
          <w:b/>
          <w:bCs/>
          <w:sz w:val="22"/>
          <w:szCs w:val="22"/>
        </w:rPr>
      </w:pPr>
      <w:r w:rsidRPr="005C2A93">
        <w:rPr>
          <w:rFonts w:ascii="Calibri" w:hAnsi="Calibri" w:cs="Calibri"/>
          <w:b/>
          <w:bCs/>
          <w:sz w:val="22"/>
          <w:szCs w:val="22"/>
        </w:rPr>
        <w:t>Pricing Ethics</w:t>
      </w:r>
    </w:p>
    <w:p w14:paraId="310E52B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Pricing Transparency in the UK</w:t>
      </w:r>
    </w:p>
    <w:p w14:paraId="0D8745B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BMW’s reliance on PCP financing raises ethical considerations. PCP makes premium vehicles more accessible, but critics argue that long-term affordability is unclear. Consumers often underestimate total payment amount or residual value commitments.</w:t>
      </w:r>
    </w:p>
    <w:p w14:paraId="198A492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Ethical pricing requires:</w:t>
      </w:r>
    </w:p>
    <w:p w14:paraId="69256EE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Clear disclosure of total cost of ownership</w:t>
      </w:r>
    </w:p>
    <w:p w14:paraId="5C1C78E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Transparent explanation of balloon payments</w:t>
      </w:r>
    </w:p>
    <w:p w14:paraId="4B57C9E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Honest representation of affordability</w:t>
      </w:r>
    </w:p>
    <w:p w14:paraId="01E895E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Pricing in Germany</w:t>
      </w:r>
    </w:p>
    <w:p w14:paraId="52CB9E9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 buyers are less reliant on PCP, reducing pricing ethics risks. However, high costs of performance upgrades raise questions about fairness and accessibility.</w:t>
      </w:r>
    </w:p>
    <w:p w14:paraId="68905210" w14:textId="77777777" w:rsidR="00DE23A0" w:rsidRPr="00DE23A0" w:rsidRDefault="00DE23A0" w:rsidP="00DE23A0">
      <w:pPr>
        <w:spacing w:line="360" w:lineRule="auto"/>
        <w:rPr>
          <w:rFonts w:ascii="Calibri" w:hAnsi="Calibri" w:cs="Calibri"/>
          <w:sz w:val="22"/>
          <w:szCs w:val="22"/>
        </w:rPr>
      </w:pPr>
    </w:p>
    <w:p w14:paraId="03A911A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Promotion Ethics</w:t>
      </w:r>
    </w:p>
    <w:p w14:paraId="0817AF8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Promotion in the UK</w:t>
      </w:r>
    </w:p>
    <w:p w14:paraId="0FB4AE4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UK uses emotional, lifestyle-driven campaigns. While effective, emotionally charged advertising can risk exaggeration, especially around sustainability. The UK Advertising Standards Authority (ASA) has previously investigated automotive environmental claims, making transparency essential.</w:t>
      </w:r>
    </w:p>
    <w:p w14:paraId="218F698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Promotion in Germany</w:t>
      </w:r>
    </w:p>
    <w:p w14:paraId="15D1658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Germany relies on technical advertising. Ethical risks arise if performance claims are overly technical or potentially misleading. However, compliance with German advertising law ensures high accuracy (BMW Group, 2023).</w:t>
      </w:r>
    </w:p>
    <w:p w14:paraId="1D307F9A" w14:textId="77777777" w:rsidR="00DE23A0" w:rsidRPr="00DE23A0" w:rsidRDefault="00DE23A0" w:rsidP="00DE23A0">
      <w:pPr>
        <w:spacing w:line="360" w:lineRule="auto"/>
        <w:rPr>
          <w:rFonts w:ascii="Calibri" w:hAnsi="Calibri" w:cs="Calibri"/>
          <w:sz w:val="22"/>
          <w:szCs w:val="22"/>
        </w:rPr>
      </w:pPr>
    </w:p>
    <w:p w14:paraId="689BFA1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CSR and Ethical Responsibility</w:t>
      </w:r>
    </w:p>
    <w:p w14:paraId="42D5C7E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demonstrates strong CSR commitments, including:</w:t>
      </w:r>
    </w:p>
    <w:p w14:paraId="1E61CAD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Investment in circular economy principles (recycling, remanufacturing)</w:t>
      </w:r>
    </w:p>
    <w:p w14:paraId="28AEAA1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Sustainable manufacturing processes</w:t>
      </w:r>
    </w:p>
    <w:p w14:paraId="4FBFF8F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Community initiatives and educational programmes</w:t>
      </w:r>
    </w:p>
    <w:p w14:paraId="12BFEA7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Reduction of average fleet emissions</w:t>
      </w:r>
    </w:p>
    <w:p w14:paraId="67918D1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Publishing annual sustainability reports</w:t>
      </w:r>
    </w:p>
    <w:p w14:paraId="55DDE93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These CSR activities strengthen BMW’s ethical reputation in both countries.</w:t>
      </w:r>
    </w:p>
    <w:p w14:paraId="74FDA4AE" w14:textId="77777777" w:rsidR="00C976D0" w:rsidRDefault="00C976D0" w:rsidP="00DE23A0">
      <w:pPr>
        <w:spacing w:line="360" w:lineRule="auto"/>
        <w:rPr>
          <w:rFonts w:ascii="Calibri" w:hAnsi="Calibri" w:cs="Calibri"/>
          <w:b/>
          <w:bCs/>
          <w:sz w:val="22"/>
          <w:szCs w:val="22"/>
        </w:rPr>
      </w:pPr>
    </w:p>
    <w:p w14:paraId="0B85DAC6" w14:textId="26611209" w:rsidR="00DE23A0" w:rsidRPr="00C976D0" w:rsidRDefault="00DE23A0" w:rsidP="00DE23A0">
      <w:pPr>
        <w:spacing w:line="360" w:lineRule="auto"/>
        <w:rPr>
          <w:rFonts w:ascii="Calibri" w:hAnsi="Calibri" w:cs="Calibri"/>
          <w:b/>
          <w:bCs/>
          <w:sz w:val="22"/>
          <w:szCs w:val="22"/>
        </w:rPr>
      </w:pPr>
      <w:r w:rsidRPr="00C976D0">
        <w:rPr>
          <w:rFonts w:ascii="Calibri" w:hAnsi="Calibri" w:cs="Calibri"/>
          <w:b/>
          <w:bCs/>
          <w:sz w:val="22"/>
          <w:szCs w:val="22"/>
        </w:rPr>
        <w:t xml:space="preserve">Summary of Ethical Performance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13"/>
        <w:gridCol w:w="2674"/>
        <w:gridCol w:w="3730"/>
      </w:tblGrid>
      <w:tr w:rsidR="00C976D0" w:rsidRPr="0044776A" w14:paraId="1352C732" w14:textId="77777777" w:rsidTr="00C976D0">
        <w:trPr>
          <w:tblHeader/>
          <w:tblCellSpacing w:w="15" w:type="dxa"/>
        </w:trPr>
        <w:tc>
          <w:tcPr>
            <w:tcW w:w="1368" w:type="dxa"/>
            <w:vAlign w:val="center"/>
            <w:hideMark/>
          </w:tcPr>
          <w:p w14:paraId="52DE9FCD" w14:textId="77777777" w:rsidR="00C976D0" w:rsidRPr="0044776A" w:rsidRDefault="00C976D0" w:rsidP="00000181">
            <w:pPr>
              <w:spacing w:line="360" w:lineRule="auto"/>
              <w:jc w:val="center"/>
              <w:rPr>
                <w:rFonts w:ascii="Calibri" w:hAnsi="Calibri" w:cs="Calibri"/>
                <w:b/>
                <w:bCs/>
                <w:sz w:val="22"/>
                <w:szCs w:val="22"/>
              </w:rPr>
            </w:pPr>
            <w:r w:rsidRPr="0044776A">
              <w:rPr>
                <w:rFonts w:ascii="Calibri" w:hAnsi="Calibri" w:cs="Calibri"/>
                <w:b/>
                <w:bCs/>
                <w:sz w:val="22"/>
                <w:szCs w:val="22"/>
              </w:rPr>
              <w:lastRenderedPageBreak/>
              <w:t>Ethical Area</w:t>
            </w:r>
          </w:p>
        </w:tc>
        <w:tc>
          <w:tcPr>
            <w:tcW w:w="2644" w:type="dxa"/>
            <w:vAlign w:val="center"/>
            <w:hideMark/>
          </w:tcPr>
          <w:p w14:paraId="41A5614D" w14:textId="77777777" w:rsidR="00C976D0" w:rsidRPr="0044776A" w:rsidRDefault="00C976D0" w:rsidP="00000181">
            <w:pPr>
              <w:spacing w:line="360" w:lineRule="auto"/>
              <w:jc w:val="center"/>
              <w:rPr>
                <w:rFonts w:ascii="Calibri" w:hAnsi="Calibri" w:cs="Calibri"/>
                <w:b/>
                <w:bCs/>
                <w:sz w:val="22"/>
                <w:szCs w:val="22"/>
              </w:rPr>
            </w:pPr>
            <w:r w:rsidRPr="0044776A">
              <w:rPr>
                <w:rFonts w:ascii="Calibri" w:hAnsi="Calibri" w:cs="Calibri"/>
                <w:b/>
                <w:bCs/>
                <w:sz w:val="22"/>
                <w:szCs w:val="22"/>
              </w:rPr>
              <w:t>UK</w:t>
            </w:r>
          </w:p>
        </w:tc>
        <w:tc>
          <w:tcPr>
            <w:tcW w:w="0" w:type="auto"/>
            <w:vAlign w:val="center"/>
            <w:hideMark/>
          </w:tcPr>
          <w:p w14:paraId="00929B0C" w14:textId="77777777" w:rsidR="00C976D0" w:rsidRPr="0044776A" w:rsidRDefault="00C976D0" w:rsidP="00000181">
            <w:pPr>
              <w:spacing w:line="360" w:lineRule="auto"/>
              <w:jc w:val="center"/>
              <w:rPr>
                <w:rFonts w:ascii="Calibri" w:hAnsi="Calibri" w:cs="Calibri"/>
                <w:b/>
                <w:bCs/>
                <w:sz w:val="22"/>
                <w:szCs w:val="22"/>
              </w:rPr>
            </w:pPr>
            <w:r w:rsidRPr="0044776A">
              <w:rPr>
                <w:rFonts w:ascii="Calibri" w:hAnsi="Calibri" w:cs="Calibri"/>
                <w:b/>
                <w:bCs/>
                <w:sz w:val="22"/>
                <w:szCs w:val="22"/>
              </w:rPr>
              <w:t>Germany</w:t>
            </w:r>
          </w:p>
        </w:tc>
      </w:tr>
      <w:tr w:rsidR="00C976D0" w:rsidRPr="0044776A" w14:paraId="090B63ED" w14:textId="77777777" w:rsidTr="00C976D0">
        <w:trPr>
          <w:tblCellSpacing w:w="15" w:type="dxa"/>
        </w:trPr>
        <w:tc>
          <w:tcPr>
            <w:tcW w:w="1368" w:type="dxa"/>
            <w:vAlign w:val="center"/>
            <w:hideMark/>
          </w:tcPr>
          <w:p w14:paraId="69B0869B"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Product</w:t>
            </w:r>
          </w:p>
        </w:tc>
        <w:tc>
          <w:tcPr>
            <w:tcW w:w="2644" w:type="dxa"/>
            <w:vAlign w:val="center"/>
            <w:hideMark/>
          </w:tcPr>
          <w:p w14:paraId="3428CB8D"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Risk of perceived greenwashing</w:t>
            </w:r>
          </w:p>
        </w:tc>
        <w:tc>
          <w:tcPr>
            <w:tcW w:w="0" w:type="auto"/>
            <w:vAlign w:val="center"/>
            <w:hideMark/>
          </w:tcPr>
          <w:p w14:paraId="1C15BD49"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Lower risk due to factual communication</w:t>
            </w:r>
          </w:p>
        </w:tc>
      </w:tr>
      <w:tr w:rsidR="00C976D0" w:rsidRPr="0044776A" w14:paraId="022A32CC" w14:textId="77777777" w:rsidTr="00C976D0">
        <w:trPr>
          <w:tblCellSpacing w:w="15" w:type="dxa"/>
        </w:trPr>
        <w:tc>
          <w:tcPr>
            <w:tcW w:w="1368" w:type="dxa"/>
            <w:vAlign w:val="center"/>
            <w:hideMark/>
          </w:tcPr>
          <w:p w14:paraId="15053CBD"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Price</w:t>
            </w:r>
          </w:p>
        </w:tc>
        <w:tc>
          <w:tcPr>
            <w:tcW w:w="2644" w:type="dxa"/>
            <w:vAlign w:val="center"/>
            <w:hideMark/>
          </w:tcPr>
          <w:p w14:paraId="04F7D6A3"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PCP transparency concerns</w:t>
            </w:r>
          </w:p>
        </w:tc>
        <w:tc>
          <w:tcPr>
            <w:tcW w:w="0" w:type="auto"/>
            <w:vAlign w:val="center"/>
            <w:hideMark/>
          </w:tcPr>
          <w:p w14:paraId="32F1D2A1"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Fewer pricing issues</w:t>
            </w:r>
          </w:p>
        </w:tc>
      </w:tr>
      <w:tr w:rsidR="00C976D0" w:rsidRPr="0044776A" w14:paraId="6F417F3A" w14:textId="77777777" w:rsidTr="00C976D0">
        <w:trPr>
          <w:tblCellSpacing w:w="15" w:type="dxa"/>
        </w:trPr>
        <w:tc>
          <w:tcPr>
            <w:tcW w:w="1368" w:type="dxa"/>
            <w:vAlign w:val="center"/>
            <w:hideMark/>
          </w:tcPr>
          <w:p w14:paraId="27EB7A74"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Promotion</w:t>
            </w:r>
          </w:p>
        </w:tc>
        <w:tc>
          <w:tcPr>
            <w:tcW w:w="2644" w:type="dxa"/>
            <w:vAlign w:val="center"/>
            <w:hideMark/>
          </w:tcPr>
          <w:p w14:paraId="0FC56C6B"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Emotional ads risk exaggeration</w:t>
            </w:r>
          </w:p>
        </w:tc>
        <w:tc>
          <w:tcPr>
            <w:tcW w:w="0" w:type="auto"/>
            <w:vAlign w:val="center"/>
            <w:hideMark/>
          </w:tcPr>
          <w:p w14:paraId="23DCF8CC"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Technical ads require accuracy</w:t>
            </w:r>
          </w:p>
        </w:tc>
      </w:tr>
      <w:tr w:rsidR="00C976D0" w:rsidRPr="0044776A" w14:paraId="5D7936BA" w14:textId="77777777" w:rsidTr="00C976D0">
        <w:trPr>
          <w:tblCellSpacing w:w="15" w:type="dxa"/>
        </w:trPr>
        <w:tc>
          <w:tcPr>
            <w:tcW w:w="1368" w:type="dxa"/>
            <w:vAlign w:val="center"/>
            <w:hideMark/>
          </w:tcPr>
          <w:p w14:paraId="3EBABB19"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CSR</w:t>
            </w:r>
          </w:p>
        </w:tc>
        <w:tc>
          <w:tcPr>
            <w:tcW w:w="2644" w:type="dxa"/>
            <w:vAlign w:val="center"/>
            <w:hideMark/>
          </w:tcPr>
          <w:p w14:paraId="1CA87EA2"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Strong initiatives</w:t>
            </w:r>
          </w:p>
        </w:tc>
        <w:tc>
          <w:tcPr>
            <w:tcW w:w="0" w:type="auto"/>
            <w:vAlign w:val="center"/>
            <w:hideMark/>
          </w:tcPr>
          <w:p w14:paraId="070ECA72" w14:textId="77777777" w:rsidR="00C976D0" w:rsidRPr="0044776A" w:rsidRDefault="00C976D0" w:rsidP="00000181">
            <w:pPr>
              <w:spacing w:line="360" w:lineRule="auto"/>
              <w:jc w:val="center"/>
              <w:rPr>
                <w:rFonts w:ascii="Calibri" w:hAnsi="Calibri" w:cs="Calibri"/>
                <w:sz w:val="22"/>
                <w:szCs w:val="22"/>
              </w:rPr>
            </w:pPr>
            <w:r w:rsidRPr="0044776A">
              <w:rPr>
                <w:rFonts w:ascii="Calibri" w:hAnsi="Calibri" w:cs="Calibri"/>
                <w:sz w:val="22"/>
                <w:szCs w:val="22"/>
              </w:rPr>
              <w:t>Strong initiatives</w:t>
            </w:r>
          </w:p>
        </w:tc>
      </w:tr>
    </w:tbl>
    <w:p w14:paraId="683BD1CA" w14:textId="77777777" w:rsidR="00DE23A0" w:rsidRPr="00DE23A0" w:rsidRDefault="00DE23A0" w:rsidP="00DE23A0">
      <w:pPr>
        <w:spacing w:line="360" w:lineRule="auto"/>
        <w:rPr>
          <w:rFonts w:ascii="Calibri" w:hAnsi="Calibri" w:cs="Calibri"/>
          <w:sz w:val="22"/>
          <w:szCs w:val="22"/>
        </w:rPr>
      </w:pPr>
    </w:p>
    <w:p w14:paraId="59EC1849" w14:textId="77777777" w:rsidR="00DE23A0" w:rsidRPr="00DE23A0" w:rsidRDefault="00DE23A0" w:rsidP="00DE23A0">
      <w:pPr>
        <w:spacing w:line="360" w:lineRule="auto"/>
        <w:rPr>
          <w:rFonts w:ascii="Calibri" w:hAnsi="Calibri" w:cs="Calibri"/>
          <w:sz w:val="22"/>
          <w:szCs w:val="22"/>
        </w:rPr>
      </w:pPr>
    </w:p>
    <w:p w14:paraId="516C838F" w14:textId="4794F869" w:rsidR="00DE23A0" w:rsidRPr="00DE23A0" w:rsidRDefault="00E96358" w:rsidP="00561C01">
      <w:pPr>
        <w:spacing w:line="360" w:lineRule="auto"/>
        <w:jc w:val="center"/>
        <w:rPr>
          <w:rFonts w:ascii="Calibri" w:hAnsi="Calibri" w:cs="Calibri"/>
          <w:sz w:val="22"/>
          <w:szCs w:val="22"/>
        </w:rPr>
      </w:pPr>
      <w:r w:rsidRPr="00E96358">
        <w:rPr>
          <w:rFonts w:ascii="Calibri" w:hAnsi="Calibri" w:cs="Calibri"/>
          <w:sz w:val="22"/>
          <w:szCs w:val="22"/>
        </w:rPr>
        <w:t>Source: BMW Group (2023, 2024); UK Government (2024).</w:t>
      </w:r>
    </w:p>
    <w:p w14:paraId="4AFFD306" w14:textId="77777777" w:rsidR="00DE23A0" w:rsidRPr="00DE23A0" w:rsidRDefault="00DE23A0" w:rsidP="00DE23A0">
      <w:pPr>
        <w:spacing w:line="360" w:lineRule="auto"/>
        <w:rPr>
          <w:rFonts w:ascii="Calibri" w:hAnsi="Calibri" w:cs="Calibri"/>
          <w:sz w:val="22"/>
          <w:szCs w:val="22"/>
        </w:rPr>
      </w:pPr>
    </w:p>
    <w:p w14:paraId="534F715C" w14:textId="77777777" w:rsidR="00DE23A0" w:rsidRPr="00DE23A0" w:rsidRDefault="00DE23A0" w:rsidP="00DE23A0">
      <w:pPr>
        <w:spacing w:line="360" w:lineRule="auto"/>
        <w:rPr>
          <w:rFonts w:ascii="Calibri" w:hAnsi="Calibri" w:cs="Calibri"/>
          <w:sz w:val="22"/>
          <w:szCs w:val="22"/>
        </w:rPr>
      </w:pPr>
    </w:p>
    <w:p w14:paraId="29BCAAA5" w14:textId="77777777" w:rsidR="00DE23A0" w:rsidRPr="00DE23A0" w:rsidRDefault="00DE23A0" w:rsidP="00DE23A0">
      <w:pPr>
        <w:spacing w:line="360" w:lineRule="auto"/>
        <w:rPr>
          <w:rFonts w:ascii="Calibri" w:hAnsi="Calibri" w:cs="Calibri"/>
          <w:sz w:val="22"/>
          <w:szCs w:val="22"/>
        </w:rPr>
      </w:pPr>
    </w:p>
    <w:p w14:paraId="45EB35B6" w14:textId="77777777" w:rsidR="00DE23A0" w:rsidRPr="00DE23A0" w:rsidRDefault="00DE23A0" w:rsidP="00DE23A0">
      <w:pPr>
        <w:spacing w:line="360" w:lineRule="auto"/>
        <w:rPr>
          <w:rFonts w:ascii="Calibri" w:hAnsi="Calibri" w:cs="Calibri"/>
          <w:sz w:val="22"/>
          <w:szCs w:val="22"/>
        </w:rPr>
      </w:pPr>
    </w:p>
    <w:p w14:paraId="35A090D0" w14:textId="77777777" w:rsidR="00C976D0" w:rsidRDefault="00C976D0" w:rsidP="00DE23A0">
      <w:pPr>
        <w:spacing w:line="360" w:lineRule="auto"/>
        <w:rPr>
          <w:rFonts w:ascii="Calibri" w:hAnsi="Calibri" w:cs="Calibri"/>
          <w:sz w:val="22"/>
          <w:szCs w:val="22"/>
        </w:rPr>
      </w:pPr>
    </w:p>
    <w:p w14:paraId="2D139CEC" w14:textId="34261FD9" w:rsidR="00DE23A0" w:rsidRPr="00060C11" w:rsidRDefault="00DE23A0" w:rsidP="008623D9">
      <w:pPr>
        <w:pStyle w:val="Heading1"/>
      </w:pPr>
      <w:bookmarkStart w:id="7" w:name="_Toc214106258"/>
      <w:r w:rsidRPr="00060C11">
        <w:t>RECOMMENDATIONS &amp; CONCLUSION</w:t>
      </w:r>
      <w:bookmarkEnd w:id="7"/>
    </w:p>
    <w:p w14:paraId="6477CD18" w14:textId="77777777" w:rsidR="00DE23A0" w:rsidRPr="00060C11" w:rsidRDefault="00DE23A0" w:rsidP="00DE23A0">
      <w:pPr>
        <w:spacing w:line="360" w:lineRule="auto"/>
        <w:rPr>
          <w:rFonts w:ascii="Calibri" w:hAnsi="Calibri" w:cs="Calibri"/>
          <w:b/>
          <w:bCs/>
          <w:sz w:val="32"/>
          <w:szCs w:val="32"/>
        </w:rPr>
      </w:pPr>
      <w:r w:rsidRPr="00060C11">
        <w:rPr>
          <w:rFonts w:ascii="Calibri" w:hAnsi="Calibri" w:cs="Calibri"/>
          <w:b/>
          <w:bCs/>
          <w:sz w:val="32"/>
          <w:szCs w:val="32"/>
        </w:rPr>
        <w:t>Recommendations</w:t>
      </w:r>
    </w:p>
    <w:p w14:paraId="6303F6D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Based on the comparative analysis of BMW’s international marketing strategies in the United Kingdom (Country A) and Germany (Country B), several strategic recommendations can be proposed to enhance the company’s performance and ethical alignment in both markets. The recommendations are structured into: UK-specific, Germany-specific, and global (both markets) improvements.</w:t>
      </w:r>
    </w:p>
    <w:p w14:paraId="2A22AB18" w14:textId="77777777" w:rsidR="00DE23A0" w:rsidRPr="00DE23A0" w:rsidRDefault="00DE23A0" w:rsidP="00DE23A0">
      <w:pPr>
        <w:spacing w:line="360" w:lineRule="auto"/>
        <w:rPr>
          <w:rFonts w:ascii="Calibri" w:hAnsi="Calibri" w:cs="Calibri"/>
          <w:sz w:val="22"/>
          <w:szCs w:val="22"/>
        </w:rPr>
      </w:pPr>
    </w:p>
    <w:p w14:paraId="0F0A88A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Recommendations for Country A: United Kingdom</w:t>
      </w:r>
    </w:p>
    <w:p w14:paraId="2228DC0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1. Increase Transparency in Sustainability Messaging</w:t>
      </w:r>
    </w:p>
    <w:p w14:paraId="148D302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While BMW’s EV portfolio is strong, UK consumers are increasingly sceptical of environmental claims. BMW should:</w:t>
      </w:r>
    </w:p>
    <w:p w14:paraId="077D834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Provide clearer real-world emissions data for PHEVs</w:t>
      </w:r>
    </w:p>
    <w:p w14:paraId="7521908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Publish transparent supply-chain sustainability reports</w:t>
      </w:r>
    </w:p>
    <w:p w14:paraId="23B2A08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Use educational campaigns to explain EV battery recycling and circular economy plans</w:t>
      </w:r>
    </w:p>
    <w:p w14:paraId="16C51CE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reduces the risk of greenwashing and strengthens trust.</w:t>
      </w:r>
    </w:p>
    <w:p w14:paraId="22F2BD2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2. Strengthen Digital Personalisation Features</w:t>
      </w:r>
    </w:p>
    <w:p w14:paraId="554F8F4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UK is one of Europe’s most digitally engaged markets. BMW should enhance:</w:t>
      </w:r>
    </w:p>
    <w:p w14:paraId="6839932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AI-driven personalised car configurators</w:t>
      </w:r>
    </w:p>
    <w:p w14:paraId="03CE332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Remote concierge support</w:t>
      </w:r>
    </w:p>
    <w:p w14:paraId="188C402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Digital test-drive booking platforms</w:t>
      </w:r>
    </w:p>
    <w:p w14:paraId="5786A0E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Interactive AR/VR showrooms</w:t>
      </w:r>
    </w:p>
    <w:p w14:paraId="62D71A8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These innovations would further align BMW with UK digital consumer expectations.</w:t>
      </w:r>
    </w:p>
    <w:p w14:paraId="7122774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3. Expand Access to Flexible Ownership Models</w:t>
      </w:r>
    </w:p>
    <w:p w14:paraId="5245BEE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Given UK consumers’ reliance on PCP, BMW should consider:</w:t>
      </w:r>
    </w:p>
    <w:p w14:paraId="58B93FB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Subscription-based ownership schemes</w:t>
      </w:r>
    </w:p>
    <w:p w14:paraId="55CE383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Short-term EV leasing packages</w:t>
      </w:r>
    </w:p>
    <w:p w14:paraId="635006B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Transparent PCP breakdowns with total cost displays</w:t>
      </w:r>
    </w:p>
    <w:p w14:paraId="101ED88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strengthens ethical pricing and reduces long-term affordability concerns.</w:t>
      </w:r>
    </w:p>
    <w:p w14:paraId="0A64728E" w14:textId="77777777" w:rsidR="00DE23A0" w:rsidRPr="00DE23A0" w:rsidRDefault="00DE23A0" w:rsidP="00DE23A0">
      <w:pPr>
        <w:spacing w:line="360" w:lineRule="auto"/>
        <w:rPr>
          <w:rFonts w:ascii="Calibri" w:hAnsi="Calibri" w:cs="Calibri"/>
          <w:sz w:val="22"/>
          <w:szCs w:val="22"/>
        </w:rPr>
      </w:pPr>
    </w:p>
    <w:p w14:paraId="4A8B731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Recommendations for Country B: Germany</w:t>
      </w:r>
    </w:p>
    <w:p w14:paraId="62CA704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1. Incorporate More Lifestyle Elements into German Advertising</w:t>
      </w:r>
    </w:p>
    <w:p w14:paraId="0B430FF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While Germany values engineering excellence, younger consumers are increasingly attracted to emotional and lifestyle content. BMW Germany can:</w:t>
      </w:r>
    </w:p>
    <w:p w14:paraId="26C94AD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Integrate subtle lifestyle narratives into EV communication</w:t>
      </w:r>
    </w:p>
    <w:p w14:paraId="134892C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Showcase diverse driving experiences rather than purely technical performance</w:t>
      </w:r>
    </w:p>
    <w:p w14:paraId="6233245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Use real customer stories to modernise brand image</w:t>
      </w:r>
    </w:p>
    <w:p w14:paraId="5F0543B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may help broaden appeal to younger segments.</w:t>
      </w:r>
    </w:p>
    <w:p w14:paraId="6802B85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2. Reinforce Ethical and Sustainable Innovation Messaging</w:t>
      </w:r>
    </w:p>
    <w:p w14:paraId="4B66AFA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Germany’s environmental expectations are high. BMW should:</w:t>
      </w:r>
    </w:p>
    <w:p w14:paraId="3D6E8A6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Communicate hydrogen and solid-state battery R&amp;D more actively</w:t>
      </w:r>
    </w:p>
    <w:p w14:paraId="54BFF28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Promote the closed-loop recycling system for EV batteries</w:t>
      </w:r>
    </w:p>
    <w:p w14:paraId="62C8C4F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Highlight sustainable materials used in interiors</w:t>
      </w:r>
    </w:p>
    <w:p w14:paraId="4B3A1FD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strengthens BMW’s alignment with Germany’s sustainability-conscious consumer base.</w:t>
      </w:r>
    </w:p>
    <w:p w14:paraId="0FE42D3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3. Increase Engagement with Corporate Fleet Customers</w:t>
      </w:r>
    </w:p>
    <w:p w14:paraId="3FA81E2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Fleet sales are a major driver of German automotive demand. BMW should:</w:t>
      </w:r>
    </w:p>
    <w:p w14:paraId="2F98AED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Develop corporate-focused EV transition programmes</w:t>
      </w:r>
    </w:p>
    <w:p w14:paraId="0F77E8DD"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Offer maintenance and software-service packages for fleets</w:t>
      </w:r>
    </w:p>
    <w:p w14:paraId="062D24B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Provide carbon reporting tools for business customers</w:t>
      </w:r>
    </w:p>
    <w:p w14:paraId="0CE5CCA2" w14:textId="77777777" w:rsidR="00DE23A0" w:rsidRPr="00DE23A0" w:rsidRDefault="00DE23A0" w:rsidP="00DE23A0">
      <w:pPr>
        <w:spacing w:line="360" w:lineRule="auto"/>
        <w:rPr>
          <w:rFonts w:ascii="Calibri" w:hAnsi="Calibri" w:cs="Calibri"/>
          <w:sz w:val="22"/>
          <w:szCs w:val="22"/>
        </w:rPr>
      </w:pPr>
    </w:p>
    <w:p w14:paraId="66E8220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Global Recommendations (Apply to Both Markets)</w:t>
      </w:r>
    </w:p>
    <w:p w14:paraId="726DD20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1. Unite Global and Local Sustainability Messaging</w:t>
      </w:r>
    </w:p>
    <w:p w14:paraId="7A1E9FC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should adopt a “global sustainability core” but adapt communication details locally.</w:t>
      </w:r>
    </w:p>
    <w:p w14:paraId="03E42AF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Example:</w:t>
      </w:r>
    </w:p>
    <w:p w14:paraId="635072C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UK: More lifestyle-oriented eco messaging</w:t>
      </w:r>
    </w:p>
    <w:p w14:paraId="20505FF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lastRenderedPageBreak/>
        <w:t>•</w:t>
      </w:r>
      <w:r w:rsidRPr="00DE23A0">
        <w:rPr>
          <w:rFonts w:ascii="Calibri" w:hAnsi="Calibri" w:cs="Calibri"/>
          <w:sz w:val="22"/>
          <w:szCs w:val="22"/>
        </w:rPr>
        <w:tab/>
        <w:t>Germany: More technical and evidence-based sustainability data</w:t>
      </w:r>
    </w:p>
    <w:p w14:paraId="467D48A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2. Continue Expanding the EV Portfolio and Charging Ecosystem</w:t>
      </w:r>
    </w:p>
    <w:p w14:paraId="4F5875D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 should invest in:</w:t>
      </w:r>
    </w:p>
    <w:p w14:paraId="0FAED1F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Wider EV charging partnerships</w:t>
      </w:r>
    </w:p>
    <w:p w14:paraId="40BAB8E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Increased battery R&amp;D</w:t>
      </w:r>
    </w:p>
    <w:p w14:paraId="5654D95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More affordable EV variants to complement premium offerings</w:t>
      </w:r>
    </w:p>
    <w:p w14:paraId="102229B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3. Integrate AI Across Marketing, Retail, and After-Sales</w:t>
      </w:r>
    </w:p>
    <w:p w14:paraId="09A6D57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This includes personalised maintenance reminders, predictive servicing, and AI chatbots for support.</w:t>
      </w:r>
    </w:p>
    <w:p w14:paraId="60578EAB" w14:textId="77777777" w:rsidR="00DE23A0" w:rsidRPr="00DE23A0" w:rsidRDefault="00DE23A0" w:rsidP="00DE23A0">
      <w:pPr>
        <w:spacing w:line="360" w:lineRule="auto"/>
        <w:rPr>
          <w:rFonts w:ascii="Calibri" w:hAnsi="Calibri" w:cs="Calibri"/>
          <w:sz w:val="22"/>
          <w:szCs w:val="22"/>
        </w:rPr>
      </w:pPr>
    </w:p>
    <w:p w14:paraId="17C06786" w14:textId="77777777" w:rsidR="00C976D0" w:rsidRDefault="00C976D0" w:rsidP="00DE23A0">
      <w:pPr>
        <w:spacing w:line="360" w:lineRule="auto"/>
        <w:rPr>
          <w:rFonts w:ascii="Calibri" w:hAnsi="Calibri" w:cs="Calibri"/>
          <w:b/>
          <w:bCs/>
          <w:sz w:val="22"/>
          <w:szCs w:val="22"/>
        </w:rPr>
      </w:pPr>
    </w:p>
    <w:p w14:paraId="61A73618" w14:textId="77777777" w:rsidR="00C976D0" w:rsidRDefault="00C976D0" w:rsidP="00DE23A0">
      <w:pPr>
        <w:spacing w:line="360" w:lineRule="auto"/>
        <w:rPr>
          <w:rFonts w:ascii="Calibri" w:hAnsi="Calibri" w:cs="Calibri"/>
          <w:b/>
          <w:bCs/>
          <w:sz w:val="22"/>
          <w:szCs w:val="22"/>
        </w:rPr>
      </w:pPr>
    </w:p>
    <w:p w14:paraId="4CFDAF4A" w14:textId="77777777" w:rsidR="00C976D0" w:rsidRDefault="00C976D0" w:rsidP="00DE23A0">
      <w:pPr>
        <w:spacing w:line="360" w:lineRule="auto"/>
        <w:rPr>
          <w:rFonts w:ascii="Calibri" w:hAnsi="Calibri" w:cs="Calibri"/>
          <w:b/>
          <w:bCs/>
          <w:sz w:val="22"/>
          <w:szCs w:val="22"/>
        </w:rPr>
      </w:pPr>
    </w:p>
    <w:p w14:paraId="4F9F9916" w14:textId="77777777" w:rsidR="00C976D0" w:rsidRDefault="00C976D0" w:rsidP="00DE23A0">
      <w:pPr>
        <w:spacing w:line="360" w:lineRule="auto"/>
        <w:rPr>
          <w:rFonts w:ascii="Calibri" w:hAnsi="Calibri" w:cs="Calibri"/>
          <w:b/>
          <w:bCs/>
          <w:sz w:val="22"/>
          <w:szCs w:val="22"/>
        </w:rPr>
      </w:pPr>
    </w:p>
    <w:p w14:paraId="52FAA400" w14:textId="77777777" w:rsidR="00C976D0" w:rsidRDefault="00C976D0" w:rsidP="00DE23A0">
      <w:pPr>
        <w:spacing w:line="360" w:lineRule="auto"/>
        <w:rPr>
          <w:rFonts w:ascii="Calibri" w:hAnsi="Calibri" w:cs="Calibri"/>
          <w:b/>
          <w:bCs/>
          <w:sz w:val="22"/>
          <w:szCs w:val="22"/>
        </w:rPr>
      </w:pPr>
    </w:p>
    <w:p w14:paraId="672B88E9" w14:textId="77777777" w:rsidR="00C976D0" w:rsidRDefault="00C976D0" w:rsidP="00DE23A0">
      <w:pPr>
        <w:spacing w:line="360" w:lineRule="auto"/>
        <w:rPr>
          <w:rFonts w:ascii="Calibri" w:hAnsi="Calibri" w:cs="Calibri"/>
          <w:b/>
          <w:bCs/>
          <w:sz w:val="22"/>
          <w:szCs w:val="22"/>
        </w:rPr>
      </w:pPr>
    </w:p>
    <w:p w14:paraId="3212C118" w14:textId="77777777" w:rsidR="00C976D0" w:rsidRDefault="00C976D0" w:rsidP="00DE23A0">
      <w:pPr>
        <w:spacing w:line="360" w:lineRule="auto"/>
        <w:rPr>
          <w:rFonts w:ascii="Calibri" w:hAnsi="Calibri" w:cs="Calibri"/>
          <w:b/>
          <w:bCs/>
          <w:sz w:val="22"/>
          <w:szCs w:val="22"/>
        </w:rPr>
      </w:pPr>
    </w:p>
    <w:p w14:paraId="1A09138F" w14:textId="0C303FF8" w:rsidR="00DE23A0" w:rsidRPr="00060C11" w:rsidRDefault="00DE23A0" w:rsidP="00DE23A0">
      <w:pPr>
        <w:spacing w:line="360" w:lineRule="auto"/>
        <w:rPr>
          <w:rFonts w:ascii="Calibri" w:hAnsi="Calibri" w:cs="Calibri"/>
          <w:b/>
          <w:bCs/>
          <w:sz w:val="32"/>
          <w:szCs w:val="32"/>
        </w:rPr>
      </w:pPr>
      <w:r w:rsidRPr="00060C11">
        <w:rPr>
          <w:rFonts w:ascii="Calibri" w:hAnsi="Calibri" w:cs="Calibri"/>
          <w:b/>
          <w:bCs/>
          <w:sz w:val="32"/>
          <w:szCs w:val="32"/>
        </w:rPr>
        <w:t>Conclusion</w:t>
      </w:r>
    </w:p>
    <w:p w14:paraId="69401BD4"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BMW’s international marketing strategies in the United Kingdom and Germany demonstrate the brand’s ability to balance global consistency with local responsiveness. In the UK, BMW’s success is built upon aspirational branding, emotional storytelling, digital-first retail, and flexible financing models such as PCP. In Germany, the brand’s strength lies in its engineering heritage, performance orientation, and highly rational promotional communication aligned with local cultural expectations.</w:t>
      </w:r>
    </w:p>
    <w:p w14:paraId="5B788DC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 xml:space="preserve">A comparison of macroenvironmental conditions reveals significant differences between the two countries—from Brexit-related regulatory complexity in the UK to strong industrial and technological </w:t>
      </w:r>
      <w:r w:rsidRPr="00DE23A0">
        <w:rPr>
          <w:rFonts w:ascii="Calibri" w:hAnsi="Calibri" w:cs="Calibri"/>
          <w:sz w:val="22"/>
          <w:szCs w:val="22"/>
        </w:rPr>
        <w:lastRenderedPageBreak/>
        <w:t>stability in Germany. These macroenvironmental contrasts shape BMW’s local marketing strategies across the STP framework and 7Ps.</w:t>
      </w:r>
    </w:p>
    <w:p w14:paraId="3AE3C52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evaluation of performance confirms that BMW is successful in both markets, with strong market share, brand equity, digital engagement, and EV adoption. However, ethical considerations remain around sustainability claims, pricing transparency, and promotional communication accuracy.</w:t>
      </w:r>
    </w:p>
    <w:p w14:paraId="4F0EB23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recommendations in this report provide strategic pathways for BMW to enhance sustainability credibility, strengthen customer trust, innovate digital experiences, and deepen local relevance. By implementing these strategic reforms, BMW can maintain competitive advantage and continue to lead the premium automotive sector across highly diverse international markets.</w:t>
      </w:r>
    </w:p>
    <w:p w14:paraId="01D8EF43" w14:textId="77777777" w:rsidR="00DE23A0" w:rsidRPr="00DE23A0" w:rsidRDefault="00DE23A0" w:rsidP="00DE23A0">
      <w:pPr>
        <w:spacing w:line="360" w:lineRule="auto"/>
        <w:rPr>
          <w:rFonts w:ascii="Calibri" w:hAnsi="Calibri" w:cs="Calibri"/>
          <w:sz w:val="22"/>
          <w:szCs w:val="22"/>
        </w:rPr>
      </w:pPr>
    </w:p>
    <w:p w14:paraId="7A5F7EAE" w14:textId="77777777" w:rsidR="00DE23A0" w:rsidRPr="00DE23A0" w:rsidRDefault="00DE23A0" w:rsidP="00DE23A0">
      <w:pPr>
        <w:spacing w:line="360" w:lineRule="auto"/>
        <w:rPr>
          <w:rFonts w:ascii="Calibri" w:hAnsi="Calibri" w:cs="Calibri"/>
          <w:sz w:val="22"/>
          <w:szCs w:val="22"/>
        </w:rPr>
      </w:pPr>
    </w:p>
    <w:p w14:paraId="3C8BD2E6" w14:textId="77777777" w:rsidR="00DE23A0" w:rsidRPr="00DE23A0" w:rsidRDefault="00DE23A0" w:rsidP="00DE23A0">
      <w:pPr>
        <w:spacing w:line="360" w:lineRule="auto"/>
        <w:rPr>
          <w:rFonts w:ascii="Calibri" w:hAnsi="Calibri" w:cs="Calibri"/>
          <w:sz w:val="22"/>
          <w:szCs w:val="22"/>
        </w:rPr>
      </w:pPr>
    </w:p>
    <w:p w14:paraId="5B268B82" w14:textId="77777777" w:rsidR="00DE23A0" w:rsidRPr="00DE23A0" w:rsidRDefault="00DE23A0" w:rsidP="00DE23A0">
      <w:pPr>
        <w:spacing w:line="360" w:lineRule="auto"/>
        <w:rPr>
          <w:rFonts w:ascii="Calibri" w:hAnsi="Calibri" w:cs="Calibri"/>
          <w:sz w:val="22"/>
          <w:szCs w:val="22"/>
        </w:rPr>
      </w:pPr>
    </w:p>
    <w:p w14:paraId="70C2DEC7" w14:textId="77777777" w:rsidR="00DE23A0" w:rsidRPr="00DE23A0" w:rsidRDefault="00DE23A0" w:rsidP="00DE23A0">
      <w:pPr>
        <w:spacing w:line="360" w:lineRule="auto"/>
        <w:rPr>
          <w:rFonts w:ascii="Calibri" w:hAnsi="Calibri" w:cs="Calibri"/>
          <w:sz w:val="22"/>
          <w:szCs w:val="22"/>
        </w:rPr>
      </w:pPr>
    </w:p>
    <w:p w14:paraId="7EE96F5A" w14:textId="77777777" w:rsidR="00DE23A0" w:rsidRPr="00DE23A0" w:rsidRDefault="00DE23A0" w:rsidP="00DE23A0">
      <w:pPr>
        <w:spacing w:line="360" w:lineRule="auto"/>
        <w:rPr>
          <w:rFonts w:ascii="Calibri" w:hAnsi="Calibri" w:cs="Calibri"/>
          <w:sz w:val="22"/>
          <w:szCs w:val="22"/>
        </w:rPr>
      </w:pPr>
    </w:p>
    <w:p w14:paraId="5C61C1A9" w14:textId="77777777" w:rsidR="00DE23A0" w:rsidRPr="00DE23A0" w:rsidRDefault="00DE23A0" w:rsidP="00DE23A0">
      <w:pPr>
        <w:spacing w:line="360" w:lineRule="auto"/>
        <w:rPr>
          <w:rFonts w:ascii="Calibri" w:hAnsi="Calibri" w:cs="Calibri"/>
          <w:sz w:val="22"/>
          <w:szCs w:val="22"/>
        </w:rPr>
      </w:pPr>
    </w:p>
    <w:p w14:paraId="2D4F54E0" w14:textId="77777777" w:rsidR="00DE23A0" w:rsidRPr="00DE23A0" w:rsidRDefault="00DE23A0" w:rsidP="00DE23A0">
      <w:pPr>
        <w:spacing w:line="360" w:lineRule="auto"/>
        <w:rPr>
          <w:rFonts w:ascii="Calibri" w:hAnsi="Calibri" w:cs="Calibri"/>
          <w:sz w:val="22"/>
          <w:szCs w:val="22"/>
        </w:rPr>
      </w:pPr>
    </w:p>
    <w:p w14:paraId="19CC9263" w14:textId="77777777" w:rsidR="00C976D0" w:rsidRDefault="00C976D0" w:rsidP="00DE23A0">
      <w:pPr>
        <w:spacing w:line="360" w:lineRule="auto"/>
        <w:rPr>
          <w:rFonts w:ascii="Calibri" w:hAnsi="Calibri" w:cs="Calibri"/>
          <w:sz w:val="22"/>
          <w:szCs w:val="22"/>
        </w:rPr>
      </w:pPr>
    </w:p>
    <w:p w14:paraId="3C15EA26" w14:textId="77777777" w:rsidR="008623D9" w:rsidRDefault="008623D9" w:rsidP="008623D9">
      <w:pPr>
        <w:pStyle w:val="Heading1"/>
      </w:pPr>
    </w:p>
    <w:p w14:paraId="23ED93EF" w14:textId="77777777" w:rsidR="008623D9" w:rsidRDefault="008623D9" w:rsidP="008623D9">
      <w:pPr>
        <w:pStyle w:val="Heading1"/>
      </w:pPr>
    </w:p>
    <w:p w14:paraId="28C5D34B" w14:textId="77777777" w:rsidR="008623D9" w:rsidRDefault="008623D9" w:rsidP="008623D9">
      <w:pPr>
        <w:pStyle w:val="Heading1"/>
      </w:pPr>
      <w:bookmarkStart w:id="8" w:name="_Toc214106259"/>
    </w:p>
    <w:p w14:paraId="060976DB" w14:textId="160068EC" w:rsidR="00DE23A0" w:rsidRPr="00C976D0" w:rsidRDefault="00DE23A0" w:rsidP="008623D9">
      <w:pPr>
        <w:pStyle w:val="Heading1"/>
      </w:pPr>
      <w:r w:rsidRPr="00C976D0">
        <w:t>REFERENCE LIST</w:t>
      </w:r>
      <w:bookmarkEnd w:id="8"/>
    </w:p>
    <w:p w14:paraId="15A3F17D"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BMW Group (2023) </w:t>
      </w:r>
      <w:r w:rsidRPr="00392DC5">
        <w:rPr>
          <w:rFonts w:ascii="Calibri" w:hAnsi="Calibri" w:cs="Calibri"/>
          <w:i/>
          <w:iCs/>
          <w:sz w:val="22"/>
          <w:szCs w:val="22"/>
        </w:rPr>
        <w:t>Annual Report 2023.</w:t>
      </w:r>
      <w:r w:rsidRPr="00392DC5">
        <w:rPr>
          <w:rFonts w:ascii="Calibri" w:hAnsi="Calibri" w:cs="Calibri"/>
          <w:sz w:val="22"/>
          <w:szCs w:val="22"/>
        </w:rPr>
        <w:t xml:space="preserve"> Munich: BMW Group.</w:t>
      </w:r>
    </w:p>
    <w:p w14:paraId="4D740028"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BMW Group (2024) </w:t>
      </w:r>
      <w:r w:rsidRPr="00392DC5">
        <w:rPr>
          <w:rFonts w:ascii="Calibri" w:hAnsi="Calibri" w:cs="Calibri"/>
          <w:i/>
          <w:iCs/>
          <w:sz w:val="22"/>
          <w:szCs w:val="22"/>
        </w:rPr>
        <w:t>BMW Sustainability Report 2024.</w:t>
      </w:r>
      <w:r w:rsidRPr="00392DC5">
        <w:rPr>
          <w:rFonts w:ascii="Calibri" w:hAnsi="Calibri" w:cs="Calibri"/>
          <w:sz w:val="22"/>
          <w:szCs w:val="22"/>
        </w:rPr>
        <w:t xml:space="preserve"> Available at: </w:t>
      </w:r>
      <w:hyperlink r:id="rId9" w:tgtFrame="_new" w:history="1">
        <w:r w:rsidRPr="00392DC5">
          <w:rPr>
            <w:rStyle w:val="Hyperlink"/>
            <w:rFonts w:ascii="Calibri" w:hAnsi="Calibri" w:cs="Calibri"/>
            <w:sz w:val="22"/>
            <w:szCs w:val="22"/>
          </w:rPr>
          <w:t>https://www.bmwgroup.com</w:t>
        </w:r>
      </w:hyperlink>
      <w:r w:rsidRPr="00392DC5">
        <w:rPr>
          <w:rFonts w:ascii="Calibri" w:hAnsi="Calibri" w:cs="Calibri"/>
          <w:sz w:val="22"/>
          <w:szCs w:val="22"/>
        </w:rPr>
        <w:t xml:space="preserve"> (Accessed: 14 November 2025).</w:t>
      </w:r>
    </w:p>
    <w:p w14:paraId="7636DDC3"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Hofstede Insights (2023) </w:t>
      </w:r>
      <w:r w:rsidRPr="00392DC5">
        <w:rPr>
          <w:rFonts w:ascii="Calibri" w:hAnsi="Calibri" w:cs="Calibri"/>
          <w:i/>
          <w:iCs/>
          <w:sz w:val="22"/>
          <w:szCs w:val="22"/>
        </w:rPr>
        <w:t>Country Comparison: Germany and United Kingdom.</w:t>
      </w:r>
      <w:r w:rsidRPr="00392DC5">
        <w:rPr>
          <w:rFonts w:ascii="Calibri" w:hAnsi="Calibri" w:cs="Calibri"/>
          <w:sz w:val="22"/>
          <w:szCs w:val="22"/>
        </w:rPr>
        <w:t xml:space="preserve"> Available at: </w:t>
      </w:r>
      <w:hyperlink r:id="rId10" w:tgtFrame="_new" w:history="1">
        <w:r w:rsidRPr="00392DC5">
          <w:rPr>
            <w:rStyle w:val="Hyperlink"/>
            <w:rFonts w:ascii="Calibri" w:hAnsi="Calibri" w:cs="Calibri"/>
            <w:sz w:val="22"/>
            <w:szCs w:val="22"/>
          </w:rPr>
          <w:t>https://www.hofstede-insights.com</w:t>
        </w:r>
      </w:hyperlink>
      <w:r w:rsidRPr="00392DC5">
        <w:rPr>
          <w:rFonts w:ascii="Calibri" w:hAnsi="Calibri" w:cs="Calibri"/>
          <w:sz w:val="22"/>
          <w:szCs w:val="22"/>
        </w:rPr>
        <w:t xml:space="preserve"> (Accessed: 14 November 2025).</w:t>
      </w:r>
    </w:p>
    <w:p w14:paraId="31E67CE0"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Kantor BrandZ (2024) </w:t>
      </w:r>
      <w:r w:rsidRPr="00392DC5">
        <w:rPr>
          <w:rFonts w:ascii="Calibri" w:hAnsi="Calibri" w:cs="Calibri"/>
          <w:i/>
          <w:iCs/>
          <w:sz w:val="22"/>
          <w:szCs w:val="22"/>
        </w:rPr>
        <w:t>Top 100 Most Valuable Global Brands.</w:t>
      </w:r>
      <w:r w:rsidRPr="00392DC5">
        <w:rPr>
          <w:rFonts w:ascii="Calibri" w:hAnsi="Calibri" w:cs="Calibri"/>
          <w:sz w:val="22"/>
          <w:szCs w:val="22"/>
        </w:rPr>
        <w:t xml:space="preserve"> London: Kantor.</w:t>
      </w:r>
    </w:p>
    <w:p w14:paraId="72515ABD"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Levitt, T. (1983) ‘The globalization of markets’, </w:t>
      </w:r>
      <w:r w:rsidRPr="00392DC5">
        <w:rPr>
          <w:rFonts w:ascii="Calibri" w:hAnsi="Calibri" w:cs="Calibri"/>
          <w:i/>
          <w:iCs/>
          <w:sz w:val="22"/>
          <w:szCs w:val="22"/>
        </w:rPr>
        <w:t>Harvard Business Review</w:t>
      </w:r>
      <w:r w:rsidRPr="00392DC5">
        <w:rPr>
          <w:rFonts w:ascii="Calibri" w:hAnsi="Calibri" w:cs="Calibri"/>
          <w:sz w:val="22"/>
          <w:szCs w:val="22"/>
        </w:rPr>
        <w:t>, 61(3), pp. 92–102.</w:t>
      </w:r>
    </w:p>
    <w:p w14:paraId="3612FBCC"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Mintel (2023) </w:t>
      </w:r>
      <w:r w:rsidRPr="00392DC5">
        <w:rPr>
          <w:rFonts w:ascii="Calibri" w:hAnsi="Calibri" w:cs="Calibri"/>
          <w:i/>
          <w:iCs/>
          <w:sz w:val="22"/>
          <w:szCs w:val="22"/>
        </w:rPr>
        <w:t>UK Automotive Market Report.</w:t>
      </w:r>
      <w:r w:rsidRPr="00392DC5">
        <w:rPr>
          <w:rFonts w:ascii="Calibri" w:hAnsi="Calibri" w:cs="Calibri"/>
          <w:sz w:val="22"/>
          <w:szCs w:val="22"/>
        </w:rPr>
        <w:t xml:space="preserve"> London: Mintel Group.</w:t>
      </w:r>
    </w:p>
    <w:p w14:paraId="115293C2"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PwC (2024) </w:t>
      </w:r>
      <w:r w:rsidRPr="00392DC5">
        <w:rPr>
          <w:rFonts w:ascii="Calibri" w:hAnsi="Calibri" w:cs="Calibri"/>
          <w:i/>
          <w:iCs/>
          <w:sz w:val="22"/>
          <w:szCs w:val="22"/>
        </w:rPr>
        <w:t>Electric Vehicle Outlook.</w:t>
      </w:r>
      <w:r w:rsidRPr="00392DC5">
        <w:rPr>
          <w:rFonts w:ascii="Calibri" w:hAnsi="Calibri" w:cs="Calibri"/>
          <w:sz w:val="22"/>
          <w:szCs w:val="22"/>
        </w:rPr>
        <w:t xml:space="preserve"> London: PwC.</w:t>
      </w:r>
    </w:p>
    <w:p w14:paraId="27FB3A5E"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Statista (2024a) ‘BMW market share in Germany’, </w:t>
      </w:r>
      <w:r w:rsidRPr="00392DC5">
        <w:rPr>
          <w:rFonts w:ascii="Calibri" w:hAnsi="Calibri" w:cs="Calibri"/>
          <w:i/>
          <w:iCs/>
          <w:sz w:val="22"/>
          <w:szCs w:val="22"/>
        </w:rPr>
        <w:t>Statista Automotive</w:t>
      </w:r>
      <w:r w:rsidRPr="00392DC5">
        <w:rPr>
          <w:rFonts w:ascii="Calibri" w:hAnsi="Calibri" w:cs="Calibri"/>
          <w:sz w:val="22"/>
          <w:szCs w:val="22"/>
        </w:rPr>
        <w:t xml:space="preserve">. Available at: </w:t>
      </w:r>
      <w:hyperlink r:id="rId11" w:tgtFrame="_new" w:history="1">
        <w:r w:rsidRPr="00392DC5">
          <w:rPr>
            <w:rStyle w:val="Hyperlink"/>
            <w:rFonts w:ascii="Calibri" w:hAnsi="Calibri" w:cs="Calibri"/>
            <w:sz w:val="22"/>
            <w:szCs w:val="22"/>
          </w:rPr>
          <w:t>https://www.statista.com</w:t>
        </w:r>
      </w:hyperlink>
      <w:r w:rsidRPr="00392DC5">
        <w:rPr>
          <w:rFonts w:ascii="Calibri" w:hAnsi="Calibri" w:cs="Calibri"/>
          <w:sz w:val="22"/>
          <w:szCs w:val="22"/>
        </w:rPr>
        <w:t xml:space="preserve"> (Accessed: 14 November 2025).</w:t>
      </w:r>
    </w:p>
    <w:p w14:paraId="6BFAE729"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Statista (2024b) ‘BMW electric vehicle sales worldwide’, </w:t>
      </w:r>
      <w:r w:rsidRPr="00392DC5">
        <w:rPr>
          <w:rFonts w:ascii="Calibri" w:hAnsi="Calibri" w:cs="Calibri"/>
          <w:i/>
          <w:iCs/>
          <w:sz w:val="22"/>
          <w:szCs w:val="22"/>
        </w:rPr>
        <w:t>Statista EV Insights.</w:t>
      </w:r>
    </w:p>
    <w:p w14:paraId="138306E2" w14:textId="77777777" w:rsidR="00A128C1" w:rsidRPr="00392DC5" w:rsidRDefault="00A128C1" w:rsidP="00A128C1">
      <w:pPr>
        <w:spacing w:line="360" w:lineRule="auto"/>
        <w:rPr>
          <w:rFonts w:ascii="Calibri" w:hAnsi="Calibri" w:cs="Calibri"/>
          <w:sz w:val="22"/>
          <w:szCs w:val="22"/>
        </w:rPr>
      </w:pPr>
      <w:r w:rsidRPr="00392DC5">
        <w:rPr>
          <w:rFonts w:ascii="Calibri" w:hAnsi="Calibri" w:cs="Calibri"/>
          <w:sz w:val="22"/>
          <w:szCs w:val="22"/>
        </w:rPr>
        <w:t xml:space="preserve">UK Government (2024) </w:t>
      </w:r>
      <w:r w:rsidRPr="00392DC5">
        <w:rPr>
          <w:rFonts w:ascii="Calibri" w:hAnsi="Calibri" w:cs="Calibri"/>
          <w:i/>
          <w:iCs/>
          <w:sz w:val="22"/>
          <w:szCs w:val="22"/>
        </w:rPr>
        <w:t>Road to Zero Strategy.</w:t>
      </w:r>
      <w:r w:rsidRPr="00392DC5">
        <w:rPr>
          <w:rFonts w:ascii="Calibri" w:hAnsi="Calibri" w:cs="Calibri"/>
          <w:sz w:val="22"/>
          <w:szCs w:val="22"/>
        </w:rPr>
        <w:t xml:space="preserve"> Available at: </w:t>
      </w:r>
      <w:hyperlink r:id="rId12" w:tgtFrame="_new" w:history="1">
        <w:r w:rsidRPr="00392DC5">
          <w:rPr>
            <w:rStyle w:val="Hyperlink"/>
            <w:rFonts w:ascii="Calibri" w:hAnsi="Calibri" w:cs="Calibri"/>
            <w:sz w:val="22"/>
            <w:szCs w:val="22"/>
          </w:rPr>
          <w:t>https://www.gov.uk</w:t>
        </w:r>
      </w:hyperlink>
      <w:r w:rsidRPr="00392DC5">
        <w:rPr>
          <w:rFonts w:ascii="Calibri" w:hAnsi="Calibri" w:cs="Calibri"/>
          <w:sz w:val="22"/>
          <w:szCs w:val="22"/>
        </w:rPr>
        <w:t xml:space="preserve"> (Accessed: 14 November 2025).</w:t>
      </w:r>
    </w:p>
    <w:p w14:paraId="553FF588" w14:textId="77777777" w:rsidR="00DE23A0" w:rsidRPr="00DE23A0" w:rsidRDefault="00DE23A0" w:rsidP="00DE23A0">
      <w:pPr>
        <w:spacing w:line="360" w:lineRule="auto"/>
        <w:rPr>
          <w:rFonts w:ascii="Calibri" w:hAnsi="Calibri" w:cs="Calibri"/>
          <w:sz w:val="22"/>
          <w:szCs w:val="22"/>
        </w:rPr>
      </w:pPr>
    </w:p>
    <w:p w14:paraId="11BB32BC" w14:textId="77777777" w:rsidR="00DE23A0" w:rsidRPr="00DE23A0" w:rsidRDefault="00DE23A0" w:rsidP="00DE23A0">
      <w:pPr>
        <w:spacing w:line="360" w:lineRule="auto"/>
        <w:rPr>
          <w:rFonts w:ascii="Calibri" w:hAnsi="Calibri" w:cs="Calibri"/>
          <w:sz w:val="22"/>
          <w:szCs w:val="22"/>
        </w:rPr>
      </w:pPr>
    </w:p>
    <w:p w14:paraId="06C24E43" w14:textId="77777777" w:rsidR="008623D9" w:rsidRDefault="008623D9" w:rsidP="008623D9">
      <w:pPr>
        <w:pStyle w:val="Heading1"/>
      </w:pPr>
      <w:bookmarkStart w:id="9" w:name="_Toc214106260"/>
    </w:p>
    <w:p w14:paraId="165EF74C" w14:textId="6E1A6C86" w:rsidR="00DE23A0" w:rsidRPr="00A128C1" w:rsidRDefault="00DE23A0" w:rsidP="008623D9">
      <w:pPr>
        <w:pStyle w:val="Heading1"/>
      </w:pPr>
      <w:r w:rsidRPr="00A128C1">
        <w:t>APPENDIX</w:t>
      </w:r>
      <w:bookmarkEnd w:id="9"/>
    </w:p>
    <w:p w14:paraId="5441D156" w14:textId="77777777" w:rsidR="00DE23A0" w:rsidRPr="00A128C1" w:rsidRDefault="00DE23A0" w:rsidP="00DE23A0">
      <w:pPr>
        <w:spacing w:line="360" w:lineRule="auto"/>
        <w:rPr>
          <w:rFonts w:ascii="Calibri" w:hAnsi="Calibri" w:cs="Calibri"/>
          <w:b/>
          <w:bCs/>
          <w:sz w:val="22"/>
          <w:szCs w:val="22"/>
        </w:rPr>
      </w:pPr>
      <w:r w:rsidRPr="00A128C1">
        <w:rPr>
          <w:rFonts w:ascii="Calibri" w:hAnsi="Calibri" w:cs="Calibri"/>
          <w:b/>
          <w:bCs/>
          <w:sz w:val="22"/>
          <w:szCs w:val="22"/>
        </w:rPr>
        <w:t>Appendix A: Advertising Examples (UK vs Germany)</w:t>
      </w:r>
    </w:p>
    <w:p w14:paraId="7C08B475" w14:textId="77777777" w:rsidR="00DE23A0" w:rsidRPr="00DE23A0" w:rsidRDefault="00DE23A0" w:rsidP="00DE23A0">
      <w:pPr>
        <w:spacing w:line="360" w:lineRule="auto"/>
        <w:rPr>
          <w:rFonts w:ascii="Calibri" w:hAnsi="Calibri" w:cs="Calibri"/>
          <w:sz w:val="22"/>
          <w:szCs w:val="22"/>
        </w:rPr>
      </w:pPr>
    </w:p>
    <w:p w14:paraId="74FFD75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A1. BMW i4 UK Campaign (2024) – Description</w:t>
      </w:r>
    </w:p>
    <w:p w14:paraId="15F5727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A London-based outdoor poster showing a young professional stepping out of a BMW i4. The tagline reads: “The Future Feels Electric.”</w:t>
      </w:r>
    </w:p>
    <w:p w14:paraId="0433E4F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Focuses on lifestyle, aspiration, and modern urban identity.</w:t>
      </w:r>
    </w:p>
    <w:p w14:paraId="55E3ACFF"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Minimal technical information included.</w:t>
      </w:r>
    </w:p>
    <w:p w14:paraId="1A70A79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A2. BMW i4 Germany Campaign (2024) – Description</w:t>
      </w:r>
    </w:p>
    <w:p w14:paraId="6EDA872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A German TV spot featuring battery technology animations, torque curves, and safety demonstrations.</w:t>
      </w:r>
    </w:p>
    <w:p w14:paraId="5080A71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The tagline reads: “Technologie, die bewegt.”</w:t>
      </w:r>
    </w:p>
    <w:p w14:paraId="7296B375"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Focuses on engineering, efficiency, and technical detail.</w:t>
      </w:r>
    </w:p>
    <w:p w14:paraId="1A6F7FC0" w14:textId="77777777" w:rsidR="00DE23A0" w:rsidRPr="00DE23A0" w:rsidRDefault="00DE23A0" w:rsidP="00DE23A0">
      <w:pPr>
        <w:spacing w:line="360" w:lineRule="auto"/>
        <w:rPr>
          <w:rFonts w:ascii="Calibri" w:hAnsi="Calibri" w:cs="Calibri"/>
          <w:sz w:val="22"/>
          <w:szCs w:val="22"/>
        </w:rPr>
      </w:pPr>
    </w:p>
    <w:p w14:paraId="74FFA804" w14:textId="6B428E42" w:rsidR="00DE23A0" w:rsidRPr="00DE23A0" w:rsidRDefault="000F669E" w:rsidP="00DE23A0">
      <w:pPr>
        <w:spacing w:line="360" w:lineRule="auto"/>
        <w:rPr>
          <w:rFonts w:ascii="Calibri" w:hAnsi="Calibri" w:cs="Calibri"/>
          <w:sz w:val="22"/>
          <w:szCs w:val="22"/>
        </w:rPr>
      </w:pPr>
      <w:r w:rsidRPr="000F669E">
        <w:rPr>
          <w:rFonts w:ascii="Calibri" w:hAnsi="Calibri" w:cs="Calibri"/>
          <w:sz w:val="22"/>
          <w:szCs w:val="22"/>
        </w:rPr>
        <w:t>Source: BMW UK Marketing Campaign (2024); BMW Germany TV Campaign (2024).</w:t>
      </w:r>
    </w:p>
    <w:p w14:paraId="0EDD8ABB" w14:textId="77777777" w:rsidR="00DE23A0" w:rsidRPr="00DE23A0" w:rsidRDefault="00DE23A0" w:rsidP="00DE23A0">
      <w:pPr>
        <w:spacing w:line="360" w:lineRule="auto"/>
        <w:rPr>
          <w:rFonts w:ascii="Calibri" w:hAnsi="Calibri" w:cs="Calibri"/>
          <w:sz w:val="22"/>
          <w:szCs w:val="22"/>
        </w:rPr>
      </w:pPr>
    </w:p>
    <w:p w14:paraId="641FE35A" w14:textId="77777777" w:rsidR="00DE23A0" w:rsidRPr="00DE23A0" w:rsidRDefault="00DE23A0" w:rsidP="00DE23A0">
      <w:pPr>
        <w:spacing w:line="360" w:lineRule="auto"/>
        <w:rPr>
          <w:rFonts w:ascii="Calibri" w:hAnsi="Calibri" w:cs="Calibri"/>
          <w:sz w:val="22"/>
          <w:szCs w:val="22"/>
        </w:rPr>
      </w:pPr>
    </w:p>
    <w:p w14:paraId="3661CF1C" w14:textId="77777777" w:rsidR="00DE23A0" w:rsidRPr="00DE23A0" w:rsidRDefault="00DE23A0" w:rsidP="00DE23A0">
      <w:pPr>
        <w:spacing w:line="360" w:lineRule="auto"/>
        <w:rPr>
          <w:rFonts w:ascii="Calibri" w:hAnsi="Calibri" w:cs="Calibri"/>
          <w:sz w:val="22"/>
          <w:szCs w:val="22"/>
        </w:rPr>
      </w:pPr>
    </w:p>
    <w:p w14:paraId="61532FB9" w14:textId="77777777" w:rsidR="00DE23A0" w:rsidRPr="00DE23A0" w:rsidRDefault="00DE23A0" w:rsidP="00DE23A0">
      <w:pPr>
        <w:spacing w:line="360" w:lineRule="auto"/>
        <w:rPr>
          <w:rFonts w:ascii="Calibri" w:hAnsi="Calibri" w:cs="Calibri"/>
          <w:sz w:val="22"/>
          <w:szCs w:val="22"/>
        </w:rPr>
      </w:pPr>
    </w:p>
    <w:p w14:paraId="4F5AC225" w14:textId="77777777" w:rsidR="00DE23A0" w:rsidRPr="00DE23A0" w:rsidRDefault="00DE23A0" w:rsidP="00DE23A0">
      <w:pPr>
        <w:spacing w:line="360" w:lineRule="auto"/>
        <w:rPr>
          <w:rFonts w:ascii="Calibri" w:hAnsi="Calibri" w:cs="Calibri"/>
          <w:sz w:val="22"/>
          <w:szCs w:val="22"/>
        </w:rPr>
      </w:pPr>
    </w:p>
    <w:p w14:paraId="67D6DB88" w14:textId="77777777" w:rsidR="00DE23A0" w:rsidRPr="00DE23A0" w:rsidRDefault="00DE23A0" w:rsidP="00DE23A0">
      <w:pPr>
        <w:spacing w:line="360" w:lineRule="auto"/>
        <w:rPr>
          <w:rFonts w:ascii="Calibri" w:hAnsi="Calibri" w:cs="Calibri"/>
          <w:sz w:val="22"/>
          <w:szCs w:val="22"/>
        </w:rPr>
      </w:pPr>
    </w:p>
    <w:p w14:paraId="38B0E54C" w14:textId="77777777" w:rsidR="00DE23A0" w:rsidRPr="00DE23A0" w:rsidRDefault="00DE23A0" w:rsidP="00DE23A0">
      <w:pPr>
        <w:spacing w:line="360" w:lineRule="auto"/>
        <w:rPr>
          <w:rFonts w:ascii="Calibri" w:hAnsi="Calibri" w:cs="Calibri"/>
          <w:sz w:val="22"/>
          <w:szCs w:val="22"/>
        </w:rPr>
      </w:pPr>
    </w:p>
    <w:p w14:paraId="755955DE" w14:textId="77777777" w:rsidR="00DE23A0" w:rsidRPr="00DE23A0" w:rsidRDefault="00DE23A0" w:rsidP="00DE23A0">
      <w:pPr>
        <w:spacing w:line="360" w:lineRule="auto"/>
        <w:rPr>
          <w:rFonts w:ascii="Calibri" w:hAnsi="Calibri" w:cs="Calibri"/>
          <w:sz w:val="22"/>
          <w:szCs w:val="22"/>
        </w:rPr>
      </w:pPr>
    </w:p>
    <w:p w14:paraId="7F402DDD" w14:textId="77777777" w:rsidR="00DE23A0" w:rsidRPr="00A128C1" w:rsidRDefault="00DE23A0" w:rsidP="00DE23A0">
      <w:pPr>
        <w:spacing w:line="360" w:lineRule="auto"/>
        <w:rPr>
          <w:rFonts w:ascii="Calibri" w:hAnsi="Calibri" w:cs="Calibri"/>
          <w:b/>
          <w:bCs/>
          <w:sz w:val="22"/>
          <w:szCs w:val="22"/>
        </w:rPr>
      </w:pPr>
      <w:r w:rsidRPr="00A128C1">
        <w:rPr>
          <w:rFonts w:ascii="Calibri" w:hAnsi="Calibri" w:cs="Calibri"/>
          <w:b/>
          <w:bCs/>
          <w:sz w:val="22"/>
          <w:szCs w:val="22"/>
        </w:rPr>
        <w:lastRenderedPageBreak/>
        <w:t>Appendix B: Price Comparison Table (UK vs Germany)</w:t>
      </w:r>
    </w:p>
    <w:p w14:paraId="5C2C802E" w14:textId="77777777" w:rsidR="00DE23A0" w:rsidRPr="00DE23A0" w:rsidRDefault="00DE23A0" w:rsidP="00DE23A0">
      <w:pPr>
        <w:spacing w:line="360" w:lineRule="auto"/>
        <w:rPr>
          <w:rFonts w:ascii="Calibri" w:hAnsi="Calibri" w:cs="Calibri"/>
          <w:sz w:val="22"/>
          <w:szCs w:val="22"/>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60"/>
        <w:gridCol w:w="1389"/>
        <w:gridCol w:w="1899"/>
        <w:gridCol w:w="4502"/>
      </w:tblGrid>
      <w:tr w:rsidR="006372DA" w:rsidRPr="00211799" w14:paraId="5C55C925" w14:textId="77777777" w:rsidTr="00000181">
        <w:trPr>
          <w:tblHeader/>
          <w:tblCellSpacing w:w="15" w:type="dxa"/>
          <w:jc w:val="center"/>
        </w:trPr>
        <w:tc>
          <w:tcPr>
            <w:tcW w:w="0" w:type="auto"/>
            <w:vAlign w:val="center"/>
            <w:hideMark/>
          </w:tcPr>
          <w:p w14:paraId="5069F42F" w14:textId="77777777" w:rsidR="006372DA" w:rsidRPr="00211799" w:rsidRDefault="006372DA" w:rsidP="006372DA">
            <w:pPr>
              <w:spacing w:line="360" w:lineRule="auto"/>
              <w:jc w:val="center"/>
              <w:rPr>
                <w:rFonts w:ascii="Calibri" w:hAnsi="Calibri" w:cs="Calibri"/>
                <w:b/>
                <w:bCs/>
                <w:sz w:val="22"/>
                <w:szCs w:val="22"/>
              </w:rPr>
            </w:pPr>
            <w:r w:rsidRPr="00211799">
              <w:rPr>
                <w:rFonts w:ascii="Calibri" w:hAnsi="Calibri" w:cs="Calibri"/>
                <w:b/>
                <w:bCs/>
                <w:sz w:val="22"/>
                <w:szCs w:val="22"/>
              </w:rPr>
              <w:t>Model</w:t>
            </w:r>
          </w:p>
        </w:tc>
        <w:tc>
          <w:tcPr>
            <w:tcW w:w="0" w:type="auto"/>
            <w:vAlign w:val="center"/>
            <w:hideMark/>
          </w:tcPr>
          <w:p w14:paraId="0BC97D74" w14:textId="77777777" w:rsidR="006372DA" w:rsidRPr="00211799" w:rsidRDefault="006372DA" w:rsidP="006372DA">
            <w:pPr>
              <w:spacing w:line="360" w:lineRule="auto"/>
              <w:jc w:val="center"/>
              <w:rPr>
                <w:rFonts w:ascii="Calibri" w:hAnsi="Calibri" w:cs="Calibri"/>
                <w:b/>
                <w:bCs/>
                <w:sz w:val="22"/>
                <w:szCs w:val="22"/>
              </w:rPr>
            </w:pPr>
            <w:r w:rsidRPr="00211799">
              <w:rPr>
                <w:rFonts w:ascii="Calibri" w:hAnsi="Calibri" w:cs="Calibri"/>
                <w:b/>
                <w:bCs/>
                <w:sz w:val="22"/>
                <w:szCs w:val="22"/>
              </w:rPr>
              <w:t>UK Price (2024)</w:t>
            </w:r>
          </w:p>
        </w:tc>
        <w:tc>
          <w:tcPr>
            <w:tcW w:w="0" w:type="auto"/>
            <w:vAlign w:val="center"/>
            <w:hideMark/>
          </w:tcPr>
          <w:p w14:paraId="4BDE7E77" w14:textId="77777777" w:rsidR="006372DA" w:rsidRPr="00211799" w:rsidRDefault="006372DA" w:rsidP="006372DA">
            <w:pPr>
              <w:spacing w:line="360" w:lineRule="auto"/>
              <w:jc w:val="center"/>
              <w:rPr>
                <w:rFonts w:ascii="Calibri" w:hAnsi="Calibri" w:cs="Calibri"/>
                <w:b/>
                <w:bCs/>
                <w:sz w:val="22"/>
                <w:szCs w:val="22"/>
              </w:rPr>
            </w:pPr>
            <w:r w:rsidRPr="00211799">
              <w:rPr>
                <w:rFonts w:ascii="Calibri" w:hAnsi="Calibri" w:cs="Calibri"/>
                <w:b/>
                <w:bCs/>
                <w:sz w:val="22"/>
                <w:szCs w:val="22"/>
              </w:rPr>
              <w:t>Germany Price (2024)</w:t>
            </w:r>
          </w:p>
        </w:tc>
        <w:tc>
          <w:tcPr>
            <w:tcW w:w="0" w:type="auto"/>
            <w:vAlign w:val="center"/>
            <w:hideMark/>
          </w:tcPr>
          <w:p w14:paraId="31A68555" w14:textId="77777777" w:rsidR="006372DA" w:rsidRPr="00211799" w:rsidRDefault="006372DA" w:rsidP="006372DA">
            <w:pPr>
              <w:spacing w:line="360" w:lineRule="auto"/>
              <w:jc w:val="center"/>
              <w:rPr>
                <w:rFonts w:ascii="Calibri" w:hAnsi="Calibri" w:cs="Calibri"/>
                <w:b/>
                <w:bCs/>
                <w:sz w:val="22"/>
                <w:szCs w:val="22"/>
              </w:rPr>
            </w:pPr>
            <w:r w:rsidRPr="00211799">
              <w:rPr>
                <w:rFonts w:ascii="Calibri" w:hAnsi="Calibri" w:cs="Calibri"/>
                <w:b/>
                <w:bCs/>
                <w:sz w:val="22"/>
                <w:szCs w:val="22"/>
              </w:rPr>
              <w:t>Notes</w:t>
            </w:r>
          </w:p>
        </w:tc>
      </w:tr>
      <w:tr w:rsidR="006372DA" w:rsidRPr="00211799" w14:paraId="4323F885" w14:textId="77777777" w:rsidTr="00000181">
        <w:trPr>
          <w:tblCellSpacing w:w="15" w:type="dxa"/>
          <w:jc w:val="center"/>
        </w:trPr>
        <w:tc>
          <w:tcPr>
            <w:tcW w:w="0" w:type="auto"/>
            <w:vAlign w:val="center"/>
            <w:hideMark/>
          </w:tcPr>
          <w:p w14:paraId="62128447"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BMW 320i</w:t>
            </w:r>
          </w:p>
        </w:tc>
        <w:tc>
          <w:tcPr>
            <w:tcW w:w="0" w:type="auto"/>
            <w:vAlign w:val="center"/>
            <w:hideMark/>
          </w:tcPr>
          <w:p w14:paraId="7B6990F3"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£38,000</w:t>
            </w:r>
          </w:p>
        </w:tc>
        <w:tc>
          <w:tcPr>
            <w:tcW w:w="0" w:type="auto"/>
            <w:vAlign w:val="center"/>
            <w:hideMark/>
          </w:tcPr>
          <w:p w14:paraId="1BEAAF78"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€45,900</w:t>
            </w:r>
          </w:p>
        </w:tc>
        <w:tc>
          <w:tcPr>
            <w:tcW w:w="0" w:type="auto"/>
            <w:vAlign w:val="center"/>
            <w:hideMark/>
          </w:tcPr>
          <w:p w14:paraId="155A455F"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UK focuses on PCP; DE emphasises engineering options</w:t>
            </w:r>
          </w:p>
        </w:tc>
      </w:tr>
      <w:tr w:rsidR="006372DA" w:rsidRPr="00211799" w14:paraId="6A3D22F2" w14:textId="77777777" w:rsidTr="00000181">
        <w:trPr>
          <w:tblCellSpacing w:w="15" w:type="dxa"/>
          <w:jc w:val="center"/>
        </w:trPr>
        <w:tc>
          <w:tcPr>
            <w:tcW w:w="0" w:type="auto"/>
            <w:vAlign w:val="center"/>
            <w:hideMark/>
          </w:tcPr>
          <w:p w14:paraId="5601EA32"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BMW i4 eDrive40</w:t>
            </w:r>
          </w:p>
        </w:tc>
        <w:tc>
          <w:tcPr>
            <w:tcW w:w="0" w:type="auto"/>
            <w:vAlign w:val="center"/>
            <w:hideMark/>
          </w:tcPr>
          <w:p w14:paraId="22825EE0"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£50,755</w:t>
            </w:r>
          </w:p>
        </w:tc>
        <w:tc>
          <w:tcPr>
            <w:tcW w:w="0" w:type="auto"/>
            <w:vAlign w:val="center"/>
            <w:hideMark/>
          </w:tcPr>
          <w:p w14:paraId="7E7E81A0"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€56,500</w:t>
            </w:r>
          </w:p>
        </w:tc>
        <w:tc>
          <w:tcPr>
            <w:tcW w:w="0" w:type="auto"/>
            <w:vAlign w:val="center"/>
            <w:hideMark/>
          </w:tcPr>
          <w:p w14:paraId="563FD78D"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EV incentives differ by market</w:t>
            </w:r>
          </w:p>
        </w:tc>
      </w:tr>
      <w:tr w:rsidR="006372DA" w:rsidRPr="00211799" w14:paraId="47B215BA" w14:textId="77777777" w:rsidTr="00000181">
        <w:trPr>
          <w:tblCellSpacing w:w="15" w:type="dxa"/>
          <w:jc w:val="center"/>
        </w:trPr>
        <w:tc>
          <w:tcPr>
            <w:tcW w:w="0" w:type="auto"/>
            <w:vAlign w:val="center"/>
            <w:hideMark/>
          </w:tcPr>
          <w:p w14:paraId="46729F3D"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BMW X1</w:t>
            </w:r>
          </w:p>
        </w:tc>
        <w:tc>
          <w:tcPr>
            <w:tcW w:w="0" w:type="auto"/>
            <w:vAlign w:val="center"/>
            <w:hideMark/>
          </w:tcPr>
          <w:p w14:paraId="3653D4A2"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£35,000</w:t>
            </w:r>
          </w:p>
        </w:tc>
        <w:tc>
          <w:tcPr>
            <w:tcW w:w="0" w:type="auto"/>
            <w:vAlign w:val="center"/>
            <w:hideMark/>
          </w:tcPr>
          <w:p w14:paraId="49110CCA"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€42,100</w:t>
            </w:r>
          </w:p>
        </w:tc>
        <w:tc>
          <w:tcPr>
            <w:tcW w:w="0" w:type="auto"/>
            <w:vAlign w:val="center"/>
            <w:hideMark/>
          </w:tcPr>
          <w:p w14:paraId="2E24753B" w14:textId="77777777" w:rsidR="006372DA" w:rsidRPr="00211799" w:rsidRDefault="006372DA" w:rsidP="006372DA">
            <w:pPr>
              <w:spacing w:line="360" w:lineRule="auto"/>
              <w:jc w:val="center"/>
              <w:rPr>
                <w:rFonts w:ascii="Calibri" w:hAnsi="Calibri" w:cs="Calibri"/>
                <w:sz w:val="22"/>
                <w:szCs w:val="22"/>
              </w:rPr>
            </w:pPr>
            <w:r w:rsidRPr="00211799">
              <w:rPr>
                <w:rFonts w:ascii="Calibri" w:hAnsi="Calibri" w:cs="Calibri"/>
                <w:sz w:val="22"/>
                <w:szCs w:val="22"/>
              </w:rPr>
              <w:t>Lower UK pricing supports urban market</w:t>
            </w:r>
          </w:p>
        </w:tc>
      </w:tr>
    </w:tbl>
    <w:p w14:paraId="2333883F" w14:textId="77777777" w:rsidR="00DE23A0" w:rsidRPr="00DE23A0" w:rsidRDefault="00DE23A0" w:rsidP="00DE23A0">
      <w:pPr>
        <w:spacing w:line="360" w:lineRule="auto"/>
        <w:rPr>
          <w:rFonts w:ascii="Calibri" w:hAnsi="Calibri" w:cs="Calibri"/>
          <w:sz w:val="22"/>
          <w:szCs w:val="22"/>
        </w:rPr>
      </w:pPr>
    </w:p>
    <w:p w14:paraId="0AFE9848" w14:textId="77777777" w:rsidR="00DE23A0" w:rsidRPr="00DE23A0" w:rsidRDefault="00DE23A0" w:rsidP="00DE23A0">
      <w:pPr>
        <w:spacing w:line="360" w:lineRule="auto"/>
        <w:rPr>
          <w:rFonts w:ascii="Calibri" w:hAnsi="Calibri" w:cs="Calibri"/>
          <w:sz w:val="22"/>
          <w:szCs w:val="22"/>
        </w:rPr>
      </w:pPr>
    </w:p>
    <w:p w14:paraId="6D702F82" w14:textId="38CB3CA7" w:rsidR="00DE23A0" w:rsidRPr="00DE23A0" w:rsidRDefault="000F669E" w:rsidP="00DE23A0">
      <w:pPr>
        <w:spacing w:line="360" w:lineRule="auto"/>
        <w:rPr>
          <w:rFonts w:ascii="Calibri" w:hAnsi="Calibri" w:cs="Calibri"/>
          <w:sz w:val="22"/>
          <w:szCs w:val="22"/>
        </w:rPr>
      </w:pPr>
      <w:r w:rsidRPr="000F669E">
        <w:rPr>
          <w:rFonts w:ascii="Calibri" w:hAnsi="Calibri" w:cs="Calibri"/>
          <w:sz w:val="22"/>
          <w:szCs w:val="22"/>
        </w:rPr>
        <w:t>Source: BMW UK Official Website (2024); BMW Deutschland Website (2024).</w:t>
      </w:r>
    </w:p>
    <w:p w14:paraId="03DB71A9" w14:textId="77777777" w:rsidR="00DE23A0" w:rsidRPr="00DE23A0" w:rsidRDefault="00DE23A0" w:rsidP="00DE23A0">
      <w:pPr>
        <w:spacing w:line="360" w:lineRule="auto"/>
        <w:rPr>
          <w:rFonts w:ascii="Calibri" w:hAnsi="Calibri" w:cs="Calibri"/>
          <w:sz w:val="22"/>
          <w:szCs w:val="22"/>
        </w:rPr>
      </w:pPr>
    </w:p>
    <w:p w14:paraId="14A4155F" w14:textId="77777777" w:rsidR="00DE23A0" w:rsidRPr="00DE23A0" w:rsidRDefault="00DE23A0" w:rsidP="00DE23A0">
      <w:pPr>
        <w:spacing w:line="360" w:lineRule="auto"/>
        <w:rPr>
          <w:rFonts w:ascii="Calibri" w:hAnsi="Calibri" w:cs="Calibri"/>
          <w:sz w:val="22"/>
          <w:szCs w:val="22"/>
        </w:rPr>
      </w:pPr>
    </w:p>
    <w:p w14:paraId="75D4A118" w14:textId="77777777" w:rsidR="00DE23A0" w:rsidRPr="00DE23A0" w:rsidRDefault="00DE23A0" w:rsidP="00DE23A0">
      <w:pPr>
        <w:spacing w:line="360" w:lineRule="auto"/>
        <w:rPr>
          <w:rFonts w:ascii="Calibri" w:hAnsi="Calibri" w:cs="Calibri"/>
          <w:sz w:val="22"/>
          <w:szCs w:val="22"/>
        </w:rPr>
      </w:pPr>
    </w:p>
    <w:p w14:paraId="79350FC6" w14:textId="77777777" w:rsidR="00DE23A0" w:rsidRPr="00DE23A0" w:rsidRDefault="00DE23A0" w:rsidP="00DE23A0">
      <w:pPr>
        <w:spacing w:line="360" w:lineRule="auto"/>
        <w:rPr>
          <w:rFonts w:ascii="Calibri" w:hAnsi="Calibri" w:cs="Calibri"/>
          <w:sz w:val="22"/>
          <w:szCs w:val="22"/>
        </w:rPr>
      </w:pPr>
    </w:p>
    <w:p w14:paraId="03AB1B17" w14:textId="77777777" w:rsidR="00DE23A0" w:rsidRPr="00DE23A0" w:rsidRDefault="00DE23A0" w:rsidP="00DE23A0">
      <w:pPr>
        <w:spacing w:line="360" w:lineRule="auto"/>
        <w:rPr>
          <w:rFonts w:ascii="Calibri" w:hAnsi="Calibri" w:cs="Calibri"/>
          <w:sz w:val="22"/>
          <w:szCs w:val="22"/>
        </w:rPr>
      </w:pPr>
    </w:p>
    <w:p w14:paraId="563AF415" w14:textId="77777777" w:rsidR="00DE23A0" w:rsidRPr="00DE23A0" w:rsidRDefault="00DE23A0" w:rsidP="00DE23A0">
      <w:pPr>
        <w:spacing w:line="360" w:lineRule="auto"/>
        <w:rPr>
          <w:rFonts w:ascii="Calibri" w:hAnsi="Calibri" w:cs="Calibri"/>
          <w:sz w:val="22"/>
          <w:szCs w:val="22"/>
        </w:rPr>
      </w:pPr>
    </w:p>
    <w:p w14:paraId="2EB2A258" w14:textId="77777777" w:rsidR="00DE23A0" w:rsidRPr="00DE23A0" w:rsidRDefault="00DE23A0" w:rsidP="00DE23A0">
      <w:pPr>
        <w:spacing w:line="360" w:lineRule="auto"/>
        <w:rPr>
          <w:rFonts w:ascii="Calibri" w:hAnsi="Calibri" w:cs="Calibri"/>
          <w:sz w:val="22"/>
          <w:szCs w:val="22"/>
        </w:rPr>
      </w:pPr>
    </w:p>
    <w:p w14:paraId="160AE635" w14:textId="77777777" w:rsidR="00DE23A0" w:rsidRPr="00DE23A0" w:rsidRDefault="00DE23A0" w:rsidP="00DE23A0">
      <w:pPr>
        <w:spacing w:line="360" w:lineRule="auto"/>
        <w:rPr>
          <w:rFonts w:ascii="Calibri" w:hAnsi="Calibri" w:cs="Calibri"/>
          <w:sz w:val="22"/>
          <w:szCs w:val="22"/>
        </w:rPr>
      </w:pPr>
    </w:p>
    <w:p w14:paraId="3B2E49BC" w14:textId="77777777" w:rsidR="00DE23A0" w:rsidRPr="00DE23A0" w:rsidRDefault="00DE23A0" w:rsidP="00DE23A0">
      <w:pPr>
        <w:spacing w:line="360" w:lineRule="auto"/>
        <w:rPr>
          <w:rFonts w:ascii="Calibri" w:hAnsi="Calibri" w:cs="Calibri"/>
          <w:sz w:val="22"/>
          <w:szCs w:val="22"/>
        </w:rPr>
      </w:pPr>
    </w:p>
    <w:p w14:paraId="79CF79E6" w14:textId="77777777" w:rsidR="00DE23A0" w:rsidRPr="00DE23A0" w:rsidRDefault="00DE23A0" w:rsidP="00DE23A0">
      <w:pPr>
        <w:spacing w:line="360" w:lineRule="auto"/>
        <w:rPr>
          <w:rFonts w:ascii="Calibri" w:hAnsi="Calibri" w:cs="Calibri"/>
          <w:sz w:val="22"/>
          <w:szCs w:val="22"/>
        </w:rPr>
      </w:pPr>
    </w:p>
    <w:p w14:paraId="78153724" w14:textId="77777777" w:rsidR="00AC1240" w:rsidRDefault="00AC1240" w:rsidP="00DE23A0">
      <w:pPr>
        <w:spacing w:line="360" w:lineRule="auto"/>
        <w:rPr>
          <w:rFonts w:ascii="Calibri" w:hAnsi="Calibri" w:cs="Calibri"/>
          <w:b/>
          <w:bCs/>
          <w:sz w:val="22"/>
          <w:szCs w:val="22"/>
        </w:rPr>
      </w:pPr>
    </w:p>
    <w:p w14:paraId="27846D22" w14:textId="794F73AA" w:rsidR="00DE23A0" w:rsidRPr="006372DA" w:rsidRDefault="00DE23A0" w:rsidP="00DE23A0">
      <w:pPr>
        <w:spacing w:line="360" w:lineRule="auto"/>
        <w:rPr>
          <w:rFonts w:ascii="Calibri" w:hAnsi="Calibri" w:cs="Calibri"/>
          <w:b/>
          <w:bCs/>
          <w:sz w:val="22"/>
          <w:szCs w:val="22"/>
        </w:rPr>
      </w:pPr>
      <w:r w:rsidRPr="006372DA">
        <w:rPr>
          <w:rFonts w:ascii="Calibri" w:hAnsi="Calibri" w:cs="Calibri"/>
          <w:b/>
          <w:bCs/>
          <w:sz w:val="22"/>
          <w:szCs w:val="22"/>
        </w:rPr>
        <w:lastRenderedPageBreak/>
        <w:t>Appendix C: Website Messaging Comparison</w:t>
      </w:r>
    </w:p>
    <w:p w14:paraId="1E5B7F81" w14:textId="77777777" w:rsidR="00DE23A0" w:rsidRPr="00DE23A0" w:rsidRDefault="00DE23A0" w:rsidP="00DE23A0">
      <w:pPr>
        <w:spacing w:line="360" w:lineRule="auto"/>
        <w:rPr>
          <w:rFonts w:ascii="Calibri" w:hAnsi="Calibri" w:cs="Calibri"/>
          <w:sz w:val="22"/>
          <w:szCs w:val="22"/>
        </w:rPr>
      </w:pPr>
    </w:p>
    <w:p w14:paraId="37373CA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C1. BMW UK Website Features</w:t>
      </w:r>
    </w:p>
    <w:p w14:paraId="5D1E7C67"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Lifestyle imagery</w:t>
      </w:r>
    </w:p>
    <w:p w14:paraId="75975BE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Digital finance tools</w:t>
      </w:r>
    </w:p>
    <w:p w14:paraId="4AAE6B2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Emphasis on affordability and design</w:t>
      </w:r>
    </w:p>
    <w:p w14:paraId="2051080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Short, inspirational messaging</w:t>
      </w:r>
    </w:p>
    <w:p w14:paraId="5FAE37C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C2. BMW Germany Website Features</w:t>
      </w:r>
    </w:p>
    <w:p w14:paraId="399FC150"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Technical diagrams</w:t>
      </w:r>
    </w:p>
    <w:p w14:paraId="40C7EDFC"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Performance metrics</w:t>
      </w:r>
    </w:p>
    <w:p w14:paraId="5101A0C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Engineering descriptions</w:t>
      </w:r>
    </w:p>
    <w:p w14:paraId="4682EAE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Detailed specifications</w:t>
      </w:r>
    </w:p>
    <w:p w14:paraId="2779B71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Safety information</w:t>
      </w:r>
    </w:p>
    <w:p w14:paraId="0371E924" w14:textId="77777777" w:rsidR="00DE23A0" w:rsidRPr="00DE23A0" w:rsidRDefault="00DE23A0" w:rsidP="00DE23A0">
      <w:pPr>
        <w:spacing w:line="360" w:lineRule="auto"/>
        <w:rPr>
          <w:rFonts w:ascii="Calibri" w:hAnsi="Calibri" w:cs="Calibri"/>
          <w:sz w:val="22"/>
          <w:szCs w:val="22"/>
        </w:rPr>
      </w:pPr>
    </w:p>
    <w:p w14:paraId="27451B6F" w14:textId="20B6C377" w:rsidR="00DE23A0" w:rsidRPr="00DE23A0" w:rsidRDefault="00095B24" w:rsidP="00DE23A0">
      <w:pPr>
        <w:spacing w:line="360" w:lineRule="auto"/>
        <w:rPr>
          <w:rFonts w:ascii="Calibri" w:hAnsi="Calibri" w:cs="Calibri"/>
          <w:sz w:val="22"/>
          <w:szCs w:val="22"/>
        </w:rPr>
      </w:pPr>
      <w:r w:rsidRPr="00095B24">
        <w:rPr>
          <w:rFonts w:ascii="Calibri" w:hAnsi="Calibri" w:cs="Calibri"/>
          <w:sz w:val="22"/>
          <w:szCs w:val="22"/>
        </w:rPr>
        <w:t>Source: BMW UK Website (2024); BMW Deutschland Website (2024).</w:t>
      </w:r>
    </w:p>
    <w:p w14:paraId="213A26AD" w14:textId="77777777" w:rsidR="00DE23A0" w:rsidRPr="00DE23A0" w:rsidRDefault="00DE23A0" w:rsidP="00DE23A0">
      <w:pPr>
        <w:spacing w:line="360" w:lineRule="auto"/>
        <w:rPr>
          <w:rFonts w:ascii="Calibri" w:hAnsi="Calibri" w:cs="Calibri"/>
          <w:sz w:val="22"/>
          <w:szCs w:val="22"/>
        </w:rPr>
      </w:pPr>
    </w:p>
    <w:p w14:paraId="4EEA7AE9" w14:textId="77777777" w:rsidR="00DE23A0" w:rsidRPr="00DE23A0" w:rsidRDefault="00DE23A0" w:rsidP="00DE23A0">
      <w:pPr>
        <w:spacing w:line="360" w:lineRule="auto"/>
        <w:rPr>
          <w:rFonts w:ascii="Calibri" w:hAnsi="Calibri" w:cs="Calibri"/>
          <w:sz w:val="22"/>
          <w:szCs w:val="22"/>
        </w:rPr>
      </w:pPr>
    </w:p>
    <w:p w14:paraId="147A221A" w14:textId="77777777" w:rsidR="00DE23A0" w:rsidRPr="00DE23A0" w:rsidRDefault="00DE23A0" w:rsidP="00DE23A0">
      <w:pPr>
        <w:spacing w:line="360" w:lineRule="auto"/>
        <w:rPr>
          <w:rFonts w:ascii="Calibri" w:hAnsi="Calibri" w:cs="Calibri"/>
          <w:sz w:val="22"/>
          <w:szCs w:val="22"/>
        </w:rPr>
      </w:pPr>
    </w:p>
    <w:p w14:paraId="2C7AF0AD" w14:textId="77777777" w:rsidR="00DE23A0" w:rsidRPr="00DE23A0" w:rsidRDefault="00DE23A0" w:rsidP="00DE23A0">
      <w:pPr>
        <w:spacing w:line="360" w:lineRule="auto"/>
        <w:rPr>
          <w:rFonts w:ascii="Calibri" w:hAnsi="Calibri" w:cs="Calibri"/>
          <w:sz w:val="22"/>
          <w:szCs w:val="22"/>
        </w:rPr>
      </w:pPr>
    </w:p>
    <w:p w14:paraId="036FDD4A" w14:textId="77777777" w:rsidR="00DE23A0" w:rsidRPr="00DE23A0" w:rsidRDefault="00DE23A0" w:rsidP="00DE23A0">
      <w:pPr>
        <w:spacing w:line="360" w:lineRule="auto"/>
        <w:rPr>
          <w:rFonts w:ascii="Calibri" w:hAnsi="Calibri" w:cs="Calibri"/>
          <w:sz w:val="22"/>
          <w:szCs w:val="22"/>
        </w:rPr>
      </w:pPr>
    </w:p>
    <w:p w14:paraId="75891B73" w14:textId="77777777" w:rsidR="00DE23A0" w:rsidRPr="00DE23A0" w:rsidRDefault="00DE23A0" w:rsidP="00DE23A0">
      <w:pPr>
        <w:spacing w:line="360" w:lineRule="auto"/>
        <w:rPr>
          <w:rFonts w:ascii="Calibri" w:hAnsi="Calibri" w:cs="Calibri"/>
          <w:sz w:val="22"/>
          <w:szCs w:val="22"/>
        </w:rPr>
      </w:pPr>
    </w:p>
    <w:p w14:paraId="429A5920" w14:textId="77777777" w:rsidR="00AC1240" w:rsidRDefault="00AC1240" w:rsidP="00DE23A0">
      <w:pPr>
        <w:spacing w:line="360" w:lineRule="auto"/>
        <w:rPr>
          <w:rFonts w:ascii="Calibri" w:hAnsi="Calibri" w:cs="Calibri"/>
          <w:b/>
          <w:bCs/>
          <w:sz w:val="22"/>
          <w:szCs w:val="22"/>
        </w:rPr>
      </w:pPr>
    </w:p>
    <w:p w14:paraId="352C95EE" w14:textId="77777777" w:rsidR="00AC1240" w:rsidRDefault="00AC1240" w:rsidP="00DE23A0">
      <w:pPr>
        <w:spacing w:line="360" w:lineRule="auto"/>
        <w:rPr>
          <w:rFonts w:ascii="Calibri" w:hAnsi="Calibri" w:cs="Calibri"/>
          <w:b/>
          <w:bCs/>
          <w:sz w:val="22"/>
          <w:szCs w:val="22"/>
        </w:rPr>
      </w:pPr>
    </w:p>
    <w:p w14:paraId="27EEF421" w14:textId="0A8092CC" w:rsidR="00DE23A0" w:rsidRPr="006372DA" w:rsidRDefault="00DE23A0" w:rsidP="00DE23A0">
      <w:pPr>
        <w:spacing w:line="360" w:lineRule="auto"/>
        <w:rPr>
          <w:rFonts w:ascii="Calibri" w:hAnsi="Calibri" w:cs="Calibri"/>
          <w:b/>
          <w:bCs/>
          <w:sz w:val="22"/>
          <w:szCs w:val="22"/>
        </w:rPr>
      </w:pPr>
      <w:r w:rsidRPr="006372DA">
        <w:rPr>
          <w:rFonts w:ascii="Calibri" w:hAnsi="Calibri" w:cs="Calibri"/>
          <w:b/>
          <w:bCs/>
          <w:sz w:val="22"/>
          <w:szCs w:val="22"/>
        </w:rPr>
        <w:lastRenderedPageBreak/>
        <w:t>Appendix D: Social Media Engagement Snapshot</w:t>
      </w:r>
    </w:p>
    <w:p w14:paraId="15185874" w14:textId="77777777" w:rsidR="00DE23A0" w:rsidRPr="00DE23A0" w:rsidRDefault="00DE23A0" w:rsidP="00DE23A0">
      <w:pPr>
        <w:spacing w:line="360" w:lineRule="auto"/>
        <w:rPr>
          <w:rFonts w:ascii="Calibri" w:hAnsi="Calibri" w:cs="Calibri"/>
          <w:sz w:val="22"/>
          <w:szCs w:val="22"/>
        </w:rPr>
      </w:pPr>
    </w:p>
    <w:p w14:paraId="62061209"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D1. BMW UK Instagram Content</w:t>
      </w:r>
    </w:p>
    <w:p w14:paraId="1DEED071"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Influencers using BMW vehicles</w:t>
      </w:r>
    </w:p>
    <w:p w14:paraId="6DBF4B7A"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Urban lifestyle photos</w:t>
      </w:r>
    </w:p>
    <w:p w14:paraId="5EBF6BA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Fashion partnerships</w:t>
      </w:r>
    </w:p>
    <w:p w14:paraId="7091A188"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Emotional storytelling</w:t>
      </w:r>
    </w:p>
    <w:p w14:paraId="1DEEE3A2"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D2. BMW Germany Instagram Content</w:t>
      </w:r>
    </w:p>
    <w:p w14:paraId="709F6FD3"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Engineering process videos</w:t>
      </w:r>
    </w:p>
    <w:p w14:paraId="2F91F7C6"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Manufacturing behind-the-scenes</w:t>
      </w:r>
    </w:p>
    <w:p w14:paraId="0DDB462B"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Product technology demonstrations</w:t>
      </w:r>
    </w:p>
    <w:p w14:paraId="301F8DEE" w14:textId="77777777"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w:t>
      </w:r>
      <w:r w:rsidRPr="00DE23A0">
        <w:rPr>
          <w:rFonts w:ascii="Calibri" w:hAnsi="Calibri" w:cs="Calibri"/>
          <w:sz w:val="22"/>
          <w:szCs w:val="22"/>
        </w:rPr>
        <w:tab/>
        <w:t>Safety test clips</w:t>
      </w:r>
    </w:p>
    <w:p w14:paraId="21FA20C4" w14:textId="77777777" w:rsidR="00AC1240" w:rsidRDefault="00AC1240" w:rsidP="00DE23A0">
      <w:pPr>
        <w:spacing w:line="360" w:lineRule="auto"/>
        <w:rPr>
          <w:rFonts w:ascii="Calibri" w:hAnsi="Calibri" w:cs="Calibri"/>
          <w:sz w:val="22"/>
          <w:szCs w:val="22"/>
        </w:rPr>
      </w:pPr>
    </w:p>
    <w:p w14:paraId="201B34CB" w14:textId="403A91DA" w:rsidR="00DE23A0" w:rsidRPr="00DE23A0" w:rsidRDefault="00095B24" w:rsidP="00DE23A0">
      <w:pPr>
        <w:spacing w:line="360" w:lineRule="auto"/>
        <w:rPr>
          <w:rFonts w:ascii="Calibri" w:hAnsi="Calibri" w:cs="Calibri"/>
          <w:sz w:val="22"/>
          <w:szCs w:val="22"/>
        </w:rPr>
      </w:pPr>
      <w:r w:rsidRPr="00095B24">
        <w:rPr>
          <w:rFonts w:ascii="Calibri" w:hAnsi="Calibri" w:cs="Calibri"/>
          <w:sz w:val="22"/>
          <w:szCs w:val="22"/>
        </w:rPr>
        <w:t>Source: BMW UK Instagram @bmw_uk (2024); BMW Germany Instagram @bmw_deutschland (2024).</w:t>
      </w:r>
    </w:p>
    <w:p w14:paraId="4EC51401" w14:textId="77777777" w:rsidR="00DE23A0" w:rsidRPr="00DE23A0" w:rsidRDefault="00DE23A0" w:rsidP="00DE23A0">
      <w:pPr>
        <w:spacing w:line="360" w:lineRule="auto"/>
        <w:rPr>
          <w:rFonts w:ascii="Calibri" w:hAnsi="Calibri" w:cs="Calibri"/>
          <w:sz w:val="22"/>
          <w:szCs w:val="22"/>
        </w:rPr>
      </w:pPr>
    </w:p>
    <w:p w14:paraId="799D5668" w14:textId="77777777" w:rsidR="00DE23A0" w:rsidRPr="00DE23A0" w:rsidRDefault="00DE23A0" w:rsidP="00DE23A0">
      <w:pPr>
        <w:spacing w:line="360" w:lineRule="auto"/>
        <w:rPr>
          <w:rFonts w:ascii="Calibri" w:hAnsi="Calibri" w:cs="Calibri"/>
          <w:sz w:val="22"/>
          <w:szCs w:val="22"/>
        </w:rPr>
      </w:pPr>
    </w:p>
    <w:p w14:paraId="2408D123" w14:textId="77777777" w:rsidR="00DE23A0" w:rsidRPr="00DE23A0" w:rsidRDefault="00DE23A0" w:rsidP="00DE23A0">
      <w:pPr>
        <w:spacing w:line="360" w:lineRule="auto"/>
        <w:rPr>
          <w:rFonts w:ascii="Calibri" w:hAnsi="Calibri" w:cs="Calibri"/>
          <w:sz w:val="22"/>
          <w:szCs w:val="22"/>
        </w:rPr>
      </w:pPr>
    </w:p>
    <w:p w14:paraId="014C0136" w14:textId="77777777" w:rsidR="00DE23A0" w:rsidRPr="00DE23A0" w:rsidRDefault="00DE23A0" w:rsidP="00DE23A0">
      <w:pPr>
        <w:spacing w:line="360" w:lineRule="auto"/>
        <w:rPr>
          <w:rFonts w:ascii="Calibri" w:hAnsi="Calibri" w:cs="Calibri"/>
          <w:sz w:val="22"/>
          <w:szCs w:val="22"/>
        </w:rPr>
      </w:pPr>
    </w:p>
    <w:p w14:paraId="5BD731C2" w14:textId="77777777" w:rsidR="00DE23A0" w:rsidRPr="00DE23A0" w:rsidRDefault="00DE23A0" w:rsidP="00DE23A0">
      <w:pPr>
        <w:spacing w:line="360" w:lineRule="auto"/>
        <w:rPr>
          <w:rFonts w:ascii="Calibri" w:hAnsi="Calibri" w:cs="Calibri"/>
          <w:sz w:val="22"/>
          <w:szCs w:val="22"/>
        </w:rPr>
      </w:pPr>
    </w:p>
    <w:p w14:paraId="7BBFF9C4" w14:textId="77777777" w:rsidR="00561C01" w:rsidRDefault="00561C01" w:rsidP="00DE23A0">
      <w:pPr>
        <w:spacing w:line="360" w:lineRule="auto"/>
        <w:rPr>
          <w:rFonts w:ascii="Calibri" w:hAnsi="Calibri" w:cs="Calibri"/>
          <w:sz w:val="22"/>
          <w:szCs w:val="22"/>
        </w:rPr>
      </w:pPr>
    </w:p>
    <w:p w14:paraId="6FDF8374" w14:textId="77777777" w:rsidR="00561C01" w:rsidRDefault="00561C01" w:rsidP="00DE23A0">
      <w:pPr>
        <w:spacing w:line="360" w:lineRule="auto"/>
        <w:rPr>
          <w:rFonts w:ascii="Calibri" w:hAnsi="Calibri" w:cs="Calibri"/>
          <w:sz w:val="22"/>
          <w:szCs w:val="22"/>
        </w:rPr>
      </w:pPr>
    </w:p>
    <w:p w14:paraId="0C803257" w14:textId="77777777" w:rsidR="00561C01" w:rsidRDefault="00561C01" w:rsidP="00DE23A0">
      <w:pPr>
        <w:spacing w:line="360" w:lineRule="auto"/>
        <w:rPr>
          <w:rFonts w:ascii="Calibri" w:hAnsi="Calibri" w:cs="Calibri"/>
          <w:sz w:val="22"/>
          <w:szCs w:val="22"/>
        </w:rPr>
      </w:pPr>
    </w:p>
    <w:p w14:paraId="0A61D2C9" w14:textId="77777777" w:rsidR="00561C01" w:rsidRDefault="00561C01" w:rsidP="00DE23A0">
      <w:pPr>
        <w:spacing w:line="360" w:lineRule="auto"/>
        <w:rPr>
          <w:rFonts w:ascii="Calibri" w:hAnsi="Calibri" w:cs="Calibri"/>
          <w:sz w:val="22"/>
          <w:szCs w:val="22"/>
        </w:rPr>
      </w:pPr>
    </w:p>
    <w:p w14:paraId="6241BF57" w14:textId="77777777" w:rsidR="00561C01" w:rsidRDefault="00561C01" w:rsidP="00DE23A0">
      <w:pPr>
        <w:spacing w:line="360" w:lineRule="auto"/>
        <w:rPr>
          <w:rFonts w:ascii="Calibri" w:hAnsi="Calibri" w:cs="Calibri"/>
          <w:sz w:val="22"/>
          <w:szCs w:val="22"/>
        </w:rPr>
      </w:pPr>
    </w:p>
    <w:p w14:paraId="699CC1B5" w14:textId="65E0203D" w:rsidR="00DE23A0" w:rsidRPr="00DE23A0" w:rsidRDefault="00DE23A0" w:rsidP="00DE23A0">
      <w:pPr>
        <w:spacing w:line="360" w:lineRule="auto"/>
        <w:rPr>
          <w:rFonts w:ascii="Calibri" w:hAnsi="Calibri" w:cs="Calibri"/>
          <w:sz w:val="22"/>
          <w:szCs w:val="22"/>
        </w:rPr>
      </w:pPr>
      <w:r w:rsidRPr="00DE23A0">
        <w:rPr>
          <w:rFonts w:ascii="Calibri" w:hAnsi="Calibri" w:cs="Calibri"/>
          <w:sz w:val="22"/>
          <w:szCs w:val="22"/>
        </w:rPr>
        <w:t>Appendix E: PESTLE Summary Table</w:t>
      </w:r>
    </w:p>
    <w:p w14:paraId="3DC02714" w14:textId="77777777" w:rsidR="00DE23A0" w:rsidRPr="00DE23A0" w:rsidRDefault="00DE23A0" w:rsidP="00DE23A0">
      <w:pPr>
        <w:spacing w:line="360" w:lineRule="auto"/>
        <w:rPr>
          <w:rFonts w:ascii="Calibri" w:hAnsi="Calibri" w:cs="Calibri"/>
          <w:sz w:val="22"/>
          <w:szCs w:val="22"/>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95"/>
        <w:gridCol w:w="1838"/>
        <w:gridCol w:w="2318"/>
        <w:gridCol w:w="2686"/>
      </w:tblGrid>
      <w:tr w:rsidR="0055678A" w:rsidRPr="00211799" w14:paraId="588308D0" w14:textId="77777777" w:rsidTr="00000181">
        <w:trPr>
          <w:tblHeader/>
          <w:tblCellSpacing w:w="15" w:type="dxa"/>
          <w:jc w:val="center"/>
        </w:trPr>
        <w:tc>
          <w:tcPr>
            <w:tcW w:w="1330" w:type="dxa"/>
            <w:vAlign w:val="center"/>
            <w:hideMark/>
          </w:tcPr>
          <w:p w14:paraId="0CF02C76" w14:textId="77777777" w:rsidR="0055678A" w:rsidRPr="00211799" w:rsidRDefault="0055678A" w:rsidP="00000181">
            <w:pPr>
              <w:spacing w:line="360" w:lineRule="auto"/>
              <w:rPr>
                <w:rFonts w:ascii="Calibri" w:hAnsi="Calibri" w:cs="Calibri"/>
                <w:b/>
                <w:bCs/>
                <w:sz w:val="22"/>
                <w:szCs w:val="22"/>
              </w:rPr>
            </w:pPr>
            <w:r w:rsidRPr="00211799">
              <w:rPr>
                <w:rFonts w:ascii="Calibri" w:hAnsi="Calibri" w:cs="Calibri"/>
                <w:b/>
                <w:bCs/>
                <w:sz w:val="22"/>
                <w:szCs w:val="22"/>
              </w:rPr>
              <w:t>Factor</w:t>
            </w:r>
          </w:p>
        </w:tc>
        <w:tc>
          <w:tcPr>
            <w:tcW w:w="0" w:type="auto"/>
            <w:vAlign w:val="center"/>
            <w:hideMark/>
          </w:tcPr>
          <w:p w14:paraId="74E66648" w14:textId="77777777" w:rsidR="0055678A" w:rsidRPr="00211799" w:rsidRDefault="0055678A" w:rsidP="00000181">
            <w:pPr>
              <w:spacing w:line="360" w:lineRule="auto"/>
              <w:rPr>
                <w:rFonts w:ascii="Calibri" w:hAnsi="Calibri" w:cs="Calibri"/>
                <w:b/>
                <w:bCs/>
                <w:sz w:val="22"/>
                <w:szCs w:val="22"/>
              </w:rPr>
            </w:pPr>
            <w:r w:rsidRPr="00211799">
              <w:rPr>
                <w:rFonts w:ascii="Calibri" w:hAnsi="Calibri" w:cs="Calibri"/>
                <w:b/>
                <w:bCs/>
                <w:sz w:val="22"/>
                <w:szCs w:val="22"/>
              </w:rPr>
              <w:t>UK</w:t>
            </w:r>
          </w:p>
        </w:tc>
        <w:tc>
          <w:tcPr>
            <w:tcW w:w="0" w:type="auto"/>
            <w:vAlign w:val="center"/>
            <w:hideMark/>
          </w:tcPr>
          <w:p w14:paraId="45EED9EF" w14:textId="77777777" w:rsidR="0055678A" w:rsidRPr="00211799" w:rsidRDefault="0055678A" w:rsidP="00000181">
            <w:pPr>
              <w:spacing w:line="360" w:lineRule="auto"/>
              <w:rPr>
                <w:rFonts w:ascii="Calibri" w:hAnsi="Calibri" w:cs="Calibri"/>
                <w:b/>
                <w:bCs/>
                <w:sz w:val="22"/>
                <w:szCs w:val="22"/>
              </w:rPr>
            </w:pPr>
            <w:r w:rsidRPr="00211799">
              <w:rPr>
                <w:rFonts w:ascii="Calibri" w:hAnsi="Calibri" w:cs="Calibri"/>
                <w:b/>
                <w:bCs/>
                <w:sz w:val="22"/>
                <w:szCs w:val="22"/>
              </w:rPr>
              <w:t>Germany</w:t>
            </w:r>
          </w:p>
        </w:tc>
        <w:tc>
          <w:tcPr>
            <w:tcW w:w="0" w:type="auto"/>
            <w:vAlign w:val="center"/>
            <w:hideMark/>
          </w:tcPr>
          <w:p w14:paraId="772B7060" w14:textId="77777777" w:rsidR="0055678A" w:rsidRPr="00211799" w:rsidRDefault="0055678A" w:rsidP="00000181">
            <w:pPr>
              <w:spacing w:line="360" w:lineRule="auto"/>
              <w:rPr>
                <w:rFonts w:ascii="Calibri" w:hAnsi="Calibri" w:cs="Calibri"/>
                <w:b/>
                <w:bCs/>
                <w:sz w:val="22"/>
                <w:szCs w:val="22"/>
              </w:rPr>
            </w:pPr>
            <w:r w:rsidRPr="00211799">
              <w:rPr>
                <w:rFonts w:ascii="Calibri" w:hAnsi="Calibri" w:cs="Calibri"/>
                <w:b/>
                <w:bCs/>
                <w:sz w:val="22"/>
                <w:szCs w:val="22"/>
              </w:rPr>
              <w:t>Implications for BMW</w:t>
            </w:r>
          </w:p>
        </w:tc>
      </w:tr>
      <w:tr w:rsidR="0055678A" w:rsidRPr="00211799" w14:paraId="6AD72F13" w14:textId="77777777" w:rsidTr="00000181">
        <w:trPr>
          <w:tblCellSpacing w:w="15" w:type="dxa"/>
          <w:jc w:val="center"/>
        </w:trPr>
        <w:tc>
          <w:tcPr>
            <w:tcW w:w="1330" w:type="dxa"/>
            <w:vAlign w:val="center"/>
            <w:hideMark/>
          </w:tcPr>
          <w:p w14:paraId="35F5E9CE"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Political</w:t>
            </w:r>
          </w:p>
        </w:tc>
        <w:tc>
          <w:tcPr>
            <w:tcW w:w="0" w:type="auto"/>
            <w:vAlign w:val="center"/>
            <w:hideMark/>
          </w:tcPr>
          <w:p w14:paraId="3617604C"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Brexit instability</w:t>
            </w:r>
          </w:p>
        </w:tc>
        <w:tc>
          <w:tcPr>
            <w:tcW w:w="0" w:type="auto"/>
            <w:vAlign w:val="center"/>
            <w:hideMark/>
          </w:tcPr>
          <w:p w14:paraId="39D622FE"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Stable policies</w:t>
            </w:r>
          </w:p>
        </w:tc>
        <w:tc>
          <w:tcPr>
            <w:tcW w:w="0" w:type="auto"/>
            <w:vAlign w:val="center"/>
            <w:hideMark/>
          </w:tcPr>
          <w:p w14:paraId="67094CE1"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Supply chain vs R&amp;D benefits</w:t>
            </w:r>
          </w:p>
        </w:tc>
      </w:tr>
      <w:tr w:rsidR="0055678A" w:rsidRPr="00211799" w14:paraId="0937B18F" w14:textId="77777777" w:rsidTr="00000181">
        <w:trPr>
          <w:tblCellSpacing w:w="15" w:type="dxa"/>
          <w:jc w:val="center"/>
        </w:trPr>
        <w:tc>
          <w:tcPr>
            <w:tcW w:w="1330" w:type="dxa"/>
            <w:vAlign w:val="center"/>
            <w:hideMark/>
          </w:tcPr>
          <w:p w14:paraId="5C35D5D9"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Economic</w:t>
            </w:r>
          </w:p>
        </w:tc>
        <w:tc>
          <w:tcPr>
            <w:tcW w:w="0" w:type="auto"/>
            <w:vAlign w:val="center"/>
            <w:hideMark/>
          </w:tcPr>
          <w:p w14:paraId="1859E00B"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PCP-driven demand</w:t>
            </w:r>
          </w:p>
        </w:tc>
        <w:tc>
          <w:tcPr>
            <w:tcW w:w="0" w:type="auto"/>
            <w:vAlign w:val="center"/>
            <w:hideMark/>
          </w:tcPr>
          <w:p w14:paraId="4AF4C349"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High purchasing power</w:t>
            </w:r>
          </w:p>
        </w:tc>
        <w:tc>
          <w:tcPr>
            <w:tcW w:w="0" w:type="auto"/>
            <w:vAlign w:val="center"/>
            <w:hideMark/>
          </w:tcPr>
          <w:p w14:paraId="2AF4B7B0"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Flexibility vs value focus</w:t>
            </w:r>
          </w:p>
        </w:tc>
      </w:tr>
      <w:tr w:rsidR="0055678A" w:rsidRPr="00211799" w14:paraId="0BC81822" w14:textId="77777777" w:rsidTr="00000181">
        <w:trPr>
          <w:tblCellSpacing w:w="15" w:type="dxa"/>
          <w:jc w:val="center"/>
        </w:trPr>
        <w:tc>
          <w:tcPr>
            <w:tcW w:w="1330" w:type="dxa"/>
            <w:vAlign w:val="center"/>
            <w:hideMark/>
          </w:tcPr>
          <w:p w14:paraId="38A36D87"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Social</w:t>
            </w:r>
          </w:p>
        </w:tc>
        <w:tc>
          <w:tcPr>
            <w:tcW w:w="0" w:type="auto"/>
            <w:vAlign w:val="center"/>
            <w:hideMark/>
          </w:tcPr>
          <w:p w14:paraId="70AD9ED2"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Lifestyle emphasis</w:t>
            </w:r>
          </w:p>
        </w:tc>
        <w:tc>
          <w:tcPr>
            <w:tcW w:w="0" w:type="auto"/>
            <w:vAlign w:val="center"/>
            <w:hideMark/>
          </w:tcPr>
          <w:p w14:paraId="4FB2C2C4"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Rational decision-making</w:t>
            </w:r>
          </w:p>
        </w:tc>
        <w:tc>
          <w:tcPr>
            <w:tcW w:w="0" w:type="auto"/>
            <w:vAlign w:val="center"/>
            <w:hideMark/>
          </w:tcPr>
          <w:p w14:paraId="17E6C960"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Emotional vs technical ads</w:t>
            </w:r>
          </w:p>
        </w:tc>
      </w:tr>
      <w:tr w:rsidR="0055678A" w:rsidRPr="00211799" w14:paraId="01B50239" w14:textId="77777777" w:rsidTr="00000181">
        <w:trPr>
          <w:tblCellSpacing w:w="15" w:type="dxa"/>
          <w:jc w:val="center"/>
        </w:trPr>
        <w:tc>
          <w:tcPr>
            <w:tcW w:w="1330" w:type="dxa"/>
            <w:vAlign w:val="center"/>
            <w:hideMark/>
          </w:tcPr>
          <w:p w14:paraId="165282EE"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Technological</w:t>
            </w:r>
          </w:p>
        </w:tc>
        <w:tc>
          <w:tcPr>
            <w:tcW w:w="0" w:type="auto"/>
            <w:vAlign w:val="center"/>
            <w:hideMark/>
          </w:tcPr>
          <w:p w14:paraId="7675AF3D"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Digital retail</w:t>
            </w:r>
          </w:p>
        </w:tc>
        <w:tc>
          <w:tcPr>
            <w:tcW w:w="0" w:type="auto"/>
            <w:vAlign w:val="center"/>
            <w:hideMark/>
          </w:tcPr>
          <w:p w14:paraId="1BD09BA4"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Engineering leadership</w:t>
            </w:r>
          </w:p>
        </w:tc>
        <w:tc>
          <w:tcPr>
            <w:tcW w:w="0" w:type="auto"/>
            <w:vAlign w:val="center"/>
            <w:hideMark/>
          </w:tcPr>
          <w:p w14:paraId="2CEFAC62"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Online tools vs innovation</w:t>
            </w:r>
          </w:p>
        </w:tc>
      </w:tr>
      <w:tr w:rsidR="0055678A" w:rsidRPr="00211799" w14:paraId="5B02BA13" w14:textId="77777777" w:rsidTr="00000181">
        <w:trPr>
          <w:tblCellSpacing w:w="15" w:type="dxa"/>
          <w:jc w:val="center"/>
        </w:trPr>
        <w:tc>
          <w:tcPr>
            <w:tcW w:w="1330" w:type="dxa"/>
            <w:vAlign w:val="center"/>
            <w:hideMark/>
          </w:tcPr>
          <w:p w14:paraId="1822F749"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Legal</w:t>
            </w:r>
          </w:p>
        </w:tc>
        <w:tc>
          <w:tcPr>
            <w:tcW w:w="0" w:type="auto"/>
            <w:vAlign w:val="center"/>
            <w:hideMark/>
          </w:tcPr>
          <w:p w14:paraId="1075764E"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ASA rules</w:t>
            </w:r>
          </w:p>
        </w:tc>
        <w:tc>
          <w:tcPr>
            <w:tcW w:w="0" w:type="auto"/>
            <w:vAlign w:val="center"/>
            <w:hideMark/>
          </w:tcPr>
          <w:p w14:paraId="05483D18"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EU &amp; German regulation</w:t>
            </w:r>
          </w:p>
        </w:tc>
        <w:tc>
          <w:tcPr>
            <w:tcW w:w="0" w:type="auto"/>
            <w:vAlign w:val="center"/>
            <w:hideMark/>
          </w:tcPr>
          <w:p w14:paraId="3F5C8262"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Accuracy &amp; compliance</w:t>
            </w:r>
          </w:p>
        </w:tc>
      </w:tr>
      <w:tr w:rsidR="0055678A" w:rsidRPr="00211799" w14:paraId="54514C4E" w14:textId="77777777" w:rsidTr="00000181">
        <w:trPr>
          <w:tblCellSpacing w:w="15" w:type="dxa"/>
          <w:jc w:val="center"/>
        </w:trPr>
        <w:tc>
          <w:tcPr>
            <w:tcW w:w="1330" w:type="dxa"/>
            <w:vAlign w:val="center"/>
            <w:hideMark/>
          </w:tcPr>
          <w:p w14:paraId="12A947E4"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Environmental</w:t>
            </w:r>
          </w:p>
        </w:tc>
        <w:tc>
          <w:tcPr>
            <w:tcW w:w="0" w:type="auto"/>
            <w:vAlign w:val="center"/>
            <w:hideMark/>
          </w:tcPr>
          <w:p w14:paraId="0337B945"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ICE ban</w:t>
            </w:r>
          </w:p>
        </w:tc>
        <w:tc>
          <w:tcPr>
            <w:tcW w:w="0" w:type="auto"/>
            <w:vAlign w:val="center"/>
            <w:hideMark/>
          </w:tcPr>
          <w:p w14:paraId="0BCB2B77"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Sustainability leadership</w:t>
            </w:r>
          </w:p>
        </w:tc>
        <w:tc>
          <w:tcPr>
            <w:tcW w:w="0" w:type="auto"/>
            <w:vAlign w:val="center"/>
            <w:hideMark/>
          </w:tcPr>
          <w:p w14:paraId="0C4F2BD5" w14:textId="77777777" w:rsidR="0055678A" w:rsidRPr="00211799" w:rsidRDefault="0055678A" w:rsidP="00000181">
            <w:pPr>
              <w:spacing w:line="360" w:lineRule="auto"/>
              <w:rPr>
                <w:rFonts w:ascii="Calibri" w:hAnsi="Calibri" w:cs="Calibri"/>
                <w:sz w:val="22"/>
                <w:szCs w:val="22"/>
              </w:rPr>
            </w:pPr>
            <w:r w:rsidRPr="00211799">
              <w:rPr>
                <w:rFonts w:ascii="Calibri" w:hAnsi="Calibri" w:cs="Calibri"/>
                <w:sz w:val="22"/>
                <w:szCs w:val="22"/>
              </w:rPr>
              <w:t>EV expansion required</w:t>
            </w:r>
          </w:p>
        </w:tc>
      </w:tr>
    </w:tbl>
    <w:p w14:paraId="0996B58B" w14:textId="77777777" w:rsidR="00DE23A0" w:rsidRPr="00DE23A0" w:rsidRDefault="00DE23A0" w:rsidP="00DE23A0">
      <w:pPr>
        <w:spacing w:line="360" w:lineRule="auto"/>
        <w:rPr>
          <w:rFonts w:ascii="Calibri" w:hAnsi="Calibri" w:cs="Calibri"/>
          <w:sz w:val="22"/>
          <w:szCs w:val="22"/>
        </w:rPr>
      </w:pPr>
    </w:p>
    <w:p w14:paraId="0B866980" w14:textId="1C8D0BCF" w:rsidR="00795616" w:rsidRPr="00DE23A0" w:rsidRDefault="00AC1240" w:rsidP="00DE23A0">
      <w:pPr>
        <w:spacing w:line="360" w:lineRule="auto"/>
        <w:rPr>
          <w:rFonts w:ascii="Calibri" w:hAnsi="Calibri" w:cs="Calibri"/>
          <w:sz w:val="22"/>
          <w:szCs w:val="22"/>
        </w:rPr>
      </w:pPr>
      <w:r w:rsidRPr="00AC1240">
        <w:rPr>
          <w:rFonts w:ascii="Calibri" w:hAnsi="Calibri" w:cs="Calibri"/>
          <w:sz w:val="22"/>
          <w:szCs w:val="22"/>
        </w:rPr>
        <w:t>Source: Mintel (2023); BMW Group (2023); UK Government (2024); Statista (2024a); PwC (2024).</w:t>
      </w:r>
    </w:p>
    <w:sectPr w:rsidR="00795616" w:rsidRPr="00DE23A0" w:rsidSect="00624184">
      <w:footerReference w:type="default" r:id="rId13"/>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326AC" w14:textId="77777777" w:rsidR="006B6319" w:rsidRDefault="006B6319" w:rsidP="00AD6F26">
      <w:pPr>
        <w:spacing w:after="0" w:line="240" w:lineRule="auto"/>
      </w:pPr>
      <w:r>
        <w:separator/>
      </w:r>
    </w:p>
  </w:endnote>
  <w:endnote w:type="continuationSeparator" w:id="0">
    <w:p w14:paraId="02D9E4C7" w14:textId="77777777" w:rsidR="006B6319" w:rsidRDefault="006B6319" w:rsidP="00AD6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6092006"/>
      <w:docPartObj>
        <w:docPartGallery w:val="Page Numbers (Bottom of Page)"/>
        <w:docPartUnique/>
      </w:docPartObj>
    </w:sdtPr>
    <w:sdtEndPr>
      <w:rPr>
        <w:noProof/>
      </w:rPr>
    </w:sdtEndPr>
    <w:sdtContent>
      <w:p w14:paraId="5D2CD0CB" w14:textId="5656DBEB" w:rsidR="00624184" w:rsidRDefault="006241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FE6A23" w14:textId="77777777" w:rsidR="00AD6F26" w:rsidRDefault="00AD6F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0877A4" w14:textId="77777777" w:rsidR="006B6319" w:rsidRDefault="006B6319" w:rsidP="00AD6F26">
      <w:pPr>
        <w:spacing w:after="0" w:line="240" w:lineRule="auto"/>
      </w:pPr>
      <w:r>
        <w:separator/>
      </w:r>
    </w:p>
  </w:footnote>
  <w:footnote w:type="continuationSeparator" w:id="0">
    <w:p w14:paraId="198B9E34" w14:textId="77777777" w:rsidR="006B6319" w:rsidRDefault="006B6319" w:rsidP="00AD6F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E90"/>
    <w:rsid w:val="00060C11"/>
    <w:rsid w:val="00092F64"/>
    <w:rsid w:val="00095B24"/>
    <w:rsid w:val="000F669E"/>
    <w:rsid w:val="00110BC4"/>
    <w:rsid w:val="00125808"/>
    <w:rsid w:val="002E2664"/>
    <w:rsid w:val="003260CC"/>
    <w:rsid w:val="003C732C"/>
    <w:rsid w:val="003F6A20"/>
    <w:rsid w:val="0055678A"/>
    <w:rsid w:val="00561C01"/>
    <w:rsid w:val="005C2A93"/>
    <w:rsid w:val="00624184"/>
    <w:rsid w:val="006372DA"/>
    <w:rsid w:val="00662E68"/>
    <w:rsid w:val="006B6319"/>
    <w:rsid w:val="00724B85"/>
    <w:rsid w:val="00735A3A"/>
    <w:rsid w:val="00795616"/>
    <w:rsid w:val="008340F2"/>
    <w:rsid w:val="008623D9"/>
    <w:rsid w:val="00891656"/>
    <w:rsid w:val="00894E90"/>
    <w:rsid w:val="008A1DB1"/>
    <w:rsid w:val="008C06A7"/>
    <w:rsid w:val="009960F9"/>
    <w:rsid w:val="00A128C1"/>
    <w:rsid w:val="00AC1240"/>
    <w:rsid w:val="00AD6F26"/>
    <w:rsid w:val="00C31C42"/>
    <w:rsid w:val="00C976D0"/>
    <w:rsid w:val="00CD5453"/>
    <w:rsid w:val="00D816F6"/>
    <w:rsid w:val="00DA7136"/>
    <w:rsid w:val="00DB2E30"/>
    <w:rsid w:val="00DE23A0"/>
    <w:rsid w:val="00E02EAA"/>
    <w:rsid w:val="00E96358"/>
    <w:rsid w:val="00F52207"/>
    <w:rsid w:val="00F556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434D84"/>
  <w15:chartTrackingRefBased/>
  <w15:docId w15:val="{4573C238-9609-47D9-9D55-FE5323C34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E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4E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4E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4E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4E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4E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4E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4E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4E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E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4E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4E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4E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4E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4E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4E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4E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4E90"/>
    <w:rPr>
      <w:rFonts w:eastAsiaTheme="majorEastAsia" w:cstheme="majorBidi"/>
      <w:color w:val="272727" w:themeColor="text1" w:themeTint="D8"/>
    </w:rPr>
  </w:style>
  <w:style w:type="paragraph" w:styleId="Title">
    <w:name w:val="Title"/>
    <w:basedOn w:val="Normal"/>
    <w:next w:val="Normal"/>
    <w:link w:val="TitleChar"/>
    <w:uiPriority w:val="10"/>
    <w:qFormat/>
    <w:rsid w:val="00894E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E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4E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4E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4E90"/>
    <w:pPr>
      <w:spacing w:before="160"/>
      <w:jc w:val="center"/>
    </w:pPr>
    <w:rPr>
      <w:i/>
      <w:iCs/>
      <w:color w:val="404040" w:themeColor="text1" w:themeTint="BF"/>
    </w:rPr>
  </w:style>
  <w:style w:type="character" w:customStyle="1" w:styleId="QuoteChar">
    <w:name w:val="Quote Char"/>
    <w:basedOn w:val="DefaultParagraphFont"/>
    <w:link w:val="Quote"/>
    <w:uiPriority w:val="29"/>
    <w:rsid w:val="00894E90"/>
    <w:rPr>
      <w:i/>
      <w:iCs/>
      <w:color w:val="404040" w:themeColor="text1" w:themeTint="BF"/>
    </w:rPr>
  </w:style>
  <w:style w:type="paragraph" w:styleId="ListParagraph">
    <w:name w:val="List Paragraph"/>
    <w:basedOn w:val="Normal"/>
    <w:uiPriority w:val="34"/>
    <w:qFormat/>
    <w:rsid w:val="00894E90"/>
    <w:pPr>
      <w:ind w:left="720"/>
      <w:contextualSpacing/>
    </w:pPr>
  </w:style>
  <w:style w:type="character" w:styleId="IntenseEmphasis">
    <w:name w:val="Intense Emphasis"/>
    <w:basedOn w:val="DefaultParagraphFont"/>
    <w:uiPriority w:val="21"/>
    <w:qFormat/>
    <w:rsid w:val="00894E90"/>
    <w:rPr>
      <w:i/>
      <w:iCs/>
      <w:color w:val="0F4761" w:themeColor="accent1" w:themeShade="BF"/>
    </w:rPr>
  </w:style>
  <w:style w:type="paragraph" w:styleId="IntenseQuote">
    <w:name w:val="Intense Quote"/>
    <w:basedOn w:val="Normal"/>
    <w:next w:val="Normal"/>
    <w:link w:val="IntenseQuoteChar"/>
    <w:uiPriority w:val="30"/>
    <w:qFormat/>
    <w:rsid w:val="00894E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4E90"/>
    <w:rPr>
      <w:i/>
      <w:iCs/>
      <w:color w:val="0F4761" w:themeColor="accent1" w:themeShade="BF"/>
    </w:rPr>
  </w:style>
  <w:style w:type="character" w:styleId="IntenseReference">
    <w:name w:val="Intense Reference"/>
    <w:basedOn w:val="DefaultParagraphFont"/>
    <w:uiPriority w:val="32"/>
    <w:qFormat/>
    <w:rsid w:val="00894E90"/>
    <w:rPr>
      <w:b/>
      <w:bCs/>
      <w:smallCaps/>
      <w:color w:val="0F4761" w:themeColor="accent1" w:themeShade="BF"/>
      <w:spacing w:val="5"/>
    </w:rPr>
  </w:style>
  <w:style w:type="character" w:styleId="Hyperlink">
    <w:name w:val="Hyperlink"/>
    <w:basedOn w:val="DefaultParagraphFont"/>
    <w:uiPriority w:val="99"/>
    <w:unhideWhenUsed/>
    <w:rsid w:val="00A128C1"/>
    <w:rPr>
      <w:color w:val="467886" w:themeColor="hyperlink"/>
      <w:u w:val="single"/>
    </w:rPr>
  </w:style>
  <w:style w:type="paragraph" w:styleId="Header">
    <w:name w:val="header"/>
    <w:basedOn w:val="Normal"/>
    <w:link w:val="HeaderChar"/>
    <w:uiPriority w:val="99"/>
    <w:unhideWhenUsed/>
    <w:rsid w:val="00AD6F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6F26"/>
  </w:style>
  <w:style w:type="paragraph" w:styleId="Footer">
    <w:name w:val="footer"/>
    <w:basedOn w:val="Normal"/>
    <w:link w:val="FooterChar"/>
    <w:uiPriority w:val="99"/>
    <w:unhideWhenUsed/>
    <w:rsid w:val="00AD6F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6F26"/>
  </w:style>
  <w:style w:type="paragraph" w:styleId="TOCHeading">
    <w:name w:val="TOC Heading"/>
    <w:basedOn w:val="Heading1"/>
    <w:next w:val="Normal"/>
    <w:uiPriority w:val="39"/>
    <w:unhideWhenUsed/>
    <w:qFormat/>
    <w:rsid w:val="009960F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9165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hofstede-insights.com" TargetMode="External"/><Relationship Id="rId4" Type="http://schemas.openxmlformats.org/officeDocument/2006/relationships/webSettings" Target="webSettings.xml"/><Relationship Id="rId9" Type="http://schemas.openxmlformats.org/officeDocument/2006/relationships/hyperlink" Target="https://www.bmwgroup.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17BED3-FEC4-4DBF-9379-C30CC91E2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40</Pages>
  <Words>5945</Words>
  <Characters>40252</Characters>
  <Application>Microsoft Office Word</Application>
  <DocSecurity>0</DocSecurity>
  <Lines>1118</Lines>
  <Paragraphs>710</Paragraphs>
  <ScaleCrop>false</ScaleCrop>
  <Company/>
  <LinksUpToDate>false</LinksUpToDate>
  <CharactersWithSpaces>45487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Netoi</dc:creator>
  <cp:keywords/>
  <dc:description/>
  <cp:lastModifiedBy>Alex Netoi</cp:lastModifiedBy>
  <cp:revision>37</cp:revision>
  <dcterms:created xsi:type="dcterms:W3CDTF">2025-11-15T12:02:00Z</dcterms:created>
  <dcterms:modified xsi:type="dcterms:W3CDTF">2025-11-15T13:37:00Z</dcterms:modified>
</cp:coreProperties>
</file>