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8483F" w14:textId="77777777" w:rsidR="00A447DF" w:rsidRDefault="00A447DF">
      <w:pPr>
        <w:rPr>
          <w:b/>
          <w:bCs/>
        </w:rPr>
      </w:pPr>
    </w:p>
    <w:p w14:paraId="3CA22DCF" w14:textId="77777777" w:rsidR="00A447DF" w:rsidRPr="004152E1" w:rsidRDefault="00A447DF" w:rsidP="004152E1">
      <w:pPr>
        <w:spacing w:line="360" w:lineRule="auto"/>
        <w:rPr>
          <w:rFonts w:ascii="Arial" w:hAnsi="Arial" w:cs="Arial"/>
          <w:b/>
          <w:bCs/>
          <w:sz w:val="22"/>
          <w:szCs w:val="22"/>
        </w:rPr>
      </w:pPr>
    </w:p>
    <w:p w14:paraId="669849F3" w14:textId="77777777" w:rsidR="00A447DF" w:rsidRPr="004152E1" w:rsidRDefault="00A447DF" w:rsidP="004152E1">
      <w:pPr>
        <w:spacing w:line="360" w:lineRule="auto"/>
        <w:rPr>
          <w:rFonts w:ascii="Arial" w:hAnsi="Arial" w:cs="Arial"/>
          <w:b/>
          <w:bCs/>
          <w:sz w:val="22"/>
          <w:szCs w:val="22"/>
        </w:rPr>
      </w:pPr>
    </w:p>
    <w:p w14:paraId="418A92C8" w14:textId="77777777" w:rsidR="00A447DF" w:rsidRPr="004152E1" w:rsidRDefault="00A447DF" w:rsidP="004152E1">
      <w:pPr>
        <w:spacing w:line="360" w:lineRule="auto"/>
        <w:rPr>
          <w:rFonts w:ascii="Arial" w:hAnsi="Arial" w:cs="Arial"/>
          <w:b/>
          <w:bCs/>
          <w:sz w:val="22"/>
          <w:szCs w:val="22"/>
        </w:rPr>
      </w:pPr>
    </w:p>
    <w:p w14:paraId="06FABF9B" w14:textId="77777777" w:rsidR="00A447DF" w:rsidRPr="004152E1" w:rsidRDefault="00A447DF" w:rsidP="004152E1">
      <w:pPr>
        <w:spacing w:line="360" w:lineRule="auto"/>
        <w:rPr>
          <w:rFonts w:ascii="Arial" w:hAnsi="Arial" w:cs="Arial"/>
          <w:b/>
          <w:bCs/>
          <w:sz w:val="22"/>
          <w:szCs w:val="22"/>
        </w:rPr>
      </w:pPr>
    </w:p>
    <w:p w14:paraId="66578B8D" w14:textId="77777777" w:rsidR="00A447DF" w:rsidRPr="004152E1" w:rsidRDefault="00A447DF" w:rsidP="004152E1">
      <w:pPr>
        <w:spacing w:line="360" w:lineRule="auto"/>
        <w:rPr>
          <w:rFonts w:ascii="Arial" w:hAnsi="Arial" w:cs="Arial"/>
          <w:b/>
          <w:bCs/>
          <w:sz w:val="22"/>
          <w:szCs w:val="22"/>
        </w:rPr>
      </w:pPr>
    </w:p>
    <w:p w14:paraId="53DC12BF" w14:textId="77777777" w:rsidR="00A447DF" w:rsidRPr="004152E1" w:rsidRDefault="00A447DF" w:rsidP="004152E1">
      <w:pPr>
        <w:spacing w:line="360" w:lineRule="auto"/>
        <w:jc w:val="center"/>
        <w:rPr>
          <w:rFonts w:ascii="Arial" w:hAnsi="Arial" w:cs="Arial"/>
          <w:b/>
          <w:bCs/>
          <w:sz w:val="22"/>
          <w:szCs w:val="22"/>
        </w:rPr>
      </w:pPr>
    </w:p>
    <w:p w14:paraId="32174EA3" w14:textId="77777777" w:rsidR="003C3622" w:rsidRDefault="003C3622" w:rsidP="004152E1">
      <w:pPr>
        <w:spacing w:line="360" w:lineRule="auto"/>
        <w:jc w:val="center"/>
        <w:rPr>
          <w:rFonts w:ascii="Arial" w:hAnsi="Arial" w:cs="Arial"/>
          <w:b/>
          <w:bCs/>
          <w:color w:val="000000" w:themeColor="text1"/>
          <w:sz w:val="22"/>
          <w:szCs w:val="22"/>
        </w:rPr>
      </w:pPr>
    </w:p>
    <w:p w14:paraId="3A341D33" w14:textId="77777777" w:rsidR="003C3622" w:rsidRDefault="003C3622" w:rsidP="004152E1">
      <w:pPr>
        <w:spacing w:line="360" w:lineRule="auto"/>
        <w:jc w:val="center"/>
        <w:rPr>
          <w:rFonts w:ascii="Arial" w:hAnsi="Arial" w:cs="Arial"/>
          <w:b/>
          <w:bCs/>
          <w:color w:val="000000" w:themeColor="text1"/>
          <w:sz w:val="22"/>
          <w:szCs w:val="22"/>
        </w:rPr>
      </w:pPr>
    </w:p>
    <w:p w14:paraId="50CAA858" w14:textId="43309796" w:rsidR="00F96611" w:rsidRPr="004152E1" w:rsidRDefault="00F96611" w:rsidP="004152E1">
      <w:pPr>
        <w:spacing w:line="360" w:lineRule="auto"/>
        <w:jc w:val="center"/>
        <w:rPr>
          <w:rFonts w:ascii="Arial" w:hAnsi="Arial" w:cs="Arial"/>
          <w:color w:val="000000" w:themeColor="text1"/>
          <w:sz w:val="22"/>
          <w:szCs w:val="22"/>
        </w:rPr>
      </w:pPr>
      <w:r w:rsidRPr="006501BB">
        <w:rPr>
          <w:rFonts w:ascii="Arial" w:hAnsi="Arial" w:cs="Arial"/>
          <w:b/>
          <w:bCs/>
          <w:color w:val="000000" w:themeColor="text1"/>
          <w:sz w:val="22"/>
          <w:szCs w:val="22"/>
        </w:rPr>
        <w:t>Name:</w:t>
      </w:r>
      <w:r w:rsidRPr="006501BB">
        <w:rPr>
          <w:rFonts w:ascii="Arial" w:hAnsi="Arial" w:cs="Arial"/>
          <w:color w:val="000000" w:themeColor="text1"/>
          <w:sz w:val="22"/>
          <w:szCs w:val="22"/>
        </w:rPr>
        <w:t> </w:t>
      </w:r>
      <w:r w:rsidRPr="004152E1">
        <w:rPr>
          <w:rFonts w:ascii="Arial" w:hAnsi="Arial" w:cs="Arial"/>
          <w:color w:val="000000" w:themeColor="text1"/>
          <w:sz w:val="22"/>
          <w:szCs w:val="22"/>
        </w:rPr>
        <w:t>Najma Mir</w:t>
      </w:r>
      <w:r w:rsidRPr="006501BB">
        <w:rPr>
          <w:rFonts w:ascii="Arial" w:hAnsi="Arial" w:cs="Arial"/>
          <w:color w:val="000000" w:themeColor="text1"/>
          <w:sz w:val="22"/>
          <w:szCs w:val="22"/>
        </w:rPr>
        <w:br/>
      </w:r>
      <w:r w:rsidRPr="006501BB">
        <w:rPr>
          <w:rFonts w:ascii="Arial" w:hAnsi="Arial" w:cs="Arial"/>
          <w:b/>
          <w:bCs/>
          <w:color w:val="000000" w:themeColor="text1"/>
          <w:sz w:val="22"/>
          <w:szCs w:val="22"/>
        </w:rPr>
        <w:t>Student ID:</w:t>
      </w:r>
      <w:r w:rsidRPr="006501BB">
        <w:rPr>
          <w:rFonts w:ascii="Arial" w:hAnsi="Arial" w:cs="Arial"/>
          <w:color w:val="000000" w:themeColor="text1"/>
          <w:sz w:val="22"/>
          <w:szCs w:val="22"/>
        </w:rPr>
        <w:t> </w:t>
      </w:r>
      <w:r w:rsidRPr="004152E1">
        <w:rPr>
          <w:rFonts w:ascii="Arial" w:hAnsi="Arial" w:cs="Arial"/>
          <w:color w:val="000000" w:themeColor="text1"/>
          <w:sz w:val="22"/>
          <w:szCs w:val="22"/>
        </w:rPr>
        <w:t>2522176</w:t>
      </w:r>
      <w:r w:rsidRPr="006501BB">
        <w:rPr>
          <w:rFonts w:ascii="Arial" w:hAnsi="Arial" w:cs="Arial"/>
          <w:color w:val="000000" w:themeColor="text1"/>
          <w:sz w:val="22"/>
          <w:szCs w:val="22"/>
        </w:rPr>
        <w:br/>
      </w:r>
      <w:r w:rsidRPr="006501BB">
        <w:rPr>
          <w:rFonts w:ascii="Arial" w:hAnsi="Arial" w:cs="Arial"/>
          <w:b/>
          <w:bCs/>
          <w:color w:val="000000" w:themeColor="text1"/>
          <w:sz w:val="22"/>
          <w:szCs w:val="22"/>
        </w:rPr>
        <w:t>Module Code:</w:t>
      </w:r>
      <w:r w:rsidRPr="006501BB">
        <w:rPr>
          <w:rFonts w:ascii="Arial" w:hAnsi="Arial" w:cs="Arial"/>
          <w:color w:val="000000" w:themeColor="text1"/>
          <w:sz w:val="22"/>
          <w:szCs w:val="22"/>
        </w:rPr>
        <w:t> LCHS4001</w:t>
      </w:r>
      <w:r w:rsidRPr="006501BB">
        <w:rPr>
          <w:rFonts w:ascii="Arial" w:hAnsi="Arial" w:cs="Arial"/>
          <w:color w:val="000000" w:themeColor="text1"/>
          <w:sz w:val="22"/>
          <w:szCs w:val="22"/>
        </w:rPr>
        <w:br/>
      </w:r>
      <w:r w:rsidRPr="006501BB">
        <w:rPr>
          <w:rFonts w:ascii="Arial" w:hAnsi="Arial" w:cs="Arial"/>
          <w:b/>
          <w:bCs/>
          <w:color w:val="000000" w:themeColor="text1"/>
          <w:sz w:val="22"/>
          <w:szCs w:val="22"/>
        </w:rPr>
        <w:t>Module:</w:t>
      </w:r>
      <w:r w:rsidRPr="006501BB">
        <w:rPr>
          <w:rFonts w:ascii="Arial" w:hAnsi="Arial" w:cs="Arial"/>
          <w:color w:val="000000" w:themeColor="text1"/>
          <w:sz w:val="22"/>
          <w:szCs w:val="22"/>
        </w:rPr>
        <w:t> Academic and Employability Skills</w:t>
      </w:r>
      <w:r w:rsidRPr="006501BB">
        <w:rPr>
          <w:rFonts w:ascii="Arial" w:hAnsi="Arial" w:cs="Arial"/>
          <w:color w:val="000000" w:themeColor="text1"/>
          <w:sz w:val="22"/>
          <w:szCs w:val="22"/>
        </w:rPr>
        <w:br/>
      </w:r>
      <w:r w:rsidRPr="006501BB">
        <w:rPr>
          <w:rFonts w:ascii="Arial" w:hAnsi="Arial" w:cs="Arial"/>
          <w:b/>
          <w:bCs/>
          <w:color w:val="000000" w:themeColor="text1"/>
          <w:sz w:val="22"/>
          <w:szCs w:val="22"/>
        </w:rPr>
        <w:t>Lecturer:</w:t>
      </w:r>
      <w:r w:rsidRPr="006501BB">
        <w:rPr>
          <w:rFonts w:ascii="Arial" w:hAnsi="Arial" w:cs="Arial"/>
          <w:color w:val="000000" w:themeColor="text1"/>
          <w:sz w:val="22"/>
          <w:szCs w:val="22"/>
        </w:rPr>
        <w:t> Markus Klingelfuss</w:t>
      </w:r>
      <w:r w:rsidRPr="006501BB">
        <w:rPr>
          <w:rFonts w:ascii="Arial" w:hAnsi="Arial" w:cs="Arial"/>
          <w:color w:val="000000" w:themeColor="text1"/>
          <w:sz w:val="22"/>
          <w:szCs w:val="22"/>
        </w:rPr>
        <w:br/>
      </w:r>
    </w:p>
    <w:p w14:paraId="38D5867F" w14:textId="77777777" w:rsidR="00A447DF" w:rsidRPr="004152E1" w:rsidRDefault="00A447DF" w:rsidP="004152E1">
      <w:pPr>
        <w:spacing w:line="360" w:lineRule="auto"/>
        <w:rPr>
          <w:rFonts w:ascii="Arial" w:hAnsi="Arial" w:cs="Arial"/>
          <w:b/>
          <w:bCs/>
          <w:sz w:val="22"/>
          <w:szCs w:val="22"/>
        </w:rPr>
      </w:pPr>
    </w:p>
    <w:p w14:paraId="6AFB66F2" w14:textId="77777777" w:rsidR="00A447DF" w:rsidRPr="004152E1" w:rsidRDefault="00A447DF" w:rsidP="004152E1">
      <w:pPr>
        <w:spacing w:line="360" w:lineRule="auto"/>
        <w:rPr>
          <w:rFonts w:ascii="Arial" w:hAnsi="Arial" w:cs="Arial"/>
          <w:b/>
          <w:bCs/>
          <w:sz w:val="22"/>
          <w:szCs w:val="22"/>
        </w:rPr>
      </w:pPr>
    </w:p>
    <w:p w14:paraId="7A7ED72B" w14:textId="77777777" w:rsidR="00A447DF" w:rsidRPr="004152E1" w:rsidRDefault="00A447DF" w:rsidP="004152E1">
      <w:pPr>
        <w:spacing w:line="360" w:lineRule="auto"/>
        <w:rPr>
          <w:rFonts w:ascii="Arial" w:hAnsi="Arial" w:cs="Arial"/>
          <w:b/>
          <w:bCs/>
          <w:sz w:val="22"/>
          <w:szCs w:val="22"/>
        </w:rPr>
      </w:pPr>
    </w:p>
    <w:p w14:paraId="0C211156" w14:textId="77777777" w:rsidR="00A447DF" w:rsidRPr="004152E1" w:rsidRDefault="00A447DF" w:rsidP="004152E1">
      <w:pPr>
        <w:spacing w:line="360" w:lineRule="auto"/>
        <w:rPr>
          <w:rFonts w:ascii="Arial" w:hAnsi="Arial" w:cs="Arial"/>
          <w:b/>
          <w:bCs/>
          <w:sz w:val="22"/>
          <w:szCs w:val="22"/>
        </w:rPr>
      </w:pPr>
    </w:p>
    <w:p w14:paraId="5E0D3D95" w14:textId="77777777" w:rsidR="00A447DF" w:rsidRPr="004152E1" w:rsidRDefault="00A447DF" w:rsidP="004152E1">
      <w:pPr>
        <w:spacing w:line="360" w:lineRule="auto"/>
        <w:rPr>
          <w:rFonts w:ascii="Arial" w:hAnsi="Arial" w:cs="Arial"/>
          <w:b/>
          <w:bCs/>
          <w:sz w:val="22"/>
          <w:szCs w:val="22"/>
        </w:rPr>
      </w:pPr>
    </w:p>
    <w:p w14:paraId="552B8AB1" w14:textId="77777777" w:rsidR="00A447DF" w:rsidRPr="004152E1" w:rsidRDefault="00A447DF" w:rsidP="004152E1">
      <w:pPr>
        <w:spacing w:line="360" w:lineRule="auto"/>
        <w:rPr>
          <w:rFonts w:ascii="Arial" w:hAnsi="Arial" w:cs="Arial"/>
          <w:b/>
          <w:bCs/>
          <w:sz w:val="22"/>
          <w:szCs w:val="22"/>
        </w:rPr>
      </w:pPr>
    </w:p>
    <w:p w14:paraId="4A0AB840" w14:textId="77777777" w:rsidR="00A447DF" w:rsidRPr="004152E1" w:rsidRDefault="00A447DF" w:rsidP="004152E1">
      <w:pPr>
        <w:spacing w:line="360" w:lineRule="auto"/>
        <w:rPr>
          <w:rFonts w:ascii="Arial" w:hAnsi="Arial" w:cs="Arial"/>
          <w:b/>
          <w:bCs/>
          <w:sz w:val="22"/>
          <w:szCs w:val="22"/>
        </w:rPr>
      </w:pPr>
    </w:p>
    <w:p w14:paraId="1C81D18C" w14:textId="77777777" w:rsidR="00A447DF" w:rsidRPr="004152E1" w:rsidRDefault="00A447DF" w:rsidP="004152E1">
      <w:pPr>
        <w:spacing w:line="360" w:lineRule="auto"/>
        <w:rPr>
          <w:rFonts w:ascii="Arial" w:hAnsi="Arial" w:cs="Arial"/>
          <w:b/>
          <w:bCs/>
          <w:sz w:val="22"/>
          <w:szCs w:val="22"/>
        </w:rPr>
      </w:pPr>
    </w:p>
    <w:p w14:paraId="2288B432" w14:textId="77777777" w:rsidR="00A447DF" w:rsidRPr="004152E1" w:rsidRDefault="00A447DF" w:rsidP="004152E1">
      <w:pPr>
        <w:spacing w:line="360" w:lineRule="auto"/>
        <w:rPr>
          <w:rFonts w:ascii="Arial" w:hAnsi="Arial" w:cs="Arial"/>
          <w:b/>
          <w:bCs/>
          <w:sz w:val="22"/>
          <w:szCs w:val="22"/>
        </w:rPr>
      </w:pPr>
    </w:p>
    <w:p w14:paraId="48FD0F1A" w14:textId="77777777" w:rsidR="00A447DF" w:rsidRPr="004152E1" w:rsidRDefault="00A447DF" w:rsidP="004152E1">
      <w:pPr>
        <w:spacing w:line="360" w:lineRule="auto"/>
        <w:rPr>
          <w:rFonts w:ascii="Arial" w:hAnsi="Arial" w:cs="Arial"/>
          <w:b/>
          <w:bCs/>
          <w:sz w:val="22"/>
          <w:szCs w:val="22"/>
        </w:rPr>
      </w:pPr>
    </w:p>
    <w:p w14:paraId="3EEC3BF8" w14:textId="77777777" w:rsidR="00A447DF" w:rsidRPr="004152E1" w:rsidRDefault="00A447DF" w:rsidP="004152E1">
      <w:pPr>
        <w:spacing w:line="360" w:lineRule="auto"/>
        <w:rPr>
          <w:rFonts w:ascii="Arial" w:hAnsi="Arial" w:cs="Arial"/>
          <w:b/>
          <w:bCs/>
          <w:sz w:val="22"/>
          <w:szCs w:val="22"/>
        </w:rPr>
      </w:pPr>
    </w:p>
    <w:p w14:paraId="3D61064A" w14:textId="77777777" w:rsidR="00A447DF" w:rsidRPr="004152E1" w:rsidRDefault="00A447DF" w:rsidP="004152E1">
      <w:pPr>
        <w:spacing w:line="360" w:lineRule="auto"/>
        <w:rPr>
          <w:rFonts w:ascii="Arial" w:hAnsi="Arial" w:cs="Arial"/>
          <w:b/>
          <w:bCs/>
          <w:sz w:val="22"/>
          <w:szCs w:val="22"/>
        </w:rPr>
      </w:pPr>
    </w:p>
    <w:p w14:paraId="4C1F3C00" w14:textId="77777777" w:rsidR="00A447DF" w:rsidRPr="004152E1" w:rsidRDefault="00A447DF" w:rsidP="004152E1">
      <w:pPr>
        <w:spacing w:line="360" w:lineRule="auto"/>
        <w:rPr>
          <w:rFonts w:ascii="Arial" w:hAnsi="Arial" w:cs="Arial"/>
          <w:b/>
          <w:bCs/>
          <w:sz w:val="22"/>
          <w:szCs w:val="22"/>
        </w:rPr>
      </w:pPr>
    </w:p>
    <w:p w14:paraId="3B492407" w14:textId="77777777" w:rsidR="00CF50E8" w:rsidRDefault="00CF50E8" w:rsidP="004152E1">
      <w:pPr>
        <w:spacing w:line="360" w:lineRule="auto"/>
        <w:rPr>
          <w:rFonts w:ascii="Arial" w:hAnsi="Arial" w:cs="Arial"/>
          <w:b/>
          <w:bCs/>
          <w:sz w:val="22"/>
          <w:szCs w:val="22"/>
        </w:rPr>
      </w:pPr>
    </w:p>
    <w:p w14:paraId="650E6D23" w14:textId="77777777" w:rsidR="00CF50E8" w:rsidRDefault="00CF50E8" w:rsidP="004152E1">
      <w:pPr>
        <w:spacing w:line="360" w:lineRule="auto"/>
        <w:rPr>
          <w:rFonts w:ascii="Arial" w:hAnsi="Arial" w:cs="Arial"/>
          <w:b/>
          <w:bCs/>
          <w:sz w:val="22"/>
          <w:szCs w:val="22"/>
        </w:rPr>
      </w:pPr>
    </w:p>
    <w:p w14:paraId="62DA9AB4" w14:textId="7FF7EB65" w:rsidR="00C85A49" w:rsidRDefault="006501BB" w:rsidP="004152E1">
      <w:pPr>
        <w:spacing w:line="360" w:lineRule="auto"/>
        <w:rPr>
          <w:rFonts w:ascii="Arial" w:hAnsi="Arial" w:cs="Arial"/>
          <w:b/>
          <w:bCs/>
          <w:color w:val="000000" w:themeColor="text1"/>
          <w:sz w:val="22"/>
          <w:szCs w:val="22"/>
        </w:rPr>
      </w:pPr>
      <w:r w:rsidRPr="006501BB">
        <w:rPr>
          <w:rFonts w:ascii="Arial" w:hAnsi="Arial" w:cs="Arial"/>
          <w:b/>
          <w:bCs/>
          <w:color w:val="000000" w:themeColor="text1"/>
          <w:sz w:val="22"/>
          <w:szCs w:val="22"/>
        </w:rPr>
        <w:t>Table of Contents</w:t>
      </w:r>
    </w:p>
    <w:p w14:paraId="70D3A25F" w14:textId="2AA5FE49" w:rsidR="006501BB" w:rsidRPr="00C85A49" w:rsidRDefault="006501BB" w:rsidP="004152E1">
      <w:pPr>
        <w:spacing w:line="360" w:lineRule="auto"/>
        <w:rPr>
          <w:rFonts w:ascii="Arial" w:hAnsi="Arial" w:cs="Arial"/>
          <w:b/>
          <w:bCs/>
          <w:color w:val="000000" w:themeColor="text1"/>
          <w:sz w:val="22"/>
          <w:szCs w:val="22"/>
        </w:rPr>
      </w:pPr>
      <w:r w:rsidRPr="006501BB">
        <w:rPr>
          <w:rFonts w:ascii="Arial" w:hAnsi="Arial" w:cs="Arial"/>
          <w:color w:val="000000" w:themeColor="text1"/>
          <w:sz w:val="22"/>
          <w:szCs w:val="22"/>
        </w:rPr>
        <w:br/>
      </w:r>
      <w:hyperlink r:id="rId10" w:anchor="introduction" w:tgtFrame="_blank" w:history="1">
        <w:r w:rsidRPr="006501BB">
          <w:rPr>
            <w:rStyle w:val="Hyperlink"/>
            <w:rFonts w:ascii="Arial" w:hAnsi="Arial" w:cs="Arial"/>
            <w:color w:val="000000" w:themeColor="text1"/>
            <w:sz w:val="22"/>
            <w:szCs w:val="22"/>
            <w:u w:val="none"/>
          </w:rPr>
          <w:t>1.1 Introduction</w:t>
        </w:r>
      </w:hyperlink>
      <w:r w:rsidRPr="006501BB">
        <w:rPr>
          <w:rFonts w:ascii="Arial" w:hAnsi="Arial" w:cs="Arial"/>
          <w:color w:val="000000" w:themeColor="text1"/>
          <w:sz w:val="22"/>
          <w:szCs w:val="22"/>
        </w:rPr>
        <w:t> ...........................................................</w:t>
      </w:r>
      <w:r w:rsidR="003E77C7">
        <w:rPr>
          <w:rFonts w:ascii="Arial" w:hAnsi="Arial" w:cs="Arial"/>
          <w:color w:val="000000" w:themeColor="text1"/>
          <w:sz w:val="22"/>
          <w:szCs w:val="22"/>
        </w:rPr>
        <w:t>…………………………………..</w:t>
      </w:r>
      <w:r w:rsidR="00C85A49">
        <w:rPr>
          <w:rFonts w:ascii="Arial" w:hAnsi="Arial" w:cs="Arial"/>
          <w:color w:val="000000" w:themeColor="text1"/>
          <w:sz w:val="22"/>
          <w:szCs w:val="22"/>
        </w:rPr>
        <w:t>3</w:t>
      </w:r>
      <w:r w:rsidRPr="006501BB">
        <w:rPr>
          <w:rFonts w:ascii="Arial" w:hAnsi="Arial" w:cs="Arial"/>
          <w:color w:val="000000" w:themeColor="text1"/>
          <w:sz w:val="22"/>
          <w:szCs w:val="22"/>
        </w:rPr>
        <w:br/>
      </w:r>
      <w:hyperlink r:id="rId11" w:anchor="description-of-and-background-to-adult-nurse-in-healthcare" w:tgtFrame="_blank" w:history="1">
        <w:r w:rsidRPr="006501BB">
          <w:rPr>
            <w:rStyle w:val="Hyperlink"/>
            <w:rFonts w:ascii="Arial" w:hAnsi="Arial" w:cs="Arial"/>
            <w:color w:val="000000" w:themeColor="text1"/>
            <w:sz w:val="22"/>
            <w:szCs w:val="22"/>
            <w:u w:val="none"/>
          </w:rPr>
          <w:t>1.2 Description of, and background to, Adult Nurs</w:t>
        </w:r>
        <w:r w:rsidR="00C85A49">
          <w:rPr>
            <w:rStyle w:val="Hyperlink"/>
            <w:rFonts w:ascii="Arial" w:hAnsi="Arial" w:cs="Arial"/>
            <w:color w:val="000000" w:themeColor="text1"/>
            <w:sz w:val="22"/>
            <w:szCs w:val="22"/>
            <w:u w:val="none"/>
          </w:rPr>
          <w:t xml:space="preserve">ing </w:t>
        </w:r>
        <w:r w:rsidRPr="006501BB">
          <w:rPr>
            <w:rStyle w:val="Hyperlink"/>
            <w:rFonts w:ascii="Arial" w:hAnsi="Arial" w:cs="Arial"/>
            <w:color w:val="000000" w:themeColor="text1"/>
            <w:sz w:val="22"/>
            <w:szCs w:val="22"/>
            <w:u w:val="none"/>
          </w:rPr>
          <w:t>in Healthcare</w:t>
        </w:r>
      </w:hyperlink>
      <w:r w:rsidRPr="006501BB">
        <w:rPr>
          <w:rFonts w:ascii="Arial" w:hAnsi="Arial" w:cs="Arial"/>
          <w:color w:val="000000" w:themeColor="text1"/>
          <w:sz w:val="22"/>
          <w:szCs w:val="22"/>
        </w:rPr>
        <w:t> ...</w:t>
      </w:r>
      <w:r w:rsidR="003E77C7">
        <w:rPr>
          <w:rFonts w:ascii="Arial" w:hAnsi="Arial" w:cs="Arial"/>
          <w:color w:val="000000" w:themeColor="text1"/>
          <w:sz w:val="22"/>
          <w:szCs w:val="22"/>
        </w:rPr>
        <w:t>........................</w:t>
      </w:r>
      <w:r w:rsidR="003C3622">
        <w:rPr>
          <w:rFonts w:ascii="Arial" w:hAnsi="Arial" w:cs="Arial"/>
          <w:color w:val="000000" w:themeColor="text1"/>
          <w:sz w:val="22"/>
          <w:szCs w:val="22"/>
        </w:rPr>
        <w:t>.</w:t>
      </w:r>
      <w:r w:rsidR="00C85A49">
        <w:rPr>
          <w:rFonts w:ascii="Arial" w:hAnsi="Arial" w:cs="Arial"/>
          <w:color w:val="000000" w:themeColor="text1"/>
          <w:sz w:val="22"/>
          <w:szCs w:val="22"/>
        </w:rPr>
        <w:t>3</w:t>
      </w:r>
      <w:r w:rsidRPr="006501BB">
        <w:rPr>
          <w:rFonts w:ascii="Arial" w:hAnsi="Arial" w:cs="Arial"/>
          <w:color w:val="000000" w:themeColor="text1"/>
          <w:sz w:val="22"/>
          <w:szCs w:val="22"/>
        </w:rPr>
        <w:br/>
      </w:r>
      <w:hyperlink r:id="rId12" w:anchor="evaluation-of-the-skills-needed-for-adult-nurse-in-healthcare" w:tgtFrame="_blank" w:history="1">
        <w:r w:rsidRPr="006501BB">
          <w:rPr>
            <w:rStyle w:val="Hyperlink"/>
            <w:rFonts w:ascii="Arial" w:hAnsi="Arial" w:cs="Arial"/>
            <w:color w:val="000000" w:themeColor="text1"/>
            <w:sz w:val="22"/>
            <w:szCs w:val="22"/>
            <w:u w:val="none"/>
          </w:rPr>
          <w:t>1.3 Evaluation of the skills needed for Adult Nurse</w:t>
        </w:r>
        <w:r w:rsidR="00C85A49">
          <w:rPr>
            <w:rStyle w:val="Hyperlink"/>
            <w:rFonts w:ascii="Arial" w:hAnsi="Arial" w:cs="Arial"/>
            <w:color w:val="000000" w:themeColor="text1"/>
            <w:sz w:val="22"/>
            <w:szCs w:val="22"/>
            <w:u w:val="none"/>
          </w:rPr>
          <w:t>s</w:t>
        </w:r>
      </w:hyperlink>
      <w:r w:rsidR="00C85A49">
        <w:rPr>
          <w:rFonts w:ascii="Arial" w:hAnsi="Arial" w:cs="Arial"/>
          <w:color w:val="000000" w:themeColor="text1"/>
          <w:sz w:val="22"/>
          <w:szCs w:val="22"/>
        </w:rPr>
        <w:t xml:space="preserve"> </w:t>
      </w:r>
      <w:r w:rsidR="003E77C7">
        <w:rPr>
          <w:rFonts w:ascii="Arial" w:hAnsi="Arial" w:cs="Arial"/>
          <w:color w:val="000000" w:themeColor="text1"/>
          <w:sz w:val="22"/>
          <w:szCs w:val="22"/>
        </w:rPr>
        <w:t>……………………………………</w:t>
      </w:r>
      <w:r w:rsidRPr="006501BB">
        <w:rPr>
          <w:rFonts w:ascii="Arial" w:hAnsi="Arial" w:cs="Arial"/>
          <w:color w:val="000000" w:themeColor="text1"/>
          <w:sz w:val="22"/>
          <w:szCs w:val="22"/>
        </w:rPr>
        <w:t>..</w:t>
      </w:r>
      <w:r w:rsidR="00C85A49">
        <w:rPr>
          <w:rFonts w:ascii="Arial" w:hAnsi="Arial" w:cs="Arial"/>
          <w:color w:val="000000" w:themeColor="text1"/>
          <w:sz w:val="22"/>
          <w:szCs w:val="22"/>
        </w:rPr>
        <w:t>3</w:t>
      </w:r>
      <w:r w:rsidRPr="006501BB">
        <w:rPr>
          <w:rFonts w:ascii="Arial" w:hAnsi="Arial" w:cs="Arial"/>
          <w:color w:val="000000" w:themeColor="text1"/>
          <w:sz w:val="22"/>
          <w:szCs w:val="22"/>
        </w:rPr>
        <w:br/>
      </w:r>
      <w:hyperlink r:id="rId13" w:anchor="strategies-to-improve-the-skills-for-adult-nurse" w:tgtFrame="_blank" w:history="1">
        <w:r w:rsidRPr="006501BB">
          <w:rPr>
            <w:rStyle w:val="Hyperlink"/>
            <w:rFonts w:ascii="Arial" w:hAnsi="Arial" w:cs="Arial"/>
            <w:color w:val="000000" w:themeColor="text1"/>
            <w:sz w:val="22"/>
            <w:szCs w:val="22"/>
            <w:u w:val="none"/>
          </w:rPr>
          <w:t xml:space="preserve">1.4 Strategies to improve the skills </w:t>
        </w:r>
        <w:r w:rsidR="003E77C7">
          <w:rPr>
            <w:rStyle w:val="Hyperlink"/>
            <w:rFonts w:ascii="Arial" w:hAnsi="Arial" w:cs="Arial"/>
            <w:color w:val="000000" w:themeColor="text1"/>
            <w:sz w:val="22"/>
            <w:szCs w:val="22"/>
            <w:u w:val="none"/>
          </w:rPr>
          <w:t>of</w:t>
        </w:r>
        <w:r w:rsidRPr="006501BB">
          <w:rPr>
            <w:rStyle w:val="Hyperlink"/>
            <w:rFonts w:ascii="Arial" w:hAnsi="Arial" w:cs="Arial"/>
            <w:color w:val="000000" w:themeColor="text1"/>
            <w:sz w:val="22"/>
            <w:szCs w:val="22"/>
            <w:u w:val="none"/>
          </w:rPr>
          <w:t xml:space="preserve"> Adult Nurse</w:t>
        </w:r>
      </w:hyperlink>
      <w:r w:rsidR="003E77C7">
        <w:rPr>
          <w:rFonts w:ascii="Arial" w:hAnsi="Arial" w:cs="Arial"/>
          <w:color w:val="000000" w:themeColor="text1"/>
          <w:sz w:val="22"/>
          <w:szCs w:val="22"/>
        </w:rPr>
        <w:t>s</w:t>
      </w:r>
      <w:r w:rsidRPr="006501BB">
        <w:rPr>
          <w:rFonts w:ascii="Arial" w:hAnsi="Arial" w:cs="Arial"/>
          <w:color w:val="000000" w:themeColor="text1"/>
          <w:sz w:val="22"/>
          <w:szCs w:val="22"/>
        </w:rPr>
        <w:t> </w:t>
      </w:r>
      <w:r w:rsidR="003E77C7">
        <w:rPr>
          <w:rFonts w:ascii="Arial" w:hAnsi="Arial" w:cs="Arial"/>
          <w:color w:val="000000" w:themeColor="text1"/>
          <w:sz w:val="22"/>
          <w:szCs w:val="22"/>
        </w:rPr>
        <w:t>…………………………………….</w:t>
      </w:r>
      <w:r w:rsidRPr="006501BB">
        <w:rPr>
          <w:rFonts w:ascii="Arial" w:hAnsi="Arial" w:cs="Arial"/>
          <w:color w:val="000000" w:themeColor="text1"/>
          <w:sz w:val="22"/>
          <w:szCs w:val="22"/>
        </w:rPr>
        <w:t xml:space="preserve">. </w:t>
      </w:r>
      <w:r w:rsidR="003C3622">
        <w:rPr>
          <w:rFonts w:ascii="Arial" w:hAnsi="Arial" w:cs="Arial"/>
          <w:color w:val="000000" w:themeColor="text1"/>
          <w:sz w:val="22"/>
          <w:szCs w:val="22"/>
        </w:rPr>
        <w:t>5</w:t>
      </w:r>
      <w:r w:rsidRPr="006501BB">
        <w:rPr>
          <w:rFonts w:ascii="Arial" w:hAnsi="Arial" w:cs="Arial"/>
          <w:color w:val="000000" w:themeColor="text1"/>
          <w:sz w:val="22"/>
          <w:szCs w:val="22"/>
        </w:rPr>
        <w:br/>
      </w:r>
      <w:hyperlink r:id="rId14" w:anchor="conclusion" w:tgtFrame="_blank" w:history="1">
        <w:r w:rsidRPr="006501BB">
          <w:rPr>
            <w:rStyle w:val="Hyperlink"/>
            <w:rFonts w:ascii="Arial" w:hAnsi="Arial" w:cs="Arial"/>
            <w:color w:val="000000" w:themeColor="text1"/>
            <w:sz w:val="22"/>
            <w:szCs w:val="22"/>
            <w:u w:val="none"/>
          </w:rPr>
          <w:t>1.4 Conclusion</w:t>
        </w:r>
      </w:hyperlink>
      <w:r w:rsidRPr="006501BB">
        <w:rPr>
          <w:rFonts w:ascii="Arial" w:hAnsi="Arial" w:cs="Arial"/>
          <w:color w:val="000000" w:themeColor="text1"/>
          <w:sz w:val="22"/>
          <w:szCs w:val="22"/>
        </w:rPr>
        <w:t> ...............................................................</w:t>
      </w:r>
      <w:r w:rsidR="003C3622">
        <w:rPr>
          <w:rFonts w:ascii="Arial" w:hAnsi="Arial" w:cs="Arial"/>
          <w:color w:val="000000" w:themeColor="text1"/>
          <w:sz w:val="22"/>
          <w:szCs w:val="22"/>
        </w:rPr>
        <w:t>..............................................</w:t>
      </w:r>
      <w:r w:rsidRPr="006501BB">
        <w:rPr>
          <w:rFonts w:ascii="Arial" w:hAnsi="Arial" w:cs="Arial"/>
          <w:color w:val="000000" w:themeColor="text1"/>
          <w:sz w:val="22"/>
          <w:szCs w:val="22"/>
        </w:rPr>
        <w:t xml:space="preserve"> 6</w:t>
      </w:r>
      <w:r w:rsidRPr="006501BB">
        <w:rPr>
          <w:rFonts w:ascii="Arial" w:hAnsi="Arial" w:cs="Arial"/>
          <w:color w:val="000000" w:themeColor="text1"/>
          <w:sz w:val="22"/>
          <w:szCs w:val="22"/>
        </w:rPr>
        <w:br/>
      </w:r>
      <w:hyperlink r:id="rId15" w:anchor="reference-list" w:tgtFrame="_blank" w:history="1">
        <w:r w:rsidRPr="006501BB">
          <w:rPr>
            <w:rStyle w:val="Hyperlink"/>
            <w:rFonts w:ascii="Arial" w:hAnsi="Arial" w:cs="Arial"/>
            <w:color w:val="000000" w:themeColor="text1"/>
            <w:sz w:val="22"/>
            <w:szCs w:val="22"/>
            <w:u w:val="none"/>
          </w:rPr>
          <w:t>1.5 Reference List</w:t>
        </w:r>
      </w:hyperlink>
      <w:r w:rsidRPr="006501BB">
        <w:rPr>
          <w:rFonts w:ascii="Arial" w:hAnsi="Arial" w:cs="Arial"/>
          <w:color w:val="000000" w:themeColor="text1"/>
          <w:sz w:val="22"/>
          <w:szCs w:val="22"/>
        </w:rPr>
        <w:t> .....................................................</w:t>
      </w:r>
      <w:r w:rsidR="003C3622">
        <w:rPr>
          <w:rFonts w:ascii="Arial" w:hAnsi="Arial" w:cs="Arial"/>
          <w:color w:val="000000" w:themeColor="text1"/>
          <w:sz w:val="22"/>
          <w:szCs w:val="22"/>
        </w:rPr>
        <w:t>..................................................</w:t>
      </w:r>
      <w:r w:rsidRPr="006501BB">
        <w:rPr>
          <w:rFonts w:ascii="Arial" w:hAnsi="Arial" w:cs="Arial"/>
          <w:color w:val="000000" w:themeColor="text1"/>
          <w:sz w:val="22"/>
          <w:szCs w:val="22"/>
        </w:rPr>
        <w:t>. 6</w:t>
      </w:r>
    </w:p>
    <w:p w14:paraId="13AB614C" w14:textId="77777777" w:rsidR="006501BB" w:rsidRPr="004152E1" w:rsidRDefault="006501BB" w:rsidP="004152E1">
      <w:pPr>
        <w:spacing w:line="360" w:lineRule="auto"/>
        <w:rPr>
          <w:rFonts w:ascii="Arial" w:hAnsi="Arial" w:cs="Arial"/>
          <w:color w:val="000000" w:themeColor="text1"/>
          <w:sz w:val="22"/>
          <w:szCs w:val="22"/>
        </w:rPr>
      </w:pPr>
    </w:p>
    <w:p w14:paraId="609CBCAD" w14:textId="77777777" w:rsidR="006501BB" w:rsidRPr="004152E1" w:rsidRDefault="006501BB" w:rsidP="004152E1">
      <w:pPr>
        <w:spacing w:line="360" w:lineRule="auto"/>
        <w:rPr>
          <w:rFonts w:ascii="Arial" w:hAnsi="Arial" w:cs="Arial"/>
          <w:color w:val="000000" w:themeColor="text1"/>
          <w:sz w:val="22"/>
          <w:szCs w:val="22"/>
        </w:rPr>
      </w:pPr>
    </w:p>
    <w:p w14:paraId="1103AA06" w14:textId="77777777" w:rsidR="006501BB" w:rsidRPr="004152E1" w:rsidRDefault="006501BB" w:rsidP="004152E1">
      <w:pPr>
        <w:spacing w:line="360" w:lineRule="auto"/>
        <w:rPr>
          <w:rFonts w:ascii="Arial" w:hAnsi="Arial" w:cs="Arial"/>
          <w:color w:val="000000" w:themeColor="text1"/>
          <w:sz w:val="22"/>
          <w:szCs w:val="22"/>
        </w:rPr>
      </w:pPr>
    </w:p>
    <w:p w14:paraId="5C62745B" w14:textId="77777777" w:rsidR="006501BB" w:rsidRPr="004152E1" w:rsidRDefault="006501BB" w:rsidP="004152E1">
      <w:pPr>
        <w:spacing w:line="360" w:lineRule="auto"/>
        <w:rPr>
          <w:rFonts w:ascii="Arial" w:hAnsi="Arial" w:cs="Arial"/>
          <w:color w:val="000000" w:themeColor="text1"/>
          <w:sz w:val="22"/>
          <w:szCs w:val="22"/>
        </w:rPr>
      </w:pPr>
    </w:p>
    <w:p w14:paraId="26C5ADA0" w14:textId="77777777" w:rsidR="006501BB" w:rsidRPr="004152E1" w:rsidRDefault="006501BB" w:rsidP="004152E1">
      <w:pPr>
        <w:spacing w:line="360" w:lineRule="auto"/>
        <w:rPr>
          <w:rFonts w:ascii="Arial" w:hAnsi="Arial" w:cs="Arial"/>
          <w:color w:val="000000" w:themeColor="text1"/>
          <w:sz w:val="22"/>
          <w:szCs w:val="22"/>
        </w:rPr>
      </w:pPr>
    </w:p>
    <w:p w14:paraId="61C16932" w14:textId="77777777" w:rsidR="006501BB" w:rsidRPr="004152E1" w:rsidRDefault="006501BB" w:rsidP="004152E1">
      <w:pPr>
        <w:spacing w:line="360" w:lineRule="auto"/>
        <w:rPr>
          <w:rFonts w:ascii="Arial" w:hAnsi="Arial" w:cs="Arial"/>
          <w:color w:val="000000" w:themeColor="text1"/>
          <w:sz w:val="22"/>
          <w:szCs w:val="22"/>
        </w:rPr>
      </w:pPr>
    </w:p>
    <w:p w14:paraId="5D36EF1D" w14:textId="77777777" w:rsidR="006501BB" w:rsidRPr="004152E1" w:rsidRDefault="006501BB" w:rsidP="004152E1">
      <w:pPr>
        <w:spacing w:line="360" w:lineRule="auto"/>
        <w:rPr>
          <w:rFonts w:ascii="Arial" w:hAnsi="Arial" w:cs="Arial"/>
          <w:color w:val="000000" w:themeColor="text1"/>
          <w:sz w:val="22"/>
          <w:szCs w:val="22"/>
        </w:rPr>
      </w:pPr>
    </w:p>
    <w:p w14:paraId="105D62E4" w14:textId="77777777" w:rsidR="006501BB" w:rsidRPr="004152E1" w:rsidRDefault="006501BB" w:rsidP="004152E1">
      <w:pPr>
        <w:spacing w:line="360" w:lineRule="auto"/>
        <w:rPr>
          <w:rFonts w:ascii="Arial" w:hAnsi="Arial" w:cs="Arial"/>
          <w:color w:val="000000" w:themeColor="text1"/>
          <w:sz w:val="22"/>
          <w:szCs w:val="22"/>
        </w:rPr>
      </w:pPr>
    </w:p>
    <w:p w14:paraId="59E44CD1" w14:textId="77777777" w:rsidR="006501BB" w:rsidRPr="004152E1" w:rsidRDefault="006501BB" w:rsidP="004152E1">
      <w:pPr>
        <w:spacing w:line="360" w:lineRule="auto"/>
        <w:rPr>
          <w:rFonts w:ascii="Arial" w:hAnsi="Arial" w:cs="Arial"/>
          <w:color w:val="000000" w:themeColor="text1"/>
          <w:sz w:val="22"/>
          <w:szCs w:val="22"/>
        </w:rPr>
      </w:pPr>
    </w:p>
    <w:p w14:paraId="5D2179CE" w14:textId="77777777" w:rsidR="006501BB" w:rsidRPr="004152E1" w:rsidRDefault="006501BB" w:rsidP="004152E1">
      <w:pPr>
        <w:spacing w:line="360" w:lineRule="auto"/>
        <w:rPr>
          <w:rFonts w:ascii="Arial" w:hAnsi="Arial" w:cs="Arial"/>
          <w:color w:val="000000" w:themeColor="text1"/>
          <w:sz w:val="22"/>
          <w:szCs w:val="22"/>
        </w:rPr>
      </w:pPr>
    </w:p>
    <w:p w14:paraId="158245AD" w14:textId="77777777" w:rsidR="006501BB" w:rsidRPr="004152E1" w:rsidRDefault="006501BB" w:rsidP="004152E1">
      <w:pPr>
        <w:spacing w:line="360" w:lineRule="auto"/>
        <w:rPr>
          <w:rFonts w:ascii="Arial" w:hAnsi="Arial" w:cs="Arial"/>
          <w:color w:val="000000" w:themeColor="text1"/>
          <w:sz w:val="22"/>
          <w:szCs w:val="22"/>
        </w:rPr>
      </w:pPr>
    </w:p>
    <w:p w14:paraId="400C03F6" w14:textId="77777777" w:rsidR="006501BB" w:rsidRPr="004152E1" w:rsidRDefault="006501BB" w:rsidP="004152E1">
      <w:pPr>
        <w:spacing w:line="360" w:lineRule="auto"/>
        <w:rPr>
          <w:rFonts w:ascii="Arial" w:hAnsi="Arial" w:cs="Arial"/>
          <w:color w:val="000000" w:themeColor="text1"/>
          <w:sz w:val="22"/>
          <w:szCs w:val="22"/>
        </w:rPr>
      </w:pPr>
    </w:p>
    <w:p w14:paraId="41BFDB41" w14:textId="77777777" w:rsidR="006501BB" w:rsidRPr="004152E1" w:rsidRDefault="006501BB" w:rsidP="004152E1">
      <w:pPr>
        <w:spacing w:line="360" w:lineRule="auto"/>
        <w:rPr>
          <w:rFonts w:ascii="Arial" w:hAnsi="Arial" w:cs="Arial"/>
          <w:color w:val="000000" w:themeColor="text1"/>
          <w:sz w:val="22"/>
          <w:szCs w:val="22"/>
        </w:rPr>
      </w:pPr>
    </w:p>
    <w:p w14:paraId="759C06FC" w14:textId="77777777" w:rsidR="006501BB" w:rsidRPr="004152E1" w:rsidRDefault="006501BB" w:rsidP="004152E1">
      <w:pPr>
        <w:spacing w:line="360" w:lineRule="auto"/>
        <w:rPr>
          <w:rFonts w:ascii="Arial" w:hAnsi="Arial" w:cs="Arial"/>
          <w:color w:val="000000" w:themeColor="text1"/>
          <w:sz w:val="22"/>
          <w:szCs w:val="22"/>
        </w:rPr>
      </w:pPr>
    </w:p>
    <w:p w14:paraId="0364D393" w14:textId="77777777" w:rsidR="006501BB" w:rsidRPr="004152E1" w:rsidRDefault="006501BB" w:rsidP="004152E1">
      <w:pPr>
        <w:spacing w:line="360" w:lineRule="auto"/>
        <w:rPr>
          <w:rFonts w:ascii="Arial" w:hAnsi="Arial" w:cs="Arial"/>
          <w:color w:val="000000" w:themeColor="text1"/>
          <w:sz w:val="22"/>
          <w:szCs w:val="22"/>
        </w:rPr>
      </w:pPr>
    </w:p>
    <w:p w14:paraId="26EB344E" w14:textId="77777777" w:rsidR="006501BB" w:rsidRPr="004152E1" w:rsidRDefault="006501BB" w:rsidP="004152E1">
      <w:pPr>
        <w:spacing w:line="360" w:lineRule="auto"/>
        <w:rPr>
          <w:rFonts w:ascii="Arial" w:hAnsi="Arial" w:cs="Arial"/>
          <w:color w:val="000000" w:themeColor="text1"/>
          <w:sz w:val="22"/>
          <w:szCs w:val="22"/>
        </w:rPr>
      </w:pPr>
    </w:p>
    <w:p w14:paraId="5E0474DB" w14:textId="77777777" w:rsidR="006A2CA9" w:rsidRPr="004152E1" w:rsidRDefault="006A2CA9" w:rsidP="004152E1">
      <w:pPr>
        <w:spacing w:line="360" w:lineRule="auto"/>
        <w:rPr>
          <w:rFonts w:ascii="Arial" w:hAnsi="Arial" w:cs="Arial"/>
          <w:color w:val="000000" w:themeColor="text1"/>
          <w:sz w:val="22"/>
          <w:szCs w:val="22"/>
        </w:rPr>
      </w:pPr>
    </w:p>
    <w:p w14:paraId="1453F3FB" w14:textId="6C03D7F0" w:rsidR="00B0076F" w:rsidRPr="00B0076F" w:rsidRDefault="00B0076F" w:rsidP="004152E1">
      <w:pPr>
        <w:spacing w:line="360" w:lineRule="auto"/>
        <w:rPr>
          <w:rFonts w:ascii="Arial" w:hAnsi="Arial" w:cs="Arial"/>
          <w:b/>
          <w:bCs/>
          <w:color w:val="000000" w:themeColor="text1"/>
          <w:sz w:val="22"/>
          <w:szCs w:val="22"/>
        </w:rPr>
      </w:pPr>
      <w:r w:rsidRPr="00B0076F">
        <w:rPr>
          <w:rFonts w:ascii="Arial" w:hAnsi="Arial" w:cs="Arial"/>
          <w:color w:val="000000" w:themeColor="text1"/>
          <w:sz w:val="22"/>
          <w:szCs w:val="22"/>
        </w:rPr>
        <w:lastRenderedPageBreak/>
        <w:t xml:space="preserve"> </w:t>
      </w:r>
      <w:r w:rsidRPr="00B0076F">
        <w:rPr>
          <w:rFonts w:ascii="Arial" w:hAnsi="Arial" w:cs="Arial"/>
          <w:b/>
          <w:bCs/>
          <w:color w:val="000000" w:themeColor="text1"/>
          <w:sz w:val="22"/>
          <w:szCs w:val="22"/>
        </w:rPr>
        <w:t>Introduction</w:t>
      </w:r>
    </w:p>
    <w:p w14:paraId="73C38DEA" w14:textId="77777777" w:rsid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Health and social care services rely on a range of professionals to provide safe, person-centred support to adults with diverse and often complex needs. Adult nurses play an important role in assessing, planning, delivering and reviewing care in both hospital and community settings. This report focuses on the role of the adult nurse and discusses effective communication, collaborative teamwork and robust clinical decision-making as key skills required to provide high-quality care. It explains the main responsibilities of an adult nurse and will evaluate these three central skills and their critical importance in adult nursing practice. It will also discuss targeted strategies through which these skills can be developed to support professional growth and future employability within the NHS.</w:t>
      </w:r>
    </w:p>
    <w:p w14:paraId="0C7DA37C" w14:textId="77777777" w:rsidR="00CF50E8" w:rsidRPr="00B0076F" w:rsidRDefault="00CF50E8" w:rsidP="004152E1">
      <w:pPr>
        <w:spacing w:line="360" w:lineRule="auto"/>
        <w:rPr>
          <w:rFonts w:ascii="Arial" w:hAnsi="Arial" w:cs="Arial"/>
          <w:color w:val="000000" w:themeColor="text1"/>
          <w:sz w:val="22"/>
          <w:szCs w:val="22"/>
        </w:rPr>
      </w:pPr>
    </w:p>
    <w:p w14:paraId="302850E1" w14:textId="43C3CC6C" w:rsidR="00B0076F" w:rsidRPr="00B0076F" w:rsidRDefault="00B0076F" w:rsidP="004152E1">
      <w:pPr>
        <w:spacing w:line="360" w:lineRule="auto"/>
        <w:rPr>
          <w:rFonts w:ascii="Arial" w:hAnsi="Arial" w:cs="Arial"/>
          <w:b/>
          <w:bCs/>
          <w:color w:val="000000" w:themeColor="text1"/>
          <w:sz w:val="22"/>
          <w:szCs w:val="22"/>
        </w:rPr>
      </w:pPr>
      <w:r w:rsidRPr="00B0076F">
        <w:rPr>
          <w:rFonts w:ascii="Arial" w:hAnsi="Arial" w:cs="Arial"/>
          <w:color w:val="000000" w:themeColor="text1"/>
          <w:sz w:val="22"/>
          <w:szCs w:val="22"/>
        </w:rPr>
        <w:t xml:space="preserve"> </w:t>
      </w:r>
      <w:r w:rsidRPr="00B0076F">
        <w:rPr>
          <w:rFonts w:ascii="Arial" w:hAnsi="Arial" w:cs="Arial"/>
          <w:b/>
          <w:bCs/>
          <w:color w:val="000000" w:themeColor="text1"/>
          <w:sz w:val="22"/>
          <w:szCs w:val="22"/>
        </w:rPr>
        <w:t>Description of, and background to</w:t>
      </w:r>
      <w:r w:rsidRPr="004152E1">
        <w:rPr>
          <w:rFonts w:ascii="Arial" w:hAnsi="Arial" w:cs="Arial"/>
          <w:b/>
          <w:bCs/>
          <w:color w:val="000000" w:themeColor="text1"/>
          <w:sz w:val="22"/>
          <w:szCs w:val="22"/>
        </w:rPr>
        <w:t xml:space="preserve"> Adult Nursing</w:t>
      </w:r>
      <w:r w:rsidRPr="00B0076F">
        <w:rPr>
          <w:rFonts w:ascii="Arial" w:hAnsi="Arial" w:cs="Arial"/>
          <w:b/>
          <w:bCs/>
          <w:color w:val="000000" w:themeColor="text1"/>
          <w:sz w:val="22"/>
          <w:szCs w:val="22"/>
        </w:rPr>
        <w:t xml:space="preserve"> in Healthcare</w:t>
      </w:r>
    </w:p>
    <w:p w14:paraId="15B39FC8"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Adult nurses work across diverse healthcare settings, including hospital wards, outpatient clinics, GP surgeries and community health teams providing care for adults experiencing acute illnesses, long-term conditions and complex needs across the lifespan (Royal College of Nursing, 2023).</w:t>
      </w:r>
    </w:p>
    <w:p w14:paraId="27057F8B"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The most important duty of an adult nurse is recognising and responding swiftly to deteriorating patient conditions, positioning nurses as the primary safety net preventing avoidable harm. This duty proves critical because nurses maintain continuous patient proximity, uniquely positioned to detect subtle deterioration. While other professionals conduct intermittent medical visits, nurses serve as constant bedside presence and navigate patients to the multidisciplinary team (MDT) when escalation proves necessary, coordinating timely specialist intervention to optimise patient outcomes (Rosengarten, 2019).</w:t>
      </w:r>
    </w:p>
    <w:p w14:paraId="4D064D02" w14:textId="3BA9B8D7" w:rsidR="00C85A49"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In addition, nurses must be competent in core skills including conducting patient assessments through history-taking and clinical observations, planning and delivering person-centred care, administering medications and treatments according to prescription, and closely monitoring patients' conditions through regular vital signs checks (NMC, 2018).</w:t>
      </w:r>
    </w:p>
    <w:p w14:paraId="14FF5F51" w14:textId="77777777" w:rsidR="00CF50E8" w:rsidRPr="00B0076F" w:rsidRDefault="00CF50E8" w:rsidP="004152E1">
      <w:pPr>
        <w:spacing w:line="360" w:lineRule="auto"/>
        <w:rPr>
          <w:rFonts w:ascii="Arial" w:hAnsi="Arial" w:cs="Arial"/>
          <w:color w:val="000000" w:themeColor="text1"/>
          <w:sz w:val="22"/>
          <w:szCs w:val="22"/>
        </w:rPr>
      </w:pPr>
    </w:p>
    <w:p w14:paraId="66BF7E9F" w14:textId="4A06EC52" w:rsidR="00B0076F" w:rsidRPr="00B0076F" w:rsidRDefault="00B0076F" w:rsidP="004152E1">
      <w:pPr>
        <w:spacing w:line="360" w:lineRule="auto"/>
        <w:rPr>
          <w:rFonts w:ascii="Arial" w:hAnsi="Arial" w:cs="Arial"/>
          <w:b/>
          <w:bCs/>
          <w:color w:val="000000" w:themeColor="text1"/>
          <w:sz w:val="22"/>
          <w:szCs w:val="22"/>
        </w:rPr>
      </w:pPr>
      <w:r w:rsidRPr="00B0076F">
        <w:rPr>
          <w:rFonts w:ascii="Arial" w:hAnsi="Arial" w:cs="Arial"/>
          <w:b/>
          <w:bCs/>
          <w:color w:val="000000" w:themeColor="text1"/>
          <w:sz w:val="22"/>
          <w:szCs w:val="22"/>
        </w:rPr>
        <w:t xml:space="preserve"> Evaluation of the skills needed for Adult </w:t>
      </w:r>
      <w:r w:rsidR="006A2CA9" w:rsidRPr="004152E1">
        <w:rPr>
          <w:rFonts w:ascii="Arial" w:hAnsi="Arial" w:cs="Arial"/>
          <w:b/>
          <w:bCs/>
          <w:color w:val="000000" w:themeColor="text1"/>
          <w:sz w:val="22"/>
          <w:szCs w:val="22"/>
        </w:rPr>
        <w:t>Nurses</w:t>
      </w:r>
    </w:p>
    <w:p w14:paraId="5B6993AB"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 xml:space="preserve">Three essential skills for adult nurses are effective communication, collaborative teamwork, and clinical decision-making. These were selected as they constitute core competencies mandated within The NMC Code (2018) and Standards of Proficiency for Registered Nurses (2018), which establish the professional practice requirements governing UK nursing. </w:t>
      </w:r>
      <w:r w:rsidRPr="00B0076F">
        <w:rPr>
          <w:rFonts w:ascii="Arial" w:hAnsi="Arial" w:cs="Arial"/>
          <w:color w:val="000000" w:themeColor="text1"/>
          <w:sz w:val="22"/>
          <w:szCs w:val="22"/>
        </w:rPr>
        <w:lastRenderedPageBreak/>
        <w:t>Absence of these skills prevents nurses from practising safely, efficiently, and in patients' best interests.</w:t>
      </w:r>
    </w:p>
    <w:p w14:paraId="7C52F543" w14:textId="77777777" w:rsidR="00B0076F" w:rsidRPr="00B0076F" w:rsidRDefault="00B0076F" w:rsidP="003C3622">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Effective communication proves essential for adult nurses as it ensures clear information sharing, patient understanding, and safe care delivery across diverse patient groups. Structured communication training significantly reduces safety incidents by equipping nurses to adapt strategies to individual patient needs (Jang et al. 2022). This skill proves particularly vital for building trust between nurses and patients, directly enhancing engagement, clinical outcomes, and care satisfaction (Shanahan &amp; Cunningham, 2021). Poor communication skills result in misunderstandings that compromise safety, diminish patient confidence, and hinder the relationship central to person-centred care. Without clear information exchange, patients receive incorrect treatments, experience heightened anxiety, and face avoidable hospital readmissions. Ineffective communication can also disrupt interprofessional engagement, hindering effective teamwork with other health professionals, which ultimately compromises patient care coordination and outcomes.</w:t>
      </w:r>
    </w:p>
    <w:p w14:paraId="15980BFF"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Secondly, teamworking is an essential skill for adult nurses because it is fundamental for safe care transitions, particularly during shift changes when nurses depend on clear information sharing with doctors and other staff (Newman et al. 2019). Without teamwork, nurses cannot deliver safe care. Ineffective teamwork between nurses and the wider team can cause treatment delays when doctors don't get important updates, medicine errors when pharmacy advice is missed, and overall, patients facing higher risks of deterioration, infections, and longer hospital stays. Poor teamwork also damages trust between nurses, doctors, and other staff, making wards less organised and increasing patient safety complaints to hospital management (Newman et al. 2019).</w:t>
      </w:r>
    </w:p>
    <w:p w14:paraId="0510E479" w14:textId="77777777" w:rsidR="00B0076F" w:rsidRPr="004152E1"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Thirdly, decision-making skills are essential for adult nurses because they enable them to assess patients, identify problems and provide safe, appropriate care. The Royal College of Nursing explains that nursing is a safety-critical profession where nurses use clinical judgement and evidence-based knowledge to assess, plan and deliver care, highlighting the importance of decision-making in everyday practice (RCN, 2023). For example, if a patient begins to show symptoms such as confusion, raised temperature or increased heart rate, the nurse must decide whether this could indicate a serious condition like sepsis and take immediate action (Thompson et al. 2018). Without strong clinical decision-making skills, there is a higher risk of delays in treatment, misjudgements and patient harm (NMC, 2018).</w:t>
      </w:r>
    </w:p>
    <w:p w14:paraId="3F15E3E0" w14:textId="77777777" w:rsidR="006A2CA9" w:rsidRPr="004152E1" w:rsidRDefault="006A2CA9" w:rsidP="004152E1">
      <w:pPr>
        <w:spacing w:line="360" w:lineRule="auto"/>
        <w:rPr>
          <w:rFonts w:ascii="Arial" w:hAnsi="Arial" w:cs="Arial"/>
          <w:color w:val="000000" w:themeColor="text1"/>
          <w:sz w:val="22"/>
          <w:szCs w:val="22"/>
        </w:rPr>
      </w:pPr>
    </w:p>
    <w:p w14:paraId="16D5BCB8" w14:textId="77777777" w:rsidR="006A2CA9" w:rsidRPr="004152E1" w:rsidRDefault="006A2CA9" w:rsidP="004152E1">
      <w:pPr>
        <w:spacing w:line="360" w:lineRule="auto"/>
        <w:rPr>
          <w:rFonts w:ascii="Arial" w:hAnsi="Arial" w:cs="Arial"/>
          <w:color w:val="000000" w:themeColor="text1"/>
          <w:sz w:val="22"/>
          <w:szCs w:val="22"/>
        </w:rPr>
      </w:pPr>
    </w:p>
    <w:p w14:paraId="304B02F2" w14:textId="77777777" w:rsidR="00CF50E8" w:rsidRDefault="00CF50E8" w:rsidP="004152E1">
      <w:pPr>
        <w:spacing w:line="360" w:lineRule="auto"/>
        <w:rPr>
          <w:rFonts w:ascii="Arial" w:hAnsi="Arial" w:cs="Arial"/>
          <w:b/>
          <w:bCs/>
          <w:color w:val="000000" w:themeColor="text1"/>
          <w:sz w:val="22"/>
          <w:szCs w:val="22"/>
        </w:rPr>
      </w:pPr>
    </w:p>
    <w:p w14:paraId="756D19F3" w14:textId="733AC2AB" w:rsidR="00C85A49" w:rsidRDefault="00B0076F" w:rsidP="004152E1">
      <w:pPr>
        <w:spacing w:line="360" w:lineRule="auto"/>
        <w:rPr>
          <w:rFonts w:ascii="Arial" w:hAnsi="Arial" w:cs="Arial"/>
          <w:b/>
          <w:bCs/>
          <w:color w:val="000000" w:themeColor="text1"/>
          <w:sz w:val="22"/>
          <w:szCs w:val="22"/>
        </w:rPr>
      </w:pPr>
      <w:r w:rsidRPr="00B0076F">
        <w:rPr>
          <w:rFonts w:ascii="Arial" w:hAnsi="Arial" w:cs="Arial"/>
          <w:b/>
          <w:bCs/>
          <w:color w:val="000000" w:themeColor="text1"/>
          <w:sz w:val="22"/>
          <w:szCs w:val="22"/>
        </w:rPr>
        <w:t xml:space="preserve">Strategies to improve the skills </w:t>
      </w:r>
      <w:r w:rsidR="003E77C7">
        <w:rPr>
          <w:rFonts w:ascii="Arial" w:hAnsi="Arial" w:cs="Arial"/>
          <w:b/>
          <w:bCs/>
          <w:color w:val="000000" w:themeColor="text1"/>
          <w:sz w:val="22"/>
          <w:szCs w:val="22"/>
        </w:rPr>
        <w:t>of</w:t>
      </w:r>
      <w:r w:rsidRPr="00B0076F">
        <w:rPr>
          <w:rFonts w:ascii="Arial" w:hAnsi="Arial" w:cs="Arial"/>
          <w:b/>
          <w:bCs/>
          <w:color w:val="000000" w:themeColor="text1"/>
          <w:sz w:val="22"/>
          <w:szCs w:val="22"/>
        </w:rPr>
        <w:t xml:space="preserve"> Adult Nurse</w:t>
      </w:r>
      <w:r w:rsidR="006A2CA9" w:rsidRPr="004152E1">
        <w:rPr>
          <w:rFonts w:ascii="Arial" w:hAnsi="Arial" w:cs="Arial"/>
          <w:b/>
          <w:bCs/>
          <w:color w:val="000000" w:themeColor="text1"/>
          <w:sz w:val="22"/>
          <w:szCs w:val="22"/>
        </w:rPr>
        <w:t>s</w:t>
      </w:r>
    </w:p>
    <w:p w14:paraId="55E2A758" w14:textId="77777777" w:rsidR="00CF50E8" w:rsidRPr="00B0076F" w:rsidRDefault="00CF50E8" w:rsidP="004152E1">
      <w:pPr>
        <w:spacing w:line="360" w:lineRule="auto"/>
        <w:rPr>
          <w:rFonts w:ascii="Arial" w:hAnsi="Arial" w:cs="Arial"/>
          <w:b/>
          <w:bCs/>
          <w:color w:val="000000" w:themeColor="text1"/>
          <w:sz w:val="22"/>
          <w:szCs w:val="22"/>
        </w:rPr>
      </w:pPr>
    </w:p>
    <w:p w14:paraId="14CB586D"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The SBAR tool, widely used in the NHS, is a proven method for improving communication skills. SBAR stands for Situation, Background, Assessment and Recommendation (Park, 2023). It is an evidence-based communication tool that promotes clarity, consistency and patient safety, making it highly effective in complex adult nursing environments. This systematic method offers nurses a straightforward process to follow when communicating, specifically designed to help them prepare effectively for handover situations. It functions as a checklist that minimises information overload while ensuring shared information remains focused, factual, clear, and concise without unnecessary repetition (Yu and Kang, 2017).</w:t>
      </w:r>
    </w:p>
    <w:p w14:paraId="580C04AB"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Moreover, simulation-based team training is a growing strategy used to improve teamwork and collaboration amongst not just nurses, but a wide range of health professionals. It involves practising clinical scenarios together in a controlled environment giving nurses opportunities to collaborate, communicate under pressure and reflect on their performance with peers and instructors. For example, during a simulated emergency, nurses must work together to assess the patient, delegate tasks and communicate decisions clearly, which mirrors real teamwork demands in clinical practice. This strategy was chosen because it helps student nurses practice teamwork and situational awareness in realistic scenarios, and research shows that simulation exercises improve teamwork and collaboration skills (Roh et al., 2020).</w:t>
      </w:r>
    </w:p>
    <w:p w14:paraId="601C015D" w14:textId="0F6205B1" w:rsidR="00B0076F" w:rsidRDefault="00DF578B" w:rsidP="003C3622">
      <w:pPr>
        <w:spacing w:line="360" w:lineRule="auto"/>
        <w:rPr>
          <w:rFonts w:ascii="Arial" w:hAnsi="Arial" w:cs="Arial"/>
          <w:color w:val="000000" w:themeColor="text1"/>
          <w:sz w:val="22"/>
          <w:szCs w:val="22"/>
        </w:rPr>
      </w:pPr>
      <w:r>
        <w:rPr>
          <w:rFonts w:ascii="Arial" w:hAnsi="Arial" w:cs="Arial"/>
          <w:color w:val="000000" w:themeColor="text1"/>
          <w:sz w:val="22"/>
          <w:szCs w:val="22"/>
        </w:rPr>
        <w:t>Lastly, an</w:t>
      </w:r>
      <w:r w:rsidR="00B0076F" w:rsidRPr="00B0076F">
        <w:rPr>
          <w:rFonts w:ascii="Arial" w:hAnsi="Arial" w:cs="Arial"/>
          <w:color w:val="000000" w:themeColor="text1"/>
          <w:sz w:val="22"/>
          <w:szCs w:val="22"/>
        </w:rPr>
        <w:t xml:space="preserve"> effective strategy to improve decision-making skills in adult nursing is reflective practice. This involves reviewing and analysing their clinical decisions to identify successes, areas for improvement, and strategies for handling similar situations in the future. For example, after managing a patient showing early signs of sepsis, a nurse may reflect on the timing of interventions and the effectiveness of team communication to improve responses in future cases. This strategy was chosen because it is widely used in nursing practice and is a mandatory part of the Nursing and Midwifery Council revalidation process. Nurses must produce written reflections as evidence of continuous professional development. Furthermore, research has also shown that reflective practice significantly improves decision-making, critical thinking, and other core nursing competencies, reinforcing its value as a professional development strategy (Chen et al. 2026).</w:t>
      </w:r>
    </w:p>
    <w:p w14:paraId="14D5F8F0" w14:textId="77777777" w:rsidR="003C3622" w:rsidRDefault="003C3622" w:rsidP="004152E1">
      <w:pPr>
        <w:spacing w:line="360" w:lineRule="auto"/>
        <w:rPr>
          <w:rFonts w:ascii="Arial" w:hAnsi="Arial" w:cs="Arial"/>
          <w:color w:val="000000" w:themeColor="text1"/>
          <w:sz w:val="22"/>
          <w:szCs w:val="22"/>
        </w:rPr>
      </w:pPr>
    </w:p>
    <w:p w14:paraId="142A22C6" w14:textId="77777777" w:rsidR="003C3622" w:rsidRDefault="003C3622" w:rsidP="004152E1">
      <w:pPr>
        <w:spacing w:line="360" w:lineRule="auto"/>
        <w:rPr>
          <w:rFonts w:ascii="Arial" w:hAnsi="Arial" w:cs="Arial"/>
          <w:color w:val="000000" w:themeColor="text1"/>
          <w:sz w:val="22"/>
          <w:szCs w:val="22"/>
        </w:rPr>
      </w:pPr>
    </w:p>
    <w:p w14:paraId="12F48F02" w14:textId="77777777" w:rsidR="003C3622" w:rsidRPr="00B0076F" w:rsidRDefault="003C3622" w:rsidP="004152E1">
      <w:pPr>
        <w:spacing w:line="360" w:lineRule="auto"/>
        <w:rPr>
          <w:rFonts w:ascii="Arial" w:hAnsi="Arial" w:cs="Arial"/>
          <w:color w:val="000000" w:themeColor="text1"/>
          <w:sz w:val="22"/>
          <w:szCs w:val="22"/>
        </w:rPr>
      </w:pPr>
    </w:p>
    <w:p w14:paraId="2D6D468C" w14:textId="6822E8F0" w:rsidR="00B0076F" w:rsidRPr="00B0076F" w:rsidRDefault="00B0076F" w:rsidP="004152E1">
      <w:pPr>
        <w:spacing w:line="360" w:lineRule="auto"/>
        <w:rPr>
          <w:rFonts w:ascii="Arial" w:hAnsi="Arial" w:cs="Arial"/>
          <w:b/>
          <w:bCs/>
          <w:color w:val="000000" w:themeColor="text1"/>
          <w:sz w:val="22"/>
          <w:szCs w:val="22"/>
        </w:rPr>
      </w:pPr>
      <w:r w:rsidRPr="00B0076F">
        <w:rPr>
          <w:rFonts w:ascii="Arial" w:hAnsi="Arial" w:cs="Arial"/>
          <w:b/>
          <w:bCs/>
          <w:color w:val="000000" w:themeColor="text1"/>
          <w:sz w:val="22"/>
          <w:szCs w:val="22"/>
        </w:rPr>
        <w:t>Conclusion</w:t>
      </w:r>
    </w:p>
    <w:p w14:paraId="543822B4"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Adult nurses have important jobs assessing, giving care, and working with teams to help patients with complex health needs. Good communication, teamwork, and decision-making are key skills for safe patient care. SBAR training, simulation practice, and reflection help nurses improve these skills. These skills match NMC rules and make nurses better at their jobs in the NHS. As patient needs grow more complicated, nurses who keep learning these skills will give the best possible adult nursing care.</w:t>
      </w:r>
    </w:p>
    <w:p w14:paraId="089835ED" w14:textId="77777777" w:rsidR="00B0076F" w:rsidRPr="00B0076F" w:rsidRDefault="00B0076F" w:rsidP="004152E1">
      <w:pPr>
        <w:spacing w:line="360" w:lineRule="auto"/>
        <w:rPr>
          <w:rFonts w:ascii="Arial" w:hAnsi="Arial" w:cs="Arial"/>
          <w:b/>
          <w:bCs/>
          <w:color w:val="000000" w:themeColor="text1"/>
          <w:sz w:val="22"/>
          <w:szCs w:val="22"/>
        </w:rPr>
      </w:pPr>
      <w:r w:rsidRPr="00B0076F">
        <w:rPr>
          <w:rFonts w:ascii="Arial" w:hAnsi="Arial" w:cs="Arial"/>
          <w:b/>
          <w:bCs/>
          <w:color w:val="000000" w:themeColor="text1"/>
          <w:sz w:val="22"/>
          <w:szCs w:val="22"/>
        </w:rPr>
        <w:t>References</w:t>
      </w:r>
    </w:p>
    <w:p w14:paraId="5259731A"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Chen, Y. et al. (2026) 'Effects of reflective writing on critical thinking...', </w:t>
      </w:r>
      <w:r w:rsidRPr="00B0076F">
        <w:rPr>
          <w:rFonts w:ascii="Arial" w:hAnsi="Arial" w:cs="Arial"/>
          <w:i/>
          <w:iCs/>
          <w:color w:val="000000" w:themeColor="text1"/>
          <w:sz w:val="22"/>
          <w:szCs w:val="22"/>
        </w:rPr>
        <w:t>Nurse Education Today</w:t>
      </w:r>
      <w:r w:rsidRPr="00B0076F">
        <w:rPr>
          <w:rFonts w:ascii="Arial" w:hAnsi="Arial" w:cs="Arial"/>
          <w:color w:val="000000" w:themeColor="text1"/>
          <w:sz w:val="22"/>
          <w:szCs w:val="22"/>
        </w:rPr>
        <w:t>, 158, p. 106948.</w:t>
      </w:r>
    </w:p>
    <w:p w14:paraId="4CA19A84"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Jang, H., Lee, M. &amp; Lee, N.-J. (2022) 'Communication education regarding patient safety...', </w:t>
      </w:r>
      <w:r w:rsidRPr="00B0076F">
        <w:rPr>
          <w:rFonts w:ascii="Arial" w:hAnsi="Arial" w:cs="Arial"/>
          <w:i/>
          <w:iCs/>
          <w:color w:val="000000" w:themeColor="text1"/>
          <w:sz w:val="22"/>
          <w:szCs w:val="22"/>
        </w:rPr>
        <w:t>BMJ Open</w:t>
      </w:r>
      <w:r w:rsidRPr="00B0076F">
        <w:rPr>
          <w:rFonts w:ascii="Arial" w:hAnsi="Arial" w:cs="Arial"/>
          <w:color w:val="000000" w:themeColor="text1"/>
          <w:sz w:val="22"/>
          <w:szCs w:val="22"/>
        </w:rPr>
        <w:t>, 12(2).</w:t>
      </w:r>
    </w:p>
    <w:p w14:paraId="6EB18D45"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Newman, C.J. et al. (2019) </w:t>
      </w:r>
      <w:r w:rsidRPr="00B0076F">
        <w:rPr>
          <w:rFonts w:ascii="Arial" w:hAnsi="Arial" w:cs="Arial"/>
          <w:i/>
          <w:iCs/>
          <w:color w:val="000000" w:themeColor="text1"/>
          <w:sz w:val="22"/>
          <w:szCs w:val="22"/>
        </w:rPr>
        <w:t>Investing in the power of nurse leadership</w:t>
      </w:r>
      <w:r w:rsidRPr="00B0076F">
        <w:rPr>
          <w:rFonts w:ascii="Arial" w:hAnsi="Arial" w:cs="Arial"/>
          <w:color w:val="000000" w:themeColor="text1"/>
          <w:sz w:val="22"/>
          <w:szCs w:val="22"/>
        </w:rPr>
        <w:t>. IntraHealth International.</w:t>
      </w:r>
    </w:p>
    <w:p w14:paraId="2C858FAC"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Nursing and Midwifery Council (2018) </w:t>
      </w:r>
      <w:r w:rsidRPr="00B0076F">
        <w:rPr>
          <w:rFonts w:ascii="Arial" w:hAnsi="Arial" w:cs="Arial"/>
          <w:i/>
          <w:iCs/>
          <w:color w:val="000000" w:themeColor="text1"/>
          <w:sz w:val="22"/>
          <w:szCs w:val="22"/>
        </w:rPr>
        <w:t>Standards of Proficiency for Registered Nurses</w:t>
      </w:r>
      <w:r w:rsidRPr="00B0076F">
        <w:rPr>
          <w:rFonts w:ascii="Arial" w:hAnsi="Arial" w:cs="Arial"/>
          <w:color w:val="000000" w:themeColor="text1"/>
          <w:sz w:val="22"/>
          <w:szCs w:val="22"/>
        </w:rPr>
        <w:t>. London: NMC.</w:t>
      </w:r>
    </w:p>
    <w:p w14:paraId="1AE579DA"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Park, L.J. (2023) 'Using the SBAR Handover Tool', </w:t>
      </w:r>
      <w:r w:rsidRPr="00B0076F">
        <w:rPr>
          <w:rFonts w:ascii="Arial" w:hAnsi="Arial" w:cs="Arial"/>
          <w:i/>
          <w:iCs/>
          <w:color w:val="000000" w:themeColor="text1"/>
          <w:sz w:val="22"/>
          <w:szCs w:val="22"/>
        </w:rPr>
        <w:t>British Journal of Nursing</w:t>
      </w:r>
      <w:r w:rsidRPr="00B0076F">
        <w:rPr>
          <w:rFonts w:ascii="Arial" w:hAnsi="Arial" w:cs="Arial"/>
          <w:color w:val="000000" w:themeColor="text1"/>
          <w:sz w:val="22"/>
          <w:szCs w:val="22"/>
        </w:rPr>
        <w:t>.</w:t>
      </w:r>
    </w:p>
    <w:p w14:paraId="708054CB"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Roh, Y.S. et al. (2020) 'Effects of simulation with team-based learning...', </w:t>
      </w:r>
      <w:r w:rsidRPr="00B0076F">
        <w:rPr>
          <w:rFonts w:ascii="Arial" w:hAnsi="Arial" w:cs="Arial"/>
          <w:i/>
          <w:iCs/>
          <w:color w:val="000000" w:themeColor="text1"/>
          <w:sz w:val="22"/>
          <w:szCs w:val="22"/>
        </w:rPr>
        <w:t>Computers, Informatics, Nursing</w:t>
      </w:r>
      <w:r w:rsidRPr="00B0076F">
        <w:rPr>
          <w:rFonts w:ascii="Arial" w:hAnsi="Arial" w:cs="Arial"/>
          <w:color w:val="000000" w:themeColor="text1"/>
          <w:sz w:val="22"/>
          <w:szCs w:val="22"/>
        </w:rPr>
        <w:t>, 38(7), pp. 367-372.</w:t>
      </w:r>
    </w:p>
    <w:p w14:paraId="0641DD38"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Rosengarten, L. (2019) 'Teamwork in nursing: Essential elements for practice', </w:t>
      </w:r>
      <w:r w:rsidRPr="00B0076F">
        <w:rPr>
          <w:rFonts w:ascii="Arial" w:hAnsi="Arial" w:cs="Arial"/>
          <w:i/>
          <w:iCs/>
          <w:color w:val="000000" w:themeColor="text1"/>
          <w:sz w:val="22"/>
          <w:szCs w:val="22"/>
        </w:rPr>
        <w:t>Nursing Management</w:t>
      </w:r>
      <w:r w:rsidRPr="00B0076F">
        <w:rPr>
          <w:rFonts w:ascii="Arial" w:hAnsi="Arial" w:cs="Arial"/>
          <w:color w:val="000000" w:themeColor="text1"/>
          <w:sz w:val="22"/>
          <w:szCs w:val="22"/>
        </w:rPr>
        <w:t>, 26(4), pp. 36-43.</w:t>
      </w:r>
    </w:p>
    <w:p w14:paraId="27D06F5B"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Royal College of Nursing (2023) </w:t>
      </w:r>
      <w:r w:rsidRPr="00B0076F">
        <w:rPr>
          <w:rFonts w:ascii="Arial" w:hAnsi="Arial" w:cs="Arial"/>
          <w:i/>
          <w:iCs/>
          <w:color w:val="000000" w:themeColor="text1"/>
          <w:sz w:val="22"/>
          <w:szCs w:val="22"/>
        </w:rPr>
        <w:t>Definition and principles of nursing</w:t>
      </w:r>
      <w:r w:rsidRPr="00B0076F">
        <w:rPr>
          <w:rFonts w:ascii="Arial" w:hAnsi="Arial" w:cs="Arial"/>
          <w:color w:val="000000" w:themeColor="text1"/>
          <w:sz w:val="22"/>
          <w:szCs w:val="22"/>
        </w:rPr>
        <w:t>. Available at: https://www.rcn.org.uk/Professional-Development/Definition-and-principles-of-nursing (Accessed: 27 March 2026).</w:t>
      </w:r>
    </w:p>
    <w:p w14:paraId="024CD0E0"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Shanahan, T. &amp; Cunningham, J. (2021) 'Keys to trust-building with patients', </w:t>
      </w:r>
      <w:r w:rsidRPr="00B0076F">
        <w:rPr>
          <w:rFonts w:ascii="Arial" w:hAnsi="Arial" w:cs="Arial"/>
          <w:i/>
          <w:iCs/>
          <w:color w:val="000000" w:themeColor="text1"/>
          <w:sz w:val="22"/>
          <w:szCs w:val="22"/>
        </w:rPr>
        <w:t>Journal of Nursing</w:t>
      </w:r>
      <w:r w:rsidRPr="00B0076F">
        <w:rPr>
          <w:rFonts w:ascii="Arial" w:hAnsi="Arial" w:cs="Arial"/>
          <w:color w:val="000000" w:themeColor="text1"/>
          <w:sz w:val="22"/>
          <w:szCs w:val="22"/>
        </w:rPr>
        <w:t>, 38(2).</w:t>
      </w:r>
    </w:p>
    <w:p w14:paraId="57F5DA8B"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Thompson, C. et al. (2013) 'An agenda for clinical decision making...', </w:t>
      </w:r>
      <w:r w:rsidRPr="00B0076F">
        <w:rPr>
          <w:rFonts w:ascii="Arial" w:hAnsi="Arial" w:cs="Arial"/>
          <w:i/>
          <w:iCs/>
          <w:color w:val="000000" w:themeColor="text1"/>
          <w:sz w:val="22"/>
          <w:szCs w:val="22"/>
        </w:rPr>
        <w:t>International Journal of Nursing Studies</w:t>
      </w:r>
      <w:r w:rsidRPr="00B0076F">
        <w:rPr>
          <w:rFonts w:ascii="Arial" w:hAnsi="Arial" w:cs="Arial"/>
          <w:color w:val="000000" w:themeColor="text1"/>
          <w:sz w:val="22"/>
          <w:szCs w:val="22"/>
        </w:rPr>
        <w:t>, 50(12), pp. 1720-1726.</w:t>
      </w:r>
    </w:p>
    <w:p w14:paraId="0DCDF70B" w14:textId="77777777" w:rsidR="00B0076F" w:rsidRPr="00B0076F" w:rsidRDefault="00B0076F" w:rsidP="004152E1">
      <w:pPr>
        <w:spacing w:line="360" w:lineRule="auto"/>
        <w:rPr>
          <w:rFonts w:ascii="Arial" w:hAnsi="Arial" w:cs="Arial"/>
          <w:color w:val="000000" w:themeColor="text1"/>
          <w:sz w:val="22"/>
          <w:szCs w:val="22"/>
        </w:rPr>
      </w:pPr>
      <w:r w:rsidRPr="00B0076F">
        <w:rPr>
          <w:rFonts w:ascii="Arial" w:hAnsi="Arial" w:cs="Arial"/>
          <w:color w:val="000000" w:themeColor="text1"/>
          <w:sz w:val="22"/>
          <w:szCs w:val="22"/>
        </w:rPr>
        <w:t>Yu, M. &amp; Kang, K.J. (2017) 'Effectiveness of a role-play simulation program...', </w:t>
      </w:r>
      <w:r w:rsidRPr="00B0076F">
        <w:rPr>
          <w:rFonts w:ascii="Arial" w:hAnsi="Arial" w:cs="Arial"/>
          <w:i/>
          <w:iCs/>
          <w:color w:val="000000" w:themeColor="text1"/>
          <w:sz w:val="22"/>
          <w:szCs w:val="22"/>
        </w:rPr>
        <w:t>Nurse Education Today</w:t>
      </w:r>
      <w:r w:rsidRPr="00B0076F">
        <w:rPr>
          <w:rFonts w:ascii="Arial" w:hAnsi="Arial" w:cs="Arial"/>
          <w:color w:val="000000" w:themeColor="text1"/>
          <w:sz w:val="22"/>
          <w:szCs w:val="22"/>
        </w:rPr>
        <w:t>, 53, pp. 41-47.</w:t>
      </w:r>
    </w:p>
    <w:p w14:paraId="5FAF03C0" w14:textId="760AE1B3" w:rsidR="002D26CF" w:rsidRPr="004152E1" w:rsidRDefault="002D26CF" w:rsidP="004152E1">
      <w:pPr>
        <w:spacing w:line="360" w:lineRule="auto"/>
        <w:rPr>
          <w:rFonts w:ascii="Arial" w:hAnsi="Arial" w:cs="Arial"/>
          <w:color w:val="000000" w:themeColor="text1"/>
          <w:sz w:val="22"/>
          <w:szCs w:val="22"/>
        </w:rPr>
      </w:pPr>
    </w:p>
    <w:sectPr w:rsidR="002D26CF" w:rsidRPr="004152E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DFC99" w14:textId="77777777" w:rsidR="00F7779E" w:rsidRDefault="00F7779E" w:rsidP="00C85A49">
      <w:pPr>
        <w:spacing w:after="0" w:line="240" w:lineRule="auto"/>
      </w:pPr>
      <w:r>
        <w:separator/>
      </w:r>
    </w:p>
  </w:endnote>
  <w:endnote w:type="continuationSeparator" w:id="0">
    <w:p w14:paraId="100FFD61" w14:textId="77777777" w:rsidR="00F7779E" w:rsidRDefault="00F7779E" w:rsidP="00C85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1437427"/>
      <w:docPartObj>
        <w:docPartGallery w:val="Page Numbers (Bottom of Page)"/>
        <w:docPartUnique/>
      </w:docPartObj>
    </w:sdtPr>
    <w:sdtEndPr/>
    <w:sdtContent>
      <w:p w14:paraId="669DB17D" w14:textId="32E55A84" w:rsidR="00C85A49" w:rsidRDefault="00C85A49">
        <w:pPr>
          <w:pStyle w:val="Footer"/>
          <w:jc w:val="center"/>
        </w:pPr>
        <w:r>
          <w:fldChar w:fldCharType="begin"/>
        </w:r>
        <w:r>
          <w:instrText>PAGE   \* MERGEFORMAT</w:instrText>
        </w:r>
        <w:r>
          <w:fldChar w:fldCharType="separate"/>
        </w:r>
        <w:r>
          <w:t>2</w:t>
        </w:r>
        <w:r>
          <w:fldChar w:fldCharType="end"/>
        </w:r>
      </w:p>
    </w:sdtContent>
  </w:sdt>
  <w:p w14:paraId="4552CA5F" w14:textId="77777777" w:rsidR="00C85A49" w:rsidRDefault="00C85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4939D" w14:textId="77777777" w:rsidR="00F7779E" w:rsidRDefault="00F7779E" w:rsidP="00C85A49">
      <w:pPr>
        <w:spacing w:after="0" w:line="240" w:lineRule="auto"/>
      </w:pPr>
      <w:r>
        <w:separator/>
      </w:r>
    </w:p>
  </w:footnote>
  <w:footnote w:type="continuationSeparator" w:id="0">
    <w:p w14:paraId="68E7465C" w14:textId="77777777" w:rsidR="00F7779E" w:rsidRDefault="00F7779E" w:rsidP="00C85A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BF2"/>
    <w:rsid w:val="000118FE"/>
    <w:rsid w:val="0007635A"/>
    <w:rsid w:val="000940AB"/>
    <w:rsid w:val="000D1869"/>
    <w:rsid w:val="001E4282"/>
    <w:rsid w:val="00231550"/>
    <w:rsid w:val="0026709E"/>
    <w:rsid w:val="002767E9"/>
    <w:rsid w:val="002D26CF"/>
    <w:rsid w:val="003836A0"/>
    <w:rsid w:val="003C3622"/>
    <w:rsid w:val="003E77C7"/>
    <w:rsid w:val="004152E1"/>
    <w:rsid w:val="004653A4"/>
    <w:rsid w:val="0049328C"/>
    <w:rsid w:val="004B355E"/>
    <w:rsid w:val="004B3B25"/>
    <w:rsid w:val="004F4609"/>
    <w:rsid w:val="00501C50"/>
    <w:rsid w:val="005460C6"/>
    <w:rsid w:val="005724D2"/>
    <w:rsid w:val="005820E8"/>
    <w:rsid w:val="005F2CAD"/>
    <w:rsid w:val="0060360C"/>
    <w:rsid w:val="00605C07"/>
    <w:rsid w:val="00631C8E"/>
    <w:rsid w:val="006438B6"/>
    <w:rsid w:val="006501BB"/>
    <w:rsid w:val="006830D3"/>
    <w:rsid w:val="006A2CA9"/>
    <w:rsid w:val="007072F5"/>
    <w:rsid w:val="00736CC7"/>
    <w:rsid w:val="00747280"/>
    <w:rsid w:val="00750259"/>
    <w:rsid w:val="00757A7E"/>
    <w:rsid w:val="00776A9E"/>
    <w:rsid w:val="00784A8D"/>
    <w:rsid w:val="00784D00"/>
    <w:rsid w:val="0078713C"/>
    <w:rsid w:val="007B1653"/>
    <w:rsid w:val="0081388E"/>
    <w:rsid w:val="00817454"/>
    <w:rsid w:val="008219BF"/>
    <w:rsid w:val="00824B65"/>
    <w:rsid w:val="00892168"/>
    <w:rsid w:val="008956E1"/>
    <w:rsid w:val="00913277"/>
    <w:rsid w:val="00A260ED"/>
    <w:rsid w:val="00A3396E"/>
    <w:rsid w:val="00A447DF"/>
    <w:rsid w:val="00AC6C41"/>
    <w:rsid w:val="00AF1474"/>
    <w:rsid w:val="00B0076F"/>
    <w:rsid w:val="00B74ECF"/>
    <w:rsid w:val="00B93CBE"/>
    <w:rsid w:val="00BB2480"/>
    <w:rsid w:val="00BB350D"/>
    <w:rsid w:val="00BB4375"/>
    <w:rsid w:val="00C014F4"/>
    <w:rsid w:val="00C16BF2"/>
    <w:rsid w:val="00C85A49"/>
    <w:rsid w:val="00CF50E8"/>
    <w:rsid w:val="00D50B7B"/>
    <w:rsid w:val="00DA67E2"/>
    <w:rsid w:val="00DF578B"/>
    <w:rsid w:val="00E239A4"/>
    <w:rsid w:val="00E47678"/>
    <w:rsid w:val="00E62E55"/>
    <w:rsid w:val="00ED6A8A"/>
    <w:rsid w:val="00F2127F"/>
    <w:rsid w:val="00F7779E"/>
    <w:rsid w:val="00F96611"/>
    <w:rsid w:val="00FA020D"/>
    <w:rsid w:val="00FE7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B3753"/>
  <w15:chartTrackingRefBased/>
  <w15:docId w15:val="{11633786-1389-46F9-96A8-C6A1F50CF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6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6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6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6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6B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6B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6B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6B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6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6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6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BF2"/>
    <w:rPr>
      <w:rFonts w:eastAsiaTheme="majorEastAsia" w:cstheme="majorBidi"/>
      <w:color w:val="272727" w:themeColor="text1" w:themeTint="D8"/>
    </w:rPr>
  </w:style>
  <w:style w:type="paragraph" w:styleId="Title">
    <w:name w:val="Title"/>
    <w:basedOn w:val="Normal"/>
    <w:next w:val="Normal"/>
    <w:link w:val="TitleChar"/>
    <w:uiPriority w:val="10"/>
    <w:qFormat/>
    <w:rsid w:val="00C16B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6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B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6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BF2"/>
    <w:pPr>
      <w:spacing w:before="160"/>
      <w:jc w:val="center"/>
    </w:pPr>
    <w:rPr>
      <w:i/>
      <w:iCs/>
      <w:color w:val="404040" w:themeColor="text1" w:themeTint="BF"/>
    </w:rPr>
  </w:style>
  <w:style w:type="character" w:customStyle="1" w:styleId="QuoteChar">
    <w:name w:val="Quote Char"/>
    <w:basedOn w:val="DefaultParagraphFont"/>
    <w:link w:val="Quote"/>
    <w:uiPriority w:val="29"/>
    <w:rsid w:val="00C16BF2"/>
    <w:rPr>
      <w:i/>
      <w:iCs/>
      <w:color w:val="404040" w:themeColor="text1" w:themeTint="BF"/>
    </w:rPr>
  </w:style>
  <w:style w:type="paragraph" w:styleId="ListParagraph">
    <w:name w:val="List Paragraph"/>
    <w:basedOn w:val="Normal"/>
    <w:uiPriority w:val="34"/>
    <w:qFormat/>
    <w:rsid w:val="00C16BF2"/>
    <w:pPr>
      <w:ind w:left="720"/>
      <w:contextualSpacing/>
    </w:pPr>
  </w:style>
  <w:style w:type="character" w:styleId="IntenseEmphasis">
    <w:name w:val="Intense Emphasis"/>
    <w:basedOn w:val="DefaultParagraphFont"/>
    <w:uiPriority w:val="21"/>
    <w:qFormat/>
    <w:rsid w:val="00C16BF2"/>
    <w:rPr>
      <w:i/>
      <w:iCs/>
      <w:color w:val="0F4761" w:themeColor="accent1" w:themeShade="BF"/>
    </w:rPr>
  </w:style>
  <w:style w:type="paragraph" w:styleId="IntenseQuote">
    <w:name w:val="Intense Quote"/>
    <w:basedOn w:val="Normal"/>
    <w:next w:val="Normal"/>
    <w:link w:val="IntenseQuoteChar"/>
    <w:uiPriority w:val="30"/>
    <w:qFormat/>
    <w:rsid w:val="00C16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6BF2"/>
    <w:rPr>
      <w:i/>
      <w:iCs/>
      <w:color w:val="0F4761" w:themeColor="accent1" w:themeShade="BF"/>
    </w:rPr>
  </w:style>
  <w:style w:type="character" w:styleId="IntenseReference">
    <w:name w:val="Intense Reference"/>
    <w:basedOn w:val="DefaultParagraphFont"/>
    <w:uiPriority w:val="32"/>
    <w:qFormat/>
    <w:rsid w:val="00C16BF2"/>
    <w:rPr>
      <w:b/>
      <w:bCs/>
      <w:smallCaps/>
      <w:color w:val="0F4761" w:themeColor="accent1" w:themeShade="BF"/>
      <w:spacing w:val="5"/>
    </w:rPr>
  </w:style>
  <w:style w:type="character" w:styleId="Hyperlink">
    <w:name w:val="Hyperlink"/>
    <w:basedOn w:val="DefaultParagraphFont"/>
    <w:uiPriority w:val="99"/>
    <w:unhideWhenUsed/>
    <w:rsid w:val="006501BB"/>
    <w:rPr>
      <w:color w:val="467886" w:themeColor="hyperlink"/>
      <w:u w:val="single"/>
    </w:rPr>
  </w:style>
  <w:style w:type="character" w:styleId="UnresolvedMention">
    <w:name w:val="Unresolved Mention"/>
    <w:basedOn w:val="DefaultParagraphFont"/>
    <w:uiPriority w:val="99"/>
    <w:semiHidden/>
    <w:unhideWhenUsed/>
    <w:rsid w:val="006501BB"/>
    <w:rPr>
      <w:color w:val="605E5C"/>
      <w:shd w:val="clear" w:color="auto" w:fill="E1DFDD"/>
    </w:rPr>
  </w:style>
  <w:style w:type="paragraph" w:styleId="Header">
    <w:name w:val="header"/>
    <w:basedOn w:val="Normal"/>
    <w:link w:val="HeaderChar"/>
    <w:uiPriority w:val="99"/>
    <w:unhideWhenUsed/>
    <w:rsid w:val="00C85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A49"/>
  </w:style>
  <w:style w:type="paragraph" w:styleId="Footer">
    <w:name w:val="footer"/>
    <w:basedOn w:val="Normal"/>
    <w:link w:val="FooterChar"/>
    <w:uiPriority w:val="99"/>
    <w:unhideWhenUsed/>
    <w:rsid w:val="00C85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A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erplexity.ai/search/look-at-this-assessment-specif-VWFbSwevT9aMaZWzDxSbV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erplexity.ai/search/look-at-this-assessment-specif-VWFbSwevT9aMaZWzDxSbV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erplexity.ai/search/look-at-this-assessment-specif-VWFbSwevT9aMaZWzDxSbVg" TargetMode="External"/><Relationship Id="rId5" Type="http://schemas.openxmlformats.org/officeDocument/2006/relationships/styles" Target="styles.xml"/><Relationship Id="rId15" Type="http://schemas.openxmlformats.org/officeDocument/2006/relationships/hyperlink" Target="https://www.perplexity.ai/search/look-at-this-assessment-specif-VWFbSwevT9aMaZWzDxSbVg" TargetMode="External"/><Relationship Id="rId10" Type="http://schemas.openxmlformats.org/officeDocument/2006/relationships/hyperlink" Target="https://www.perplexity.ai/search/look-at-this-assessment-specif-VWFbSwevT9aMaZWzDxSbVg"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perplexity.ai/search/look-at-this-assessment-specif-VWFbSwevT9aMaZWzDxSbV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2f6128a98ab92cf6706682b934e174a">
  <xsd:schema xmlns:xsd="http://www.w3.org/2001/XMLSchema" xmlns:xs="http://www.w3.org/2001/XMLSchema" xmlns:p="http://schemas.microsoft.com/office/2006/metadata/properties" xmlns:ns3="901b7179-a49d-4669-ab88-101a0e80079b" targetNamespace="http://schemas.microsoft.com/office/2006/metadata/properties" ma:root="true" ma:fieldsID="0b05b6ab8d9f32e246155da089f76071"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2A11D1FB-FBA1-424D-81CC-CCE9C9FAC652}">
  <ds:schemaRefs>
    <ds:schemaRef ds:uri="http://schemas.microsoft.com/sharepoint/v3/contenttype/forms"/>
  </ds:schemaRefs>
</ds:datastoreItem>
</file>

<file path=customXml/itemProps2.xml><?xml version="1.0" encoding="utf-8"?>
<ds:datastoreItem xmlns:ds="http://schemas.openxmlformats.org/officeDocument/2006/customXml" ds:itemID="{F9ABD4A8-6CD0-42AB-8FCD-153C5FFD2D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07EEC9-1223-464B-8FE2-6621C5DFB1B1}">
  <ds:schemaRefs>
    <ds:schemaRef ds:uri="http://schemas.openxmlformats.org/officeDocument/2006/bibliography"/>
  </ds:schemaRefs>
</ds:datastoreItem>
</file>

<file path=customXml/itemProps4.xml><?xml version="1.0" encoding="utf-8"?>
<ds:datastoreItem xmlns:ds="http://schemas.openxmlformats.org/officeDocument/2006/customXml" ds:itemID="{041D27BC-78E6-4697-B997-AC42FEC8F2CD}">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1690</Words>
  <Characters>9636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Najmabai Mir (2522176)</dc:creator>
  <cp:keywords/>
  <dc:description/>
  <cp:lastModifiedBy>Najmabai Mir (2522176)</cp:lastModifiedBy>
  <cp:revision>2</cp:revision>
  <dcterms:created xsi:type="dcterms:W3CDTF">2026-03-27T02:06:00Z</dcterms:created>
  <dcterms:modified xsi:type="dcterms:W3CDTF">2026-03-27T02:06:00Z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