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100" w:after="240"/>
        <w:jc w:val="center"/>
      </w:pPr>
      <w:r>
        <w:rPr>
          <w:rFonts w:ascii="Arial" w:hAnsi="Arial"/>
          <w:b/>
          <w:i w:val="0"/>
          <w:color w:val="000000"/>
          <w:sz w:val="44"/>
        </w:rPr>
        <w:t>EMPLOYABILITY AND CAREER DEVELOPMENT</w:t>
      </w:r>
    </w:p>
    <w:p>
      <w:pPr>
        <w:spacing w:after="880"/>
        <w:jc w:val="center"/>
      </w:pPr>
      <w:r>
        <w:rPr>
          <w:rFonts w:ascii="Arial" w:hAnsi="Arial"/>
          <w:b w:val="0"/>
          <w:i w:val="0"/>
          <w:color w:val="000000"/>
          <w:sz w:val="30"/>
        </w:rPr>
        <w:t>Chef and Hospitality Career Assignment</w:t>
      </w:r>
    </w:p>
    <w:p>
      <w:pPr>
        <w:spacing w:after="120"/>
        <w:jc w:val="center"/>
      </w:pPr>
      <w:r>
        <w:rPr>
          <w:rFonts w:ascii="Arial" w:hAnsi="Arial"/>
          <w:b/>
          <w:i w:val="0"/>
          <w:color w:val="000000"/>
          <w:sz w:val="22"/>
        </w:rPr>
        <w:t xml:space="preserve">Student name: </w:t>
      </w:r>
      <w:r>
        <w:rPr>
          <w:rFonts w:ascii="Arial" w:hAnsi="Arial"/>
          <w:b w:val="0"/>
          <w:i w:val="0"/>
          <w:color w:val="000000"/>
          <w:sz w:val="22"/>
        </w:rPr>
        <w:t>Julian Miguel Balmores</w:t>
      </w:r>
    </w:p>
    <w:p>
      <w:pPr>
        <w:spacing w:after="120"/>
        <w:jc w:val="center"/>
      </w:pPr>
      <w:r>
        <w:rPr>
          <w:rFonts w:ascii="Arial" w:hAnsi="Arial"/>
          <w:b/>
          <w:i w:val="0"/>
          <w:color w:val="000000"/>
          <w:sz w:val="22"/>
        </w:rPr>
        <w:t xml:space="preserve">Student number: </w:t>
      </w:r>
      <w:r>
        <w:rPr>
          <w:rFonts w:ascii="Arial" w:hAnsi="Arial"/>
          <w:b w:val="0"/>
          <w:i w:val="0"/>
          <w:color w:val="000000"/>
          <w:sz w:val="22"/>
        </w:rPr>
        <w:t>2517087</w:t>
      </w:r>
    </w:p>
    <w:p>
      <w:pPr>
        <w:spacing w:after="120"/>
        <w:jc w:val="center"/>
      </w:pPr>
      <w:r>
        <w:rPr>
          <w:rFonts w:ascii="Arial" w:hAnsi="Arial"/>
          <w:b/>
          <w:i w:val="0"/>
          <w:color w:val="000000"/>
          <w:sz w:val="22"/>
        </w:rPr>
        <w:t xml:space="preserve">Module: </w:t>
      </w:r>
      <w:r>
        <w:rPr>
          <w:rFonts w:ascii="Arial" w:hAnsi="Arial"/>
          <w:b w:val="0"/>
          <w:i w:val="0"/>
          <w:color w:val="000000"/>
          <w:sz w:val="22"/>
        </w:rPr>
        <w:t>LCLM4005 – Employability and Career Development</w:t>
      </w:r>
    </w:p>
    <w:p>
      <w:pPr>
        <w:spacing w:after="120"/>
        <w:jc w:val="center"/>
      </w:pPr>
      <w:r>
        <w:rPr>
          <w:rFonts w:ascii="Arial" w:hAnsi="Arial"/>
          <w:b/>
          <w:i w:val="0"/>
          <w:color w:val="000000"/>
          <w:sz w:val="22"/>
        </w:rPr>
        <w:t xml:space="preserve">Lecturer: </w:t>
      </w:r>
      <w:r>
        <w:rPr>
          <w:rFonts w:ascii="Arial" w:hAnsi="Arial"/>
          <w:b w:val="0"/>
          <w:i w:val="0"/>
          <w:color w:val="000000"/>
          <w:sz w:val="22"/>
        </w:rPr>
        <w:t>Rejwan Bin Sulaiman</w:t>
      </w:r>
    </w:p>
    <w:p>
      <w:pPr>
        <w:spacing w:after="120"/>
        <w:jc w:val="center"/>
      </w:pPr>
      <w:r>
        <w:rPr>
          <w:rFonts w:ascii="Arial" w:hAnsi="Arial"/>
          <w:b/>
          <w:i w:val="0"/>
          <w:color w:val="000000"/>
          <w:sz w:val="22"/>
        </w:rPr>
        <w:t xml:space="preserve">Assignment title: </w:t>
      </w:r>
      <w:r>
        <w:rPr>
          <w:rFonts w:ascii="Arial" w:hAnsi="Arial"/>
          <w:b w:val="0"/>
          <w:i w:val="0"/>
          <w:color w:val="000000"/>
          <w:sz w:val="22"/>
        </w:rPr>
        <w:t>Employability and Career Development Assignment</w:t>
      </w:r>
    </w:p>
    <w:p>
      <w:r>
        <w:br w:type="page"/>
      </w:r>
    </w:p>
    <w:p>
      <w:pPr>
        <w:pStyle w:val="Heading1"/>
      </w:pPr>
      <w:r>
        <w:t>Task 1: Comparison of Two Chef Job Adverts</w:t>
      </w:r>
    </w:p>
    <w:p>
      <w:pPr>
        <w:jc w:val="both"/>
      </w:pPr>
      <w:r>
        <w:rPr>
          <w:rFonts w:ascii="Arial" w:hAnsi="Arial"/>
          <w:b w:val="0"/>
          <w:i w:val="0"/>
          <w:color w:val="000000"/>
          <w:sz w:val="22"/>
        </w:rPr>
        <w:t>For this comparison, I considered two realistic UK hospitality vacancies: an illustrative Compass Group Commis Chef position in a busy contract-catering kitchen and an illustrative Hilton Chef de Partie position in a hotel restaurant. The Commis Chef advert represents an entry-level opportunity and asks for basic food-preparation ability, safe working practices, enthusiasm, reliability and willingness to learn from senior chefs. Knowledge of food hygiene, allergen controls, stock rotation and correct storage is important. The role also requires teamwork, time management and the ability to remain productive during busy service periods.</w:t>
      </w:r>
    </w:p>
    <w:p>
      <w:pPr>
        <w:jc w:val="both"/>
      </w:pPr>
      <w:r>
        <w:rPr>
          <w:rFonts w:ascii="Arial" w:hAnsi="Arial"/>
          <w:b w:val="0"/>
          <w:i w:val="0"/>
          <w:color w:val="000000"/>
          <w:sz w:val="22"/>
        </w:rPr>
        <w:t>The Chef de Partie advert describes a more experienced role with responsibility for a particular kitchen section. It requires strong cooking techniques, consistent presentation, portion control and the confidence to organise preparation before service. The applicant must understand HACCP procedures, food safety, allergens, waste reduction and cost control. Leadership is also important because the employee may guide junior chefs, communicate shortages to the sous chef and help maintain standards during pressure. Hotel knowledge, including professional guest service and consistency across breakfast, events and restaurant service, is additionally valuable.</w:t>
      </w:r>
    </w:p>
    <w:p>
      <w:pPr>
        <w:jc w:val="both"/>
      </w:pPr>
      <w:r>
        <w:rPr>
          <w:rFonts w:ascii="Arial" w:hAnsi="Arial"/>
          <w:b w:val="0"/>
          <w:i w:val="0"/>
          <w:color w:val="000000"/>
          <w:sz w:val="22"/>
        </w:rPr>
        <w:t>Both adverts therefore emphasise food safety, teamwork, communication, organisation, attention to detail and the ability to work under pressure. They also expect practical knowledge of preparation, cleanliness, stock handling and consistent quality. The main difference is the level of responsibility. The Commis Chef is expected to learn and support, while the Chef de Partie is expected to manage a section, solve operational problems and demonstrate leadership. This shows a clear progression route within the profession.</w:t>
      </w:r>
    </w:p>
    <w:p>
      <w:pPr>
        <w:jc w:val="both"/>
      </w:pPr>
      <w:r>
        <w:rPr>
          <w:rFonts w:ascii="Arial" w:hAnsi="Arial"/>
          <w:b w:val="0"/>
          <w:i w:val="0"/>
          <w:color w:val="000000"/>
          <w:sz w:val="22"/>
        </w:rPr>
        <w:t>Communication is one common skill that I could use strongly in my future employment. Before service, I would confirm priorities, allergens and stock levels with the team. During service, I would use short and accurate call-backs so orders are prepared safely and on time. If an ingredient was unavailable or a mistake occurred, I would report it immediately rather than allowing the issue to affect guests. My experience in kitchens, front-of-house service, bars and festival trading means I understand how communication connects chefs, servers and customers. I would also listen actively during briefings, repeat critical allergy information and give respectful feedback to junior colleagues. Developing this skill further would help me protect food safety, reduce waste, support colleagues and progress towards a supervisory chef role.</w:t>
      </w:r>
    </w:p>
    <w:p>
      <w:pPr>
        <w:pStyle w:val="Heading1"/>
      </w:pPr>
      <w:r>
        <w:t>Task 2: Self-Assessment and Evidence of Readiness</w:t>
      </w:r>
    </w:p>
    <w:p>
      <w:pPr>
        <w:pStyle w:val="Heading2"/>
      </w:pPr>
      <w:r>
        <w:t>SWOT Analysis</w:t>
      </w:r>
    </w:p>
    <w:p>
      <w:pPr>
        <w:jc w:val="both"/>
      </w:pPr>
      <w:r>
        <w:rPr>
          <w:rFonts w:ascii="Arial" w:hAnsi="Arial"/>
          <w:b/>
          <w:i w:val="0"/>
          <w:color w:val="000000"/>
          <w:sz w:val="22"/>
        </w:rPr>
        <w:t>Strengths.</w:t>
      </w:r>
      <w:r>
        <w:rPr>
          <w:rFonts w:ascii="Arial" w:hAnsi="Arial"/>
          <w:b w:val="0"/>
          <w:i w:val="0"/>
          <w:color w:val="000000"/>
          <w:sz w:val="22"/>
        </w:rPr>
        <w:t xml:space="preserve"> My strongest qualities are practical hospitality experience, adaptability, teamwork and leadership potential. At Cirilo’s Kainan Filipino restaurant, I progressed from front-of-house work into kitchen duties, which taught me to understand the whole customer journey rather than focusing on one station. At Burrito Bro, I helped manage operations across Spitalfields Market, Camden Market and Canary Wharf. Working across different locations required organisation, quick judgement and the ability to maintain standards in changing environments. I have also worked at major festivals, including Wireless, Creamfields and the Isle of Wight Festival, where high customer volumes strengthened my resilience and speed. In my current Wetherspoons role, working on both the floor and bar has improved my communication with customers and colleagues. I am outgoing, helpful and comfortable taking responsibility when a team needs direction.</w:t>
      </w:r>
    </w:p>
    <w:p>
      <w:pPr>
        <w:jc w:val="both"/>
      </w:pPr>
      <w:r>
        <w:rPr>
          <w:rFonts w:ascii="Arial" w:hAnsi="Arial"/>
          <w:b/>
          <w:i w:val="0"/>
          <w:color w:val="000000"/>
          <w:sz w:val="22"/>
        </w:rPr>
        <w:t>Weaknesses.</w:t>
      </w:r>
      <w:r>
        <w:rPr>
          <w:rFonts w:ascii="Arial" w:hAnsi="Arial"/>
          <w:b w:val="0"/>
          <w:i w:val="0"/>
          <w:color w:val="000000"/>
          <w:sz w:val="22"/>
        </w:rPr>
        <w:t xml:space="preserve"> I sometimes become nervous in unfamiliar situations, particularly when speaking formally or being observed by senior staff. Nervousness can make me rush my explanation instead of presenting my ideas clearly. I also need to improve my written professional communication and confidence with detailed kitchen administration, such as costing recipes, recording waste and using stock-control systems. Although I have broad experience, I need to demonstrate my technical chef knowledge through further recognised training and a clearer record of achievements. Finally, because I am balancing university with employment, time management can become difficult when deadlines and shifts occur together. These weaknesses are manageable, but they require planned practice rather than relying only on experience.</w:t>
      </w:r>
    </w:p>
    <w:p>
      <w:pPr>
        <w:jc w:val="both"/>
      </w:pPr>
      <w:r>
        <w:rPr>
          <w:rFonts w:ascii="Arial" w:hAnsi="Arial"/>
          <w:b/>
          <w:i w:val="0"/>
          <w:color w:val="000000"/>
          <w:sz w:val="22"/>
        </w:rPr>
        <w:t>Opportunities.</w:t>
      </w:r>
      <w:r>
        <w:rPr>
          <w:rFonts w:ascii="Arial" w:hAnsi="Arial"/>
          <w:b w:val="0"/>
          <w:i w:val="0"/>
          <w:color w:val="000000"/>
          <w:sz w:val="22"/>
        </w:rPr>
        <w:t xml:space="preserve"> My business degree at UWTSD gives me an opportunity to combine cooking experience with knowledge of management, finance, marketing and decision-making. This combination could support progression from chef to kitchen supervisor, sous chef or hospitality manager. London also provides access to hotels, contract caterers, restaurants and event businesses with structured training programmes. My Level 2 Food Hygiene certificate already provides a foundation, and I can build on it through allergen-awareness, HACCP, first-aid and supervisory food-safety courses. University careers support, lecturer feedback, online learning and professional networking can help me improve my CV and interview performance. I can also ask experienced chefs for mentoring and request responsibility for stock checks, preparation planning or training a new employee.</w:t>
      </w:r>
    </w:p>
    <w:p>
      <w:pPr>
        <w:jc w:val="both"/>
      </w:pPr>
      <w:r>
        <w:rPr>
          <w:rFonts w:ascii="Arial" w:hAnsi="Arial"/>
          <w:b/>
          <w:i w:val="0"/>
          <w:color w:val="000000"/>
          <w:sz w:val="22"/>
        </w:rPr>
        <w:t>Threats.</w:t>
      </w:r>
      <w:r>
        <w:rPr>
          <w:rFonts w:ascii="Arial" w:hAnsi="Arial"/>
          <w:b w:val="0"/>
          <w:i w:val="0"/>
          <w:color w:val="000000"/>
          <w:sz w:val="22"/>
        </w:rPr>
        <w:t xml:space="preserve"> Hospitality is competitive, and employers may prefer applicants with formal culinary qualifications or experience in high-standard hotel kitchens. The industry can involve long, unsociable hours, physical pressure and a risk of burnout. Rising food and labour costs may reduce staffing levels, meaning employees must handle more responsibility. Technology is also changing ordering, inventory and compliance processes, so weak digital skills could limit progression. Another threat is allowing university deadlines or changing shift patterns to affect reliability. To reduce these risks, I need to protect my wellbeing, plan my availability early, keep developing technical and digital skills, and collect evidence that proves my performance.</w:t>
      </w:r>
    </w:p>
    <w:p>
      <w:pPr>
        <w:pStyle w:val="Heading2"/>
      </w:pPr>
      <w:r>
        <w:t>Evidence of Employability Readiness</w:t>
      </w:r>
    </w:p>
    <w:p>
      <w:pPr>
        <w:jc w:val="both"/>
      </w:pPr>
      <w:r>
        <w:rPr>
          <w:rFonts w:ascii="Arial" w:hAnsi="Arial"/>
          <w:b w:val="0"/>
          <w:i w:val="0"/>
          <w:color w:val="000000"/>
          <w:sz w:val="22"/>
        </w:rPr>
        <w:t>My work history provides strong evidence that I am ready for employment and advancement. Remaining at Cirilo’s Kainan for approximately three years shows commitment, while progressing from front-of-house duties towards chef responsibilities demonstrates learning and trust. My Burrito Bro experience is evidence of leadership because supporting three locations involved adapting to different teams, customer flows and operational problems. Festival food trading further proves that I can work quickly in demanding settings while maintaining customer service. My current floor and bar duties at Wetherspoons show that I continue to develop product knowledge, cash-handling awareness, teamwork and responsible service.</w:t>
      </w:r>
    </w:p>
    <w:p>
      <w:pPr>
        <w:jc w:val="both"/>
      </w:pPr>
      <w:r>
        <w:rPr>
          <w:rFonts w:ascii="Arial" w:hAnsi="Arial"/>
          <w:b w:val="0"/>
          <w:i w:val="0"/>
          <w:color w:val="000000"/>
          <w:sz w:val="22"/>
        </w:rPr>
        <w:t>My academic experience also supports my readiness. Studying business requires research, presentations, teamwork, meeting deadlines and applying models to practical decisions. These abilities are relevant to kitchen management because senior chefs must plan labour, control costs, communicate standards and solve problems. Completing Triple Science at school supports my understanding of hygiene, temperature and safe processes, while my Level 2 Food Hygiene certificate directly demonstrates awareness of contamination controls and legal responsibilities. Feedback and increasing responsibility at work indicate that others view me as dependable and capable of learning.</w:t>
      </w:r>
    </w:p>
    <w:p>
      <w:pPr>
        <w:jc w:val="both"/>
      </w:pPr>
      <w:r>
        <w:rPr>
          <w:rFonts w:ascii="Arial" w:hAnsi="Arial"/>
          <w:b w:val="0"/>
          <w:i w:val="0"/>
          <w:color w:val="000000"/>
          <w:sz w:val="22"/>
        </w:rPr>
        <w:t>Overall, the evidence shows that I already possess the practical resilience and customer awareness needed in hospitality. However, readiness does not mean that development is complete. I should turn experience into measurable evidence by recording responsibilities, positive feedback, training and examples of problems solved. This portfolio will make future applications stronger and help me explain not only where I have worked, but also what value I contributed.</w:t>
      </w:r>
    </w:p>
    <w:p>
      <w:pPr>
        <w:jc w:val="both"/>
      </w:pPr>
      <w:r>
        <w:rPr>
          <w:rFonts w:ascii="Arial" w:hAnsi="Arial"/>
          <w:b w:val="0"/>
          <w:i w:val="0"/>
          <w:color w:val="000000"/>
          <w:sz w:val="22"/>
        </w:rPr>
        <w:t>A further sign of readiness is my ability to transfer learning between settings. Customer-service experience helps me understand how kitchen delays affect guests, while management experience helps me prioritise tasks and support colleagues. At university, presenting ideas and completing assessed work has required preparation and reflection. In employment, I can use the same process: identify the required standard, plan the work, ask for feedback and improve the next attempt. This learning mindset is especially valuable in professional kitchens, where menus, systems and expectations change regularly.</w:t>
      </w:r>
    </w:p>
    <w:p>
      <w:pPr>
        <w:pStyle w:val="Heading1"/>
      </w:pPr>
      <w:r>
        <w:t>Task 3: Employment Goals and Personal Development Plan</w:t>
      </w:r>
    </w:p>
    <w:p>
      <w:pPr>
        <w:pStyle w:val="Heading2"/>
      </w:pPr>
      <w:r>
        <w:t>Employment Goals</w:t>
      </w:r>
    </w:p>
    <w:p>
      <w:pPr>
        <w:jc w:val="both"/>
      </w:pPr>
      <w:r>
        <w:rPr>
          <w:rFonts w:ascii="Arial" w:hAnsi="Arial"/>
          <w:b w:val="0"/>
          <w:i w:val="0"/>
          <w:color w:val="000000"/>
          <w:sz w:val="22"/>
        </w:rPr>
        <w:t>My short-term goal is to secure a Commis Chef or junior chef position with structured training within six months. I will improve formal communication, practise interviews, strengthen allergen and HACCP knowledge, and seek responsibility for preparation planning or stock control. This addresses my nervousness and gaps in kitchen administration while focusing my hospitality experience on a culinary career.</w:t>
      </w:r>
    </w:p>
    <w:p>
      <w:pPr>
        <w:jc w:val="both"/>
      </w:pPr>
      <w:r>
        <w:rPr>
          <w:rFonts w:ascii="Arial" w:hAnsi="Arial"/>
          <w:b w:val="0"/>
          <w:i w:val="0"/>
          <w:color w:val="000000"/>
          <w:sz w:val="22"/>
        </w:rPr>
        <w:t>My long-term goal is to become a Chef de Partie within two to three years and then progress towards sous-chef or kitchen management. I want to lead a section, train junior staff, protect food-safety standards and support menu costing and waste reduction. This combines my interest in cooking with the leadership and business knowledge I am developing at university.</w:t>
      </w:r>
    </w:p>
    <w:p>
      <w:pPr>
        <w:pStyle w:val="Heading2"/>
      </w:pPr>
      <w:r>
        <w:t>Personal Development Plan</w:t>
      </w:r>
    </w:p>
    <w:tbl>
      <w:tblPr>
        <w:tblStyle w:val="TableGrid"/>
        <w:tblW w:type="dxa" w:w="9360"/>
        <w:jc w:val="left"/>
        <w:tblLayout w:type="fixed"/>
        <w:tblLook w:firstColumn="1" w:firstRow="1" w:lastColumn="0" w:lastRow="0" w:noHBand="0" w:noVBand="1" w:val="04A0"/>
        <w:tblInd w:w="120" w:type="dxa"/>
      </w:tblPr>
      <w:tblGrid>
        <w:gridCol w:w="1400"/>
        <w:gridCol w:w="2580"/>
        <w:gridCol w:w="1380"/>
        <w:gridCol w:w="1800"/>
        <w:gridCol w:w="2200"/>
      </w:tblGrid>
      <w:tr>
        <w:tc>
          <w:tcPr>
            <w:tcW w:type="dxa" w:w="1400"/>
            <w:shd w:fill="E7E6E6"/>
            <w:vAlign w:val="center"/>
            <w:tcMar>
              <w:top w:w="80" w:type="dxa"/>
              <w:bottom w:w="80" w:type="dxa"/>
              <w:start w:w="120" w:type="dxa"/>
              <w:end w:w="120" w:type="dxa"/>
            </w:tcMar>
          </w:tcPr>
          <w:p>
            <w:pPr>
              <w:spacing w:after="0"/>
            </w:pPr>
            <w:r>
              <w:rPr>
                <w:rFonts w:ascii="Arial" w:hAnsi="Arial"/>
                <w:b/>
                <w:i w:val="0"/>
                <w:color w:val="000000"/>
                <w:sz w:val="19"/>
              </w:rPr>
              <w:t>Development need</w:t>
            </w:r>
          </w:p>
        </w:tc>
        <w:tc>
          <w:tcPr>
            <w:tcW w:type="dxa" w:w="2580"/>
            <w:shd w:fill="E7E6E6"/>
            <w:vAlign w:val="center"/>
            <w:tcMar>
              <w:top w:w="80" w:type="dxa"/>
              <w:bottom w:w="80" w:type="dxa"/>
              <w:start w:w="120" w:type="dxa"/>
              <w:end w:w="120" w:type="dxa"/>
            </w:tcMar>
          </w:tcPr>
          <w:p>
            <w:pPr>
              <w:spacing w:after="0"/>
            </w:pPr>
            <w:r>
              <w:rPr>
                <w:rFonts w:ascii="Arial" w:hAnsi="Arial"/>
                <w:b/>
                <w:i w:val="0"/>
                <w:color w:val="000000"/>
                <w:sz w:val="19"/>
              </w:rPr>
              <w:t>Specific action</w:t>
            </w:r>
          </w:p>
        </w:tc>
        <w:tc>
          <w:tcPr>
            <w:tcW w:type="dxa" w:w="1380"/>
            <w:shd w:fill="E7E6E6"/>
            <w:vAlign w:val="center"/>
            <w:tcMar>
              <w:top w:w="80" w:type="dxa"/>
              <w:bottom w:w="80" w:type="dxa"/>
              <w:start w:w="120" w:type="dxa"/>
              <w:end w:w="120" w:type="dxa"/>
            </w:tcMar>
          </w:tcPr>
          <w:p>
            <w:pPr>
              <w:spacing w:after="0"/>
            </w:pPr>
            <w:r>
              <w:rPr>
                <w:rFonts w:ascii="Arial" w:hAnsi="Arial"/>
                <w:b/>
                <w:i w:val="0"/>
                <w:color w:val="000000"/>
                <w:sz w:val="19"/>
              </w:rPr>
              <w:t>Timeline</w:t>
            </w:r>
          </w:p>
        </w:tc>
        <w:tc>
          <w:tcPr>
            <w:tcW w:type="dxa" w:w="1800"/>
            <w:shd w:fill="E7E6E6"/>
            <w:vAlign w:val="center"/>
            <w:tcMar>
              <w:top w:w="80" w:type="dxa"/>
              <w:bottom w:w="80" w:type="dxa"/>
              <w:start w:w="120" w:type="dxa"/>
              <w:end w:w="120" w:type="dxa"/>
            </w:tcMar>
          </w:tcPr>
          <w:p>
            <w:pPr>
              <w:spacing w:after="0"/>
            </w:pPr>
            <w:r>
              <w:rPr>
                <w:rFonts w:ascii="Arial" w:hAnsi="Arial"/>
                <w:b/>
                <w:i w:val="0"/>
                <w:color w:val="000000"/>
                <w:sz w:val="19"/>
              </w:rPr>
              <w:t>Resources</w:t>
            </w:r>
          </w:p>
        </w:tc>
        <w:tc>
          <w:tcPr>
            <w:tcW w:type="dxa" w:w="2200"/>
            <w:shd w:fill="E7E6E6"/>
            <w:vAlign w:val="center"/>
            <w:tcMar>
              <w:top w:w="80" w:type="dxa"/>
              <w:bottom w:w="80" w:type="dxa"/>
              <w:start w:w="120" w:type="dxa"/>
              <w:end w:w="120" w:type="dxa"/>
            </w:tcMar>
          </w:tcPr>
          <w:p>
            <w:pPr>
              <w:spacing w:after="0"/>
            </w:pPr>
            <w:r>
              <w:rPr>
                <w:rFonts w:ascii="Arial" w:hAnsi="Arial"/>
                <w:b/>
                <w:i w:val="0"/>
                <w:color w:val="000000"/>
                <w:sz w:val="19"/>
              </w:rPr>
              <w:t>Measure of progress</w:t>
            </w:r>
          </w:p>
        </w:tc>
      </w:tr>
      <w:tr>
        <w:tc>
          <w:tcPr>
            <w:tcW w:type="dxa" w:w="1400"/>
            <w:vAlign w:val="center"/>
            <w:tcMar>
              <w:top w:w="80" w:type="dxa"/>
              <w:bottom w:w="80" w:type="dxa"/>
              <w:start w:w="120" w:type="dxa"/>
              <w:end w:w="120" w:type="dxa"/>
            </w:tcMar>
          </w:tcPr>
          <w:p>
            <w:pPr>
              <w:spacing w:after="0" w:line="276" w:lineRule="auto"/>
            </w:pPr>
            <w:r>
              <w:rPr>
                <w:rFonts w:ascii="Arial" w:hAnsi="Arial"/>
                <w:b w:val="0"/>
                <w:i w:val="0"/>
                <w:color w:val="000000"/>
                <w:sz w:val="18"/>
              </w:rPr>
              <w:t>Speaking confidence</w:t>
            </w:r>
          </w:p>
        </w:tc>
        <w:tc>
          <w:tcPr>
            <w:tcW w:type="dxa" w:w="2580"/>
            <w:vAlign w:val="center"/>
            <w:tcMar>
              <w:top w:w="80" w:type="dxa"/>
              <w:bottom w:w="80" w:type="dxa"/>
              <w:start w:w="120" w:type="dxa"/>
              <w:end w:w="120" w:type="dxa"/>
            </w:tcMar>
          </w:tcPr>
          <w:p>
            <w:pPr>
              <w:spacing w:after="0" w:line="276" w:lineRule="auto"/>
            </w:pPr>
            <w:r>
              <w:rPr>
                <w:rFonts w:ascii="Arial" w:hAnsi="Arial"/>
                <w:b w:val="0"/>
                <w:i w:val="0"/>
                <w:color w:val="000000"/>
                <w:sz w:val="18"/>
              </w:rPr>
              <w:t>Complete two mock interviews; practise weekly.</w:t>
            </w:r>
          </w:p>
        </w:tc>
        <w:tc>
          <w:tcPr>
            <w:tcW w:type="dxa" w:w="1380"/>
            <w:vAlign w:val="center"/>
            <w:tcMar>
              <w:top w:w="80" w:type="dxa"/>
              <w:bottom w:w="80" w:type="dxa"/>
              <w:start w:w="120" w:type="dxa"/>
              <w:end w:w="120" w:type="dxa"/>
            </w:tcMar>
          </w:tcPr>
          <w:p>
            <w:pPr>
              <w:spacing w:after="0" w:line="276" w:lineRule="auto"/>
            </w:pPr>
            <w:r>
              <w:rPr>
                <w:rFonts w:ascii="Arial" w:hAnsi="Arial"/>
                <w:b w:val="0"/>
                <w:i w:val="0"/>
                <w:color w:val="000000"/>
                <w:sz w:val="18"/>
              </w:rPr>
              <w:t>Within 8 weeks</w:t>
            </w:r>
          </w:p>
        </w:tc>
        <w:tc>
          <w:tcPr>
            <w:tcW w:type="dxa" w:w="1800"/>
            <w:vAlign w:val="center"/>
            <w:tcMar>
              <w:top w:w="80" w:type="dxa"/>
              <w:bottom w:w="80" w:type="dxa"/>
              <w:start w:w="120" w:type="dxa"/>
              <w:end w:w="120" w:type="dxa"/>
            </w:tcMar>
          </w:tcPr>
          <w:p>
            <w:pPr>
              <w:spacing w:after="0" w:line="276" w:lineRule="auto"/>
            </w:pPr>
            <w:r>
              <w:rPr>
                <w:rFonts w:ascii="Arial" w:hAnsi="Arial"/>
                <w:b w:val="0"/>
                <w:i w:val="0"/>
                <w:color w:val="000000"/>
                <w:sz w:val="18"/>
              </w:rPr>
              <w:t>Careers Service and colleague feedback</w:t>
            </w:r>
          </w:p>
        </w:tc>
        <w:tc>
          <w:tcPr>
            <w:tcW w:type="dxa" w:w="2200"/>
            <w:vAlign w:val="center"/>
            <w:tcMar>
              <w:top w:w="80" w:type="dxa"/>
              <w:bottom w:w="80" w:type="dxa"/>
              <w:start w:w="120" w:type="dxa"/>
              <w:end w:w="120" w:type="dxa"/>
            </w:tcMar>
          </w:tcPr>
          <w:p>
            <w:pPr>
              <w:spacing w:after="0" w:line="276" w:lineRule="auto"/>
            </w:pPr>
            <w:r>
              <w:rPr>
                <w:rFonts w:ascii="Arial" w:hAnsi="Arial"/>
                <w:b w:val="0"/>
                <w:i w:val="0"/>
                <w:color w:val="000000"/>
                <w:sz w:val="18"/>
              </w:rPr>
              <w:t>Achieve 4/5 for clarity and confidence.</w:t>
            </w:r>
          </w:p>
        </w:tc>
      </w:tr>
      <w:tr>
        <w:tc>
          <w:tcPr>
            <w:tcW w:type="dxa" w:w="1400"/>
            <w:vAlign w:val="center"/>
            <w:tcMar>
              <w:top w:w="80" w:type="dxa"/>
              <w:bottom w:w="80" w:type="dxa"/>
              <w:start w:w="120" w:type="dxa"/>
              <w:end w:w="120" w:type="dxa"/>
            </w:tcMar>
          </w:tcPr>
          <w:p>
            <w:pPr>
              <w:spacing w:after="0" w:line="276" w:lineRule="auto"/>
            </w:pPr>
            <w:r>
              <w:rPr>
                <w:rFonts w:ascii="Arial" w:hAnsi="Arial"/>
                <w:b w:val="0"/>
                <w:i w:val="0"/>
                <w:color w:val="000000"/>
                <w:sz w:val="18"/>
              </w:rPr>
              <w:t>Food safety</w:t>
            </w:r>
          </w:p>
        </w:tc>
        <w:tc>
          <w:tcPr>
            <w:tcW w:type="dxa" w:w="2580"/>
            <w:vAlign w:val="center"/>
            <w:tcMar>
              <w:top w:w="80" w:type="dxa"/>
              <w:bottom w:w="80" w:type="dxa"/>
              <w:start w:w="120" w:type="dxa"/>
              <w:end w:w="120" w:type="dxa"/>
            </w:tcMar>
          </w:tcPr>
          <w:p>
            <w:pPr>
              <w:spacing w:after="0" w:line="276" w:lineRule="auto"/>
            </w:pPr>
            <w:r>
              <w:rPr>
                <w:rFonts w:ascii="Arial" w:hAnsi="Arial"/>
                <w:b w:val="0"/>
                <w:i w:val="0"/>
                <w:color w:val="000000"/>
                <w:sz w:val="18"/>
              </w:rPr>
              <w:t>Complete allergen and HACCP refresher courses.</w:t>
            </w:r>
          </w:p>
        </w:tc>
        <w:tc>
          <w:tcPr>
            <w:tcW w:type="dxa" w:w="1380"/>
            <w:vAlign w:val="center"/>
            <w:tcMar>
              <w:top w:w="80" w:type="dxa"/>
              <w:bottom w:w="80" w:type="dxa"/>
              <w:start w:w="120" w:type="dxa"/>
              <w:end w:w="120" w:type="dxa"/>
            </w:tcMar>
          </w:tcPr>
          <w:p>
            <w:pPr>
              <w:spacing w:after="0" w:line="276" w:lineRule="auto"/>
            </w:pPr>
            <w:r>
              <w:rPr>
                <w:rFonts w:ascii="Arial" w:hAnsi="Arial"/>
                <w:b w:val="0"/>
                <w:i w:val="0"/>
                <w:color w:val="000000"/>
                <w:sz w:val="18"/>
              </w:rPr>
              <w:t>Within 3 months</w:t>
            </w:r>
          </w:p>
        </w:tc>
        <w:tc>
          <w:tcPr>
            <w:tcW w:type="dxa" w:w="1800"/>
            <w:vAlign w:val="center"/>
            <w:tcMar>
              <w:top w:w="80" w:type="dxa"/>
              <w:bottom w:w="80" w:type="dxa"/>
              <w:start w:w="120" w:type="dxa"/>
              <w:end w:w="120" w:type="dxa"/>
            </w:tcMar>
          </w:tcPr>
          <w:p>
            <w:pPr>
              <w:spacing w:after="0" w:line="276" w:lineRule="auto"/>
            </w:pPr>
            <w:r>
              <w:rPr>
                <w:rFonts w:ascii="Arial" w:hAnsi="Arial"/>
                <w:b w:val="0"/>
                <w:i w:val="0"/>
                <w:color w:val="000000"/>
                <w:sz w:val="18"/>
              </w:rPr>
              <w:t>Accredited courses and manager guidance</w:t>
            </w:r>
          </w:p>
        </w:tc>
        <w:tc>
          <w:tcPr>
            <w:tcW w:type="dxa" w:w="2200"/>
            <w:vAlign w:val="center"/>
            <w:tcMar>
              <w:top w:w="80" w:type="dxa"/>
              <w:bottom w:w="80" w:type="dxa"/>
              <w:start w:w="120" w:type="dxa"/>
              <w:end w:w="120" w:type="dxa"/>
            </w:tcMar>
          </w:tcPr>
          <w:p>
            <w:pPr>
              <w:spacing w:after="0" w:line="276" w:lineRule="auto"/>
            </w:pPr>
            <w:r>
              <w:rPr>
                <w:rFonts w:ascii="Arial" w:hAnsi="Arial"/>
                <w:b w:val="0"/>
                <w:i w:val="0"/>
                <w:color w:val="000000"/>
                <w:sz w:val="18"/>
              </w:rPr>
              <w:t>Pass assessments and obtain certificates.</w:t>
            </w:r>
          </w:p>
        </w:tc>
      </w:tr>
      <w:tr>
        <w:tc>
          <w:tcPr>
            <w:tcW w:type="dxa" w:w="1400"/>
            <w:vAlign w:val="center"/>
            <w:tcMar>
              <w:top w:w="80" w:type="dxa"/>
              <w:bottom w:w="80" w:type="dxa"/>
              <w:start w:w="120" w:type="dxa"/>
              <w:end w:w="120" w:type="dxa"/>
            </w:tcMar>
          </w:tcPr>
          <w:p>
            <w:pPr>
              <w:spacing w:after="0" w:line="276" w:lineRule="auto"/>
            </w:pPr>
            <w:r>
              <w:rPr>
                <w:rFonts w:ascii="Arial" w:hAnsi="Arial"/>
                <w:b w:val="0"/>
                <w:i w:val="0"/>
                <w:color w:val="000000"/>
                <w:sz w:val="18"/>
              </w:rPr>
              <w:t>Kitchen administration</w:t>
            </w:r>
          </w:p>
        </w:tc>
        <w:tc>
          <w:tcPr>
            <w:tcW w:type="dxa" w:w="2580"/>
            <w:vAlign w:val="center"/>
            <w:tcMar>
              <w:top w:w="80" w:type="dxa"/>
              <w:bottom w:w="80" w:type="dxa"/>
              <w:start w:w="120" w:type="dxa"/>
              <w:end w:w="120" w:type="dxa"/>
            </w:tcMar>
          </w:tcPr>
          <w:p>
            <w:pPr>
              <w:spacing w:after="0" w:line="276" w:lineRule="auto"/>
            </w:pPr>
            <w:r>
              <w:rPr>
                <w:rFonts w:ascii="Arial" w:hAnsi="Arial"/>
                <w:b w:val="0"/>
                <w:i w:val="0"/>
                <w:color w:val="000000"/>
                <w:sz w:val="18"/>
              </w:rPr>
              <w:t>Shadow stock checks and cost three dishes.</w:t>
            </w:r>
          </w:p>
        </w:tc>
        <w:tc>
          <w:tcPr>
            <w:tcW w:type="dxa" w:w="1380"/>
            <w:vAlign w:val="center"/>
            <w:tcMar>
              <w:top w:w="80" w:type="dxa"/>
              <w:bottom w:w="80" w:type="dxa"/>
              <w:start w:w="120" w:type="dxa"/>
              <w:end w:w="120" w:type="dxa"/>
            </w:tcMar>
          </w:tcPr>
          <w:p>
            <w:pPr>
              <w:spacing w:after="0" w:line="276" w:lineRule="auto"/>
            </w:pPr>
            <w:r>
              <w:rPr>
                <w:rFonts w:ascii="Arial" w:hAnsi="Arial"/>
                <w:b w:val="0"/>
                <w:i w:val="0"/>
                <w:color w:val="000000"/>
                <w:sz w:val="18"/>
              </w:rPr>
              <w:t>Within 4 months</w:t>
            </w:r>
          </w:p>
        </w:tc>
        <w:tc>
          <w:tcPr>
            <w:tcW w:type="dxa" w:w="1800"/>
            <w:vAlign w:val="center"/>
            <w:tcMar>
              <w:top w:w="80" w:type="dxa"/>
              <w:bottom w:w="80" w:type="dxa"/>
              <w:start w:w="120" w:type="dxa"/>
              <w:end w:w="120" w:type="dxa"/>
            </w:tcMar>
          </w:tcPr>
          <w:p>
            <w:pPr>
              <w:spacing w:after="0" w:line="276" w:lineRule="auto"/>
            </w:pPr>
            <w:r>
              <w:rPr>
                <w:rFonts w:ascii="Arial" w:hAnsi="Arial"/>
                <w:b w:val="0"/>
                <w:i w:val="0"/>
                <w:color w:val="000000"/>
                <w:sz w:val="18"/>
              </w:rPr>
              <w:t>Chef mentor, records and Excel</w:t>
            </w:r>
          </w:p>
        </w:tc>
        <w:tc>
          <w:tcPr>
            <w:tcW w:type="dxa" w:w="2200"/>
            <w:vAlign w:val="center"/>
            <w:tcMar>
              <w:top w:w="80" w:type="dxa"/>
              <w:bottom w:w="80" w:type="dxa"/>
              <w:start w:w="120" w:type="dxa"/>
              <w:end w:w="120" w:type="dxa"/>
            </w:tcMar>
          </w:tcPr>
          <w:p>
            <w:pPr>
              <w:spacing w:after="0" w:line="276" w:lineRule="auto"/>
            </w:pPr>
            <w:r>
              <w:rPr>
                <w:rFonts w:ascii="Arial" w:hAnsi="Arial"/>
                <w:b w:val="0"/>
                <w:i w:val="0"/>
                <w:color w:val="000000"/>
                <w:sz w:val="18"/>
              </w:rPr>
              <w:t>Three cost sheets and two stock checks.</w:t>
            </w:r>
          </w:p>
        </w:tc>
      </w:tr>
      <w:tr>
        <w:tc>
          <w:tcPr>
            <w:tcW w:type="dxa" w:w="1400"/>
            <w:vAlign w:val="center"/>
            <w:tcMar>
              <w:top w:w="80" w:type="dxa"/>
              <w:bottom w:w="80" w:type="dxa"/>
              <w:start w:w="120" w:type="dxa"/>
              <w:end w:w="120" w:type="dxa"/>
            </w:tcMar>
          </w:tcPr>
          <w:p>
            <w:pPr>
              <w:spacing w:after="0" w:line="276" w:lineRule="auto"/>
            </w:pPr>
            <w:r>
              <w:rPr>
                <w:rFonts w:ascii="Arial" w:hAnsi="Arial"/>
                <w:b w:val="0"/>
                <w:i w:val="0"/>
                <w:color w:val="000000"/>
                <w:sz w:val="18"/>
              </w:rPr>
              <w:t>Career progression</w:t>
            </w:r>
          </w:p>
        </w:tc>
        <w:tc>
          <w:tcPr>
            <w:tcW w:type="dxa" w:w="2580"/>
            <w:vAlign w:val="center"/>
            <w:tcMar>
              <w:top w:w="80" w:type="dxa"/>
              <w:bottom w:w="80" w:type="dxa"/>
              <w:start w:w="120" w:type="dxa"/>
              <w:end w:w="120" w:type="dxa"/>
            </w:tcMar>
          </w:tcPr>
          <w:p>
            <w:pPr>
              <w:spacing w:after="0" w:line="276" w:lineRule="auto"/>
            </w:pPr>
            <w:r>
              <w:rPr>
                <w:rFonts w:ascii="Arial" w:hAnsi="Arial"/>
                <w:b w:val="0"/>
                <w:i w:val="0"/>
                <w:color w:val="000000"/>
                <w:sz w:val="18"/>
              </w:rPr>
              <w:t>Update my CV and apply for four roles monthly.</w:t>
            </w:r>
          </w:p>
        </w:tc>
        <w:tc>
          <w:tcPr>
            <w:tcW w:type="dxa" w:w="1380"/>
            <w:vAlign w:val="center"/>
            <w:tcMar>
              <w:top w:w="80" w:type="dxa"/>
              <w:bottom w:w="80" w:type="dxa"/>
              <w:start w:w="120" w:type="dxa"/>
              <w:end w:w="120" w:type="dxa"/>
            </w:tcMar>
          </w:tcPr>
          <w:p>
            <w:pPr>
              <w:spacing w:after="0" w:line="276" w:lineRule="auto"/>
            </w:pPr>
            <w:r>
              <w:rPr>
                <w:rFonts w:ascii="Arial" w:hAnsi="Arial"/>
                <w:b w:val="0"/>
                <w:i w:val="0"/>
                <w:color w:val="000000"/>
                <w:sz w:val="18"/>
              </w:rPr>
              <w:t>Start in 2 weeks; review for 6 months</w:t>
            </w:r>
          </w:p>
        </w:tc>
        <w:tc>
          <w:tcPr>
            <w:tcW w:type="dxa" w:w="1800"/>
            <w:vAlign w:val="center"/>
            <w:tcMar>
              <w:top w:w="80" w:type="dxa"/>
              <w:bottom w:w="80" w:type="dxa"/>
              <w:start w:w="120" w:type="dxa"/>
              <w:end w:w="120" w:type="dxa"/>
            </w:tcMar>
          </w:tcPr>
          <w:p>
            <w:pPr>
              <w:spacing w:after="0" w:line="276" w:lineRule="auto"/>
            </w:pPr>
            <w:r>
              <w:rPr>
                <w:rFonts w:ascii="Arial" w:hAnsi="Arial"/>
                <w:b w:val="0"/>
                <w:i w:val="0"/>
                <w:color w:val="000000"/>
                <w:sz w:val="18"/>
              </w:rPr>
              <w:t>Job sites, adviser and application tracker</w:t>
            </w:r>
          </w:p>
        </w:tc>
        <w:tc>
          <w:tcPr>
            <w:tcW w:type="dxa" w:w="2200"/>
            <w:vAlign w:val="center"/>
            <w:tcMar>
              <w:top w:w="80" w:type="dxa"/>
              <w:bottom w:w="80" w:type="dxa"/>
              <w:start w:w="120" w:type="dxa"/>
              <w:end w:w="120" w:type="dxa"/>
            </w:tcMar>
          </w:tcPr>
          <w:p>
            <w:pPr>
              <w:spacing w:after="0" w:line="276" w:lineRule="auto"/>
            </w:pPr>
            <w:r>
              <w:rPr>
                <w:rFonts w:ascii="Arial" w:hAnsi="Arial"/>
                <w:b w:val="0"/>
                <w:i w:val="0"/>
                <w:color w:val="000000"/>
                <w:sz w:val="18"/>
              </w:rPr>
              <w:t>Submit 24 applications and secure three interviews.</w:t>
            </w:r>
          </w:p>
        </w:tc>
      </w:tr>
    </w:tbl>
    <w:p>
      <w:pPr>
        <w:jc w:val="both"/>
      </w:pPr>
      <w:r>
        <w:rPr>
          <w:rFonts w:ascii="Arial" w:hAnsi="Arial"/>
          <w:b w:val="0"/>
          <w:i w:val="0"/>
          <w:color w:val="000000"/>
          <w:sz w:val="22"/>
        </w:rPr>
        <w:t>I will review the plan monthly, record certificates, feedback, applications and interview results, and seek support when progress falls behind. If an action is unsuccessful, I will adjust it rather than simply extending the deadline. This keeps my development measurable and connected to becoming a skilled chef and future kitchen leader.</w:t>
      </w:r>
    </w:p>
    <w:sectPr w:rsidR="00FC693F" w:rsidRPr="0006063C" w:rsidSect="00034616">
      <w:footerReference w:type="default" r:id="rId9"/>
      <w:pgSz w:w="12240" w:h="15840"/>
      <w:pgMar w:top="1080" w:right="1440" w:bottom="108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rial" w:hAnsi="Arial"/>
        <w:b w:val="0"/>
        <w:i w:val="0"/>
        <w:color w:val="5A5A5A"/>
        <w:sz w:val="18"/>
      </w:rPr>
      <w:t xml:space="preserve">Page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60" w:lineRule="auto"/>
    </w:pPr>
    <w:rPr>
      <w:rFonts w:ascii="Arial" w:hAnsi="Arial"/>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40" w:line="360" w:lineRule="auto"/>
      <w:outlineLvl w:val="0"/>
    </w:pPr>
    <w:rPr>
      <w:rFonts w:asciiTheme="majorHAnsi" w:eastAsiaTheme="majorEastAsia" w:hAnsiTheme="majorHAnsi" w:cstheme="majorBidi" w:ascii="Arial" w:hAnsi="Arial"/>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100" w:line="360" w:lineRule="auto"/>
      <w:outlineLvl w:val="1"/>
    </w:pPr>
    <w:rPr>
      <w:rFonts w:asciiTheme="majorHAnsi" w:eastAsiaTheme="majorEastAsia" w:hAnsiTheme="majorHAnsi" w:cstheme="majorBidi" w:ascii="Arial" w:hAnsi="Arial"/>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140" w:after="60" w:line="360" w:lineRule="auto"/>
      <w:outlineLvl w:val="2"/>
    </w:pPr>
    <w:rPr>
      <w:rFonts w:asciiTheme="majorHAnsi" w:eastAsiaTheme="majorEastAsia" w:hAnsiTheme="majorHAnsi" w:cstheme="majorBidi" w:ascii="Arial" w:hAnsi="Arial"/>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