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3AC9B" w14:textId="77777777" w:rsidR="00393FCF" w:rsidRPr="00DB3097" w:rsidRDefault="00393FCF" w:rsidP="00393FCF">
      <w:pPr>
        <w:spacing w:line="480" w:lineRule="auto"/>
        <w:contextualSpacing/>
        <w:jc w:val="center"/>
        <w:rPr>
          <w:rFonts w:ascii="Arial" w:hAnsi="Arial" w:cs="Arial"/>
          <w:b/>
          <w:bCs/>
        </w:rPr>
      </w:pPr>
    </w:p>
    <w:p w14:paraId="028D77E0" w14:textId="436B2FB1" w:rsidR="00393FCF" w:rsidRPr="00DB3097" w:rsidRDefault="00393FCF" w:rsidP="00DB3097">
      <w:pPr>
        <w:spacing w:line="480" w:lineRule="auto"/>
        <w:contextualSpacing/>
        <w:jc w:val="center"/>
        <w:rPr>
          <w:rFonts w:ascii="Arial" w:hAnsi="Arial" w:cs="Arial"/>
        </w:rPr>
      </w:pPr>
      <w:r w:rsidRPr="00DB3097">
        <w:rPr>
          <w:rFonts w:ascii="Arial" w:hAnsi="Arial" w:cs="Arial"/>
        </w:rPr>
        <w:t>Problem Solving and Decision Making</w:t>
      </w:r>
    </w:p>
    <w:p w14:paraId="083C7930" w14:textId="0BE52A83" w:rsidR="00393FCF" w:rsidRPr="00DB3097" w:rsidRDefault="00393FCF" w:rsidP="00393FCF">
      <w:pPr>
        <w:spacing w:line="480" w:lineRule="auto"/>
        <w:contextualSpacing/>
        <w:jc w:val="center"/>
        <w:rPr>
          <w:rFonts w:ascii="Arial" w:hAnsi="Arial" w:cs="Arial"/>
        </w:rPr>
      </w:pPr>
      <w:r w:rsidRPr="00DB3097">
        <w:rPr>
          <w:rFonts w:ascii="Arial" w:hAnsi="Arial" w:cs="Arial"/>
        </w:rPr>
        <w:t xml:space="preserve">Student Name: </w:t>
      </w:r>
      <w:r w:rsidR="00DB3097" w:rsidRPr="00DB3097">
        <w:rPr>
          <w:rFonts w:ascii="Arial" w:hAnsi="Arial" w:cs="Arial"/>
        </w:rPr>
        <w:t>Liliana Claudia Costache</w:t>
      </w:r>
    </w:p>
    <w:p w14:paraId="1301CB62" w14:textId="420A231A" w:rsidR="00393FCF" w:rsidRPr="00DB3097" w:rsidRDefault="00393FCF" w:rsidP="00393FCF">
      <w:pPr>
        <w:spacing w:line="480" w:lineRule="auto"/>
        <w:contextualSpacing/>
        <w:jc w:val="center"/>
        <w:rPr>
          <w:rFonts w:ascii="Arial" w:hAnsi="Arial" w:cs="Arial"/>
        </w:rPr>
      </w:pPr>
      <w:r w:rsidRPr="00DB3097">
        <w:rPr>
          <w:rFonts w:ascii="Arial" w:hAnsi="Arial" w:cs="Arial"/>
        </w:rPr>
        <w:t xml:space="preserve">Student Number: </w:t>
      </w:r>
      <w:r w:rsidR="00DB3097" w:rsidRPr="00DB3097">
        <w:rPr>
          <w:rFonts w:ascii="Arial" w:hAnsi="Arial" w:cs="Arial"/>
        </w:rPr>
        <w:t>2111821</w:t>
      </w:r>
    </w:p>
    <w:p w14:paraId="46E427C3" w14:textId="77777777" w:rsidR="00393FCF" w:rsidRPr="00DB3097" w:rsidRDefault="00393FCF" w:rsidP="00393FCF">
      <w:pPr>
        <w:spacing w:line="480" w:lineRule="auto"/>
        <w:contextualSpacing/>
        <w:jc w:val="center"/>
        <w:rPr>
          <w:rFonts w:ascii="Arial" w:hAnsi="Arial" w:cs="Arial"/>
        </w:rPr>
      </w:pPr>
      <w:r w:rsidRPr="00DB3097">
        <w:rPr>
          <w:rFonts w:ascii="Arial" w:hAnsi="Arial" w:cs="Arial"/>
        </w:rPr>
        <w:t>Module: Problem Solving and Decision Making</w:t>
      </w:r>
    </w:p>
    <w:p w14:paraId="39D64523" w14:textId="5CD85CC5" w:rsidR="00393FCF" w:rsidRPr="00DB3097" w:rsidRDefault="00393FCF" w:rsidP="00393FCF">
      <w:pPr>
        <w:spacing w:line="480" w:lineRule="auto"/>
        <w:contextualSpacing/>
        <w:jc w:val="center"/>
        <w:rPr>
          <w:rFonts w:ascii="Arial" w:hAnsi="Arial" w:cs="Arial"/>
        </w:rPr>
      </w:pPr>
      <w:r w:rsidRPr="00DB3097">
        <w:rPr>
          <w:rFonts w:ascii="Arial" w:hAnsi="Arial" w:cs="Arial"/>
        </w:rPr>
        <w:t>Module Code: BMSW</w:t>
      </w:r>
      <w:r w:rsidR="00DB3097" w:rsidRPr="00DB3097">
        <w:rPr>
          <w:rFonts w:ascii="Arial" w:hAnsi="Arial" w:cs="Arial"/>
        </w:rPr>
        <w:t>_</w:t>
      </w:r>
      <w:r w:rsidRPr="00DB3097">
        <w:rPr>
          <w:rFonts w:ascii="Arial" w:hAnsi="Arial" w:cs="Arial"/>
        </w:rPr>
        <w:t>4004</w:t>
      </w:r>
    </w:p>
    <w:p w14:paraId="31C6088C" w14:textId="02116043" w:rsidR="00393FCF" w:rsidRPr="00DB3097" w:rsidRDefault="00393FCF" w:rsidP="00DB3097">
      <w:pPr>
        <w:spacing w:line="480" w:lineRule="auto"/>
        <w:contextualSpacing/>
        <w:jc w:val="center"/>
        <w:rPr>
          <w:rFonts w:ascii="Arial" w:hAnsi="Arial" w:cs="Arial"/>
        </w:rPr>
      </w:pPr>
      <w:r w:rsidRPr="00DB3097">
        <w:rPr>
          <w:rFonts w:ascii="Arial" w:hAnsi="Arial" w:cs="Arial"/>
        </w:rPr>
        <w:t>Lecturer's Name:</w:t>
      </w:r>
      <w:r w:rsidR="00DB3097" w:rsidRPr="00DB3097">
        <w:rPr>
          <w:rFonts w:ascii="Arial" w:hAnsi="Arial" w:cs="Arial"/>
        </w:rPr>
        <w:t xml:space="preserve"> Chijioke Uba</w:t>
      </w:r>
    </w:p>
    <w:p w14:paraId="6FA69E56" w14:textId="66154BB1" w:rsidR="00DB3097" w:rsidRPr="00DB3097" w:rsidRDefault="00DB3097" w:rsidP="00DB3097">
      <w:pPr>
        <w:spacing w:line="480" w:lineRule="auto"/>
        <w:contextualSpacing/>
        <w:jc w:val="center"/>
        <w:rPr>
          <w:rFonts w:ascii="Arial" w:hAnsi="Arial" w:cs="Arial"/>
        </w:rPr>
      </w:pPr>
    </w:p>
    <w:p w14:paraId="5A05BF35" w14:textId="5E4E5F20" w:rsidR="00DB3097" w:rsidRPr="00DB3097" w:rsidRDefault="00DB3097" w:rsidP="00DB3097">
      <w:pPr>
        <w:spacing w:line="480" w:lineRule="auto"/>
        <w:contextualSpacing/>
        <w:jc w:val="center"/>
        <w:rPr>
          <w:rFonts w:ascii="Arial" w:hAnsi="Arial" w:cs="Arial"/>
          <w:sz w:val="48"/>
          <w:szCs w:val="48"/>
        </w:rPr>
      </w:pPr>
      <w:r w:rsidRPr="00DB3097">
        <w:rPr>
          <w:rFonts w:ascii="Arial" w:hAnsi="Arial" w:cs="Arial"/>
          <w:sz w:val="48"/>
          <w:szCs w:val="48"/>
        </w:rPr>
        <w:t>Staff absenteeism in Mid Cheshire Hospital Trust Foundation</w:t>
      </w:r>
    </w:p>
    <w:p w14:paraId="3CFA68F1" w14:textId="2DDEB8EF" w:rsidR="00393FCF" w:rsidRPr="00DB3097" w:rsidRDefault="00393FCF" w:rsidP="00DB3097">
      <w:pPr>
        <w:spacing w:line="480" w:lineRule="auto"/>
        <w:contextualSpacing/>
        <w:rPr>
          <w:rFonts w:ascii="Arial" w:hAnsi="Arial" w:cs="Arial"/>
        </w:rPr>
      </w:pPr>
      <w:r w:rsidRPr="00DB3097">
        <w:rPr>
          <w:rFonts w:ascii="Arial" w:hAnsi="Arial" w:cs="Arial"/>
        </w:rPr>
        <w:t xml:space="preserve"> </w:t>
      </w:r>
    </w:p>
    <w:p w14:paraId="5F03E941" w14:textId="6D98ADDB" w:rsidR="00393FCF" w:rsidRPr="00DB3097" w:rsidRDefault="00393FCF">
      <w:pPr>
        <w:rPr>
          <w:rFonts w:ascii="Arial" w:eastAsiaTheme="majorEastAsia" w:hAnsi="Arial" w:cs="Arial"/>
          <w:b/>
          <w:bCs/>
        </w:rPr>
      </w:pPr>
    </w:p>
    <w:p w14:paraId="1B1DF120" w14:textId="77777777" w:rsidR="00946BF1" w:rsidRPr="00DB3097" w:rsidRDefault="00946BF1">
      <w:pPr>
        <w:rPr>
          <w:rFonts w:ascii="Arial" w:eastAsiaTheme="majorEastAsia" w:hAnsi="Arial" w:cs="Arial"/>
          <w:b/>
          <w:bCs/>
        </w:rPr>
      </w:pPr>
      <w:r w:rsidRPr="00DB3097">
        <w:rPr>
          <w:rFonts w:ascii="Arial" w:hAnsi="Arial" w:cs="Arial"/>
          <w:b/>
          <w:bCs/>
        </w:rPr>
        <w:br w:type="page"/>
      </w:r>
    </w:p>
    <w:p w14:paraId="02BF145C" w14:textId="18F41E16" w:rsidR="00946BF1" w:rsidRPr="00DB3097" w:rsidRDefault="00946BF1">
      <w:pPr>
        <w:rPr>
          <w:rFonts w:ascii="Arial" w:eastAsiaTheme="majorEastAsia" w:hAnsi="Arial" w:cs="Arial"/>
          <w:b/>
          <w:bCs/>
        </w:rPr>
      </w:pPr>
    </w:p>
    <w:sdt>
      <w:sdtPr>
        <w:rPr>
          <w:rFonts w:ascii="Arial" w:eastAsiaTheme="minorHAnsi" w:hAnsi="Arial" w:cs="Arial"/>
          <w:color w:val="auto"/>
          <w:sz w:val="22"/>
          <w:szCs w:val="22"/>
        </w:rPr>
        <w:id w:val="-122388286"/>
        <w:docPartObj>
          <w:docPartGallery w:val="Table of Contents"/>
          <w:docPartUnique/>
        </w:docPartObj>
      </w:sdtPr>
      <w:sdtEndPr>
        <w:rPr>
          <w:b/>
          <w:bCs/>
          <w:noProof/>
        </w:rPr>
      </w:sdtEndPr>
      <w:sdtContent>
        <w:p w14:paraId="777CB162" w14:textId="49166CDA" w:rsidR="00946BF1" w:rsidRPr="00DB3097" w:rsidRDefault="00946BF1">
          <w:pPr>
            <w:pStyle w:val="TOCHeading"/>
            <w:rPr>
              <w:rFonts w:ascii="Arial" w:hAnsi="Arial" w:cs="Arial"/>
              <w:sz w:val="22"/>
              <w:szCs w:val="22"/>
            </w:rPr>
          </w:pPr>
          <w:r w:rsidRPr="00DB3097">
            <w:rPr>
              <w:rFonts w:ascii="Arial" w:hAnsi="Arial" w:cs="Arial"/>
              <w:sz w:val="22"/>
              <w:szCs w:val="22"/>
            </w:rPr>
            <w:t>Table of Contents</w:t>
          </w:r>
        </w:p>
        <w:p w14:paraId="2FA2BFA6" w14:textId="63898396" w:rsidR="00DB3097" w:rsidRPr="00DB3097" w:rsidRDefault="00946BF1">
          <w:pPr>
            <w:pStyle w:val="TOC1"/>
            <w:tabs>
              <w:tab w:val="right" w:leader="dot" w:pos="9350"/>
            </w:tabs>
            <w:rPr>
              <w:rFonts w:ascii="Arial" w:eastAsiaTheme="minorEastAsia" w:hAnsi="Arial" w:cs="Arial"/>
              <w:b/>
              <w:bCs/>
              <w:noProof/>
              <w:lang w:val="en-GB" w:eastAsia="en-GB"/>
            </w:rPr>
          </w:pPr>
          <w:r w:rsidRPr="00DB3097">
            <w:rPr>
              <w:rFonts w:ascii="Arial" w:hAnsi="Arial" w:cs="Arial"/>
            </w:rPr>
            <w:fldChar w:fldCharType="begin"/>
          </w:r>
          <w:r w:rsidRPr="00DB3097">
            <w:rPr>
              <w:rFonts w:ascii="Arial" w:hAnsi="Arial" w:cs="Arial"/>
            </w:rPr>
            <w:instrText xml:space="preserve"> TOC \o "1-3" \h \z \u </w:instrText>
          </w:r>
          <w:r w:rsidRPr="00DB3097">
            <w:rPr>
              <w:rFonts w:ascii="Arial" w:hAnsi="Arial" w:cs="Arial"/>
            </w:rPr>
            <w:fldChar w:fldCharType="separate"/>
          </w:r>
          <w:hyperlink w:anchor="_Toc99892445" w:history="1">
            <w:r w:rsidR="00DB3097" w:rsidRPr="00DB3097">
              <w:rPr>
                <w:rStyle w:val="Hyperlink"/>
                <w:rFonts w:ascii="Arial" w:hAnsi="Arial" w:cs="Arial"/>
                <w:b/>
                <w:bCs/>
                <w:noProof/>
              </w:rPr>
              <w:t>Task 2 Report</w:t>
            </w:r>
            <w:r w:rsidR="00DB3097" w:rsidRPr="00DB3097">
              <w:rPr>
                <w:rFonts w:ascii="Arial" w:hAnsi="Arial" w:cs="Arial"/>
                <w:b/>
                <w:bCs/>
                <w:noProof/>
                <w:webHidden/>
              </w:rPr>
              <w:tab/>
            </w:r>
            <w:r w:rsidR="00DB3097" w:rsidRPr="00DB3097">
              <w:rPr>
                <w:rFonts w:ascii="Arial" w:hAnsi="Arial" w:cs="Arial"/>
                <w:b/>
                <w:bCs/>
                <w:noProof/>
                <w:webHidden/>
              </w:rPr>
              <w:fldChar w:fldCharType="begin"/>
            </w:r>
            <w:r w:rsidR="00DB3097" w:rsidRPr="00DB3097">
              <w:rPr>
                <w:rFonts w:ascii="Arial" w:hAnsi="Arial" w:cs="Arial"/>
                <w:b/>
                <w:bCs/>
                <w:noProof/>
                <w:webHidden/>
              </w:rPr>
              <w:instrText xml:space="preserve"> PAGEREF _Toc99892445 \h </w:instrText>
            </w:r>
            <w:r w:rsidR="00DB3097" w:rsidRPr="00DB3097">
              <w:rPr>
                <w:rFonts w:ascii="Arial" w:hAnsi="Arial" w:cs="Arial"/>
                <w:b/>
                <w:bCs/>
                <w:noProof/>
                <w:webHidden/>
              </w:rPr>
            </w:r>
            <w:r w:rsidR="00DB3097" w:rsidRPr="00DB3097">
              <w:rPr>
                <w:rFonts w:ascii="Arial" w:hAnsi="Arial" w:cs="Arial"/>
                <w:b/>
                <w:bCs/>
                <w:noProof/>
                <w:webHidden/>
              </w:rPr>
              <w:fldChar w:fldCharType="separate"/>
            </w:r>
            <w:r w:rsidR="00DB3097" w:rsidRPr="00DB3097">
              <w:rPr>
                <w:rFonts w:ascii="Arial" w:hAnsi="Arial" w:cs="Arial"/>
                <w:b/>
                <w:bCs/>
                <w:noProof/>
                <w:webHidden/>
              </w:rPr>
              <w:t>3</w:t>
            </w:r>
            <w:r w:rsidR="00DB3097" w:rsidRPr="00DB3097">
              <w:rPr>
                <w:rFonts w:ascii="Arial" w:hAnsi="Arial" w:cs="Arial"/>
                <w:b/>
                <w:bCs/>
                <w:noProof/>
                <w:webHidden/>
              </w:rPr>
              <w:fldChar w:fldCharType="end"/>
            </w:r>
          </w:hyperlink>
        </w:p>
        <w:p w14:paraId="119F0CAA" w14:textId="75E4C3FA"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46" w:history="1">
            <w:r w:rsidRPr="00DB3097">
              <w:rPr>
                <w:rStyle w:val="Hyperlink"/>
                <w:rFonts w:ascii="Arial" w:hAnsi="Arial" w:cs="Arial"/>
                <w:b/>
                <w:bCs/>
                <w:noProof/>
              </w:rPr>
              <w:t>Introduction</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_Toc99892446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3</w:t>
            </w:r>
            <w:r w:rsidRPr="00DB3097">
              <w:rPr>
                <w:rFonts w:ascii="Arial" w:hAnsi="Arial" w:cs="Arial"/>
                <w:b/>
                <w:bCs/>
                <w:noProof/>
                <w:webHidden/>
              </w:rPr>
              <w:fldChar w:fldCharType="end"/>
            </w:r>
          </w:hyperlink>
        </w:p>
        <w:p w14:paraId="1DB58291" w14:textId="2FBE0419" w:rsidR="00DB3097" w:rsidRPr="00DB3097" w:rsidRDefault="00DB3097">
          <w:pPr>
            <w:pStyle w:val="TOC1"/>
            <w:tabs>
              <w:tab w:val="right" w:leader="dot" w:pos="9350"/>
            </w:tabs>
            <w:rPr>
              <w:rFonts w:ascii="Arial" w:eastAsiaTheme="minorEastAsia" w:hAnsi="Arial" w:cs="Arial"/>
              <w:b/>
              <w:bCs/>
              <w:noProof/>
              <w:lang w:val="en-GB" w:eastAsia="en-GB"/>
            </w:rPr>
          </w:pPr>
          <w:hyperlink w:anchor="_Toc99892447" w:history="1">
            <w:r w:rsidRPr="00DB3097">
              <w:rPr>
                <w:rStyle w:val="Hyperlink"/>
                <w:rFonts w:ascii="Arial" w:hAnsi="Arial" w:cs="Arial"/>
                <w:b/>
                <w:bCs/>
                <w:noProof/>
              </w:rPr>
              <w:t>Impacts of Absenteeism on employees and the organization</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_Toc99892447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3</w:t>
            </w:r>
            <w:r w:rsidRPr="00DB3097">
              <w:rPr>
                <w:rFonts w:ascii="Arial" w:hAnsi="Arial" w:cs="Arial"/>
                <w:b/>
                <w:bCs/>
                <w:noProof/>
                <w:webHidden/>
              </w:rPr>
              <w:fldChar w:fldCharType="end"/>
            </w:r>
          </w:hyperlink>
        </w:p>
        <w:p w14:paraId="575EBFFA" w14:textId="43055CB7" w:rsidR="00DB3097" w:rsidRPr="00DB3097" w:rsidRDefault="00DB3097">
          <w:pPr>
            <w:pStyle w:val="TOC1"/>
            <w:tabs>
              <w:tab w:val="right" w:leader="dot" w:pos="9350"/>
            </w:tabs>
            <w:rPr>
              <w:rFonts w:ascii="Arial" w:eastAsiaTheme="minorEastAsia" w:hAnsi="Arial" w:cs="Arial"/>
              <w:b/>
              <w:bCs/>
              <w:noProof/>
              <w:lang w:val="en-GB" w:eastAsia="en-GB"/>
            </w:rPr>
          </w:pPr>
          <w:hyperlink w:anchor="_Toc99892448" w:history="1">
            <w:r w:rsidRPr="00DB3097">
              <w:rPr>
                <w:rStyle w:val="Hyperlink"/>
                <w:rFonts w:ascii="Arial" w:hAnsi="Arial" w:cs="Arial"/>
                <w:b/>
                <w:bCs/>
                <w:noProof/>
              </w:rPr>
              <w:t>Causes of Staff Absenteeism</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_Toc99892448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4</w:t>
            </w:r>
            <w:r w:rsidRPr="00DB3097">
              <w:rPr>
                <w:rFonts w:ascii="Arial" w:hAnsi="Arial" w:cs="Arial"/>
                <w:b/>
                <w:bCs/>
                <w:noProof/>
                <w:webHidden/>
              </w:rPr>
              <w:fldChar w:fldCharType="end"/>
            </w:r>
          </w:hyperlink>
        </w:p>
        <w:p w14:paraId="68F7C8B6" w14:textId="0832B0CA" w:rsidR="00DB3097" w:rsidRPr="00DB3097" w:rsidRDefault="00DB3097">
          <w:pPr>
            <w:pStyle w:val="TOC1"/>
            <w:tabs>
              <w:tab w:val="right" w:leader="dot" w:pos="9350"/>
            </w:tabs>
            <w:rPr>
              <w:rFonts w:ascii="Arial" w:eastAsiaTheme="minorEastAsia" w:hAnsi="Arial" w:cs="Arial"/>
              <w:b/>
              <w:bCs/>
              <w:noProof/>
              <w:lang w:val="en-GB" w:eastAsia="en-GB"/>
            </w:rPr>
          </w:pPr>
          <w:hyperlink w:anchor="_Toc99892449" w:history="1">
            <w:r w:rsidRPr="00DB3097">
              <w:rPr>
                <w:rStyle w:val="Hyperlink"/>
                <w:rFonts w:ascii="Arial" w:hAnsi="Arial" w:cs="Arial"/>
                <w:b/>
                <w:bCs/>
                <w:noProof/>
              </w:rPr>
              <w:t>A PESTLE Analysis of the causes of staff Absenteeism</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_Toc99892449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5</w:t>
            </w:r>
            <w:r w:rsidRPr="00DB3097">
              <w:rPr>
                <w:rFonts w:ascii="Arial" w:hAnsi="Arial" w:cs="Arial"/>
                <w:b/>
                <w:bCs/>
                <w:noProof/>
                <w:webHidden/>
              </w:rPr>
              <w:fldChar w:fldCharType="end"/>
            </w:r>
          </w:hyperlink>
        </w:p>
        <w:p w14:paraId="04DBE7BB" w14:textId="367AEB62"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50" w:history="1">
            <w:r w:rsidRPr="00DB3097">
              <w:rPr>
                <w:rStyle w:val="Hyperlink"/>
                <w:rFonts w:ascii="Arial" w:hAnsi="Arial" w:cs="Arial"/>
                <w:b/>
                <w:bCs/>
                <w:noProof/>
              </w:rPr>
              <w:t>Political factors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_Toc99892450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5</w:t>
            </w:r>
            <w:r w:rsidRPr="00DB3097">
              <w:rPr>
                <w:rFonts w:ascii="Arial" w:hAnsi="Arial" w:cs="Arial"/>
                <w:b/>
                <w:bCs/>
                <w:noProof/>
                <w:webHidden/>
              </w:rPr>
              <w:fldChar w:fldCharType="end"/>
            </w:r>
          </w:hyperlink>
        </w:p>
        <w:p w14:paraId="03559CD8" w14:textId="06DF3737"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51" w:history="1">
            <w:r w:rsidRPr="00DB3097">
              <w:rPr>
                <w:rStyle w:val="Hyperlink"/>
                <w:rFonts w:ascii="Arial" w:hAnsi="Arial" w:cs="Arial"/>
                <w:b/>
                <w:bCs/>
                <w:noProof/>
              </w:rPr>
              <w:t>Economic factors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_Toc99892451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6</w:t>
            </w:r>
            <w:r w:rsidRPr="00DB3097">
              <w:rPr>
                <w:rFonts w:ascii="Arial" w:hAnsi="Arial" w:cs="Arial"/>
                <w:b/>
                <w:bCs/>
                <w:noProof/>
                <w:webHidden/>
              </w:rPr>
              <w:fldChar w:fldCharType="end"/>
            </w:r>
          </w:hyperlink>
        </w:p>
        <w:p w14:paraId="066ECEE2" w14:textId="530E7077"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52" w:history="1">
            <w:r w:rsidRPr="00DB3097">
              <w:rPr>
                <w:rStyle w:val="Hyperlink"/>
                <w:rFonts w:ascii="Arial" w:hAnsi="Arial" w:cs="Arial"/>
                <w:b/>
                <w:bCs/>
                <w:noProof/>
              </w:rPr>
              <w:t>Social factors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_Toc99892452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6</w:t>
            </w:r>
            <w:r w:rsidRPr="00DB3097">
              <w:rPr>
                <w:rFonts w:ascii="Arial" w:hAnsi="Arial" w:cs="Arial"/>
                <w:b/>
                <w:bCs/>
                <w:noProof/>
                <w:webHidden/>
              </w:rPr>
              <w:fldChar w:fldCharType="end"/>
            </w:r>
          </w:hyperlink>
        </w:p>
        <w:p w14:paraId="6403615B" w14:textId="01F268AF"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53" w:history="1">
            <w:r w:rsidRPr="00DB3097">
              <w:rPr>
                <w:rStyle w:val="Hyperlink"/>
                <w:rFonts w:ascii="Arial" w:hAnsi="Arial" w:cs="Arial"/>
                <w:b/>
                <w:bCs/>
                <w:noProof/>
              </w:rPr>
              <w:t>Technological Factors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_Toc99892453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6</w:t>
            </w:r>
            <w:r w:rsidRPr="00DB3097">
              <w:rPr>
                <w:rFonts w:ascii="Arial" w:hAnsi="Arial" w:cs="Arial"/>
                <w:b/>
                <w:bCs/>
                <w:noProof/>
                <w:webHidden/>
              </w:rPr>
              <w:fldChar w:fldCharType="end"/>
            </w:r>
          </w:hyperlink>
        </w:p>
        <w:p w14:paraId="70BAD52B" w14:textId="654304F9"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54" w:history="1">
            <w:r w:rsidRPr="00DB3097">
              <w:rPr>
                <w:rStyle w:val="Hyperlink"/>
                <w:rFonts w:ascii="Arial" w:hAnsi="Arial" w:cs="Arial"/>
                <w:b/>
                <w:bCs/>
                <w:noProof/>
              </w:rPr>
              <w:t>Legal factors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_Toc99892454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7</w:t>
            </w:r>
            <w:r w:rsidRPr="00DB3097">
              <w:rPr>
                <w:rFonts w:ascii="Arial" w:hAnsi="Arial" w:cs="Arial"/>
                <w:b/>
                <w:bCs/>
                <w:noProof/>
                <w:webHidden/>
              </w:rPr>
              <w:fldChar w:fldCharType="end"/>
            </w:r>
          </w:hyperlink>
        </w:p>
        <w:p w14:paraId="4A90CF27" w14:textId="0208F038"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55" w:history="1">
            <w:r w:rsidRPr="00DB3097">
              <w:rPr>
                <w:rStyle w:val="Hyperlink"/>
                <w:rFonts w:ascii="Arial" w:hAnsi="Arial" w:cs="Arial"/>
                <w:b/>
                <w:bCs/>
                <w:noProof/>
              </w:rPr>
              <w:t>Environmental factors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_Toc99892455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7</w:t>
            </w:r>
            <w:r w:rsidRPr="00DB3097">
              <w:rPr>
                <w:rFonts w:ascii="Arial" w:hAnsi="Arial" w:cs="Arial"/>
                <w:b/>
                <w:bCs/>
                <w:noProof/>
                <w:webHidden/>
              </w:rPr>
              <w:fldChar w:fldCharType="end"/>
            </w:r>
          </w:hyperlink>
        </w:p>
        <w:p w14:paraId="3067E0D0" w14:textId="5AA0367C" w:rsidR="00DB3097" w:rsidRPr="00DB3097" w:rsidRDefault="00DB3097">
          <w:pPr>
            <w:pStyle w:val="TOC1"/>
            <w:tabs>
              <w:tab w:val="right" w:leader="dot" w:pos="9350"/>
            </w:tabs>
            <w:rPr>
              <w:rFonts w:ascii="Arial" w:eastAsiaTheme="minorEastAsia" w:hAnsi="Arial" w:cs="Arial"/>
              <w:b/>
              <w:bCs/>
              <w:noProof/>
              <w:lang w:val="en-GB" w:eastAsia="en-GB"/>
            </w:rPr>
          </w:pPr>
          <w:hyperlink w:anchor="_Toc99892456" w:history="1">
            <w:r w:rsidRPr="00DB3097">
              <w:rPr>
                <w:rStyle w:val="Hyperlink"/>
                <w:rFonts w:ascii="Arial" w:hAnsi="Arial" w:cs="Arial"/>
                <w:b/>
                <w:bCs/>
                <w:noProof/>
              </w:rPr>
              <w:t>Solutions to Staff Absenteeism</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_Toc99892456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7</w:t>
            </w:r>
            <w:r w:rsidRPr="00DB3097">
              <w:rPr>
                <w:rFonts w:ascii="Arial" w:hAnsi="Arial" w:cs="Arial"/>
                <w:b/>
                <w:bCs/>
                <w:noProof/>
                <w:webHidden/>
              </w:rPr>
              <w:fldChar w:fldCharType="end"/>
            </w:r>
          </w:hyperlink>
        </w:p>
        <w:p w14:paraId="1C2856A5" w14:textId="61FA2547"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57" w:history="1">
            <w:r w:rsidRPr="00DB3097">
              <w:rPr>
                <w:rStyle w:val="Hyperlink"/>
                <w:rFonts w:ascii="Arial" w:hAnsi="Arial" w:cs="Arial"/>
                <w:b/>
                <w:bCs/>
                <w:noProof/>
              </w:rPr>
              <w:t>Offering flexible work arrangements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_Toc99892457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7</w:t>
            </w:r>
            <w:r w:rsidRPr="00DB3097">
              <w:rPr>
                <w:rFonts w:ascii="Arial" w:hAnsi="Arial" w:cs="Arial"/>
                <w:b/>
                <w:bCs/>
                <w:noProof/>
                <w:webHidden/>
              </w:rPr>
              <w:fldChar w:fldCharType="end"/>
            </w:r>
          </w:hyperlink>
        </w:p>
        <w:p w14:paraId="5290AB91" w14:textId="5AAEE67F"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58" w:history="1">
            <w:r w:rsidRPr="00DB3097">
              <w:rPr>
                <w:rStyle w:val="Hyperlink"/>
                <w:rFonts w:ascii="Arial" w:hAnsi="Arial" w:cs="Arial"/>
                <w:b/>
                <w:bCs/>
                <w:noProof/>
              </w:rPr>
              <w:t>Providing mental health wellness programs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_Toc99892458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7</w:t>
            </w:r>
            <w:r w:rsidRPr="00DB3097">
              <w:rPr>
                <w:rFonts w:ascii="Arial" w:hAnsi="Arial" w:cs="Arial"/>
                <w:b/>
                <w:bCs/>
                <w:noProof/>
                <w:webHidden/>
              </w:rPr>
              <w:fldChar w:fldCharType="end"/>
            </w:r>
          </w:hyperlink>
        </w:p>
        <w:p w14:paraId="1312B94A" w14:textId="61AE1F13"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59" w:history="1">
            <w:r w:rsidRPr="00DB3097">
              <w:rPr>
                <w:rStyle w:val="Hyperlink"/>
                <w:rFonts w:ascii="Arial" w:hAnsi="Arial" w:cs="Arial"/>
                <w:b/>
                <w:bCs/>
                <w:noProof/>
              </w:rPr>
              <w:t>Offering rewards and better renumeration</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_Toc99892459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8</w:t>
            </w:r>
            <w:r w:rsidRPr="00DB3097">
              <w:rPr>
                <w:rFonts w:ascii="Arial" w:hAnsi="Arial" w:cs="Arial"/>
                <w:b/>
                <w:bCs/>
                <w:noProof/>
                <w:webHidden/>
              </w:rPr>
              <w:fldChar w:fldCharType="end"/>
            </w:r>
          </w:hyperlink>
        </w:p>
        <w:p w14:paraId="505AF6AB" w14:textId="6AA658D6"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60" w:history="1">
            <w:r w:rsidRPr="00DB3097">
              <w:rPr>
                <w:rStyle w:val="Hyperlink"/>
                <w:rFonts w:ascii="Arial" w:hAnsi="Arial" w:cs="Arial"/>
                <w:b/>
                <w:bCs/>
                <w:noProof/>
              </w:rPr>
              <w:t>Effective implementation of an attendance policy</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_Toc99892460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8</w:t>
            </w:r>
            <w:r w:rsidRPr="00DB3097">
              <w:rPr>
                <w:rFonts w:ascii="Arial" w:hAnsi="Arial" w:cs="Arial"/>
                <w:b/>
                <w:bCs/>
                <w:noProof/>
                <w:webHidden/>
              </w:rPr>
              <w:fldChar w:fldCharType="end"/>
            </w:r>
          </w:hyperlink>
        </w:p>
        <w:p w14:paraId="4CB5CD18" w14:textId="540B7C97"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61" w:history="1">
            <w:r w:rsidRPr="00DB3097">
              <w:rPr>
                <w:rStyle w:val="Hyperlink"/>
                <w:rFonts w:ascii="Arial" w:hAnsi="Arial" w:cs="Arial"/>
                <w:b/>
                <w:bCs/>
                <w:noProof/>
              </w:rPr>
              <w:t>Creating a supportive work environment</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_Toc99892461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9</w:t>
            </w:r>
            <w:r w:rsidRPr="00DB3097">
              <w:rPr>
                <w:rFonts w:ascii="Arial" w:hAnsi="Arial" w:cs="Arial"/>
                <w:b/>
                <w:bCs/>
                <w:noProof/>
                <w:webHidden/>
              </w:rPr>
              <w:fldChar w:fldCharType="end"/>
            </w:r>
          </w:hyperlink>
        </w:p>
        <w:p w14:paraId="7589FCCA" w14:textId="2AB1A309" w:rsidR="00DB3097" w:rsidRPr="00DB3097" w:rsidRDefault="00DB3097">
          <w:pPr>
            <w:pStyle w:val="TOC1"/>
            <w:tabs>
              <w:tab w:val="right" w:leader="dot" w:pos="9350"/>
            </w:tabs>
            <w:rPr>
              <w:rFonts w:ascii="Arial" w:eastAsiaTheme="minorEastAsia" w:hAnsi="Arial" w:cs="Arial"/>
              <w:b/>
              <w:bCs/>
              <w:noProof/>
              <w:lang w:val="en-GB" w:eastAsia="en-GB"/>
            </w:rPr>
          </w:pPr>
          <w:hyperlink w:anchor="_Toc99892462" w:history="1">
            <w:r w:rsidRPr="00DB3097">
              <w:rPr>
                <w:rStyle w:val="Hyperlink"/>
                <w:rFonts w:ascii="Arial" w:hAnsi="Arial" w:cs="Arial"/>
                <w:b/>
                <w:bCs/>
                <w:noProof/>
              </w:rPr>
              <w:t>Evaluation of the alternative solutions using a Grid analysis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_Toc99892462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10</w:t>
            </w:r>
            <w:r w:rsidRPr="00DB3097">
              <w:rPr>
                <w:rFonts w:ascii="Arial" w:hAnsi="Arial" w:cs="Arial"/>
                <w:b/>
                <w:bCs/>
                <w:noProof/>
                <w:webHidden/>
              </w:rPr>
              <w:fldChar w:fldCharType="end"/>
            </w:r>
          </w:hyperlink>
        </w:p>
        <w:p w14:paraId="49B3C0E0" w14:textId="1815AD29" w:rsidR="00DB3097" w:rsidRPr="00DB3097" w:rsidRDefault="00DB3097">
          <w:pPr>
            <w:pStyle w:val="TOC1"/>
            <w:tabs>
              <w:tab w:val="right" w:leader="dot" w:pos="9350"/>
            </w:tabs>
            <w:rPr>
              <w:rFonts w:ascii="Arial" w:eastAsiaTheme="minorEastAsia" w:hAnsi="Arial" w:cs="Arial"/>
              <w:b/>
              <w:bCs/>
              <w:noProof/>
              <w:lang w:val="en-GB" w:eastAsia="en-GB"/>
            </w:rPr>
          </w:pPr>
          <w:hyperlink w:anchor="_Toc99892463" w:history="1">
            <w:r w:rsidRPr="00DB3097">
              <w:rPr>
                <w:rStyle w:val="Hyperlink"/>
                <w:rFonts w:ascii="Arial" w:hAnsi="Arial" w:cs="Arial"/>
                <w:b/>
                <w:bCs/>
                <w:noProof/>
              </w:rPr>
              <w:t>Action plan to monitor, evaluate of the implementation of wellness programs</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_Toc99892463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11</w:t>
            </w:r>
            <w:r w:rsidRPr="00DB3097">
              <w:rPr>
                <w:rFonts w:ascii="Arial" w:hAnsi="Arial" w:cs="Arial"/>
                <w:b/>
                <w:bCs/>
                <w:noProof/>
                <w:webHidden/>
              </w:rPr>
              <w:fldChar w:fldCharType="end"/>
            </w:r>
          </w:hyperlink>
        </w:p>
        <w:p w14:paraId="0FFB3602" w14:textId="50E66B43"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64" w:history="1">
            <w:r w:rsidRPr="00DB3097">
              <w:rPr>
                <w:rStyle w:val="Hyperlink"/>
                <w:rFonts w:ascii="Arial" w:hAnsi="Arial" w:cs="Arial"/>
                <w:b/>
                <w:bCs/>
                <w:noProof/>
              </w:rPr>
              <w:t>1.Action plan before implementation</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_Toc99892464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11</w:t>
            </w:r>
            <w:r w:rsidRPr="00DB3097">
              <w:rPr>
                <w:rFonts w:ascii="Arial" w:hAnsi="Arial" w:cs="Arial"/>
                <w:b/>
                <w:bCs/>
                <w:noProof/>
                <w:webHidden/>
              </w:rPr>
              <w:fldChar w:fldCharType="end"/>
            </w:r>
          </w:hyperlink>
        </w:p>
        <w:p w14:paraId="33539C08" w14:textId="436D019C"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65" w:history="1">
            <w:r w:rsidRPr="00DB3097">
              <w:rPr>
                <w:rStyle w:val="Hyperlink"/>
                <w:rFonts w:ascii="Arial" w:hAnsi="Arial" w:cs="Arial"/>
                <w:b/>
                <w:bCs/>
                <w:noProof/>
              </w:rPr>
              <w:t>2. Monitoring plan</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_Toc99892465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12</w:t>
            </w:r>
            <w:r w:rsidRPr="00DB3097">
              <w:rPr>
                <w:rFonts w:ascii="Arial" w:hAnsi="Arial" w:cs="Arial"/>
                <w:b/>
                <w:bCs/>
                <w:noProof/>
                <w:webHidden/>
              </w:rPr>
              <w:fldChar w:fldCharType="end"/>
            </w:r>
          </w:hyperlink>
        </w:p>
        <w:p w14:paraId="2995A651" w14:textId="0C8FE64A" w:rsidR="00DB3097" w:rsidRPr="00DB3097" w:rsidRDefault="00DB3097">
          <w:pPr>
            <w:pStyle w:val="TOC2"/>
            <w:tabs>
              <w:tab w:val="right" w:leader="dot" w:pos="9350"/>
            </w:tabs>
            <w:rPr>
              <w:rFonts w:ascii="Arial" w:eastAsiaTheme="minorEastAsia" w:hAnsi="Arial" w:cs="Arial"/>
              <w:b/>
              <w:bCs/>
              <w:noProof/>
              <w:lang w:val="en-GB" w:eastAsia="en-GB"/>
            </w:rPr>
          </w:pPr>
          <w:hyperlink w:anchor="_Toc99892466" w:history="1">
            <w:r w:rsidRPr="00DB3097">
              <w:rPr>
                <w:rStyle w:val="Hyperlink"/>
                <w:rFonts w:ascii="Arial" w:hAnsi="Arial" w:cs="Arial"/>
                <w:b/>
                <w:bCs/>
                <w:noProof/>
              </w:rPr>
              <w:t>3. Evaluation plan</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_Toc99892466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13</w:t>
            </w:r>
            <w:r w:rsidRPr="00DB3097">
              <w:rPr>
                <w:rFonts w:ascii="Arial" w:hAnsi="Arial" w:cs="Arial"/>
                <w:b/>
                <w:bCs/>
                <w:noProof/>
                <w:webHidden/>
              </w:rPr>
              <w:fldChar w:fldCharType="end"/>
            </w:r>
          </w:hyperlink>
        </w:p>
        <w:p w14:paraId="6D1A28DF" w14:textId="47449AF1" w:rsidR="00DB3097" w:rsidRPr="00DB3097" w:rsidRDefault="00DB3097">
          <w:pPr>
            <w:pStyle w:val="TOC1"/>
            <w:tabs>
              <w:tab w:val="right" w:leader="dot" w:pos="9350"/>
            </w:tabs>
            <w:rPr>
              <w:rFonts w:ascii="Arial" w:eastAsiaTheme="minorEastAsia" w:hAnsi="Arial" w:cs="Arial"/>
              <w:b/>
              <w:bCs/>
              <w:noProof/>
              <w:lang w:val="en-GB" w:eastAsia="en-GB"/>
            </w:rPr>
          </w:pPr>
          <w:hyperlink w:anchor="_Toc99892467" w:history="1">
            <w:r w:rsidRPr="00DB3097">
              <w:rPr>
                <w:rStyle w:val="Hyperlink"/>
                <w:rFonts w:ascii="Arial" w:hAnsi="Arial" w:cs="Arial"/>
                <w:b/>
                <w:bCs/>
                <w:noProof/>
              </w:rPr>
              <w:t>Conclusion</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_Toc99892467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13</w:t>
            </w:r>
            <w:r w:rsidRPr="00DB3097">
              <w:rPr>
                <w:rFonts w:ascii="Arial" w:hAnsi="Arial" w:cs="Arial"/>
                <w:b/>
                <w:bCs/>
                <w:noProof/>
                <w:webHidden/>
              </w:rPr>
              <w:fldChar w:fldCharType="end"/>
            </w:r>
          </w:hyperlink>
        </w:p>
        <w:p w14:paraId="1F9EDCBD" w14:textId="75D11E0E" w:rsidR="00DB3097" w:rsidRPr="00DB3097" w:rsidRDefault="00DB3097">
          <w:pPr>
            <w:pStyle w:val="TOC1"/>
            <w:tabs>
              <w:tab w:val="right" w:leader="dot" w:pos="9350"/>
            </w:tabs>
            <w:rPr>
              <w:rFonts w:ascii="Arial" w:eastAsiaTheme="minorEastAsia" w:hAnsi="Arial" w:cs="Arial"/>
              <w:b/>
              <w:bCs/>
              <w:noProof/>
              <w:lang w:val="en-GB" w:eastAsia="en-GB"/>
            </w:rPr>
          </w:pPr>
          <w:hyperlink w:anchor="_Toc99892468" w:history="1">
            <w:r w:rsidRPr="00DB3097">
              <w:rPr>
                <w:rStyle w:val="Hyperlink"/>
                <w:rFonts w:ascii="Arial" w:hAnsi="Arial" w:cs="Arial"/>
                <w:b/>
                <w:bCs/>
                <w:noProof/>
              </w:rPr>
              <w:t>Reference List</w:t>
            </w:r>
            <w:r w:rsidRPr="00DB3097">
              <w:rPr>
                <w:rFonts w:ascii="Arial" w:hAnsi="Arial" w:cs="Arial"/>
                <w:b/>
                <w:bCs/>
                <w:noProof/>
                <w:webHidden/>
              </w:rPr>
              <w:tab/>
            </w:r>
            <w:r w:rsidRPr="00DB3097">
              <w:rPr>
                <w:rFonts w:ascii="Arial" w:hAnsi="Arial" w:cs="Arial"/>
                <w:b/>
                <w:bCs/>
                <w:noProof/>
                <w:webHidden/>
              </w:rPr>
              <w:fldChar w:fldCharType="begin"/>
            </w:r>
            <w:r w:rsidRPr="00DB3097">
              <w:rPr>
                <w:rFonts w:ascii="Arial" w:hAnsi="Arial" w:cs="Arial"/>
                <w:b/>
                <w:bCs/>
                <w:noProof/>
                <w:webHidden/>
              </w:rPr>
              <w:instrText xml:space="preserve"> PAGEREF _Toc99892468 \h </w:instrText>
            </w:r>
            <w:r w:rsidRPr="00DB3097">
              <w:rPr>
                <w:rFonts w:ascii="Arial" w:hAnsi="Arial" w:cs="Arial"/>
                <w:b/>
                <w:bCs/>
                <w:noProof/>
                <w:webHidden/>
              </w:rPr>
            </w:r>
            <w:r w:rsidRPr="00DB3097">
              <w:rPr>
                <w:rFonts w:ascii="Arial" w:hAnsi="Arial" w:cs="Arial"/>
                <w:b/>
                <w:bCs/>
                <w:noProof/>
                <w:webHidden/>
              </w:rPr>
              <w:fldChar w:fldCharType="separate"/>
            </w:r>
            <w:r w:rsidRPr="00DB3097">
              <w:rPr>
                <w:rFonts w:ascii="Arial" w:hAnsi="Arial" w:cs="Arial"/>
                <w:b/>
                <w:bCs/>
                <w:noProof/>
                <w:webHidden/>
              </w:rPr>
              <w:t>14</w:t>
            </w:r>
            <w:r w:rsidRPr="00DB3097">
              <w:rPr>
                <w:rFonts w:ascii="Arial" w:hAnsi="Arial" w:cs="Arial"/>
                <w:b/>
                <w:bCs/>
                <w:noProof/>
                <w:webHidden/>
              </w:rPr>
              <w:fldChar w:fldCharType="end"/>
            </w:r>
          </w:hyperlink>
        </w:p>
        <w:p w14:paraId="05AE0401" w14:textId="2C86FD87" w:rsidR="00946BF1" w:rsidRPr="00DB3097" w:rsidRDefault="00946BF1" w:rsidP="0055486E">
          <w:pPr>
            <w:rPr>
              <w:rFonts w:ascii="Arial" w:hAnsi="Arial" w:cs="Arial"/>
            </w:rPr>
          </w:pPr>
          <w:r w:rsidRPr="00DB3097">
            <w:rPr>
              <w:rFonts w:ascii="Arial" w:hAnsi="Arial" w:cs="Arial"/>
              <w:noProof/>
            </w:rPr>
            <w:fldChar w:fldCharType="end"/>
          </w:r>
        </w:p>
      </w:sdtContent>
    </w:sdt>
    <w:p w14:paraId="420D8111" w14:textId="5E0BB8D8" w:rsidR="00946BF1" w:rsidRPr="00DB3097" w:rsidRDefault="00946BF1">
      <w:pPr>
        <w:rPr>
          <w:rFonts w:ascii="Arial" w:eastAsiaTheme="majorEastAsia" w:hAnsi="Arial" w:cs="Arial"/>
          <w:b/>
          <w:bCs/>
        </w:rPr>
      </w:pPr>
    </w:p>
    <w:p w14:paraId="5B6CE381" w14:textId="77777777" w:rsidR="00946BF1" w:rsidRPr="00DB3097" w:rsidRDefault="00946BF1">
      <w:pPr>
        <w:rPr>
          <w:rFonts w:ascii="Arial" w:eastAsiaTheme="majorEastAsia" w:hAnsi="Arial" w:cs="Arial"/>
          <w:b/>
          <w:bCs/>
        </w:rPr>
      </w:pPr>
      <w:r w:rsidRPr="00DB3097">
        <w:rPr>
          <w:rFonts w:ascii="Arial" w:hAnsi="Arial" w:cs="Arial"/>
          <w:b/>
          <w:bCs/>
        </w:rPr>
        <w:br w:type="page"/>
      </w:r>
    </w:p>
    <w:p w14:paraId="640F467C" w14:textId="792A00C8" w:rsidR="00230B37" w:rsidRPr="00DB3097" w:rsidRDefault="00230B37" w:rsidP="0097318C">
      <w:pPr>
        <w:pStyle w:val="Heading1"/>
        <w:spacing w:line="480" w:lineRule="auto"/>
        <w:contextualSpacing/>
        <w:jc w:val="center"/>
        <w:rPr>
          <w:rFonts w:ascii="Arial" w:hAnsi="Arial" w:cs="Arial"/>
          <w:b/>
          <w:bCs/>
          <w:color w:val="auto"/>
          <w:sz w:val="22"/>
          <w:szCs w:val="22"/>
        </w:rPr>
      </w:pPr>
      <w:bookmarkStart w:id="0" w:name="_Toc99892445"/>
      <w:r w:rsidRPr="00DB3097">
        <w:rPr>
          <w:rFonts w:ascii="Arial" w:hAnsi="Arial" w:cs="Arial"/>
          <w:b/>
          <w:bCs/>
          <w:color w:val="auto"/>
          <w:sz w:val="22"/>
          <w:szCs w:val="22"/>
        </w:rPr>
        <w:lastRenderedPageBreak/>
        <w:t>Task 2 Report</w:t>
      </w:r>
      <w:bookmarkEnd w:id="0"/>
    </w:p>
    <w:p w14:paraId="1D5CE55F" w14:textId="7B2C0D83" w:rsidR="00230B37" w:rsidRPr="00DB3097" w:rsidRDefault="00230B37" w:rsidP="0097318C">
      <w:pPr>
        <w:pStyle w:val="Heading2"/>
        <w:spacing w:line="480" w:lineRule="auto"/>
        <w:contextualSpacing/>
        <w:rPr>
          <w:rFonts w:ascii="Arial" w:hAnsi="Arial" w:cs="Arial"/>
          <w:b/>
          <w:bCs/>
          <w:color w:val="auto"/>
          <w:sz w:val="22"/>
          <w:szCs w:val="22"/>
        </w:rPr>
      </w:pPr>
      <w:bookmarkStart w:id="1" w:name="_Toc99892446"/>
      <w:r w:rsidRPr="00DB3097">
        <w:rPr>
          <w:rFonts w:ascii="Arial" w:hAnsi="Arial" w:cs="Arial"/>
          <w:b/>
          <w:bCs/>
          <w:color w:val="auto"/>
          <w:sz w:val="22"/>
          <w:szCs w:val="22"/>
        </w:rPr>
        <w:t>Introduction</w:t>
      </w:r>
      <w:bookmarkEnd w:id="1"/>
    </w:p>
    <w:p w14:paraId="0FD826C3"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The National Health Service (NHS) has continued to face challenges, recently mediated by Brexit and the COVID-19 pandemic which has impacted the health sector even further. Absenteeism has now become a serious challenge for many NHS Foundation Trusts. Absenteeism is when an employee willfully and frequently fails to come to work. It usually excludes authorised absences including paid leave or occasions where an employee is granted time-off (Kandemir and Şahin, 2017). Absenteeism is undesirable for hospitals, employees and their colleagues. Mid Cheshire Hospitals NHS Foundation Trust (MCHT) is struggling with staff absenteeism. The objective of this report, therefore, to provide a research-informed analysis on the nature and impact of staff absenteeism on employees the Trust, a PESTLE analysis of the factors contributing to the problem, and a cause-and-effect analysis. Finally, there is a GRID analysis of alternative solutions to absenteeism with an objective of recommending the most ideal solution.</w:t>
      </w:r>
    </w:p>
    <w:p w14:paraId="7253B19F" w14:textId="77777777" w:rsidR="00230B37" w:rsidRPr="00DB3097" w:rsidRDefault="00230B37" w:rsidP="0097318C">
      <w:pPr>
        <w:pStyle w:val="Heading1"/>
        <w:spacing w:line="480" w:lineRule="auto"/>
        <w:contextualSpacing/>
        <w:rPr>
          <w:rFonts w:ascii="Arial" w:hAnsi="Arial" w:cs="Arial"/>
          <w:b/>
          <w:bCs/>
          <w:color w:val="auto"/>
          <w:sz w:val="22"/>
          <w:szCs w:val="22"/>
        </w:rPr>
      </w:pPr>
      <w:bookmarkStart w:id="2" w:name="_Toc99892447"/>
      <w:r w:rsidRPr="00DB3097">
        <w:rPr>
          <w:rFonts w:ascii="Arial" w:hAnsi="Arial" w:cs="Arial"/>
          <w:b/>
          <w:bCs/>
          <w:color w:val="auto"/>
          <w:sz w:val="22"/>
          <w:szCs w:val="22"/>
        </w:rPr>
        <w:t>Impacts of Absenteeism on employees and the organization</w:t>
      </w:r>
      <w:bookmarkEnd w:id="2"/>
    </w:p>
    <w:p w14:paraId="0FD2161A"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For employees, absenteeism has the following effects. First, regularly and unexplained absenteeism may mean a loss of pay (Perkbox, 2020). The NHS many consider laying-off a worker who is always absent for no apparent reason, and replace with a new staff who are committed to work. Another effect of absenteeism is that a health worker's job perception may be altered as they tend to develop a justification or reason to explain their absence (Vulpen, 2021).</w:t>
      </w:r>
    </w:p>
    <w:p w14:paraId="09A6A84F"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 xml:space="preserve">For the Trust, long-term staff absenteeism may force the hospital to seek alternative healthcare providers, which increases cost in form of recruitment and training (Goodhew2021). Co-workers who report to work are overburdened with extra responsibilities, long patient lists, but with little support and with little time to accomplish (Owens, 2018). The ultimate outcome </w:t>
      </w:r>
      <w:r w:rsidRPr="00DB3097">
        <w:rPr>
          <w:rFonts w:ascii="Arial" w:hAnsi="Arial" w:cs="Arial"/>
        </w:rPr>
        <w:lastRenderedPageBreak/>
        <w:t>work overload and stress is reduced quality of healthcare, which negatively affects the hospital's financial performance and reputation.</w:t>
      </w:r>
    </w:p>
    <w:p w14:paraId="59938F67" w14:textId="77777777" w:rsidR="00230B37" w:rsidRPr="00DB3097" w:rsidRDefault="00230B37" w:rsidP="0097318C">
      <w:pPr>
        <w:pStyle w:val="Heading1"/>
        <w:spacing w:line="480" w:lineRule="auto"/>
        <w:contextualSpacing/>
        <w:jc w:val="center"/>
        <w:rPr>
          <w:rFonts w:ascii="Arial" w:hAnsi="Arial" w:cs="Arial"/>
          <w:b/>
          <w:bCs/>
          <w:color w:val="auto"/>
          <w:sz w:val="22"/>
          <w:szCs w:val="22"/>
        </w:rPr>
      </w:pPr>
      <w:bookmarkStart w:id="3" w:name="_Toc99892448"/>
      <w:r w:rsidRPr="00DB3097">
        <w:rPr>
          <w:rFonts w:ascii="Arial" w:hAnsi="Arial" w:cs="Arial"/>
          <w:b/>
          <w:bCs/>
          <w:color w:val="auto"/>
          <w:sz w:val="22"/>
          <w:szCs w:val="22"/>
        </w:rPr>
        <w:t>Causes of Staff Absenteeism</w:t>
      </w:r>
      <w:bookmarkEnd w:id="3"/>
    </w:p>
    <w:p w14:paraId="0CF13ECF"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Absenteeism is caused by several factors, both personal and organizational. Chronic excessive workload characterized by long working hours leads to burnout, which is a major cause of absenteeism (House of Commons Health and Social Care Committee, 2021). Workload is contributed by NHS' inability to hire adequate staff to handle the growing number of patients in public hospitals.</w:t>
      </w:r>
    </w:p>
    <w:p w14:paraId="1E033D41"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 xml:space="preserve">COVID-19 infection has contributed significantly to staff absenteeism in Hospitals NHS Foundation Trusts. This has affected service delivery and put more pressure on the remaining workforce, which increases the likelihood of absenteeism among them (McNeil, 2022). Absenteeism is also caused by increased stress, anxiety, and depression caused by COVID-19 and unfavourable working conditions. Also, some staff may fail to report for work due to family responsibilities. Parental roles may include taking care of a child or seek medical attention. </w:t>
      </w:r>
    </w:p>
    <w:p w14:paraId="7D51A6F9"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Toxic work culture characterized by bullying, harassment, and social segregation from colleagues, supervisors, or managers may increase the rate of absenteeism and intentions to quit (Kline, 2020). LGBTQ staff and those with disabilities are more likely to be bullied, abused or harassed. The levels of bullying are reported more in the NHS as compared to most public services.</w:t>
      </w:r>
    </w:p>
    <w:p w14:paraId="407F9FC9"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 xml:space="preserve">According to UNISON Survey (2014), most NHS staff feel they work more for less money despite their efforts in offering quality healthcare to patients. Also, lack of recognition for staff's efforts and achievements tend to demoralize workers, and this plays a role in absenteeism. Mansinghka and Mohan (2021) reiterate that employees are likely to get demoralized when they are poorly paid or renumeration based on the quantity of work done. Lack of motivation, thus many contribute to absenteeism. Below is a fishbone diagram </w:t>
      </w:r>
      <w:r w:rsidRPr="00DB3097">
        <w:rPr>
          <w:rFonts w:ascii="Arial" w:hAnsi="Arial" w:cs="Arial"/>
        </w:rPr>
        <w:lastRenderedPageBreak/>
        <w:t>Illustrating the various causes of staff Absenteeism facing Mid Cheshire Hospitals NHS Foundation Trust (MCHT)</w:t>
      </w:r>
    </w:p>
    <w:p w14:paraId="5567D8AA" w14:textId="62F9434A" w:rsidR="00230B37" w:rsidRPr="00DB3097" w:rsidRDefault="00230B37" w:rsidP="0097318C">
      <w:pPr>
        <w:spacing w:line="480" w:lineRule="auto"/>
        <w:contextualSpacing/>
        <w:rPr>
          <w:rFonts w:ascii="Arial" w:hAnsi="Arial" w:cs="Arial"/>
        </w:rPr>
      </w:pPr>
      <w:r w:rsidRPr="00DB3097">
        <w:rPr>
          <w:rFonts w:ascii="Arial" w:hAnsi="Arial" w:cs="Arial"/>
          <w:noProof/>
        </w:rPr>
        <w:drawing>
          <wp:inline distT="0" distB="0" distL="0" distR="0" wp14:anchorId="0F976C37" wp14:editId="3F1F36E6">
            <wp:extent cx="5533087" cy="3343344"/>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8" cstate="print"/>
                    <a:srcRect/>
                    <a:stretch/>
                  </pic:blipFill>
                  <pic:spPr>
                    <a:xfrm>
                      <a:off x="0" y="0"/>
                      <a:ext cx="5533087" cy="3343344"/>
                    </a:xfrm>
                    <a:prstGeom prst="rect">
                      <a:avLst/>
                    </a:prstGeom>
                  </pic:spPr>
                </pic:pic>
              </a:graphicData>
            </a:graphic>
          </wp:inline>
        </w:drawing>
      </w:r>
    </w:p>
    <w:p w14:paraId="004B0070" w14:textId="77777777" w:rsidR="00230B37" w:rsidRPr="00DB3097" w:rsidRDefault="00230B37" w:rsidP="0097318C">
      <w:pPr>
        <w:spacing w:line="480" w:lineRule="auto"/>
        <w:contextualSpacing/>
        <w:rPr>
          <w:rFonts w:ascii="Arial" w:hAnsi="Arial" w:cs="Arial"/>
        </w:rPr>
      </w:pPr>
      <w:r w:rsidRPr="00DB3097">
        <w:rPr>
          <w:rFonts w:ascii="Arial" w:hAnsi="Arial" w:cs="Arial"/>
        </w:rPr>
        <w:t>Figure 1: Cause-Effect analysis of absenteeism using fishbone diagram</w:t>
      </w:r>
    </w:p>
    <w:p w14:paraId="0BEFE3E1" w14:textId="77777777" w:rsidR="00230B37" w:rsidRPr="00DB3097" w:rsidRDefault="00230B37" w:rsidP="0097318C">
      <w:pPr>
        <w:pStyle w:val="Heading1"/>
        <w:spacing w:line="480" w:lineRule="auto"/>
        <w:contextualSpacing/>
        <w:jc w:val="center"/>
        <w:rPr>
          <w:rFonts w:ascii="Arial" w:hAnsi="Arial" w:cs="Arial"/>
          <w:b/>
          <w:bCs/>
          <w:color w:val="auto"/>
          <w:sz w:val="22"/>
          <w:szCs w:val="22"/>
        </w:rPr>
      </w:pPr>
      <w:bookmarkStart w:id="4" w:name="_Toc99892449"/>
      <w:r w:rsidRPr="00DB3097">
        <w:rPr>
          <w:rFonts w:ascii="Arial" w:hAnsi="Arial" w:cs="Arial"/>
          <w:b/>
          <w:bCs/>
          <w:color w:val="auto"/>
          <w:sz w:val="22"/>
          <w:szCs w:val="22"/>
        </w:rPr>
        <w:t>A PESTLE Analysis of the causes of staff Absenteeism</w:t>
      </w:r>
      <w:bookmarkEnd w:id="4"/>
    </w:p>
    <w:p w14:paraId="0D05D45B"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A PESTLE analysis is a framework that help to analyze macro-environmental factors that perfect organizational performance and operations. The factors considered are political, economic, social-cultural, technological, legal, and environmental.</w:t>
      </w:r>
    </w:p>
    <w:p w14:paraId="33B06194"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5" w:name="_Toc99892450"/>
      <w:r w:rsidRPr="00DB3097">
        <w:rPr>
          <w:rFonts w:ascii="Arial" w:hAnsi="Arial" w:cs="Arial"/>
          <w:b/>
          <w:bCs/>
          <w:color w:val="auto"/>
          <w:sz w:val="22"/>
          <w:szCs w:val="22"/>
        </w:rPr>
        <w:t>Political factors</w:t>
      </w:r>
      <w:bookmarkEnd w:id="5"/>
    </w:p>
    <w:p w14:paraId="109C3F4A"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Political factors include government policies, tariffs and tax policies, trade reforms and restrictions, and political stability. The factors determine the extent to which the government influences the health sector.</w:t>
      </w:r>
    </w:p>
    <w:p w14:paraId="5534A929" w14:textId="77777777" w:rsidR="00230B37" w:rsidRPr="00DB3097" w:rsidRDefault="00230B37" w:rsidP="0097318C">
      <w:pPr>
        <w:spacing w:line="480" w:lineRule="auto"/>
        <w:contextualSpacing/>
        <w:rPr>
          <w:rFonts w:ascii="Arial" w:hAnsi="Arial" w:cs="Arial"/>
        </w:rPr>
      </w:pPr>
      <w:r w:rsidRPr="00DB3097">
        <w:rPr>
          <w:rFonts w:ascii="Arial" w:hAnsi="Arial" w:cs="Arial"/>
        </w:rPr>
        <w:t xml:space="preserve">Before Brexit, a large portion of the NHS workforce came from the European Union. Brexit has led to a cut in the steady supply of skilled medical personnel, implying that the NHS face a scarcity of staff (Dalingwater, 2019). The staffing problem has been worsened by a decline in </w:t>
      </w:r>
      <w:r w:rsidRPr="00DB3097">
        <w:rPr>
          <w:rFonts w:ascii="Arial" w:hAnsi="Arial" w:cs="Arial"/>
        </w:rPr>
        <w:lastRenderedPageBreak/>
        <w:t>recruits from Europe, including Italy and Spain. Fewer health workers present are required to do a lot of work, which increases the likelihood of burnout.</w:t>
      </w:r>
    </w:p>
    <w:p w14:paraId="604A7B56"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6" w:name="_Toc99892451"/>
      <w:r w:rsidRPr="00DB3097">
        <w:rPr>
          <w:rFonts w:ascii="Arial" w:hAnsi="Arial" w:cs="Arial"/>
          <w:b/>
          <w:bCs/>
          <w:color w:val="auto"/>
          <w:sz w:val="22"/>
          <w:szCs w:val="22"/>
        </w:rPr>
        <w:t>Economic factors</w:t>
      </w:r>
      <w:bookmarkEnd w:id="6"/>
    </w:p>
    <w:p w14:paraId="246A6C3C"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These include economic growth or decline, inflation, cost of leaving, rate of unemployment, and wage rates among others. Economic factors tend to influence economic performance, which directly affects the healthcare systems including employees.</w:t>
      </w:r>
    </w:p>
    <w:p w14:paraId="21C6F30B"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 xml:space="preserve">Economic downturn and periods of significant UK austerity as well as a reduction in funds set aside for NHS and other related organizations compromises the operations of public hospitals. The NHS lacks resources to motivate its staff through salary increment, promotions, or improving the general working conditions. </w:t>
      </w:r>
    </w:p>
    <w:p w14:paraId="6866BE24"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7" w:name="_Toc99892452"/>
      <w:r w:rsidRPr="00DB3097">
        <w:rPr>
          <w:rFonts w:ascii="Arial" w:hAnsi="Arial" w:cs="Arial"/>
          <w:b/>
          <w:bCs/>
          <w:color w:val="auto"/>
          <w:sz w:val="22"/>
          <w:szCs w:val="22"/>
        </w:rPr>
        <w:t>Social factors</w:t>
      </w:r>
      <w:bookmarkEnd w:id="7"/>
    </w:p>
    <w:p w14:paraId="4899606A"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 xml:space="preserve">Social factors include issues like age distribution, cultural expectations and norms, population growth rates, and career attitudes. Increased rate of absenteeism is attributed by various demographic factors. According to the British Medical Association (2021), 47% of NHS staff are aged 45 or above. Six out of 10 consultants and doctors are over the age of 45 and almost one in every two general practitioners are over the age of 45. Early retirement in the medical workforce contributes to understaffing. Understaffed hospitals lead to workload and affects the quality of treatment and patient care. </w:t>
      </w:r>
    </w:p>
    <w:p w14:paraId="3F14AD95"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8" w:name="_Toc99892453"/>
      <w:r w:rsidRPr="00DB3097">
        <w:rPr>
          <w:rFonts w:ascii="Arial" w:hAnsi="Arial" w:cs="Arial"/>
          <w:b/>
          <w:bCs/>
          <w:color w:val="auto"/>
          <w:sz w:val="22"/>
          <w:szCs w:val="22"/>
        </w:rPr>
        <w:t>Technological Factors</w:t>
      </w:r>
      <w:bookmarkEnd w:id="8"/>
    </w:p>
    <w:p w14:paraId="1753F643"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 xml:space="preserve">Technological factors focus on developments and innovations in technologies that may impact the staff and the organization’s operations. Due to advancements in technology, the NHS has begun to adopt AI and automate some processes. This leaves some staff to feel less engaged, and their jobs at risk (Perry, 2021). When they feel that they have "little work to do" they are likely to be fail reporting for work. </w:t>
      </w:r>
    </w:p>
    <w:p w14:paraId="0B1B269C"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9" w:name="_Toc99892454"/>
      <w:r w:rsidRPr="00DB3097">
        <w:rPr>
          <w:rFonts w:ascii="Arial" w:hAnsi="Arial" w:cs="Arial"/>
          <w:b/>
          <w:bCs/>
          <w:color w:val="auto"/>
          <w:sz w:val="22"/>
          <w:szCs w:val="22"/>
        </w:rPr>
        <w:lastRenderedPageBreak/>
        <w:t>Legal factors</w:t>
      </w:r>
      <w:bookmarkEnd w:id="9"/>
    </w:p>
    <w:p w14:paraId="6F314139" w14:textId="18CD2A86" w:rsidR="00230B37" w:rsidRPr="00DB3097" w:rsidRDefault="00230B37" w:rsidP="0097318C">
      <w:pPr>
        <w:spacing w:line="480" w:lineRule="auto"/>
        <w:ind w:firstLine="720"/>
        <w:contextualSpacing/>
        <w:rPr>
          <w:rFonts w:ascii="Arial" w:hAnsi="Arial" w:cs="Arial"/>
        </w:rPr>
      </w:pPr>
      <w:r w:rsidRPr="00DB3097">
        <w:rPr>
          <w:rFonts w:ascii="Arial" w:hAnsi="Arial" w:cs="Arial"/>
        </w:rPr>
        <w:t>Industrial actions by labour movements gives direction to their members. Employees may stop going to work when their labour movements direct them to strike or boycott their duties (Kandemir and Şahin, 2017). Unions like the Royal College of Nursing (RCN) may mobilize its members for walkouts until their grievances are fulfilled (Campbell, 2020).</w:t>
      </w:r>
    </w:p>
    <w:p w14:paraId="4FA02BE1"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10" w:name="_Toc99892455"/>
      <w:r w:rsidRPr="00DB3097">
        <w:rPr>
          <w:rFonts w:ascii="Arial" w:hAnsi="Arial" w:cs="Arial"/>
          <w:b/>
          <w:bCs/>
          <w:color w:val="auto"/>
          <w:sz w:val="22"/>
          <w:szCs w:val="22"/>
        </w:rPr>
        <w:t>Environmental factors</w:t>
      </w:r>
      <w:bookmarkEnd w:id="10"/>
    </w:p>
    <w:p w14:paraId="4075D405" w14:textId="11E50690" w:rsidR="00230B37" w:rsidRPr="00DB3097" w:rsidRDefault="00230B37" w:rsidP="0097318C">
      <w:pPr>
        <w:spacing w:line="480" w:lineRule="auto"/>
        <w:ind w:firstLine="720"/>
        <w:contextualSpacing/>
        <w:rPr>
          <w:rFonts w:ascii="Arial" w:hAnsi="Arial" w:cs="Arial"/>
        </w:rPr>
      </w:pPr>
      <w:r w:rsidRPr="00DB3097">
        <w:rPr>
          <w:rFonts w:ascii="Arial" w:hAnsi="Arial" w:cs="Arial"/>
        </w:rPr>
        <w:t xml:space="preserve">Environmental factors that may contribute to staff absenteeism include natural calamities such as heavy rains and floods, hurricanes, and earthquakes among others. Employees may involuntarily stay at home as they may be unable to commute to work as a result of destroyed infrastructure. Conducive environmental conditions make commuting easier and employees can work freely and comfortable. </w:t>
      </w:r>
    </w:p>
    <w:p w14:paraId="0353A5E7" w14:textId="77777777" w:rsidR="00230B37" w:rsidRPr="00DB3097" w:rsidRDefault="00230B37" w:rsidP="0097318C">
      <w:pPr>
        <w:pStyle w:val="Heading1"/>
        <w:spacing w:line="480" w:lineRule="auto"/>
        <w:contextualSpacing/>
        <w:jc w:val="center"/>
        <w:rPr>
          <w:rFonts w:ascii="Arial" w:hAnsi="Arial" w:cs="Arial"/>
          <w:b/>
          <w:bCs/>
          <w:color w:val="auto"/>
          <w:sz w:val="22"/>
          <w:szCs w:val="22"/>
        </w:rPr>
      </w:pPr>
      <w:bookmarkStart w:id="11" w:name="_Toc99892456"/>
      <w:r w:rsidRPr="00DB3097">
        <w:rPr>
          <w:rFonts w:ascii="Arial" w:hAnsi="Arial" w:cs="Arial"/>
          <w:b/>
          <w:bCs/>
          <w:color w:val="auto"/>
          <w:sz w:val="22"/>
          <w:szCs w:val="22"/>
        </w:rPr>
        <w:t>Solutions to Staff Absenteeism</w:t>
      </w:r>
      <w:bookmarkEnd w:id="11"/>
    </w:p>
    <w:p w14:paraId="3B10397A"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12" w:name="_Toc99892457"/>
      <w:r w:rsidRPr="00DB3097">
        <w:rPr>
          <w:rFonts w:ascii="Arial" w:hAnsi="Arial" w:cs="Arial"/>
          <w:b/>
          <w:bCs/>
          <w:color w:val="auto"/>
          <w:sz w:val="22"/>
          <w:szCs w:val="22"/>
        </w:rPr>
        <w:t>Offering flexible work arrangements</w:t>
      </w:r>
      <w:bookmarkEnd w:id="12"/>
    </w:p>
    <w:p w14:paraId="7879DDC1"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Options for flexible scheduling include, but not limited to, term-time working, job-share, team self-rostering, flexible retirement, and flexi-time around core hours. Flexible working has numerous benefits including improving work-life balance for NHS staff and ensuring staff feel to having “voice, influence, and control” in their work (The NHS Staff Council, 2021). Having flexible and adaptable working arrangements, both to employees and the employer will ensure that there is proper workforce needed for delivery of excellent patient care, and increase commitment, reducing the rate of absenteeism (Campbell, 2020).</w:t>
      </w:r>
    </w:p>
    <w:p w14:paraId="763D1D30"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13" w:name="_Toc99892458"/>
      <w:r w:rsidRPr="00DB3097">
        <w:rPr>
          <w:rFonts w:ascii="Arial" w:hAnsi="Arial" w:cs="Arial"/>
          <w:b/>
          <w:bCs/>
          <w:color w:val="auto"/>
          <w:sz w:val="22"/>
          <w:szCs w:val="22"/>
        </w:rPr>
        <w:t>Providing mental health wellness programs</w:t>
      </w:r>
      <w:bookmarkEnd w:id="13"/>
    </w:p>
    <w:p w14:paraId="21959FD1"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 xml:space="preserve">Providing wellness support to employees who are absent because of personal reasons, like mental health problems or bereavement, need to be done both during their absence and on their return to work. Good mental health support for employees may include a dedicated </w:t>
      </w:r>
      <w:r w:rsidRPr="00DB3097">
        <w:rPr>
          <w:rFonts w:ascii="Arial" w:hAnsi="Arial" w:cs="Arial"/>
        </w:rPr>
        <w:lastRenderedPageBreak/>
        <w:t>confidential helpline, counselling, and establishing peer-group support networks (Copeland, 2019). Offering such support likely makes staff feel happier to return to work immediately once they feel better, and minimize repeated absenteeism. Kandemir and Şahin (2017) argue that wellness programs tend to boost morale, interaction, and commitment as staff feel valued and being cared for by their employer.</w:t>
      </w:r>
    </w:p>
    <w:p w14:paraId="0420E5A1"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14" w:name="_Toc99892459"/>
      <w:r w:rsidRPr="00DB3097">
        <w:rPr>
          <w:rFonts w:ascii="Arial" w:hAnsi="Arial" w:cs="Arial"/>
          <w:b/>
          <w:bCs/>
          <w:color w:val="auto"/>
          <w:sz w:val="22"/>
          <w:szCs w:val="22"/>
        </w:rPr>
        <w:t>Offering rewards and better renumeration</w:t>
      </w:r>
      <w:bookmarkEnd w:id="14"/>
    </w:p>
    <w:p w14:paraId="7D15F6A6"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Offering rewards to employees who demonstrate good attendance motivates the team to continue being active and productive. The hospital can also offer party, a picnic, or a corporate gift for perfect attendance. Better renumeration also enables workers to have improved living standards, thus reducing stress which reduce absenteeism (Kocakulah et al., 2019). Basic pay should be supported by other comprehensive and attractive employment benefits which can strengthen the Trust's ability to recruit, retain, and engage its staff in the current challenging financial environment. By using rewards proactively, the Trust can market itself as the local employer of choice, as it will be able to attract more staff who will be willing to work. Availability for adequate staff will definitely reduce burnout which is a key driver for absenteeism reported by the NHS.</w:t>
      </w:r>
    </w:p>
    <w:p w14:paraId="4EA4421A"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15" w:name="_Toc99892460"/>
      <w:r w:rsidRPr="00DB3097">
        <w:rPr>
          <w:rFonts w:ascii="Arial" w:hAnsi="Arial" w:cs="Arial"/>
          <w:b/>
          <w:bCs/>
          <w:color w:val="auto"/>
          <w:sz w:val="22"/>
          <w:szCs w:val="22"/>
        </w:rPr>
        <w:t>Effective implementation of an attendance policy</w:t>
      </w:r>
      <w:bookmarkEnd w:id="15"/>
    </w:p>
    <w:p w14:paraId="0E88CCC5"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Absenteeism can also be reduced by implementing an attendance policy and setting expectations for each employee. The policy includes rules relating to absenteeism, that is, the number of leaves employees are required to have, like casual leaves, vacation leaves, or sick leaves, or other kind of leaves authorized by the Trust (Forbes Human Resources Council, 2020). Attendance policy is important because it makes staff punctual, improves productivity, and reduces absenteeism. The weakness of attendance policy is that some employees may feel being pushed to perform and lack of autonomy, which may consequently impact their morale.</w:t>
      </w:r>
    </w:p>
    <w:p w14:paraId="31245591" w14:textId="77777777" w:rsidR="00230B37" w:rsidRPr="00DB3097" w:rsidRDefault="00230B37" w:rsidP="0097318C">
      <w:pPr>
        <w:pStyle w:val="Heading2"/>
        <w:spacing w:line="480" w:lineRule="auto"/>
        <w:contextualSpacing/>
        <w:rPr>
          <w:rFonts w:ascii="Arial" w:hAnsi="Arial" w:cs="Arial"/>
          <w:b/>
          <w:bCs/>
          <w:color w:val="auto"/>
          <w:sz w:val="22"/>
          <w:szCs w:val="22"/>
        </w:rPr>
      </w:pPr>
      <w:bookmarkStart w:id="16" w:name="_Toc99892461"/>
      <w:r w:rsidRPr="00DB3097">
        <w:rPr>
          <w:rFonts w:ascii="Arial" w:hAnsi="Arial" w:cs="Arial"/>
          <w:b/>
          <w:bCs/>
          <w:color w:val="auto"/>
          <w:sz w:val="22"/>
          <w:szCs w:val="22"/>
        </w:rPr>
        <w:lastRenderedPageBreak/>
        <w:t>Creating a supportive work environment</w:t>
      </w:r>
      <w:bookmarkEnd w:id="16"/>
    </w:p>
    <w:p w14:paraId="59F377C3" w14:textId="77777777" w:rsidR="00230B37" w:rsidRPr="00DB3097" w:rsidRDefault="00230B37" w:rsidP="0097318C">
      <w:pPr>
        <w:spacing w:line="480" w:lineRule="auto"/>
        <w:ind w:firstLine="720"/>
        <w:contextualSpacing/>
        <w:rPr>
          <w:rFonts w:ascii="Arial" w:hAnsi="Arial" w:cs="Arial"/>
        </w:rPr>
      </w:pPr>
      <w:r w:rsidRPr="00DB3097">
        <w:rPr>
          <w:rFonts w:ascii="Arial" w:hAnsi="Arial" w:cs="Arial"/>
        </w:rPr>
        <w:t>A supportive work environment is one where there is no bullying and with good workplace relations. To prevent bullying the Trust can put in place strategies that foster teamwork and worker well-being, and develop a culture of trust and open communication. All staff should be encouraged to report their concerns and any bullying incidents should be identified and addressed very quickly, through fair and supportive processes (Kline, 2020). Line managers and supervisors should also support their subordinates by recognizing their efforts and addressing any issues affecting their ability to work effectively. A favourable organizational culture ensures that employees are willing to report for work, and reduce the tendency of wanting to leave.</w:t>
      </w:r>
    </w:p>
    <w:p w14:paraId="6C4656BE" w14:textId="77777777" w:rsidR="00230B37" w:rsidRPr="00DB3097" w:rsidRDefault="00230B37" w:rsidP="0097318C">
      <w:pPr>
        <w:spacing w:line="480" w:lineRule="auto"/>
        <w:contextualSpacing/>
        <w:rPr>
          <w:rFonts w:ascii="Arial" w:hAnsi="Arial" w:cs="Arial"/>
        </w:rPr>
      </w:pPr>
    </w:p>
    <w:p w14:paraId="617AAE3C" w14:textId="77777777" w:rsidR="00230B37" w:rsidRPr="00DB3097" w:rsidRDefault="00230B37" w:rsidP="0097318C">
      <w:pPr>
        <w:spacing w:line="480" w:lineRule="auto"/>
        <w:contextualSpacing/>
        <w:rPr>
          <w:rFonts w:ascii="Arial" w:hAnsi="Arial" w:cs="Arial"/>
        </w:rPr>
      </w:pPr>
    </w:p>
    <w:p w14:paraId="3A7B0D56" w14:textId="77777777" w:rsidR="00230B37" w:rsidRPr="00DB3097" w:rsidRDefault="00230B37" w:rsidP="0097318C">
      <w:pPr>
        <w:spacing w:line="480" w:lineRule="auto"/>
        <w:contextualSpacing/>
        <w:rPr>
          <w:rFonts w:ascii="Arial" w:hAnsi="Arial" w:cs="Arial"/>
        </w:rPr>
      </w:pPr>
    </w:p>
    <w:p w14:paraId="1DBB7868" w14:textId="77777777" w:rsidR="00230B37" w:rsidRPr="00DB3097" w:rsidRDefault="00230B37" w:rsidP="0097318C">
      <w:pPr>
        <w:spacing w:line="480" w:lineRule="auto"/>
        <w:contextualSpacing/>
        <w:rPr>
          <w:rFonts w:ascii="Arial" w:hAnsi="Arial" w:cs="Arial"/>
        </w:rPr>
      </w:pPr>
    </w:p>
    <w:p w14:paraId="3C06F14B" w14:textId="77777777" w:rsidR="00230B37" w:rsidRPr="00DB3097" w:rsidRDefault="00230B37" w:rsidP="0097318C">
      <w:pPr>
        <w:pStyle w:val="Heading1"/>
        <w:spacing w:line="480" w:lineRule="auto"/>
        <w:contextualSpacing/>
        <w:jc w:val="center"/>
        <w:rPr>
          <w:rFonts w:ascii="Arial" w:hAnsi="Arial" w:cs="Arial"/>
          <w:b/>
          <w:bCs/>
          <w:color w:val="auto"/>
          <w:sz w:val="22"/>
          <w:szCs w:val="22"/>
        </w:rPr>
      </w:pPr>
      <w:bookmarkStart w:id="17" w:name="_Toc99892462"/>
      <w:r w:rsidRPr="00DB3097">
        <w:rPr>
          <w:rFonts w:ascii="Arial" w:hAnsi="Arial" w:cs="Arial"/>
          <w:b/>
          <w:bCs/>
          <w:color w:val="auto"/>
          <w:sz w:val="22"/>
          <w:szCs w:val="22"/>
        </w:rPr>
        <w:lastRenderedPageBreak/>
        <w:t>Evaluation of the alternative solutions using a Grid analysis</w:t>
      </w:r>
      <w:bookmarkEnd w:id="17"/>
    </w:p>
    <w:p w14:paraId="716396F8" w14:textId="099FEFC5" w:rsidR="00230B37" w:rsidRPr="00DB3097" w:rsidRDefault="008428F0" w:rsidP="008428F0">
      <w:pPr>
        <w:spacing w:line="480" w:lineRule="auto"/>
        <w:contextualSpacing/>
        <w:rPr>
          <w:rFonts w:ascii="Arial" w:hAnsi="Arial" w:cs="Arial"/>
        </w:rPr>
      </w:pPr>
      <w:r w:rsidRPr="00DB3097">
        <w:rPr>
          <w:rFonts w:ascii="Arial" w:hAnsi="Arial" w:cs="Arial"/>
          <w:noProof/>
        </w:rPr>
        <w:drawing>
          <wp:inline distT="0" distB="0" distL="0" distR="0" wp14:anchorId="65466920" wp14:editId="57C63BB3">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r w:rsidR="00230B37" w:rsidRPr="00DB3097">
        <w:rPr>
          <w:rFonts w:ascii="Arial" w:hAnsi="Arial" w:cs="Arial"/>
        </w:rPr>
        <w:t xml:space="preserve">The Grid Analysis is useful decision-making tool that helps in evaluating the available alternatives to a problem, with an intent of selecting the most effective and appropriate option, while taking different factors into consideration. To address the issue of absenteeism, there are five potential solutions, and three major factors or parameters may be used to indicate the effectiveness of the solution. Reduced absenteeism can be determined by looking at factors such has consistency in attendance, teamwork and friendly interactions among co-workers, and optimistic attitudes among members of staff. Each choice for each factor is scored using numbers from </w:t>
      </w:r>
      <w:r w:rsidRPr="00DB3097">
        <w:rPr>
          <w:rFonts w:ascii="Arial" w:hAnsi="Arial" w:cs="Arial"/>
        </w:rPr>
        <w:t>1</w:t>
      </w:r>
      <w:r w:rsidR="00230B37" w:rsidRPr="00DB3097">
        <w:rPr>
          <w:rFonts w:ascii="Arial" w:hAnsi="Arial" w:cs="Arial"/>
        </w:rPr>
        <w:t xml:space="preserve"> (poor) to </w:t>
      </w:r>
      <w:r w:rsidRPr="00DB3097">
        <w:rPr>
          <w:rFonts w:ascii="Arial" w:hAnsi="Arial" w:cs="Arial"/>
        </w:rPr>
        <w:t>5</w:t>
      </w:r>
      <w:r w:rsidR="00230B37" w:rsidRPr="00DB3097">
        <w:rPr>
          <w:rFonts w:ascii="Arial" w:hAnsi="Arial" w:cs="Arial"/>
        </w:rPr>
        <w:t xml:space="preserve"> (very good). Each score is multiplied by the weight of the factor, to indicate how they contribute to the overall selection. </w:t>
      </w:r>
    </w:p>
    <w:p w14:paraId="14A3A84D" w14:textId="06FD0978" w:rsidR="00230B37" w:rsidRPr="00DB3097" w:rsidRDefault="00230B37" w:rsidP="0097318C">
      <w:pPr>
        <w:spacing w:line="480" w:lineRule="auto"/>
        <w:ind w:firstLine="720"/>
        <w:contextualSpacing/>
        <w:rPr>
          <w:rFonts w:ascii="Arial" w:hAnsi="Arial" w:cs="Arial"/>
        </w:rPr>
      </w:pPr>
      <w:r w:rsidRPr="00DB3097">
        <w:rPr>
          <w:rFonts w:ascii="Arial" w:hAnsi="Arial" w:cs="Arial"/>
        </w:rPr>
        <w:t xml:space="preserve">From the above analysis, the solution with the highest score is </w:t>
      </w:r>
      <w:r w:rsidR="008428F0" w:rsidRPr="00DB3097">
        <w:rPr>
          <w:rFonts w:ascii="Arial" w:hAnsi="Arial" w:cs="Arial"/>
        </w:rPr>
        <w:t>offering employees wellness programs</w:t>
      </w:r>
      <w:r w:rsidRPr="00DB3097">
        <w:rPr>
          <w:rFonts w:ascii="Arial" w:hAnsi="Arial" w:cs="Arial"/>
        </w:rPr>
        <w:t xml:space="preserve">, with a score of </w:t>
      </w:r>
      <w:r w:rsidR="008428F0" w:rsidRPr="00DB3097">
        <w:rPr>
          <w:rFonts w:ascii="Arial" w:hAnsi="Arial" w:cs="Arial"/>
        </w:rPr>
        <w:t>32</w:t>
      </w:r>
      <w:r w:rsidRPr="00DB3097">
        <w:rPr>
          <w:rFonts w:ascii="Arial" w:hAnsi="Arial" w:cs="Arial"/>
        </w:rPr>
        <w:t xml:space="preserve">. Indeed, </w:t>
      </w:r>
      <w:r w:rsidR="008428F0" w:rsidRPr="00DB3097">
        <w:rPr>
          <w:rFonts w:ascii="Arial" w:hAnsi="Arial" w:cs="Arial"/>
        </w:rPr>
        <w:t>higher amount of wellness program</w:t>
      </w:r>
      <w:r w:rsidRPr="00DB3097">
        <w:rPr>
          <w:rFonts w:ascii="Arial" w:hAnsi="Arial" w:cs="Arial"/>
        </w:rPr>
        <w:t xml:space="preserve">s is a major motivating factor. When workers are </w:t>
      </w:r>
      <w:r w:rsidR="008428F0" w:rsidRPr="00DB3097">
        <w:rPr>
          <w:rFonts w:ascii="Arial" w:hAnsi="Arial" w:cs="Arial"/>
        </w:rPr>
        <w:t>offered ways to take care of their own health and wellbeing</w:t>
      </w:r>
      <w:r w:rsidRPr="00DB3097">
        <w:rPr>
          <w:rFonts w:ascii="Arial" w:hAnsi="Arial" w:cs="Arial"/>
        </w:rPr>
        <w:t xml:space="preserve">, they are likely to stay committed to the organization, thus reducing absenteeism. </w:t>
      </w:r>
      <w:r w:rsidRPr="00DB3097">
        <w:rPr>
          <w:rFonts w:ascii="Arial" w:hAnsi="Arial" w:cs="Arial"/>
        </w:rPr>
        <w:lastRenderedPageBreak/>
        <w:t xml:space="preserve">Better </w:t>
      </w:r>
      <w:r w:rsidR="008428F0" w:rsidRPr="00DB3097">
        <w:rPr>
          <w:rFonts w:ascii="Arial" w:hAnsi="Arial" w:cs="Arial"/>
        </w:rPr>
        <w:t>wellness programs</w:t>
      </w:r>
      <w:r w:rsidRPr="00DB3097">
        <w:rPr>
          <w:rFonts w:ascii="Arial" w:hAnsi="Arial" w:cs="Arial"/>
        </w:rPr>
        <w:t xml:space="preserve"> will allow the Trust to attract and retain more qualified staff, thus addressing the issue of staff shortage which contributes significantly to burnout.</w:t>
      </w:r>
    </w:p>
    <w:p w14:paraId="34610395" w14:textId="08D32D72" w:rsidR="008428F0" w:rsidRPr="00DB3097" w:rsidRDefault="008428F0" w:rsidP="0097318C">
      <w:pPr>
        <w:spacing w:line="480" w:lineRule="auto"/>
        <w:ind w:firstLine="720"/>
        <w:contextualSpacing/>
        <w:rPr>
          <w:rFonts w:ascii="Arial" w:hAnsi="Arial" w:cs="Arial"/>
        </w:rPr>
      </w:pPr>
    </w:p>
    <w:p w14:paraId="28831860" w14:textId="5C38A233" w:rsidR="008428F0" w:rsidRPr="00DB3097" w:rsidRDefault="008428F0" w:rsidP="00DB3097">
      <w:pPr>
        <w:pStyle w:val="Heading1"/>
        <w:rPr>
          <w:rFonts w:ascii="Arial" w:hAnsi="Arial" w:cs="Arial"/>
          <w:b/>
          <w:bCs/>
          <w:sz w:val="22"/>
          <w:szCs w:val="22"/>
        </w:rPr>
      </w:pPr>
      <w:bookmarkStart w:id="18" w:name="_Toc99892463"/>
      <w:r w:rsidRPr="00DB3097">
        <w:rPr>
          <w:rFonts w:ascii="Arial" w:hAnsi="Arial" w:cs="Arial"/>
          <w:b/>
          <w:bCs/>
          <w:sz w:val="22"/>
          <w:szCs w:val="22"/>
        </w:rPr>
        <w:t>Action plan to monitor, evaluate of the implementation of wellness programs</w:t>
      </w:r>
      <w:bookmarkEnd w:id="18"/>
    </w:p>
    <w:p w14:paraId="03B35393" w14:textId="701D5875" w:rsidR="003A49C8" w:rsidRPr="00DB3097" w:rsidRDefault="003A49C8" w:rsidP="008428F0">
      <w:pPr>
        <w:spacing w:line="480" w:lineRule="auto"/>
        <w:ind w:firstLine="720"/>
        <w:contextualSpacing/>
        <w:jc w:val="center"/>
        <w:rPr>
          <w:rFonts w:ascii="Arial" w:hAnsi="Arial" w:cs="Arial"/>
          <w:b/>
          <w:bCs/>
        </w:rPr>
      </w:pPr>
    </w:p>
    <w:p w14:paraId="30D76DD3" w14:textId="0C283C25" w:rsidR="003A49C8" w:rsidRPr="00DB3097" w:rsidRDefault="003A49C8" w:rsidP="003A49C8">
      <w:pPr>
        <w:spacing w:line="480" w:lineRule="auto"/>
        <w:ind w:firstLine="720"/>
        <w:contextualSpacing/>
        <w:rPr>
          <w:rFonts w:ascii="Arial" w:hAnsi="Arial" w:cs="Arial"/>
        </w:rPr>
      </w:pPr>
      <w:r w:rsidRPr="00DB3097">
        <w:rPr>
          <w:rFonts w:ascii="Arial" w:hAnsi="Arial" w:cs="Arial"/>
        </w:rPr>
        <w:t>The following tables represent my action plan towards monitoring, evaluating and implementing wellness programs in order to reduce staff absenteism</w:t>
      </w:r>
    </w:p>
    <w:p w14:paraId="05B79539" w14:textId="77777777" w:rsidR="003A49C8" w:rsidRPr="00DB3097" w:rsidRDefault="003A49C8" w:rsidP="003A49C8">
      <w:pPr>
        <w:spacing w:line="480" w:lineRule="auto"/>
        <w:rPr>
          <w:rFonts w:ascii="Arial" w:hAnsi="Arial" w:cs="Arial"/>
          <w:b/>
          <w:bCs/>
        </w:rPr>
      </w:pPr>
    </w:p>
    <w:p w14:paraId="784B30F3" w14:textId="39F9D255" w:rsidR="008428F0" w:rsidRPr="00DB3097" w:rsidRDefault="003A49C8" w:rsidP="00DB3097">
      <w:pPr>
        <w:pStyle w:val="Heading2"/>
        <w:rPr>
          <w:rFonts w:ascii="Arial" w:hAnsi="Arial" w:cs="Arial"/>
          <w:sz w:val="22"/>
          <w:szCs w:val="22"/>
        </w:rPr>
      </w:pPr>
      <w:bookmarkStart w:id="19" w:name="_Toc99892464"/>
      <w:r w:rsidRPr="00DB3097">
        <w:rPr>
          <w:rFonts w:ascii="Arial" w:hAnsi="Arial" w:cs="Arial"/>
          <w:b/>
          <w:bCs/>
          <w:sz w:val="22"/>
          <w:szCs w:val="22"/>
        </w:rPr>
        <w:t>1.</w:t>
      </w:r>
      <w:r w:rsidRPr="00DB3097">
        <w:rPr>
          <w:rFonts w:ascii="Arial" w:hAnsi="Arial" w:cs="Arial"/>
          <w:sz w:val="22"/>
          <w:szCs w:val="22"/>
        </w:rPr>
        <w:t>Action plan before implementation</w:t>
      </w:r>
      <w:bookmarkEnd w:id="19"/>
    </w:p>
    <w:p w14:paraId="4006EAFC" w14:textId="19503064" w:rsidR="003A49C8" w:rsidRPr="00DB3097" w:rsidRDefault="003A49C8" w:rsidP="003A49C8">
      <w:pPr>
        <w:spacing w:line="480" w:lineRule="auto"/>
        <w:rPr>
          <w:rFonts w:ascii="Arial" w:hAnsi="Arial" w:cs="Arial"/>
        </w:rPr>
      </w:pPr>
      <w:r w:rsidRPr="00DB3097">
        <w:rPr>
          <w:rFonts w:ascii="Arial" w:hAnsi="Arial" w:cs="Arial"/>
          <w:noProof/>
        </w:rPr>
        <w:drawing>
          <wp:inline distT="0" distB="0" distL="0" distR="0" wp14:anchorId="1193804E" wp14:editId="6AA58B52">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07F23ECE" w14:textId="77777777" w:rsidR="003A49C8" w:rsidRPr="00DB3097" w:rsidRDefault="003A49C8" w:rsidP="003A49C8">
      <w:pPr>
        <w:spacing w:line="480" w:lineRule="auto"/>
        <w:rPr>
          <w:rFonts w:ascii="Arial" w:hAnsi="Arial" w:cs="Arial"/>
        </w:rPr>
      </w:pPr>
    </w:p>
    <w:p w14:paraId="49242023" w14:textId="77777777" w:rsidR="003A49C8" w:rsidRPr="00DB3097" w:rsidRDefault="003A49C8" w:rsidP="003A49C8">
      <w:pPr>
        <w:spacing w:line="480" w:lineRule="auto"/>
        <w:rPr>
          <w:rFonts w:ascii="Arial" w:hAnsi="Arial" w:cs="Arial"/>
        </w:rPr>
      </w:pPr>
    </w:p>
    <w:p w14:paraId="1C330F60" w14:textId="77777777" w:rsidR="003A49C8" w:rsidRPr="00DB3097" w:rsidRDefault="003A49C8" w:rsidP="003A49C8">
      <w:pPr>
        <w:spacing w:line="480" w:lineRule="auto"/>
        <w:rPr>
          <w:rFonts w:ascii="Arial" w:hAnsi="Arial" w:cs="Arial"/>
        </w:rPr>
      </w:pPr>
    </w:p>
    <w:p w14:paraId="0538DB81" w14:textId="77777777" w:rsidR="003A49C8" w:rsidRPr="00DB3097" w:rsidRDefault="003A49C8" w:rsidP="003A49C8">
      <w:pPr>
        <w:spacing w:line="480" w:lineRule="auto"/>
        <w:rPr>
          <w:rFonts w:ascii="Arial" w:hAnsi="Arial" w:cs="Arial"/>
        </w:rPr>
      </w:pPr>
    </w:p>
    <w:p w14:paraId="330D0C7A" w14:textId="6DE1A9B8" w:rsidR="003A49C8" w:rsidRPr="00DB3097" w:rsidRDefault="003A49C8" w:rsidP="00DB3097">
      <w:pPr>
        <w:pStyle w:val="Heading2"/>
        <w:rPr>
          <w:rFonts w:ascii="Arial" w:hAnsi="Arial" w:cs="Arial"/>
          <w:sz w:val="22"/>
          <w:szCs w:val="22"/>
        </w:rPr>
      </w:pPr>
      <w:bookmarkStart w:id="20" w:name="_Toc99892465"/>
      <w:r w:rsidRPr="00DB3097">
        <w:rPr>
          <w:rFonts w:ascii="Arial" w:hAnsi="Arial" w:cs="Arial"/>
          <w:sz w:val="22"/>
          <w:szCs w:val="22"/>
        </w:rPr>
        <w:lastRenderedPageBreak/>
        <w:t>2. Monitoring plan</w:t>
      </w:r>
      <w:bookmarkEnd w:id="20"/>
    </w:p>
    <w:p w14:paraId="496C6806" w14:textId="71498774" w:rsidR="003A49C8" w:rsidRPr="00DB3097" w:rsidRDefault="003A49C8" w:rsidP="003A49C8">
      <w:pPr>
        <w:spacing w:line="480" w:lineRule="auto"/>
        <w:rPr>
          <w:rFonts w:ascii="Arial" w:hAnsi="Arial" w:cs="Arial"/>
        </w:rPr>
      </w:pPr>
      <w:r w:rsidRPr="00DB3097">
        <w:rPr>
          <w:rFonts w:ascii="Arial" w:hAnsi="Arial" w:cs="Arial"/>
          <w:noProof/>
        </w:rPr>
        <w:drawing>
          <wp:inline distT="0" distB="0" distL="0" distR="0" wp14:anchorId="20A31CAD" wp14:editId="7D3D6A29">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2CDE51B2" w14:textId="67F0EA82" w:rsidR="003A49C8" w:rsidRPr="00DB3097" w:rsidRDefault="003A49C8" w:rsidP="003A49C8">
      <w:pPr>
        <w:spacing w:line="480" w:lineRule="auto"/>
        <w:rPr>
          <w:rFonts w:ascii="Arial" w:hAnsi="Arial" w:cs="Arial"/>
        </w:rPr>
      </w:pPr>
    </w:p>
    <w:p w14:paraId="7A230520" w14:textId="77777777" w:rsidR="003A49C8" w:rsidRPr="00DB3097" w:rsidRDefault="003A49C8" w:rsidP="003A49C8">
      <w:pPr>
        <w:spacing w:line="480" w:lineRule="auto"/>
        <w:rPr>
          <w:rFonts w:ascii="Arial" w:hAnsi="Arial" w:cs="Arial"/>
        </w:rPr>
      </w:pPr>
    </w:p>
    <w:p w14:paraId="1104E682" w14:textId="77777777" w:rsidR="003A49C8" w:rsidRPr="00DB3097" w:rsidRDefault="003A49C8" w:rsidP="003A49C8">
      <w:pPr>
        <w:spacing w:line="480" w:lineRule="auto"/>
        <w:rPr>
          <w:rFonts w:ascii="Arial" w:hAnsi="Arial" w:cs="Arial"/>
        </w:rPr>
      </w:pPr>
    </w:p>
    <w:p w14:paraId="50E8BBD9" w14:textId="77777777" w:rsidR="003A49C8" w:rsidRPr="00DB3097" w:rsidRDefault="003A49C8" w:rsidP="003A49C8">
      <w:pPr>
        <w:spacing w:line="480" w:lineRule="auto"/>
        <w:rPr>
          <w:rFonts w:ascii="Arial" w:hAnsi="Arial" w:cs="Arial"/>
        </w:rPr>
      </w:pPr>
    </w:p>
    <w:p w14:paraId="1428F39E" w14:textId="77777777" w:rsidR="003A49C8" w:rsidRPr="00DB3097" w:rsidRDefault="003A49C8" w:rsidP="003A49C8">
      <w:pPr>
        <w:spacing w:line="480" w:lineRule="auto"/>
        <w:rPr>
          <w:rFonts w:ascii="Arial" w:hAnsi="Arial" w:cs="Arial"/>
        </w:rPr>
      </w:pPr>
    </w:p>
    <w:p w14:paraId="3A5E2C1C" w14:textId="77777777" w:rsidR="003A49C8" w:rsidRPr="00DB3097" w:rsidRDefault="003A49C8" w:rsidP="003A49C8">
      <w:pPr>
        <w:spacing w:line="480" w:lineRule="auto"/>
        <w:rPr>
          <w:rFonts w:ascii="Arial" w:hAnsi="Arial" w:cs="Arial"/>
        </w:rPr>
      </w:pPr>
    </w:p>
    <w:p w14:paraId="22DE4D06" w14:textId="77777777" w:rsidR="003A49C8" w:rsidRPr="00DB3097" w:rsidRDefault="003A49C8" w:rsidP="003A49C8">
      <w:pPr>
        <w:spacing w:line="480" w:lineRule="auto"/>
        <w:rPr>
          <w:rFonts w:ascii="Arial" w:hAnsi="Arial" w:cs="Arial"/>
        </w:rPr>
      </w:pPr>
    </w:p>
    <w:p w14:paraId="664CC768" w14:textId="77777777" w:rsidR="003A49C8" w:rsidRPr="00DB3097" w:rsidRDefault="003A49C8" w:rsidP="003A49C8">
      <w:pPr>
        <w:spacing w:line="480" w:lineRule="auto"/>
        <w:rPr>
          <w:rFonts w:ascii="Arial" w:hAnsi="Arial" w:cs="Arial"/>
        </w:rPr>
      </w:pPr>
    </w:p>
    <w:p w14:paraId="2C677AE9" w14:textId="77777777" w:rsidR="003A49C8" w:rsidRPr="00DB3097" w:rsidRDefault="003A49C8" w:rsidP="003A49C8">
      <w:pPr>
        <w:spacing w:line="480" w:lineRule="auto"/>
        <w:rPr>
          <w:rFonts w:ascii="Arial" w:hAnsi="Arial" w:cs="Arial"/>
        </w:rPr>
      </w:pPr>
    </w:p>
    <w:p w14:paraId="593EB799" w14:textId="77777777" w:rsidR="003A49C8" w:rsidRPr="00DB3097" w:rsidRDefault="003A49C8" w:rsidP="003A49C8">
      <w:pPr>
        <w:spacing w:line="480" w:lineRule="auto"/>
        <w:rPr>
          <w:rFonts w:ascii="Arial" w:hAnsi="Arial" w:cs="Arial"/>
        </w:rPr>
      </w:pPr>
    </w:p>
    <w:p w14:paraId="7F308C74" w14:textId="77777777" w:rsidR="00DB3097" w:rsidRPr="00DB3097" w:rsidRDefault="00DB3097" w:rsidP="003A49C8">
      <w:pPr>
        <w:spacing w:line="480" w:lineRule="auto"/>
        <w:rPr>
          <w:rFonts w:ascii="Arial" w:hAnsi="Arial" w:cs="Arial"/>
        </w:rPr>
      </w:pPr>
    </w:p>
    <w:p w14:paraId="20617D0E" w14:textId="15191B14" w:rsidR="003A49C8" w:rsidRPr="00DB3097" w:rsidRDefault="003A49C8" w:rsidP="00DB3097">
      <w:pPr>
        <w:pStyle w:val="Heading2"/>
        <w:rPr>
          <w:rFonts w:ascii="Arial" w:hAnsi="Arial" w:cs="Arial"/>
          <w:sz w:val="22"/>
          <w:szCs w:val="22"/>
        </w:rPr>
      </w:pPr>
      <w:bookmarkStart w:id="21" w:name="_Toc99892466"/>
      <w:r w:rsidRPr="00DB3097">
        <w:rPr>
          <w:rFonts w:ascii="Arial" w:hAnsi="Arial" w:cs="Arial"/>
          <w:sz w:val="22"/>
          <w:szCs w:val="22"/>
        </w:rPr>
        <w:lastRenderedPageBreak/>
        <w:t>3. Evaluation plan</w:t>
      </w:r>
      <w:bookmarkEnd w:id="21"/>
    </w:p>
    <w:p w14:paraId="7055B7B0" w14:textId="38B9D5A7" w:rsidR="003A49C8" w:rsidRPr="00DB3097" w:rsidRDefault="003A49C8" w:rsidP="003A49C8">
      <w:pPr>
        <w:spacing w:line="480" w:lineRule="auto"/>
        <w:rPr>
          <w:rFonts w:ascii="Arial" w:hAnsi="Arial" w:cs="Arial"/>
        </w:rPr>
      </w:pPr>
      <w:r w:rsidRPr="00DB3097">
        <w:rPr>
          <w:rFonts w:ascii="Arial" w:hAnsi="Arial" w:cs="Arial"/>
          <w:noProof/>
        </w:rPr>
        <w:drawing>
          <wp:inline distT="0" distB="0" distL="0" distR="0" wp14:anchorId="4C463E0F" wp14:editId="2CED2A2A">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657C3D5B" w14:textId="1C73F5AE" w:rsidR="00230B37" w:rsidRPr="00DB3097" w:rsidRDefault="00230B37" w:rsidP="0097318C">
      <w:pPr>
        <w:pStyle w:val="Heading1"/>
        <w:spacing w:line="480" w:lineRule="auto"/>
        <w:contextualSpacing/>
        <w:jc w:val="center"/>
        <w:rPr>
          <w:rFonts w:ascii="Arial" w:hAnsi="Arial" w:cs="Arial"/>
          <w:b/>
          <w:bCs/>
          <w:color w:val="auto"/>
          <w:sz w:val="22"/>
          <w:szCs w:val="22"/>
        </w:rPr>
      </w:pPr>
      <w:bookmarkStart w:id="22" w:name="_Toc99892467"/>
      <w:r w:rsidRPr="00DB3097">
        <w:rPr>
          <w:rFonts w:ascii="Arial" w:hAnsi="Arial" w:cs="Arial"/>
          <w:b/>
          <w:bCs/>
          <w:color w:val="auto"/>
          <w:sz w:val="22"/>
          <w:szCs w:val="22"/>
        </w:rPr>
        <w:t>Conclusion</w:t>
      </w:r>
      <w:bookmarkEnd w:id="22"/>
    </w:p>
    <w:p w14:paraId="47BD5989" w14:textId="1367E450" w:rsidR="0097318C" w:rsidRPr="00DB3097" w:rsidRDefault="00230B37" w:rsidP="0097318C">
      <w:pPr>
        <w:spacing w:line="480" w:lineRule="auto"/>
        <w:ind w:firstLine="720"/>
        <w:contextualSpacing/>
        <w:rPr>
          <w:rFonts w:ascii="Arial" w:hAnsi="Arial" w:cs="Arial"/>
        </w:rPr>
      </w:pPr>
      <w:r w:rsidRPr="00DB3097">
        <w:rPr>
          <w:rFonts w:ascii="Arial" w:hAnsi="Arial" w:cs="Arial"/>
        </w:rPr>
        <w:t>Staff absenteeism is a big challenge facing Mid Cheshire Hospitals NHS Foundation Trust (MCHT). Absenteeism affects not only the organization but also employees themselves. It is evident that staff absenteeism is associated with poor healthcare services, increased costs for the hospital. Employees themselves are likely to lose their jobs. Co-workers experience higher workloads. Causes of staff Absenteeism include burnout, illness, general deviance, lack of motivation, transport issues, and poor renumeration among others. The Trust can lower the rate of staff absenteeism by offering better rewards and renumeration which is likely to motivate workers. Other strategies may include ensuring work-life balance through flexible scheduling and ensuring a conduc</w:t>
      </w:r>
      <w:r w:rsidR="003A49C8" w:rsidRPr="00DB3097">
        <w:rPr>
          <w:rFonts w:ascii="Arial" w:hAnsi="Arial" w:cs="Arial"/>
        </w:rPr>
        <w:t>t</w:t>
      </w:r>
      <w:r w:rsidRPr="00DB3097">
        <w:rPr>
          <w:rFonts w:ascii="Arial" w:hAnsi="Arial" w:cs="Arial"/>
        </w:rPr>
        <w:t>ive work environment for all workers.</w:t>
      </w:r>
      <w:r w:rsidR="003A49C8" w:rsidRPr="00DB3097">
        <w:rPr>
          <w:rFonts w:ascii="Arial" w:hAnsi="Arial" w:cs="Arial"/>
        </w:rPr>
        <w:t xml:space="preserve"> Above all, my solution to wellness program and the action plan created will lead to reduce the long term absenteeism creating a </w:t>
      </w:r>
      <w:r w:rsidR="0055486E" w:rsidRPr="00DB3097">
        <w:rPr>
          <w:rFonts w:ascii="Arial" w:hAnsi="Arial" w:cs="Arial"/>
        </w:rPr>
        <w:t xml:space="preserve">positive environment. </w:t>
      </w:r>
    </w:p>
    <w:p w14:paraId="42C38D8F" w14:textId="77777777" w:rsidR="0097318C" w:rsidRPr="00DB3097" w:rsidRDefault="0097318C">
      <w:pPr>
        <w:rPr>
          <w:rFonts w:ascii="Arial" w:hAnsi="Arial" w:cs="Arial"/>
        </w:rPr>
      </w:pPr>
      <w:r w:rsidRPr="00DB3097">
        <w:rPr>
          <w:rFonts w:ascii="Arial" w:hAnsi="Arial" w:cs="Arial"/>
        </w:rPr>
        <w:br w:type="page"/>
      </w:r>
    </w:p>
    <w:p w14:paraId="04426415" w14:textId="7FAF4B95" w:rsidR="00D9642E" w:rsidRPr="00DB3097" w:rsidRDefault="0097318C" w:rsidP="00393FCF">
      <w:pPr>
        <w:pStyle w:val="Heading1"/>
        <w:spacing w:line="480" w:lineRule="auto"/>
        <w:jc w:val="center"/>
        <w:rPr>
          <w:rFonts w:ascii="Arial" w:hAnsi="Arial" w:cs="Arial"/>
          <w:b/>
          <w:bCs/>
          <w:color w:val="auto"/>
          <w:sz w:val="22"/>
          <w:szCs w:val="22"/>
        </w:rPr>
      </w:pPr>
      <w:bookmarkStart w:id="23" w:name="_Toc99892468"/>
      <w:r w:rsidRPr="00DB3097">
        <w:rPr>
          <w:rFonts w:ascii="Arial" w:hAnsi="Arial" w:cs="Arial"/>
          <w:b/>
          <w:bCs/>
          <w:color w:val="auto"/>
          <w:sz w:val="22"/>
          <w:szCs w:val="22"/>
        </w:rPr>
        <w:lastRenderedPageBreak/>
        <w:t>Reference List</w:t>
      </w:r>
      <w:bookmarkEnd w:id="23"/>
    </w:p>
    <w:p w14:paraId="278B9FA5" w14:textId="77777777" w:rsidR="0097318C" w:rsidRPr="00DB3097" w:rsidRDefault="0097318C" w:rsidP="0097318C">
      <w:pPr>
        <w:spacing w:line="480" w:lineRule="auto"/>
        <w:contextualSpacing/>
        <w:rPr>
          <w:rFonts w:ascii="Arial" w:hAnsi="Arial" w:cs="Arial"/>
        </w:rPr>
      </w:pPr>
      <w:r w:rsidRPr="00DB3097">
        <w:rPr>
          <w:rFonts w:ascii="Arial" w:hAnsi="Arial" w:cs="Arial"/>
        </w:rPr>
        <w:t xml:space="preserve">British Medical Association. 2022. Supporting an ageing medical workforce report [Online] </w:t>
      </w:r>
    </w:p>
    <w:p w14:paraId="32783F7B"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Fonts w:ascii="Arial" w:hAnsi="Arial" w:cs="Arial"/>
        </w:rPr>
        <w:t xml:space="preserve">Available at: </w:t>
      </w:r>
      <w:r w:rsidRPr="00DB3097">
        <w:rPr>
          <w:rFonts w:ascii="Arial" w:hAnsi="Arial" w:cs="Arial"/>
        </w:rPr>
        <w:fldChar w:fldCharType="begin"/>
      </w:r>
      <w:r w:rsidRPr="00DB3097">
        <w:rPr>
          <w:rFonts w:ascii="Arial" w:hAnsi="Arial" w:cs="Arial"/>
        </w:rPr>
        <w:instrText xml:space="preserve"> HYPERLINK "https://www.bma.org.uk/advice-and-support/nhs-delivery-and-workforce/the-ageing-workforce/supporting-an-ageing-medical-workforce" \o "https://www.bma.org.uk/advice-and-support/nhs-delivery-and-workforce/the-ageing-workforce/supporting-an-ageing-medical-workforce"</w:instrText>
      </w:r>
      <w:r w:rsidRPr="00DB3097">
        <w:rPr>
          <w:rFonts w:ascii="Arial" w:hAnsi="Arial" w:cs="Arial"/>
        </w:rPr>
        <w:fldChar w:fldCharType="separate"/>
      </w:r>
      <w:r w:rsidRPr="00DB3097">
        <w:rPr>
          <w:rStyle w:val="Hyperlink"/>
          <w:rFonts w:ascii="Arial" w:hAnsi="Arial" w:cs="Arial"/>
        </w:rPr>
        <w:t>https://www.bma.org.uk/advice-and-support/nhs-delivery-and-workforce/the-</w:t>
      </w:r>
    </w:p>
    <w:p w14:paraId="4A28108C" w14:textId="77777777" w:rsidR="0097318C" w:rsidRPr="00DB3097" w:rsidRDefault="0097318C" w:rsidP="0097318C">
      <w:pPr>
        <w:spacing w:line="480" w:lineRule="auto"/>
        <w:ind w:firstLineChars="200" w:firstLine="440"/>
        <w:contextualSpacing/>
        <w:rPr>
          <w:rFonts w:ascii="Arial" w:hAnsi="Arial" w:cs="Arial"/>
        </w:rPr>
      </w:pPr>
      <w:r w:rsidRPr="00DB3097">
        <w:rPr>
          <w:rStyle w:val="Hyperlink"/>
          <w:rFonts w:ascii="Arial" w:hAnsi="Arial" w:cs="Arial"/>
        </w:rPr>
        <w:t>ageing-workforce/supporting-an-ageing-medical-workforce</w:t>
      </w:r>
      <w:r w:rsidRPr="00DB3097">
        <w:rPr>
          <w:rFonts w:ascii="Arial" w:hAnsi="Arial" w:cs="Arial"/>
        </w:rPr>
        <w:fldChar w:fldCharType="end"/>
      </w:r>
      <w:r w:rsidRPr="00DB3097">
        <w:rPr>
          <w:rFonts w:ascii="Arial" w:hAnsi="Arial" w:cs="Arial"/>
        </w:rPr>
        <w:t xml:space="preserve"> (Accessed 6 March, 2022)</w:t>
      </w:r>
      <w:r w:rsidRPr="00DB3097">
        <w:rPr>
          <w:rFonts w:ascii="Arial" w:hAnsi="Arial" w:cs="Arial"/>
        </w:rPr>
        <w:cr/>
        <w:t xml:space="preserve">Campbell, D. 2021. Nurses in England to be balloted on possible strike action over pay [Online] </w:t>
      </w:r>
    </w:p>
    <w:p w14:paraId="7E0FB3E8"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 xml:space="preserve"> Available at: </w:t>
      </w:r>
    </w:p>
    <w:p w14:paraId="3B75BE72"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Fonts w:ascii="Arial" w:hAnsi="Arial" w:cs="Arial"/>
        </w:rPr>
        <w:fldChar w:fldCharType="begin"/>
      </w:r>
      <w:r w:rsidRPr="00DB3097">
        <w:rPr>
          <w:rFonts w:ascii="Arial" w:hAnsi="Arial" w:cs="Arial"/>
        </w:rPr>
        <w:instrText xml:space="preserve"> HYPERLINK "https://www.google.com/amp/s/amp.theguardian.com/society/2021/oct/06/nurses-in-england-to-be-balloted-on-possible-strike-action-over-pay" \o "https://www.google.com/amp/s/amp.theguardian.com/society/2021/oct/06/nurses-in-england-to-be-balloted-on-possible-strike-action-over-pay"</w:instrText>
      </w:r>
      <w:r w:rsidRPr="00DB3097">
        <w:rPr>
          <w:rFonts w:ascii="Arial" w:hAnsi="Arial" w:cs="Arial"/>
        </w:rPr>
        <w:fldChar w:fldCharType="separate"/>
      </w:r>
      <w:r w:rsidRPr="00DB3097">
        <w:rPr>
          <w:rStyle w:val="Hyperlink"/>
          <w:rFonts w:ascii="Arial" w:hAnsi="Arial" w:cs="Arial"/>
        </w:rPr>
        <w:t>https://www.google.com/amp/s/amp.theguardian.com/society/2021/oct/06/nurses-in-</w:t>
      </w:r>
    </w:p>
    <w:p w14:paraId="2F17FC4C" w14:textId="77777777" w:rsidR="0097318C" w:rsidRPr="00DB3097" w:rsidRDefault="0097318C" w:rsidP="0097318C">
      <w:pPr>
        <w:spacing w:line="480" w:lineRule="auto"/>
        <w:ind w:firstLineChars="200" w:firstLine="440"/>
        <w:contextualSpacing/>
        <w:rPr>
          <w:rFonts w:ascii="Arial" w:hAnsi="Arial" w:cs="Arial"/>
        </w:rPr>
      </w:pPr>
      <w:r w:rsidRPr="00DB3097">
        <w:rPr>
          <w:rStyle w:val="Hyperlink"/>
          <w:rFonts w:ascii="Arial" w:hAnsi="Arial" w:cs="Arial"/>
        </w:rPr>
        <w:t>england-to-be-balloted-on-possible-strike-action-over-pay</w:t>
      </w:r>
      <w:r w:rsidRPr="00DB3097">
        <w:rPr>
          <w:rFonts w:ascii="Arial" w:hAnsi="Arial" w:cs="Arial"/>
        </w:rPr>
        <w:fldChar w:fldCharType="end"/>
      </w:r>
      <w:r w:rsidRPr="00DB3097">
        <w:rPr>
          <w:rFonts w:ascii="Arial" w:hAnsi="Arial" w:cs="Arial"/>
        </w:rPr>
        <w:t xml:space="preserve"> (Accessed 6 March, 2022).</w:t>
      </w:r>
      <w:r w:rsidRPr="00DB3097">
        <w:rPr>
          <w:rFonts w:ascii="Arial" w:hAnsi="Arial" w:cs="Arial"/>
        </w:rPr>
        <w:cr/>
        <w:t xml:space="preserve">Campbell, S. 2020. How flexible scheduling in healthcare benefits staff, patients, and </w:t>
      </w:r>
    </w:p>
    <w:p w14:paraId="4636C421"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Fonts w:ascii="Arial" w:hAnsi="Arial" w:cs="Arial"/>
        </w:rPr>
        <w:t xml:space="preserve">organizational outcomes [Online] Available at: </w:t>
      </w:r>
      <w:r w:rsidRPr="00DB3097">
        <w:rPr>
          <w:rFonts w:ascii="Arial" w:hAnsi="Arial" w:cs="Arial"/>
        </w:rPr>
        <w:fldChar w:fldCharType="begin"/>
      </w:r>
      <w:r w:rsidRPr="00DB3097">
        <w:rPr>
          <w:rFonts w:ascii="Arial" w:hAnsi="Arial" w:cs="Arial"/>
        </w:rPr>
        <w:instrText xml:space="preserve"> HYPERLINK "https://wheniwork.com/blog/flexible-scheduling-in-healthcare" \o "https://wheniwork.com/blog/flexible-scheduling-in-healthcare"</w:instrText>
      </w:r>
      <w:r w:rsidRPr="00DB3097">
        <w:rPr>
          <w:rFonts w:ascii="Arial" w:hAnsi="Arial" w:cs="Arial"/>
        </w:rPr>
        <w:fldChar w:fldCharType="separate"/>
      </w:r>
      <w:r w:rsidRPr="00DB3097">
        <w:rPr>
          <w:rStyle w:val="Hyperlink"/>
          <w:rFonts w:ascii="Arial" w:hAnsi="Arial" w:cs="Arial"/>
        </w:rPr>
        <w:t>https://wheniwork.com/blog/flexible-</w:t>
      </w:r>
    </w:p>
    <w:p w14:paraId="3E0EFBA2" w14:textId="77777777" w:rsidR="0097318C" w:rsidRPr="00DB3097" w:rsidRDefault="0097318C" w:rsidP="0097318C">
      <w:pPr>
        <w:spacing w:line="480" w:lineRule="auto"/>
        <w:ind w:firstLineChars="200" w:firstLine="440"/>
        <w:contextualSpacing/>
        <w:rPr>
          <w:rFonts w:ascii="Arial" w:hAnsi="Arial" w:cs="Arial"/>
        </w:rPr>
      </w:pPr>
      <w:r w:rsidRPr="00DB3097">
        <w:rPr>
          <w:rStyle w:val="Hyperlink"/>
          <w:rFonts w:ascii="Arial" w:hAnsi="Arial" w:cs="Arial"/>
        </w:rPr>
        <w:t>scheduling-in-healthcare</w:t>
      </w:r>
      <w:r w:rsidRPr="00DB3097">
        <w:rPr>
          <w:rFonts w:ascii="Arial" w:hAnsi="Arial" w:cs="Arial"/>
        </w:rPr>
        <w:fldChar w:fldCharType="end"/>
      </w:r>
      <w:r w:rsidRPr="00DB3097">
        <w:rPr>
          <w:rFonts w:ascii="Arial" w:hAnsi="Arial" w:cs="Arial"/>
        </w:rPr>
        <w:t xml:space="preserve"> (Accessed 28 February, 2022)</w:t>
      </w:r>
      <w:r w:rsidRPr="00DB3097">
        <w:rPr>
          <w:rFonts w:ascii="Arial" w:hAnsi="Arial" w:cs="Arial"/>
        </w:rPr>
        <w:cr/>
        <w:t xml:space="preserve">Dalingwater, L. 2019. NHS staffing shortages and the Brexit effect [Online] Available at: </w:t>
      </w:r>
    </w:p>
    <w:p w14:paraId="68743AFD" w14:textId="77777777" w:rsidR="00DB3097" w:rsidRPr="00DB3097" w:rsidRDefault="00CD2B9C" w:rsidP="00DB3097">
      <w:pPr>
        <w:spacing w:line="480" w:lineRule="auto"/>
        <w:ind w:firstLineChars="200" w:firstLine="440"/>
        <w:contextualSpacing/>
        <w:rPr>
          <w:rFonts w:ascii="Arial" w:hAnsi="Arial" w:cs="Arial"/>
        </w:rPr>
      </w:pPr>
      <w:hyperlink r:id="rId17" w:tooltip="https://journals.openedition.org/osb/3216?lang=en" w:history="1">
        <w:r w:rsidR="0097318C" w:rsidRPr="00DB3097">
          <w:rPr>
            <w:rStyle w:val="Hyperlink"/>
            <w:rFonts w:ascii="Arial" w:hAnsi="Arial" w:cs="Arial"/>
          </w:rPr>
          <w:t>https://journals.openedition.org/osb/3216?lang=en</w:t>
        </w:r>
      </w:hyperlink>
      <w:r w:rsidR="0097318C" w:rsidRPr="00DB3097">
        <w:rPr>
          <w:rFonts w:ascii="Arial" w:hAnsi="Arial" w:cs="Arial"/>
        </w:rPr>
        <w:t xml:space="preserve"> (Accessed 6 March, 2022).</w:t>
      </w:r>
      <w:r w:rsidR="0097318C" w:rsidRPr="00DB3097">
        <w:rPr>
          <w:rFonts w:ascii="Arial" w:hAnsi="Arial" w:cs="Arial"/>
        </w:rPr>
        <w:cr/>
      </w:r>
      <w:r w:rsidR="00DB3097" w:rsidRPr="00DB3097">
        <w:rPr>
          <w:rFonts w:ascii="Arial" w:hAnsi="Arial" w:cs="Arial"/>
        </w:rPr>
        <w:t xml:space="preserve">Forbes Human Resources Council. 2020. How to Deal with Excessive Employee Absenteeism: </w:t>
      </w:r>
    </w:p>
    <w:p w14:paraId="4E07F60B" w14:textId="77777777" w:rsidR="00DB3097" w:rsidRPr="00DB3097" w:rsidRDefault="00DB3097" w:rsidP="00DB3097">
      <w:pPr>
        <w:spacing w:line="480" w:lineRule="auto"/>
        <w:ind w:firstLineChars="200" w:firstLine="440"/>
        <w:contextualSpacing/>
        <w:rPr>
          <w:rFonts w:ascii="Arial" w:hAnsi="Arial" w:cs="Arial"/>
        </w:rPr>
      </w:pPr>
      <w:r w:rsidRPr="00DB3097">
        <w:rPr>
          <w:rFonts w:ascii="Arial" w:hAnsi="Arial" w:cs="Arial"/>
        </w:rPr>
        <w:t xml:space="preserve">12 Proven Methods [Online] Available at: </w:t>
      </w:r>
    </w:p>
    <w:p w14:paraId="2276E0AF" w14:textId="77777777" w:rsidR="00DB3097" w:rsidRPr="00DB3097" w:rsidRDefault="00DB3097" w:rsidP="00DB3097">
      <w:pPr>
        <w:spacing w:line="480" w:lineRule="auto"/>
        <w:ind w:firstLineChars="200" w:firstLine="440"/>
        <w:contextualSpacing/>
        <w:rPr>
          <w:rStyle w:val="Hyperlink"/>
          <w:rFonts w:ascii="Arial" w:hAnsi="Arial" w:cs="Arial"/>
        </w:rPr>
      </w:pPr>
      <w:r w:rsidRPr="00DB3097">
        <w:rPr>
          <w:rFonts w:ascii="Arial" w:hAnsi="Arial" w:cs="Arial"/>
        </w:rPr>
        <w:fldChar w:fldCharType="begin"/>
      </w:r>
      <w:r w:rsidRPr="00DB3097">
        <w:rPr>
          <w:rFonts w:ascii="Arial" w:hAnsi="Arial" w:cs="Arial"/>
        </w:rPr>
        <w:instrText xml:space="preserve"> HYPERLINK "https://www.forbes.com/sites/forbeshumanresourcescouncil/2020/03/25/how-to-deal-with-excessive-employee-absenteeism-12-proven-methods/?sh=1f2b0da72722" \o "https://www.forbes.com/sites/forbeshumanresourcescouncil/2020/03/25/how-to-deal-with-excessive-employee-absenteeism-12-proven-methods/?sh=1f2b0da72722"</w:instrText>
      </w:r>
      <w:r w:rsidRPr="00DB3097">
        <w:rPr>
          <w:rFonts w:ascii="Arial" w:hAnsi="Arial" w:cs="Arial"/>
        </w:rPr>
        <w:fldChar w:fldCharType="separate"/>
      </w:r>
      <w:r w:rsidRPr="00DB3097">
        <w:rPr>
          <w:rStyle w:val="Hyperlink"/>
          <w:rFonts w:ascii="Arial" w:hAnsi="Arial" w:cs="Arial"/>
        </w:rPr>
        <w:t>https://www.forbes.com/sites/forbeshumanresourcescouncil/2020/03/25/how-to-deal-</w:t>
      </w:r>
    </w:p>
    <w:p w14:paraId="45966780" w14:textId="77777777" w:rsidR="00DB3097" w:rsidRPr="00DB3097" w:rsidRDefault="00DB3097" w:rsidP="00DB3097">
      <w:pPr>
        <w:spacing w:line="480" w:lineRule="auto"/>
        <w:ind w:firstLineChars="200" w:firstLine="440"/>
        <w:contextualSpacing/>
        <w:rPr>
          <w:rFonts w:ascii="Arial" w:hAnsi="Arial" w:cs="Arial"/>
        </w:rPr>
      </w:pPr>
      <w:r w:rsidRPr="00DB3097">
        <w:rPr>
          <w:rStyle w:val="Hyperlink"/>
          <w:rFonts w:ascii="Arial" w:hAnsi="Arial" w:cs="Arial"/>
        </w:rPr>
        <w:t>with-excessive-employee-absenteeism-12-proven-methods/?sh=1f2b0da72722</w:t>
      </w:r>
      <w:r w:rsidRPr="00DB3097">
        <w:rPr>
          <w:rFonts w:ascii="Arial" w:hAnsi="Arial" w:cs="Arial"/>
        </w:rPr>
        <w:fldChar w:fldCharType="end"/>
      </w:r>
      <w:r w:rsidRPr="00DB3097">
        <w:rPr>
          <w:rFonts w:ascii="Arial" w:hAnsi="Arial" w:cs="Arial"/>
        </w:rPr>
        <w:t xml:space="preserve"> (Accessed </w:t>
      </w:r>
    </w:p>
    <w:p w14:paraId="694ED1B4" w14:textId="360D6FBE" w:rsidR="00DB3097" w:rsidRDefault="00DB3097" w:rsidP="00DB3097">
      <w:pPr>
        <w:spacing w:line="480" w:lineRule="auto"/>
        <w:ind w:firstLineChars="200" w:firstLine="440"/>
        <w:contextualSpacing/>
        <w:rPr>
          <w:rFonts w:ascii="Arial" w:hAnsi="Arial" w:cs="Arial"/>
        </w:rPr>
      </w:pPr>
      <w:r w:rsidRPr="00DB3097">
        <w:rPr>
          <w:rFonts w:ascii="Arial" w:hAnsi="Arial" w:cs="Arial"/>
        </w:rPr>
        <w:t>1 March, 2022)</w:t>
      </w:r>
    </w:p>
    <w:p w14:paraId="5FD840EE" w14:textId="0FCFD85C" w:rsidR="0097318C" w:rsidRPr="00DB3097" w:rsidRDefault="0097318C" w:rsidP="00DB3097">
      <w:pPr>
        <w:spacing w:line="480" w:lineRule="auto"/>
        <w:contextualSpacing/>
        <w:rPr>
          <w:rFonts w:ascii="Arial" w:hAnsi="Arial" w:cs="Arial"/>
        </w:rPr>
      </w:pPr>
      <w:r w:rsidRPr="00DB3097">
        <w:rPr>
          <w:rFonts w:ascii="Arial" w:hAnsi="Arial" w:cs="Arial"/>
        </w:rPr>
        <w:t xml:space="preserve">Goodhew, N. 2021. The Complex Costs of Failing to Retain NHS Staff [Online] Available at: </w:t>
      </w:r>
    </w:p>
    <w:p w14:paraId="063FC474"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 xml:space="preserve">  </w:t>
      </w:r>
      <w:hyperlink r:id="rId18" w:tooltip="https://www.nurses.co.uk/blog/the-complex-costs-of-failing-to-retain-nhs-staff/" w:history="1">
        <w:r w:rsidRPr="00DB3097">
          <w:rPr>
            <w:rStyle w:val="Hyperlink"/>
            <w:rFonts w:ascii="Arial" w:hAnsi="Arial" w:cs="Arial"/>
          </w:rPr>
          <w:t>https://www.nurses.co.uk/blog/the-complex-costs-of-failing-to-retain-nhs-staff/</w:t>
        </w:r>
      </w:hyperlink>
      <w:r w:rsidRPr="00DB3097">
        <w:rPr>
          <w:rFonts w:ascii="Arial" w:hAnsi="Arial" w:cs="Arial"/>
        </w:rPr>
        <w:t xml:space="preserve"> </w:t>
      </w:r>
    </w:p>
    <w:p w14:paraId="57604F62"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(Accessed 6 March, 2022)</w:t>
      </w:r>
    </w:p>
    <w:p w14:paraId="24D25A1D" w14:textId="77777777" w:rsidR="0097318C" w:rsidRPr="00DB3097" w:rsidRDefault="0097318C" w:rsidP="0097318C">
      <w:pPr>
        <w:spacing w:line="480" w:lineRule="auto"/>
        <w:contextualSpacing/>
        <w:rPr>
          <w:rFonts w:ascii="Arial" w:hAnsi="Arial" w:cs="Arial"/>
        </w:rPr>
      </w:pPr>
      <w:r w:rsidRPr="00DB3097">
        <w:rPr>
          <w:rFonts w:ascii="Arial" w:hAnsi="Arial" w:cs="Arial"/>
        </w:rPr>
        <w:t xml:space="preserve">House of Commons Health and Social Care Committee. 2021. Workforce burnout and resilience </w:t>
      </w:r>
    </w:p>
    <w:p w14:paraId="34D7D983"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 xml:space="preserve">in the NHS and social care. Second Report of Session 2021–22. [Online] Available at: </w:t>
      </w:r>
    </w:p>
    <w:p w14:paraId="57C03B4C"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Fonts w:ascii="Arial" w:hAnsi="Arial" w:cs="Arial"/>
        </w:rPr>
        <w:fldChar w:fldCharType="begin"/>
      </w:r>
      <w:r w:rsidRPr="00DB3097">
        <w:rPr>
          <w:rFonts w:ascii="Arial" w:hAnsi="Arial" w:cs="Arial"/>
        </w:rPr>
        <w:instrText xml:space="preserve"> HYPERLINK "https://www.google.com/url?sa=t&amp;source=web&amp;rct=j&amp;url=https://committees.parliament.uk/publications/6158/documents/68766/default/&amp;ved=2ahUKEwjAq4_Cs7P2AhUj7rsIHYNVBpgQFnoECAYQAQ&amp;usg=AOvVaw3CKgokGu8pQO4ivOw208gv" \o "https://www.google.com/url?sa=t&amp;source=web&amp;rct=j&amp;url=https://committees.parliament.uk/publications/6158/documents/68766/default/&amp;ved=2ahUKEwjAq4_Cs7P2AhUj7rsIHYNVBpgQFnoECAYQAQ&amp;usg=AOvVaw3CKgokGu8pQO4ivOw208gv"</w:instrText>
      </w:r>
      <w:r w:rsidRPr="00DB3097">
        <w:rPr>
          <w:rFonts w:ascii="Arial" w:hAnsi="Arial" w:cs="Arial"/>
        </w:rPr>
        <w:fldChar w:fldCharType="separate"/>
      </w:r>
      <w:r w:rsidRPr="00DB3097">
        <w:rPr>
          <w:rStyle w:val="Hyperlink"/>
          <w:rFonts w:ascii="Arial" w:hAnsi="Arial" w:cs="Arial"/>
        </w:rPr>
        <w:t>https://www.google.com/url?sa=t&amp;source=web&amp;rct=j&amp;url=https://committees.parliament.u</w:t>
      </w:r>
    </w:p>
    <w:p w14:paraId="04AFC21B"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Style w:val="Hyperlink"/>
          <w:rFonts w:ascii="Arial" w:hAnsi="Arial" w:cs="Arial"/>
        </w:rPr>
        <w:t>k/publications/6158/documents/68766/default/&amp;ved=2ahUKEwjAq4_Cs7P2AhUj7rsIHYNV</w:t>
      </w:r>
    </w:p>
    <w:p w14:paraId="65B64412" w14:textId="2AEF1804" w:rsidR="00DB3097" w:rsidRPr="00DB3097" w:rsidRDefault="0097318C" w:rsidP="00DB3097">
      <w:pPr>
        <w:spacing w:line="480" w:lineRule="auto"/>
        <w:ind w:firstLineChars="200" w:firstLine="440"/>
        <w:contextualSpacing/>
        <w:rPr>
          <w:rFonts w:ascii="Arial" w:hAnsi="Arial" w:cs="Arial"/>
        </w:rPr>
      </w:pPr>
      <w:r w:rsidRPr="00DB3097">
        <w:rPr>
          <w:rStyle w:val="Hyperlink"/>
          <w:rFonts w:ascii="Arial" w:hAnsi="Arial" w:cs="Arial"/>
        </w:rPr>
        <w:lastRenderedPageBreak/>
        <w:t>BpgQFnoECAYQAQ&amp;usg=AOvVaw3CKgokGu8pQO4ivOw208gv</w:t>
      </w:r>
      <w:r w:rsidRPr="00DB3097">
        <w:rPr>
          <w:rFonts w:ascii="Arial" w:hAnsi="Arial" w:cs="Arial"/>
        </w:rPr>
        <w:fldChar w:fldCharType="end"/>
      </w:r>
      <w:r w:rsidRPr="00DB3097">
        <w:rPr>
          <w:rFonts w:ascii="Arial" w:hAnsi="Arial" w:cs="Arial"/>
        </w:rPr>
        <w:t xml:space="preserve"> (Accessed 6 March, 2022).</w:t>
      </w:r>
    </w:p>
    <w:p w14:paraId="5B3E976E" w14:textId="3C84A87C"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 xml:space="preserve">Kandemir, A. and Şahin, B. 2017. The level and cost burden of absenteeism among health care </w:t>
      </w:r>
    </w:p>
    <w:p w14:paraId="0B443C1E"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 xml:space="preserve">professionals. Journal of Business, 5(2), pp.1-23. Available at: </w:t>
      </w:r>
    </w:p>
    <w:p w14:paraId="53C3069E" w14:textId="77777777" w:rsidR="0097318C" w:rsidRPr="00DB3097" w:rsidRDefault="00CD2B9C" w:rsidP="0097318C">
      <w:pPr>
        <w:spacing w:line="480" w:lineRule="auto"/>
        <w:ind w:firstLineChars="200" w:firstLine="440"/>
        <w:contextualSpacing/>
        <w:rPr>
          <w:rFonts w:ascii="Arial" w:hAnsi="Arial" w:cs="Arial"/>
        </w:rPr>
      </w:pPr>
      <w:hyperlink r:id="rId19" w:tooltip="https://www.ceeol.com/search/article-detail?id=572136" w:history="1">
        <w:r w:rsidR="0097318C" w:rsidRPr="00DB3097">
          <w:rPr>
            <w:rStyle w:val="Hyperlink"/>
            <w:rFonts w:ascii="Arial" w:hAnsi="Arial" w:cs="Arial"/>
          </w:rPr>
          <w:t>https://www.ceeol.com/search/article-detail?id=572136</w:t>
        </w:r>
      </w:hyperlink>
      <w:r w:rsidR="0097318C" w:rsidRPr="00DB3097">
        <w:rPr>
          <w:rFonts w:ascii="Arial" w:hAnsi="Arial" w:cs="Arial"/>
        </w:rPr>
        <w:t xml:space="preserve"> (Accessed 1 March, 2022)</w:t>
      </w:r>
      <w:r w:rsidR="0097318C" w:rsidRPr="00DB3097">
        <w:rPr>
          <w:rFonts w:ascii="Arial" w:hAnsi="Arial" w:cs="Arial"/>
        </w:rPr>
        <w:cr/>
        <w:t xml:space="preserve">Kocakulah, M.C., Kelley, A.G., Mitchell, K.M. and Ruggieri, M.P., 2016. Absenteeism problems </w:t>
      </w:r>
    </w:p>
    <w:p w14:paraId="7BE1AC51"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 xml:space="preserve">and costs: causes, effects and cures. International Business &amp; Economics Research </w:t>
      </w:r>
    </w:p>
    <w:p w14:paraId="1B9CA639"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 xml:space="preserve">Journal (IBER), 15(3), pp.89-96. Available at: </w:t>
      </w:r>
    </w:p>
    <w:p w14:paraId="63A1A9DA" w14:textId="77777777" w:rsidR="0097318C" w:rsidRPr="00DB3097" w:rsidRDefault="00CD2B9C" w:rsidP="0097318C">
      <w:pPr>
        <w:spacing w:line="480" w:lineRule="auto"/>
        <w:ind w:firstLineChars="200" w:firstLine="440"/>
        <w:contextualSpacing/>
        <w:rPr>
          <w:rFonts w:ascii="Arial" w:hAnsi="Arial" w:cs="Arial"/>
        </w:rPr>
      </w:pPr>
      <w:hyperlink r:id="rId20" w:tooltip="https://www.clutejournals.com/index.php/IBER/article/view/9673" w:history="1">
        <w:r w:rsidR="0097318C" w:rsidRPr="00DB3097">
          <w:rPr>
            <w:rStyle w:val="Hyperlink"/>
            <w:rFonts w:ascii="Arial" w:hAnsi="Arial" w:cs="Arial"/>
          </w:rPr>
          <w:t>https://www.clutejournals.com/index.php/IBER/article/view/9673</w:t>
        </w:r>
      </w:hyperlink>
      <w:r w:rsidR="0097318C" w:rsidRPr="00DB3097">
        <w:rPr>
          <w:rFonts w:ascii="Arial" w:hAnsi="Arial" w:cs="Arial"/>
        </w:rPr>
        <w:t xml:space="preserve"> (Accessed 28 February, </w:t>
      </w:r>
    </w:p>
    <w:p w14:paraId="4BFE0588"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2022)</w:t>
      </w:r>
      <w:r w:rsidRPr="00DB3097">
        <w:rPr>
          <w:rFonts w:ascii="Arial" w:hAnsi="Arial" w:cs="Arial"/>
        </w:rPr>
        <w:cr/>
        <w:t xml:space="preserve">Kline, R. 2020. The depressing state of bullying in the NHS [Online] Available at: </w:t>
      </w:r>
    </w:p>
    <w:p w14:paraId="6B271D7A"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Fonts w:ascii="Arial" w:hAnsi="Arial" w:cs="Arial"/>
        </w:rPr>
        <w:fldChar w:fldCharType="begin"/>
      </w:r>
      <w:r w:rsidRPr="00DB3097">
        <w:rPr>
          <w:rFonts w:ascii="Arial" w:hAnsi="Arial" w:cs="Arial"/>
        </w:rPr>
        <w:instrText xml:space="preserve"> HYPERLINK "https://www.google.com/amp/s/mdxminds.com/2020/02/19/the-depressing-state-of-bullying-in-the-nhs/amp/" \o "https://www.google.com/amp/s/mdxminds.com/2020/02/19/the-depressing-state-of-bullying-in-the-nhs/amp/"</w:instrText>
      </w:r>
      <w:r w:rsidRPr="00DB3097">
        <w:rPr>
          <w:rFonts w:ascii="Arial" w:hAnsi="Arial" w:cs="Arial"/>
        </w:rPr>
        <w:fldChar w:fldCharType="separate"/>
      </w:r>
      <w:r w:rsidRPr="00DB3097">
        <w:rPr>
          <w:rStyle w:val="Hyperlink"/>
          <w:rFonts w:ascii="Arial" w:hAnsi="Arial" w:cs="Arial"/>
        </w:rPr>
        <w:t>https://www.google.com/amp/s/mdxminds.com/2020/02/19/the-depressing-state-of-</w:t>
      </w:r>
    </w:p>
    <w:p w14:paraId="56A2C0D0" w14:textId="77777777" w:rsidR="0097318C" w:rsidRPr="00DB3097" w:rsidRDefault="0097318C" w:rsidP="0097318C">
      <w:pPr>
        <w:spacing w:line="480" w:lineRule="auto"/>
        <w:ind w:firstLineChars="200" w:firstLine="440"/>
        <w:contextualSpacing/>
        <w:rPr>
          <w:rFonts w:ascii="Arial" w:hAnsi="Arial" w:cs="Arial"/>
        </w:rPr>
      </w:pPr>
      <w:r w:rsidRPr="00DB3097">
        <w:rPr>
          <w:rStyle w:val="Hyperlink"/>
          <w:rFonts w:ascii="Arial" w:hAnsi="Arial" w:cs="Arial"/>
        </w:rPr>
        <w:t>bullying-in-the-nhs/amp/</w:t>
      </w:r>
      <w:r w:rsidRPr="00DB3097">
        <w:rPr>
          <w:rFonts w:ascii="Arial" w:hAnsi="Arial" w:cs="Arial"/>
        </w:rPr>
        <w:fldChar w:fldCharType="end"/>
      </w:r>
      <w:r w:rsidRPr="00DB3097">
        <w:rPr>
          <w:rFonts w:ascii="Arial" w:hAnsi="Arial" w:cs="Arial"/>
        </w:rPr>
        <w:t xml:space="preserve"> (Accessed 6 March, 2022).</w:t>
      </w:r>
      <w:r w:rsidRPr="00DB3097">
        <w:rPr>
          <w:rFonts w:ascii="Arial" w:hAnsi="Arial" w:cs="Arial"/>
        </w:rPr>
        <w:cr/>
        <w:t xml:space="preserve">McNeil, D. 2022. Huge surge in Covid-related staff absences in Newcastle hospital trusts, shows </w:t>
      </w:r>
    </w:p>
    <w:p w14:paraId="3CCBD031"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Fonts w:ascii="Arial" w:hAnsi="Arial" w:cs="Arial"/>
        </w:rPr>
        <w:t xml:space="preserve">new NHS data [Online] Available at: </w:t>
      </w:r>
      <w:r w:rsidRPr="00DB3097">
        <w:rPr>
          <w:rFonts w:ascii="Arial" w:hAnsi="Arial" w:cs="Arial"/>
        </w:rPr>
        <w:fldChar w:fldCharType="begin"/>
      </w:r>
      <w:r w:rsidRPr="00DB3097">
        <w:rPr>
          <w:rFonts w:ascii="Arial" w:hAnsi="Arial" w:cs="Arial"/>
        </w:rPr>
        <w:instrText xml:space="preserve"> HYPERLINK "https://www.newcastleworld.com/health/staff-absences-in-hospitals-in-newcastles-rise-due-to-covid-says-nhs-data-3519587" \o "https://www.newcastleworld.com/health/staff-absences-in-hospitals-in-newcastles-rise-due-to-covid-says-nhs-data-3519587"</w:instrText>
      </w:r>
      <w:r w:rsidRPr="00DB3097">
        <w:rPr>
          <w:rFonts w:ascii="Arial" w:hAnsi="Arial" w:cs="Arial"/>
        </w:rPr>
        <w:fldChar w:fldCharType="separate"/>
      </w:r>
      <w:r w:rsidRPr="00DB3097">
        <w:rPr>
          <w:rStyle w:val="Hyperlink"/>
          <w:rFonts w:ascii="Arial" w:hAnsi="Arial" w:cs="Arial"/>
        </w:rPr>
        <w:t>https://www.newcastleworld.com/health/staff-</w:t>
      </w:r>
    </w:p>
    <w:p w14:paraId="71FEBF77" w14:textId="77777777" w:rsidR="0097318C" w:rsidRPr="00DB3097" w:rsidRDefault="0097318C" w:rsidP="0097318C">
      <w:pPr>
        <w:spacing w:line="480" w:lineRule="auto"/>
        <w:ind w:firstLineChars="200" w:firstLine="440"/>
        <w:contextualSpacing/>
        <w:rPr>
          <w:rFonts w:ascii="Arial" w:hAnsi="Arial" w:cs="Arial"/>
        </w:rPr>
      </w:pPr>
      <w:r w:rsidRPr="00DB3097">
        <w:rPr>
          <w:rStyle w:val="Hyperlink"/>
          <w:rFonts w:ascii="Arial" w:hAnsi="Arial" w:cs="Arial"/>
        </w:rPr>
        <w:t>absences-in-hospitals-in-newcastles-rise-due-to-covid-says-nhs-data-3519587</w:t>
      </w:r>
      <w:r w:rsidRPr="00DB3097">
        <w:rPr>
          <w:rFonts w:ascii="Arial" w:hAnsi="Arial" w:cs="Arial"/>
        </w:rPr>
        <w:fldChar w:fldCharType="end"/>
      </w:r>
      <w:r w:rsidRPr="00DB3097">
        <w:rPr>
          <w:rFonts w:ascii="Arial" w:hAnsi="Arial" w:cs="Arial"/>
        </w:rPr>
        <w:t xml:space="preserve"> (Accessed 6 </w:t>
      </w:r>
    </w:p>
    <w:p w14:paraId="55042600"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March, 2022).</w:t>
      </w:r>
      <w:r w:rsidRPr="00DB3097">
        <w:rPr>
          <w:rFonts w:ascii="Arial" w:hAnsi="Arial" w:cs="Arial"/>
        </w:rPr>
        <w:cr/>
        <w:t xml:space="preserve">Owens, A. 2018. How much is staff absence costing the NHS? And what’s the cure? [Online] </w:t>
      </w:r>
    </w:p>
    <w:p w14:paraId="1B32ABE3"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Fonts w:ascii="Arial" w:hAnsi="Arial" w:cs="Arial"/>
        </w:rPr>
        <w:t xml:space="preserve">Available at: </w:t>
      </w:r>
      <w:r w:rsidRPr="00DB3097">
        <w:rPr>
          <w:rFonts w:ascii="Arial" w:hAnsi="Arial" w:cs="Arial"/>
        </w:rPr>
        <w:fldChar w:fldCharType="begin"/>
      </w:r>
      <w:r w:rsidRPr="00DB3097">
        <w:rPr>
          <w:rFonts w:ascii="Arial" w:hAnsi="Arial" w:cs="Arial"/>
        </w:rPr>
        <w:instrText xml:space="preserve"> HYPERLINK "https://adviserplus.com/insights/how-much-is-staff-absence-costing-the-nhs-and-whats-the-cure/" \o "https://adviserplus.com/insights/how-much-is-staff-absence-costing-the-nhs-and-whats-the-cure/"</w:instrText>
      </w:r>
      <w:r w:rsidRPr="00DB3097">
        <w:rPr>
          <w:rFonts w:ascii="Arial" w:hAnsi="Arial" w:cs="Arial"/>
        </w:rPr>
        <w:fldChar w:fldCharType="separate"/>
      </w:r>
      <w:r w:rsidRPr="00DB3097">
        <w:rPr>
          <w:rStyle w:val="Hyperlink"/>
          <w:rFonts w:ascii="Arial" w:hAnsi="Arial" w:cs="Arial"/>
        </w:rPr>
        <w:t>https://adviserplus.com/insights/how-much-is-staff-absence-costing-the-nhs-</w:t>
      </w:r>
    </w:p>
    <w:p w14:paraId="01F8EDCC" w14:textId="77777777" w:rsidR="0097318C" w:rsidRPr="00DB3097" w:rsidRDefault="0097318C" w:rsidP="0097318C">
      <w:pPr>
        <w:spacing w:line="480" w:lineRule="auto"/>
        <w:ind w:firstLineChars="200" w:firstLine="440"/>
        <w:contextualSpacing/>
        <w:rPr>
          <w:rFonts w:ascii="Arial" w:hAnsi="Arial" w:cs="Arial"/>
        </w:rPr>
      </w:pPr>
      <w:r w:rsidRPr="00DB3097">
        <w:rPr>
          <w:rStyle w:val="Hyperlink"/>
          <w:rFonts w:ascii="Arial" w:hAnsi="Arial" w:cs="Arial"/>
        </w:rPr>
        <w:t>and-whats-the-cure/</w:t>
      </w:r>
      <w:r w:rsidRPr="00DB3097">
        <w:rPr>
          <w:rFonts w:ascii="Arial" w:hAnsi="Arial" w:cs="Arial"/>
        </w:rPr>
        <w:fldChar w:fldCharType="end"/>
      </w:r>
      <w:r w:rsidRPr="00DB3097">
        <w:rPr>
          <w:rFonts w:ascii="Arial" w:hAnsi="Arial" w:cs="Arial"/>
        </w:rPr>
        <w:t xml:space="preserve"> (Accessed 6 March, 2022).</w:t>
      </w:r>
    </w:p>
    <w:p w14:paraId="45C765C7" w14:textId="77777777" w:rsidR="0097318C" w:rsidRPr="00DB3097" w:rsidRDefault="0097318C" w:rsidP="0097318C">
      <w:pPr>
        <w:spacing w:line="480" w:lineRule="auto"/>
        <w:contextualSpacing/>
        <w:rPr>
          <w:rFonts w:ascii="Arial" w:hAnsi="Arial" w:cs="Arial"/>
        </w:rPr>
      </w:pPr>
      <w:r w:rsidRPr="00DB3097">
        <w:rPr>
          <w:rFonts w:ascii="Arial" w:hAnsi="Arial" w:cs="Arial"/>
        </w:rPr>
        <w:t xml:space="preserve">Perkbox, 2020. 5 ways to reduce absenteeism [Online] Available at: </w:t>
      </w:r>
    </w:p>
    <w:p w14:paraId="0D9865C1" w14:textId="77777777" w:rsidR="0097318C" w:rsidRPr="00DB3097" w:rsidRDefault="00CD2B9C" w:rsidP="0097318C">
      <w:pPr>
        <w:spacing w:line="480" w:lineRule="auto"/>
        <w:ind w:firstLineChars="200" w:firstLine="440"/>
        <w:contextualSpacing/>
        <w:rPr>
          <w:rFonts w:ascii="Arial" w:hAnsi="Arial" w:cs="Arial"/>
        </w:rPr>
      </w:pPr>
      <w:hyperlink r:id="rId21" w:tooltip="https://www.perkbox.com/uk/platform/medical/5-ways-to-reduce-absenteeism" w:history="1">
        <w:r w:rsidR="0097318C" w:rsidRPr="00DB3097">
          <w:rPr>
            <w:rStyle w:val="Hyperlink"/>
            <w:rFonts w:ascii="Arial" w:hAnsi="Arial" w:cs="Arial"/>
          </w:rPr>
          <w:t>https://www.perkbox.com/uk/platform/medical/5-ways-to-reduce-absenteeism</w:t>
        </w:r>
      </w:hyperlink>
      <w:r w:rsidR="0097318C" w:rsidRPr="00DB3097">
        <w:rPr>
          <w:rFonts w:ascii="Arial" w:hAnsi="Arial" w:cs="Arial"/>
        </w:rPr>
        <w:t xml:space="preserve"> (Accessed </w:t>
      </w:r>
    </w:p>
    <w:p w14:paraId="2A845B28"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t>27 February, 2022)</w:t>
      </w:r>
      <w:r w:rsidRPr="00DB3097">
        <w:rPr>
          <w:rFonts w:ascii="Arial" w:hAnsi="Arial" w:cs="Arial"/>
        </w:rPr>
        <w:cr/>
        <w:t xml:space="preserve">Perry, S. 2021. Around 40% of NHS staff and general public ready to embrace a greater role for </w:t>
      </w:r>
    </w:p>
    <w:p w14:paraId="32A9D04B" w14:textId="77777777" w:rsidR="0097318C" w:rsidRPr="00DB3097" w:rsidRDefault="0097318C" w:rsidP="0097318C">
      <w:pPr>
        <w:spacing w:line="480" w:lineRule="auto"/>
        <w:ind w:firstLineChars="200" w:firstLine="440"/>
        <w:contextualSpacing/>
        <w:rPr>
          <w:rFonts w:ascii="Arial" w:hAnsi="Arial" w:cs="Arial"/>
        </w:rPr>
      </w:pPr>
      <w:r w:rsidRPr="00DB3097">
        <w:rPr>
          <w:rFonts w:ascii="Arial" w:hAnsi="Arial" w:cs="Arial"/>
        </w:rPr>
        <w:lastRenderedPageBreak/>
        <w:t xml:space="preserve">automation and AI in health care but doubt remains with many [Online] Available at: </w:t>
      </w:r>
    </w:p>
    <w:p w14:paraId="37A8A104"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Fonts w:ascii="Arial" w:hAnsi="Arial" w:cs="Arial"/>
        </w:rPr>
        <w:fldChar w:fldCharType="begin"/>
      </w:r>
      <w:r w:rsidRPr="00DB3097">
        <w:rPr>
          <w:rFonts w:ascii="Arial" w:hAnsi="Arial" w:cs="Arial"/>
        </w:rPr>
        <w:instrText xml:space="preserve"> HYPERLINK "https://www.health.org.uk/news-and-comment/news/around-40%2525-of-nhs-staff-and-general-public-ready-to-embrace-" \o "https://www.health.org.uk/news-and-comment/news/around-40%2525-of-nhs-staff-and-general-public-ready-to-embrace-"</w:instrText>
      </w:r>
      <w:r w:rsidRPr="00DB3097">
        <w:rPr>
          <w:rFonts w:ascii="Arial" w:hAnsi="Arial" w:cs="Arial"/>
        </w:rPr>
        <w:fldChar w:fldCharType="separate"/>
      </w:r>
      <w:r w:rsidRPr="00DB3097">
        <w:rPr>
          <w:rStyle w:val="Hyperlink"/>
          <w:rFonts w:ascii="Arial" w:hAnsi="Arial" w:cs="Arial"/>
        </w:rPr>
        <w:t>https://www.health.org.uk/news-and-comment/news/around-40%2525-of-nhs-staff-and-</w:t>
      </w:r>
    </w:p>
    <w:p w14:paraId="5427387F" w14:textId="77777777" w:rsidR="00393FCF" w:rsidRPr="00DB3097" w:rsidRDefault="0097318C" w:rsidP="00393FCF">
      <w:pPr>
        <w:spacing w:line="480" w:lineRule="auto"/>
        <w:ind w:left="220" w:hangingChars="100" w:hanging="220"/>
        <w:contextualSpacing/>
        <w:rPr>
          <w:rFonts w:ascii="Arial" w:hAnsi="Arial" w:cs="Arial"/>
        </w:rPr>
      </w:pPr>
      <w:r w:rsidRPr="00DB3097">
        <w:rPr>
          <w:rStyle w:val="Hyperlink"/>
          <w:rFonts w:ascii="Arial" w:hAnsi="Arial" w:cs="Arial"/>
        </w:rPr>
        <w:t>general-public-ready-to-embrace-</w:t>
      </w:r>
      <w:r w:rsidRPr="00DB3097">
        <w:rPr>
          <w:rFonts w:ascii="Arial" w:hAnsi="Arial" w:cs="Arial"/>
        </w:rPr>
        <w:fldChar w:fldCharType="end"/>
      </w:r>
      <w:r w:rsidRPr="00DB3097">
        <w:rPr>
          <w:rFonts w:ascii="Arial" w:hAnsi="Arial" w:cs="Arial"/>
        </w:rPr>
        <w:t xml:space="preserve"> (Accessed 6 March, 2022).</w:t>
      </w:r>
    </w:p>
    <w:p w14:paraId="7DCBA0F2" w14:textId="53F75FE8" w:rsidR="0097318C" w:rsidRPr="00DB3097" w:rsidRDefault="0097318C" w:rsidP="00393FCF">
      <w:pPr>
        <w:spacing w:line="480" w:lineRule="auto"/>
        <w:ind w:left="220" w:hangingChars="100" w:hanging="220"/>
        <w:contextualSpacing/>
        <w:rPr>
          <w:rFonts w:ascii="Arial" w:hAnsi="Arial" w:cs="Arial"/>
        </w:rPr>
      </w:pPr>
      <w:r w:rsidRPr="00DB3097">
        <w:rPr>
          <w:rFonts w:ascii="Arial" w:hAnsi="Arial" w:cs="Arial"/>
        </w:rPr>
        <w:t>The NHS Staff Council. 2021. Flexible working in the NHS. Available at:</w:t>
      </w:r>
      <w:r w:rsidR="00393FCF" w:rsidRPr="00DB3097">
        <w:rPr>
          <w:rFonts w:ascii="Arial" w:hAnsi="Arial" w:cs="Arial"/>
        </w:rPr>
        <w:t xml:space="preserve"> </w:t>
      </w:r>
      <w:r w:rsidRPr="00DB3097">
        <w:rPr>
          <w:rStyle w:val="Hyperlink"/>
          <w:rFonts w:ascii="Arial" w:hAnsi="Arial" w:cs="Arial"/>
        </w:rPr>
        <w:t>https://www.google.com/url?sa=t&amp;source=web&amp;rct=j&amp;url=https://www.nhsemployers.org/sitesdefault/files/2021-06/NHS-Staff-CounciljointstatementJune21.pdf&amp;ved=2ahUKEwjS1fib8rX2AhVPxoUKHSdbBhIQFnoECAUQAQ&amp;usg=AOVaw22VjbNFmoRPbP0-HkDbr7R</w:t>
      </w:r>
      <w:r w:rsidRPr="00DB3097">
        <w:rPr>
          <w:rFonts w:ascii="Arial" w:hAnsi="Arial" w:cs="Arial"/>
        </w:rPr>
        <w:t xml:space="preserve"> (Accessed 6 March, 2022)</w:t>
      </w:r>
    </w:p>
    <w:p w14:paraId="07EA6CE3" w14:textId="77777777" w:rsidR="0097318C" w:rsidRPr="00DB3097" w:rsidRDefault="0097318C" w:rsidP="0097318C">
      <w:pPr>
        <w:spacing w:line="480" w:lineRule="auto"/>
        <w:contextualSpacing/>
        <w:rPr>
          <w:rFonts w:ascii="Arial" w:hAnsi="Arial" w:cs="Arial"/>
        </w:rPr>
      </w:pPr>
      <w:r w:rsidRPr="00DB3097">
        <w:rPr>
          <w:rFonts w:ascii="Arial" w:hAnsi="Arial" w:cs="Arial"/>
        </w:rPr>
        <w:t xml:space="preserve">UNISON. 2014. UNISON Survey Shows NHS Staff are Overworked and Underpaid [Online] </w:t>
      </w:r>
    </w:p>
    <w:p w14:paraId="475FF570" w14:textId="77777777" w:rsidR="0097318C" w:rsidRPr="00DB3097" w:rsidRDefault="0097318C" w:rsidP="0097318C">
      <w:pPr>
        <w:spacing w:line="480" w:lineRule="auto"/>
        <w:ind w:firstLineChars="200" w:firstLine="440"/>
        <w:contextualSpacing/>
        <w:rPr>
          <w:rStyle w:val="Hyperlink"/>
          <w:rFonts w:ascii="Arial" w:hAnsi="Arial" w:cs="Arial"/>
        </w:rPr>
      </w:pPr>
      <w:r w:rsidRPr="00DB3097">
        <w:rPr>
          <w:rFonts w:ascii="Arial" w:hAnsi="Arial" w:cs="Arial"/>
        </w:rPr>
        <w:t xml:space="preserve">Available at: </w:t>
      </w:r>
      <w:r w:rsidRPr="00DB3097">
        <w:rPr>
          <w:rFonts w:ascii="Arial" w:hAnsi="Arial" w:cs="Arial"/>
        </w:rPr>
        <w:fldChar w:fldCharType="begin"/>
      </w:r>
      <w:r w:rsidRPr="00DB3097">
        <w:rPr>
          <w:rFonts w:ascii="Arial" w:hAnsi="Arial" w:cs="Arial"/>
        </w:rPr>
        <w:instrText xml:space="preserve"> HYPERLINK "https://www.unison.org.uk/news/article/2014/11/unison-survey-shows-nhs-staff-are-overworked-and-underpaid/" \o "https://www.unison.org.uk/news/article/2014/11/unison-survey-shows-nhs-staff-are-overworked-and-underpaid/"</w:instrText>
      </w:r>
      <w:r w:rsidRPr="00DB3097">
        <w:rPr>
          <w:rFonts w:ascii="Arial" w:hAnsi="Arial" w:cs="Arial"/>
        </w:rPr>
        <w:fldChar w:fldCharType="separate"/>
      </w:r>
      <w:r w:rsidRPr="00DB3097">
        <w:rPr>
          <w:rStyle w:val="Hyperlink"/>
          <w:rFonts w:ascii="Arial" w:hAnsi="Arial" w:cs="Arial"/>
        </w:rPr>
        <w:t>https://www.unison.org.uk/news/article/2014/11/unison-survey-shows-nhs-</w:t>
      </w:r>
    </w:p>
    <w:p w14:paraId="4757B3A3" w14:textId="77777777" w:rsidR="0097318C" w:rsidRPr="00DB3097" w:rsidRDefault="0097318C" w:rsidP="0097318C">
      <w:pPr>
        <w:spacing w:line="480" w:lineRule="auto"/>
        <w:ind w:firstLineChars="200" w:firstLine="440"/>
        <w:contextualSpacing/>
        <w:rPr>
          <w:rFonts w:ascii="Arial" w:hAnsi="Arial" w:cs="Arial"/>
        </w:rPr>
      </w:pPr>
      <w:r w:rsidRPr="00DB3097">
        <w:rPr>
          <w:rStyle w:val="Hyperlink"/>
          <w:rFonts w:ascii="Arial" w:hAnsi="Arial" w:cs="Arial"/>
        </w:rPr>
        <w:t>staff-are-overworked-and-underpaid/</w:t>
      </w:r>
      <w:r w:rsidRPr="00DB3097">
        <w:rPr>
          <w:rFonts w:ascii="Arial" w:hAnsi="Arial" w:cs="Arial"/>
        </w:rPr>
        <w:fldChar w:fldCharType="end"/>
      </w:r>
    </w:p>
    <w:p w14:paraId="0A9347EA" w14:textId="77777777" w:rsidR="0097318C" w:rsidRPr="00DB3097" w:rsidRDefault="0097318C" w:rsidP="0097318C">
      <w:pPr>
        <w:spacing w:line="480" w:lineRule="auto"/>
        <w:contextualSpacing/>
        <w:rPr>
          <w:rFonts w:ascii="Arial" w:hAnsi="Arial" w:cs="Arial"/>
        </w:rPr>
      </w:pPr>
      <w:r w:rsidRPr="00DB3097">
        <w:rPr>
          <w:rFonts w:ascii="Arial" w:hAnsi="Arial" w:cs="Arial"/>
        </w:rPr>
        <w:t xml:space="preserve">Vulpen, A. 2021. Absenteeism in the Workplace: A Full Guide [Online] Available at: </w:t>
      </w:r>
    </w:p>
    <w:p w14:paraId="4F3A8B5D" w14:textId="77777777" w:rsidR="0097318C" w:rsidRPr="00DB3097" w:rsidRDefault="00CD2B9C" w:rsidP="0097318C">
      <w:pPr>
        <w:spacing w:line="480" w:lineRule="auto"/>
        <w:ind w:firstLineChars="200" w:firstLine="440"/>
        <w:contextualSpacing/>
        <w:rPr>
          <w:rFonts w:ascii="Arial" w:hAnsi="Arial" w:cs="Arial"/>
        </w:rPr>
      </w:pPr>
      <w:hyperlink r:id="rId22" w:tooltip="https://www.aihr.com/blog/absenteeism/" w:history="1">
        <w:r w:rsidR="0097318C" w:rsidRPr="00DB3097">
          <w:rPr>
            <w:rStyle w:val="Hyperlink"/>
            <w:rFonts w:ascii="Arial" w:hAnsi="Arial" w:cs="Arial"/>
          </w:rPr>
          <w:t>https://www.aihr.com/blog/absenteeism/</w:t>
        </w:r>
      </w:hyperlink>
      <w:r w:rsidR="0097318C" w:rsidRPr="00DB3097">
        <w:rPr>
          <w:rFonts w:ascii="Arial" w:hAnsi="Arial" w:cs="Arial"/>
        </w:rPr>
        <w:t xml:space="preserve"> (Accessed February 28, 2022).</w:t>
      </w:r>
    </w:p>
    <w:p w14:paraId="7CD801FD" w14:textId="77777777" w:rsidR="0097318C" w:rsidRPr="00DB3097" w:rsidRDefault="0097318C" w:rsidP="0097318C">
      <w:pPr>
        <w:spacing w:line="480" w:lineRule="auto"/>
        <w:ind w:firstLine="720"/>
        <w:contextualSpacing/>
        <w:rPr>
          <w:rFonts w:ascii="Arial" w:hAnsi="Arial" w:cs="Arial"/>
        </w:rPr>
      </w:pPr>
    </w:p>
    <w:sectPr w:rsidR="0097318C" w:rsidRPr="00DB3097">
      <w:head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FBEB8" w14:textId="77777777" w:rsidR="00CD2B9C" w:rsidRDefault="00CD2B9C" w:rsidP="00393FCF">
      <w:pPr>
        <w:spacing w:after="0" w:line="240" w:lineRule="auto"/>
      </w:pPr>
      <w:r>
        <w:separator/>
      </w:r>
    </w:p>
  </w:endnote>
  <w:endnote w:type="continuationSeparator" w:id="0">
    <w:p w14:paraId="6668CA23" w14:textId="77777777" w:rsidR="00CD2B9C" w:rsidRDefault="00CD2B9C" w:rsidP="00393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F926F" w14:textId="77777777" w:rsidR="00CD2B9C" w:rsidRDefault="00CD2B9C" w:rsidP="00393FCF">
      <w:pPr>
        <w:spacing w:after="0" w:line="240" w:lineRule="auto"/>
      </w:pPr>
      <w:r>
        <w:separator/>
      </w:r>
    </w:p>
  </w:footnote>
  <w:footnote w:type="continuationSeparator" w:id="0">
    <w:p w14:paraId="299753C8" w14:textId="77777777" w:rsidR="00CD2B9C" w:rsidRDefault="00CD2B9C" w:rsidP="00393F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65865397"/>
      <w:docPartObj>
        <w:docPartGallery w:val="Page Numbers (Top of Page)"/>
        <w:docPartUnique/>
      </w:docPartObj>
    </w:sdtPr>
    <w:sdtEndPr>
      <w:rPr>
        <w:noProof/>
      </w:rPr>
    </w:sdtEndPr>
    <w:sdtContent>
      <w:p w14:paraId="772C9217" w14:textId="48E74AA9" w:rsidR="00393FCF" w:rsidRPr="00393FCF" w:rsidRDefault="00393FCF">
        <w:pPr>
          <w:pStyle w:val="Header"/>
          <w:jc w:val="right"/>
          <w:rPr>
            <w:rFonts w:ascii="Times New Roman" w:hAnsi="Times New Roman" w:cs="Times New Roman"/>
            <w:sz w:val="24"/>
            <w:szCs w:val="24"/>
          </w:rPr>
        </w:pPr>
        <w:r w:rsidRPr="00393FCF">
          <w:rPr>
            <w:rFonts w:ascii="Times New Roman" w:hAnsi="Times New Roman" w:cs="Times New Roman"/>
            <w:sz w:val="24"/>
            <w:szCs w:val="24"/>
          </w:rPr>
          <w:fldChar w:fldCharType="begin"/>
        </w:r>
        <w:r w:rsidRPr="00393FCF">
          <w:rPr>
            <w:rFonts w:ascii="Times New Roman" w:hAnsi="Times New Roman" w:cs="Times New Roman"/>
            <w:sz w:val="24"/>
            <w:szCs w:val="24"/>
          </w:rPr>
          <w:instrText xml:space="preserve"> PAGE   \* MERGEFORMAT </w:instrText>
        </w:r>
        <w:r w:rsidRPr="00393FCF">
          <w:rPr>
            <w:rFonts w:ascii="Times New Roman" w:hAnsi="Times New Roman" w:cs="Times New Roman"/>
            <w:sz w:val="24"/>
            <w:szCs w:val="24"/>
          </w:rPr>
          <w:fldChar w:fldCharType="separate"/>
        </w:r>
        <w:r w:rsidRPr="00393FCF">
          <w:rPr>
            <w:rFonts w:ascii="Times New Roman" w:hAnsi="Times New Roman" w:cs="Times New Roman"/>
            <w:noProof/>
            <w:sz w:val="24"/>
            <w:szCs w:val="24"/>
          </w:rPr>
          <w:t>2</w:t>
        </w:r>
        <w:r w:rsidRPr="00393FCF">
          <w:rPr>
            <w:rFonts w:ascii="Times New Roman" w:hAnsi="Times New Roman" w:cs="Times New Roman"/>
            <w:noProof/>
            <w:sz w:val="24"/>
            <w:szCs w:val="24"/>
          </w:rPr>
          <w:fldChar w:fldCharType="end"/>
        </w:r>
      </w:p>
    </w:sdtContent>
  </w:sdt>
  <w:p w14:paraId="040C169E" w14:textId="77777777" w:rsidR="00393FCF" w:rsidRDefault="00393F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D2566"/>
    <w:multiLevelType w:val="hybridMultilevel"/>
    <w:tmpl w:val="8C1A6AAA"/>
    <w:lvl w:ilvl="0" w:tplc="EE1AE4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36886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B37"/>
    <w:rsid w:val="00230B37"/>
    <w:rsid w:val="00393FCF"/>
    <w:rsid w:val="003A49C8"/>
    <w:rsid w:val="004D11D0"/>
    <w:rsid w:val="0055486E"/>
    <w:rsid w:val="008428F0"/>
    <w:rsid w:val="00946BF1"/>
    <w:rsid w:val="0097318C"/>
    <w:rsid w:val="00CD2B9C"/>
    <w:rsid w:val="00D9642E"/>
    <w:rsid w:val="00DB30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DFD76"/>
  <w15:chartTrackingRefBased/>
  <w15:docId w15:val="{9D850019-D4FA-4305-9CF2-B2EE5ABA1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B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0B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9">
    <w:name w:val="heading 9"/>
    <w:basedOn w:val="Normal"/>
    <w:next w:val="Normal"/>
    <w:link w:val="Heading9Char"/>
    <w:uiPriority w:val="9"/>
    <w:semiHidden/>
    <w:unhideWhenUsed/>
    <w:qFormat/>
    <w:rsid w:val="0055486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B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0B3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7318C"/>
    <w:rPr>
      <w:color w:val="0563C1" w:themeColor="hyperlink"/>
      <w:u w:val="single"/>
    </w:rPr>
  </w:style>
  <w:style w:type="character" w:styleId="UnresolvedMention">
    <w:name w:val="Unresolved Mention"/>
    <w:basedOn w:val="DefaultParagraphFont"/>
    <w:uiPriority w:val="99"/>
    <w:semiHidden/>
    <w:unhideWhenUsed/>
    <w:rsid w:val="0097318C"/>
    <w:rPr>
      <w:color w:val="605E5C"/>
      <w:shd w:val="clear" w:color="auto" w:fill="E1DFDD"/>
    </w:rPr>
  </w:style>
  <w:style w:type="paragraph" w:styleId="Header">
    <w:name w:val="header"/>
    <w:basedOn w:val="Normal"/>
    <w:link w:val="HeaderChar"/>
    <w:uiPriority w:val="99"/>
    <w:unhideWhenUsed/>
    <w:rsid w:val="00393F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3FCF"/>
  </w:style>
  <w:style w:type="paragraph" w:styleId="Footer">
    <w:name w:val="footer"/>
    <w:basedOn w:val="Normal"/>
    <w:link w:val="FooterChar"/>
    <w:uiPriority w:val="99"/>
    <w:unhideWhenUsed/>
    <w:rsid w:val="00393F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3FCF"/>
  </w:style>
  <w:style w:type="paragraph" w:styleId="TOCHeading">
    <w:name w:val="TOC Heading"/>
    <w:basedOn w:val="Heading1"/>
    <w:next w:val="Normal"/>
    <w:uiPriority w:val="39"/>
    <w:unhideWhenUsed/>
    <w:qFormat/>
    <w:rsid w:val="00946BF1"/>
    <w:pPr>
      <w:outlineLvl w:val="9"/>
    </w:pPr>
  </w:style>
  <w:style w:type="paragraph" w:styleId="TOC1">
    <w:name w:val="toc 1"/>
    <w:basedOn w:val="Normal"/>
    <w:next w:val="Normal"/>
    <w:autoRedefine/>
    <w:uiPriority w:val="39"/>
    <w:unhideWhenUsed/>
    <w:rsid w:val="00946BF1"/>
    <w:pPr>
      <w:spacing w:after="100"/>
    </w:pPr>
  </w:style>
  <w:style w:type="paragraph" w:styleId="TOC2">
    <w:name w:val="toc 2"/>
    <w:basedOn w:val="Normal"/>
    <w:next w:val="Normal"/>
    <w:autoRedefine/>
    <w:uiPriority w:val="39"/>
    <w:unhideWhenUsed/>
    <w:rsid w:val="00946BF1"/>
    <w:pPr>
      <w:spacing w:after="100"/>
      <w:ind w:left="220"/>
    </w:pPr>
  </w:style>
  <w:style w:type="paragraph" w:styleId="ListParagraph">
    <w:name w:val="List Paragraph"/>
    <w:basedOn w:val="Normal"/>
    <w:uiPriority w:val="34"/>
    <w:qFormat/>
    <w:rsid w:val="003A49C8"/>
    <w:pPr>
      <w:ind w:left="720"/>
      <w:contextualSpacing/>
    </w:pPr>
  </w:style>
  <w:style w:type="character" w:customStyle="1" w:styleId="Heading9Char">
    <w:name w:val="Heading 9 Char"/>
    <w:basedOn w:val="DefaultParagraphFont"/>
    <w:link w:val="Heading9"/>
    <w:uiPriority w:val="9"/>
    <w:semiHidden/>
    <w:rsid w:val="0055486E"/>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nurses.co.uk/blog/the-complex-costs-of-failing-to-retain-nhs-staff/" TargetMode="External"/><Relationship Id="rId3" Type="http://schemas.openxmlformats.org/officeDocument/2006/relationships/styles" Target="styles.xml"/><Relationship Id="rId21" Type="http://schemas.openxmlformats.org/officeDocument/2006/relationships/hyperlink" Target="https://www.perkbox.com/uk/platform/medical/5-ways-to-reduce-absenteeism"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s://journals.openedition.org/osb/3216?lang=e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hyperlink" Target="https://www.clutejournals.com/index.php/IBER/article/view/967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svg"/><Relationship Id="rId19" Type="http://schemas.openxmlformats.org/officeDocument/2006/relationships/hyperlink" Target="https://www.ceeol.com/search/article-detail?id=57213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www.aihr.com/blog/absentee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9FCCC-F39D-4931-A9C9-5AF03E956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3637</Words>
  <Characters>20732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Liliana Costache</cp:lastModifiedBy>
  <cp:revision>4</cp:revision>
  <dcterms:created xsi:type="dcterms:W3CDTF">2022-03-10T03:50:00Z</dcterms:created>
  <dcterms:modified xsi:type="dcterms:W3CDTF">2022-04-03T14:37:00Z</dcterms:modified>
</cp:coreProperties>
</file>