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F03E0" w14:textId="77777777" w:rsidR="00FD6E33" w:rsidRDefault="00FD6E33" w:rsidP="00FD6E33">
      <w:pPr>
        <w:jc w:val="center"/>
        <w:rPr>
          <w:b/>
          <w:bCs/>
        </w:rPr>
      </w:pPr>
    </w:p>
    <w:p w14:paraId="5DC5213F" w14:textId="77777777" w:rsidR="00B94182" w:rsidRDefault="00B94182" w:rsidP="00E36E83">
      <w:pPr>
        <w:jc w:val="center"/>
        <w:rPr>
          <w:b/>
          <w:bCs/>
          <w:sz w:val="32"/>
          <w:szCs w:val="32"/>
        </w:rPr>
      </w:pPr>
    </w:p>
    <w:p w14:paraId="13FA4C4C" w14:textId="77777777" w:rsidR="008B2D7E" w:rsidRPr="008B2D7E" w:rsidRDefault="003A171C" w:rsidP="008B2D7E">
      <w:pPr>
        <w:jc w:val="center"/>
        <w:rPr>
          <w:rFonts w:ascii="Arial" w:hAnsi="Arial" w:cs="Arial"/>
          <w:b/>
          <w:bCs/>
          <w:sz w:val="32"/>
          <w:szCs w:val="32"/>
        </w:rPr>
      </w:pPr>
      <w:r w:rsidRPr="008B2D7E">
        <w:rPr>
          <w:rFonts w:ascii="Arial" w:hAnsi="Arial" w:cs="Arial"/>
          <w:b/>
          <w:bCs/>
          <w:sz w:val="32"/>
          <w:szCs w:val="32"/>
        </w:rPr>
        <w:t>Work Based Research</w:t>
      </w:r>
      <w:r w:rsidR="008B2D7E">
        <w:rPr>
          <w:rFonts w:ascii="Arial" w:hAnsi="Arial" w:cs="Arial"/>
          <w:b/>
          <w:bCs/>
          <w:sz w:val="32"/>
          <w:szCs w:val="32"/>
        </w:rPr>
        <w:t xml:space="preserve">: </w:t>
      </w:r>
      <w:r w:rsidR="008B2D7E" w:rsidRPr="008B2D7E">
        <w:rPr>
          <w:rFonts w:ascii="Arial" w:hAnsi="Arial" w:cs="Arial"/>
          <w:b/>
          <w:bCs/>
          <w:sz w:val="32"/>
          <w:szCs w:val="32"/>
        </w:rPr>
        <w:t>BMPF7006</w:t>
      </w:r>
    </w:p>
    <w:p w14:paraId="05FDA235" w14:textId="044DC346" w:rsidR="003A171C" w:rsidRPr="008B2D7E" w:rsidRDefault="003A171C" w:rsidP="008B2D7E">
      <w:pPr>
        <w:rPr>
          <w:rFonts w:ascii="Arial" w:hAnsi="Arial" w:cs="Arial"/>
          <w:b/>
          <w:bCs/>
          <w:sz w:val="32"/>
          <w:szCs w:val="32"/>
        </w:rPr>
      </w:pPr>
    </w:p>
    <w:p w14:paraId="6E447A9B" w14:textId="77777777" w:rsidR="003A171C" w:rsidRPr="008B2D7E" w:rsidRDefault="003A171C" w:rsidP="003A171C">
      <w:pPr>
        <w:jc w:val="center"/>
        <w:rPr>
          <w:rFonts w:ascii="Arial" w:hAnsi="Arial" w:cs="Arial"/>
          <w:b/>
          <w:bCs/>
          <w:sz w:val="32"/>
          <w:szCs w:val="32"/>
        </w:rPr>
      </w:pPr>
    </w:p>
    <w:p w14:paraId="61F19F46" w14:textId="77777777" w:rsidR="005337EB" w:rsidRDefault="003A171C" w:rsidP="003A171C">
      <w:pPr>
        <w:spacing w:before="120" w:after="120"/>
        <w:jc w:val="center"/>
        <w:rPr>
          <w:rFonts w:ascii="Arial" w:hAnsi="Arial" w:cs="Arial"/>
          <w:b/>
          <w:bCs/>
          <w:sz w:val="32"/>
          <w:szCs w:val="32"/>
        </w:rPr>
      </w:pPr>
      <w:r w:rsidRPr="008B2D7E">
        <w:rPr>
          <w:rFonts w:ascii="Arial" w:hAnsi="Arial" w:cs="Arial"/>
          <w:b/>
          <w:bCs/>
          <w:sz w:val="32"/>
          <w:szCs w:val="32"/>
        </w:rPr>
        <w:t>Component One</w:t>
      </w:r>
    </w:p>
    <w:p w14:paraId="542084B8" w14:textId="2A92EF43" w:rsidR="003A171C" w:rsidRDefault="008B2D7E" w:rsidP="003A171C">
      <w:pPr>
        <w:spacing w:before="120" w:after="120"/>
        <w:jc w:val="center"/>
        <w:rPr>
          <w:rFonts w:ascii="Arial" w:hAnsi="Arial" w:cs="Arial"/>
          <w:b/>
          <w:sz w:val="32"/>
          <w:szCs w:val="32"/>
        </w:rPr>
      </w:pPr>
      <w:r w:rsidRPr="008B2D7E">
        <w:rPr>
          <w:rFonts w:ascii="Arial" w:hAnsi="Arial" w:cs="Arial"/>
          <w:b/>
          <w:bCs/>
          <w:sz w:val="32"/>
          <w:szCs w:val="32"/>
        </w:rPr>
        <w:t>Critical Evaluation of Work-Based Research</w:t>
      </w:r>
      <w:r w:rsidRPr="008B2D7E">
        <w:rPr>
          <w:rFonts w:ascii="Arial" w:hAnsi="Arial" w:cs="Arial"/>
          <w:b/>
          <w:sz w:val="32"/>
          <w:szCs w:val="32"/>
        </w:rPr>
        <w:t> </w:t>
      </w:r>
    </w:p>
    <w:p w14:paraId="586E62DE" w14:textId="77777777" w:rsidR="005337EB" w:rsidRPr="005337EB" w:rsidRDefault="005337EB" w:rsidP="003A171C">
      <w:pPr>
        <w:spacing w:before="120" w:after="120"/>
        <w:jc w:val="center"/>
        <w:rPr>
          <w:rFonts w:ascii="Arial" w:hAnsi="Arial" w:cs="Arial"/>
          <w:b/>
          <w:bCs/>
          <w:i/>
          <w:iCs/>
          <w:sz w:val="28"/>
          <w:szCs w:val="28"/>
        </w:rPr>
      </w:pPr>
    </w:p>
    <w:p w14:paraId="61B1FE8B" w14:textId="047EF371" w:rsidR="005337EB" w:rsidRPr="005337EB" w:rsidRDefault="005337EB" w:rsidP="003A171C">
      <w:pPr>
        <w:spacing w:before="120" w:after="120"/>
        <w:jc w:val="center"/>
        <w:rPr>
          <w:rFonts w:ascii="Arial" w:hAnsi="Arial" w:cs="Arial"/>
          <w:b/>
          <w:bCs/>
          <w:i/>
          <w:iCs/>
          <w:sz w:val="28"/>
          <w:szCs w:val="28"/>
        </w:rPr>
      </w:pPr>
      <w:r w:rsidRPr="005337EB">
        <w:rPr>
          <w:rFonts w:ascii="Arial" w:hAnsi="Arial" w:cs="Arial"/>
          <w:b/>
          <w:bCs/>
          <w:i/>
          <w:iCs/>
          <w:sz w:val="28"/>
          <w:szCs w:val="28"/>
        </w:rPr>
        <w:t>Using your organisation as a case study, critically evaluate the variety of methodological approaches, research designs, and methods that can be employed to collect data within your work environment.</w:t>
      </w:r>
    </w:p>
    <w:p w14:paraId="7E905CC8" w14:textId="77777777" w:rsidR="003A171C" w:rsidRPr="008B2D7E" w:rsidRDefault="003A171C" w:rsidP="003A171C">
      <w:pPr>
        <w:jc w:val="center"/>
        <w:rPr>
          <w:rFonts w:ascii="Arial" w:hAnsi="Arial" w:cs="Arial"/>
          <w:b/>
          <w:bCs/>
          <w:sz w:val="32"/>
          <w:szCs w:val="32"/>
        </w:rPr>
      </w:pPr>
      <w:r w:rsidRPr="008B2D7E">
        <w:rPr>
          <w:rFonts w:ascii="Arial" w:hAnsi="Arial" w:cs="Arial"/>
          <w:b/>
          <w:bCs/>
          <w:sz w:val="32"/>
          <w:szCs w:val="32"/>
        </w:rPr>
        <w:t xml:space="preserve"> </w:t>
      </w:r>
    </w:p>
    <w:p w14:paraId="034471FA" w14:textId="77777777" w:rsidR="003A171C" w:rsidRPr="008B2D7E" w:rsidRDefault="003A171C" w:rsidP="003A171C">
      <w:pPr>
        <w:jc w:val="center"/>
        <w:rPr>
          <w:rFonts w:ascii="Arial" w:hAnsi="Arial" w:cs="Arial"/>
          <w:b/>
          <w:bCs/>
          <w:sz w:val="32"/>
          <w:szCs w:val="32"/>
        </w:rPr>
      </w:pPr>
    </w:p>
    <w:p w14:paraId="2E739D6A" w14:textId="77777777" w:rsidR="008B2D7E" w:rsidRPr="008B2D7E" w:rsidRDefault="008B2D7E" w:rsidP="008B2D7E">
      <w:pPr>
        <w:jc w:val="center"/>
        <w:rPr>
          <w:rFonts w:ascii="Arial" w:hAnsi="Arial" w:cs="Arial"/>
          <w:b/>
          <w:bCs/>
          <w:sz w:val="32"/>
          <w:szCs w:val="32"/>
        </w:rPr>
      </w:pPr>
    </w:p>
    <w:p w14:paraId="4F84D386" w14:textId="77777777" w:rsidR="008B2D7E" w:rsidRPr="008B2D7E" w:rsidRDefault="008B2D7E" w:rsidP="008B2D7E">
      <w:pPr>
        <w:jc w:val="center"/>
        <w:rPr>
          <w:rFonts w:ascii="Arial" w:hAnsi="Arial" w:cs="Arial"/>
          <w:b/>
          <w:bCs/>
          <w:sz w:val="32"/>
          <w:szCs w:val="32"/>
        </w:rPr>
      </w:pPr>
    </w:p>
    <w:p w14:paraId="2BCC166B" w14:textId="77777777" w:rsidR="008B2D7E" w:rsidRPr="008B2D7E" w:rsidRDefault="008B2D7E" w:rsidP="008B2D7E">
      <w:pPr>
        <w:jc w:val="center"/>
        <w:rPr>
          <w:rFonts w:ascii="Arial" w:hAnsi="Arial" w:cs="Arial"/>
          <w:b/>
          <w:bCs/>
          <w:sz w:val="32"/>
          <w:szCs w:val="32"/>
        </w:rPr>
      </w:pPr>
    </w:p>
    <w:p w14:paraId="3A816573" w14:textId="77777777" w:rsidR="00FD6E33" w:rsidRPr="008B2D7E" w:rsidRDefault="00FD6E33" w:rsidP="00FD6E33">
      <w:pPr>
        <w:jc w:val="center"/>
        <w:rPr>
          <w:rFonts w:ascii="Arial" w:hAnsi="Arial" w:cs="Arial"/>
          <w:b/>
          <w:bCs/>
          <w:sz w:val="32"/>
          <w:szCs w:val="32"/>
        </w:rPr>
      </w:pPr>
    </w:p>
    <w:p w14:paraId="35CC032A" w14:textId="77777777" w:rsidR="00E36E83" w:rsidRPr="008B2D7E" w:rsidRDefault="00E36E83" w:rsidP="00FD6E33">
      <w:pPr>
        <w:jc w:val="center"/>
        <w:rPr>
          <w:rFonts w:ascii="Arial" w:hAnsi="Arial" w:cs="Arial"/>
          <w:sz w:val="32"/>
          <w:szCs w:val="32"/>
        </w:rPr>
      </w:pPr>
    </w:p>
    <w:p w14:paraId="3B992CC1" w14:textId="7240AA23" w:rsidR="00FD6E33" w:rsidRPr="008B2D7E" w:rsidRDefault="00FD6E33" w:rsidP="00FD6E33">
      <w:pPr>
        <w:jc w:val="center"/>
        <w:rPr>
          <w:rFonts w:ascii="Arial" w:hAnsi="Arial" w:cs="Arial"/>
          <w:b/>
          <w:bCs/>
          <w:sz w:val="32"/>
          <w:szCs w:val="32"/>
        </w:rPr>
      </w:pPr>
      <w:r w:rsidRPr="008B2D7E">
        <w:rPr>
          <w:rFonts w:ascii="Arial" w:hAnsi="Arial" w:cs="Arial"/>
          <w:b/>
          <w:bCs/>
          <w:sz w:val="32"/>
          <w:szCs w:val="32"/>
        </w:rPr>
        <w:t>Anna Gray</w:t>
      </w:r>
    </w:p>
    <w:p w14:paraId="400DEFAD" w14:textId="77777777" w:rsidR="00FD6E33" w:rsidRPr="008B2D7E" w:rsidRDefault="00FD6E33" w:rsidP="00FD6E33">
      <w:pPr>
        <w:jc w:val="center"/>
        <w:rPr>
          <w:rFonts w:ascii="Arial" w:hAnsi="Arial" w:cs="Arial"/>
          <w:b/>
          <w:bCs/>
          <w:sz w:val="32"/>
          <w:szCs w:val="32"/>
        </w:rPr>
      </w:pPr>
    </w:p>
    <w:p w14:paraId="206656B4" w14:textId="710EC8BD" w:rsidR="00FD6E33" w:rsidRPr="008B2D7E" w:rsidRDefault="00FD6E33" w:rsidP="00FD6E33">
      <w:pPr>
        <w:jc w:val="center"/>
        <w:rPr>
          <w:rFonts w:ascii="Arial" w:hAnsi="Arial" w:cs="Arial"/>
          <w:b/>
          <w:bCs/>
          <w:sz w:val="32"/>
          <w:szCs w:val="32"/>
        </w:rPr>
      </w:pPr>
      <w:r w:rsidRPr="008B2D7E">
        <w:rPr>
          <w:rFonts w:ascii="Arial" w:hAnsi="Arial" w:cs="Arial"/>
          <w:b/>
          <w:bCs/>
          <w:sz w:val="32"/>
          <w:szCs w:val="32"/>
        </w:rPr>
        <w:t>Student No: 2128988</w:t>
      </w:r>
    </w:p>
    <w:p w14:paraId="19CD94FD" w14:textId="77777777" w:rsidR="00B94182" w:rsidRPr="008B2D7E" w:rsidRDefault="00B94182" w:rsidP="00FD6E33">
      <w:pPr>
        <w:jc w:val="center"/>
        <w:rPr>
          <w:rFonts w:ascii="Arial" w:hAnsi="Arial" w:cs="Arial"/>
          <w:b/>
          <w:bCs/>
          <w:sz w:val="32"/>
          <w:szCs w:val="32"/>
        </w:rPr>
      </w:pPr>
    </w:p>
    <w:p w14:paraId="7850F867" w14:textId="2BC523D4" w:rsidR="00B94182" w:rsidRPr="008B2D7E" w:rsidRDefault="00B94182" w:rsidP="00FD6E33">
      <w:pPr>
        <w:jc w:val="center"/>
        <w:rPr>
          <w:rFonts w:ascii="Arial" w:hAnsi="Arial" w:cs="Arial"/>
          <w:b/>
          <w:bCs/>
          <w:sz w:val="32"/>
          <w:szCs w:val="32"/>
        </w:rPr>
      </w:pPr>
      <w:r w:rsidRPr="008B2D7E">
        <w:rPr>
          <w:rFonts w:ascii="Arial" w:hAnsi="Arial" w:cs="Arial"/>
          <w:b/>
          <w:bCs/>
          <w:sz w:val="32"/>
          <w:szCs w:val="32"/>
        </w:rPr>
        <w:t>Word Count 2</w:t>
      </w:r>
      <w:r w:rsidR="00D300DB">
        <w:rPr>
          <w:rFonts w:ascii="Arial" w:hAnsi="Arial" w:cs="Arial"/>
          <w:b/>
          <w:bCs/>
          <w:sz w:val="32"/>
          <w:szCs w:val="32"/>
        </w:rPr>
        <w:t>6</w:t>
      </w:r>
      <w:r w:rsidR="000161F9">
        <w:rPr>
          <w:rFonts w:ascii="Arial" w:hAnsi="Arial" w:cs="Arial"/>
          <w:b/>
          <w:bCs/>
          <w:sz w:val="32"/>
          <w:szCs w:val="32"/>
        </w:rPr>
        <w:t>78</w:t>
      </w:r>
    </w:p>
    <w:p w14:paraId="7CEE3816" w14:textId="77777777" w:rsidR="00FD6E33" w:rsidRDefault="00FD6E33" w:rsidP="00FD6E33">
      <w:pPr>
        <w:jc w:val="center"/>
      </w:pPr>
    </w:p>
    <w:p w14:paraId="23CAD1EA" w14:textId="77777777" w:rsidR="007254AD" w:rsidRDefault="007254AD" w:rsidP="008B2D7E">
      <w:pPr>
        <w:rPr>
          <w:b/>
          <w:bCs/>
        </w:rPr>
      </w:pPr>
    </w:p>
    <w:p w14:paraId="7A9135C4" w14:textId="0C39E31F" w:rsidR="00FD6E33" w:rsidRDefault="00FD6E33" w:rsidP="00C1388A">
      <w:pPr>
        <w:jc w:val="center"/>
        <w:rPr>
          <w:b/>
          <w:bCs/>
        </w:rPr>
      </w:pPr>
      <w:r w:rsidRPr="00FD6E33">
        <w:rPr>
          <w:b/>
          <w:bCs/>
        </w:rPr>
        <w:lastRenderedPageBreak/>
        <w:t>Contents</w:t>
      </w:r>
    </w:p>
    <w:p w14:paraId="0CF7C744" w14:textId="77777777" w:rsidR="00487D00" w:rsidRDefault="00487D00" w:rsidP="00FD6E33">
      <w:pPr>
        <w:rPr>
          <w:b/>
          <w:bCs/>
        </w:rPr>
      </w:pPr>
    </w:p>
    <w:tbl>
      <w:tblPr>
        <w:tblW w:w="0" w:type="auto"/>
        <w:tblCellSpacing w:w="15" w:type="dxa"/>
        <w:tblInd w:w="675" w:type="dxa"/>
        <w:tblBorders>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6266"/>
        <w:gridCol w:w="1559"/>
      </w:tblGrid>
      <w:tr w:rsidR="00675CDC" w:rsidRPr="00675CDC" w14:paraId="17F45818" w14:textId="77777777" w:rsidTr="00AA70EA">
        <w:trPr>
          <w:tblHeader/>
          <w:tblCellSpacing w:w="15" w:type="dxa"/>
        </w:trPr>
        <w:tc>
          <w:tcPr>
            <w:tcW w:w="6221" w:type="dxa"/>
            <w:shd w:val="clear" w:color="auto" w:fill="DAE9F7" w:themeFill="text2" w:themeFillTint="1A"/>
            <w:vAlign w:val="center"/>
            <w:hideMark/>
          </w:tcPr>
          <w:p w14:paraId="7E832EFF" w14:textId="77777777" w:rsidR="00675CDC" w:rsidRPr="00675CDC" w:rsidRDefault="00675CDC" w:rsidP="004441AD">
            <w:pPr>
              <w:jc w:val="center"/>
              <w:rPr>
                <w:b/>
                <w:bCs/>
              </w:rPr>
            </w:pPr>
            <w:r w:rsidRPr="00675CDC">
              <w:rPr>
                <w:b/>
                <w:bCs/>
              </w:rPr>
              <w:t>Description</w:t>
            </w:r>
          </w:p>
        </w:tc>
        <w:tc>
          <w:tcPr>
            <w:tcW w:w="1514" w:type="dxa"/>
            <w:shd w:val="clear" w:color="auto" w:fill="DAE9F7" w:themeFill="text2" w:themeFillTint="1A"/>
            <w:vAlign w:val="center"/>
            <w:hideMark/>
          </w:tcPr>
          <w:p w14:paraId="09AEF4DC" w14:textId="77777777" w:rsidR="00675CDC" w:rsidRPr="00675CDC" w:rsidRDefault="00675CDC" w:rsidP="004441AD">
            <w:pPr>
              <w:jc w:val="center"/>
              <w:rPr>
                <w:b/>
                <w:bCs/>
              </w:rPr>
            </w:pPr>
            <w:r w:rsidRPr="00675CDC">
              <w:rPr>
                <w:b/>
                <w:bCs/>
              </w:rPr>
              <w:t>Page Number</w:t>
            </w:r>
          </w:p>
        </w:tc>
      </w:tr>
      <w:tr w:rsidR="00675CDC" w:rsidRPr="00675CDC" w14:paraId="63A0D01D" w14:textId="77777777" w:rsidTr="00AA70EA">
        <w:trPr>
          <w:tblCellSpacing w:w="15" w:type="dxa"/>
        </w:trPr>
        <w:tc>
          <w:tcPr>
            <w:tcW w:w="6221" w:type="dxa"/>
            <w:vAlign w:val="center"/>
            <w:hideMark/>
          </w:tcPr>
          <w:p w14:paraId="13E43EBA" w14:textId="7C6391E6" w:rsidR="00675CDC" w:rsidRPr="00675CDC" w:rsidRDefault="00675CDC" w:rsidP="00675CDC">
            <w:r w:rsidRPr="00675CDC">
              <w:t>Introduction</w:t>
            </w:r>
          </w:p>
        </w:tc>
        <w:tc>
          <w:tcPr>
            <w:tcW w:w="1514" w:type="dxa"/>
            <w:vAlign w:val="center"/>
            <w:hideMark/>
          </w:tcPr>
          <w:p w14:paraId="36472D47" w14:textId="77777777" w:rsidR="00675CDC" w:rsidRPr="00675CDC" w:rsidRDefault="00675CDC" w:rsidP="003447FA">
            <w:pPr>
              <w:jc w:val="center"/>
            </w:pPr>
            <w:r w:rsidRPr="00675CDC">
              <w:t>3–4</w:t>
            </w:r>
          </w:p>
        </w:tc>
      </w:tr>
      <w:tr w:rsidR="00E0646E" w:rsidRPr="00675CDC" w14:paraId="5096BB1F" w14:textId="77777777" w:rsidTr="00AA70EA">
        <w:trPr>
          <w:tblCellSpacing w:w="15" w:type="dxa"/>
        </w:trPr>
        <w:tc>
          <w:tcPr>
            <w:tcW w:w="6221" w:type="dxa"/>
            <w:vAlign w:val="center"/>
            <w:hideMark/>
          </w:tcPr>
          <w:p w14:paraId="723F93E4" w14:textId="1CAFA6BA" w:rsidR="00E0646E" w:rsidRPr="00675CDC" w:rsidRDefault="00E0646E" w:rsidP="00675CDC">
            <w:r w:rsidRPr="00675CDC">
              <w:t>Methodological Approaches and Ethical Considerations</w:t>
            </w:r>
          </w:p>
          <w:p w14:paraId="2B5CC1C7" w14:textId="482D61A6" w:rsidR="00E0646E" w:rsidRPr="00675CDC" w:rsidRDefault="00E0646E" w:rsidP="00E0646E">
            <w:pPr>
              <w:ind w:left="720"/>
            </w:pPr>
          </w:p>
        </w:tc>
        <w:tc>
          <w:tcPr>
            <w:tcW w:w="1514" w:type="dxa"/>
            <w:vAlign w:val="center"/>
            <w:hideMark/>
          </w:tcPr>
          <w:p w14:paraId="2082AF95" w14:textId="18D0CFDE" w:rsidR="00E0646E" w:rsidRPr="00675CDC" w:rsidRDefault="00E0646E" w:rsidP="003447FA">
            <w:pPr>
              <w:jc w:val="center"/>
            </w:pPr>
            <w:r w:rsidRPr="00675CDC">
              <w:t>4–1</w:t>
            </w:r>
            <w:r w:rsidR="00DD239A">
              <w:t>0</w:t>
            </w:r>
          </w:p>
        </w:tc>
      </w:tr>
      <w:tr w:rsidR="00E0646E" w:rsidRPr="00675CDC" w14:paraId="5B0850A0" w14:textId="77777777" w:rsidTr="00AA70EA">
        <w:trPr>
          <w:tblCellSpacing w:w="15" w:type="dxa"/>
        </w:trPr>
        <w:tc>
          <w:tcPr>
            <w:tcW w:w="6221" w:type="dxa"/>
            <w:vAlign w:val="center"/>
            <w:hideMark/>
          </w:tcPr>
          <w:p w14:paraId="7D6F60B5" w14:textId="77777777" w:rsidR="00DD239A" w:rsidRPr="00675CDC" w:rsidRDefault="00DD239A" w:rsidP="00DD239A">
            <w:pPr>
              <w:ind w:left="720"/>
            </w:pPr>
            <w:r w:rsidRPr="00675CDC">
              <w:t>2.1 Research Design</w:t>
            </w:r>
          </w:p>
          <w:p w14:paraId="419585DA" w14:textId="112076A8" w:rsidR="00E0646E" w:rsidRPr="00675CDC" w:rsidRDefault="00E0646E" w:rsidP="00675CDC"/>
        </w:tc>
        <w:tc>
          <w:tcPr>
            <w:tcW w:w="1514" w:type="dxa"/>
            <w:vAlign w:val="center"/>
            <w:hideMark/>
          </w:tcPr>
          <w:p w14:paraId="203CE420" w14:textId="44842C86" w:rsidR="00E0646E" w:rsidRPr="00675CDC" w:rsidRDefault="00E0646E" w:rsidP="003447FA">
            <w:pPr>
              <w:jc w:val="center"/>
            </w:pPr>
            <w:r w:rsidRPr="00675CDC">
              <w:t>4</w:t>
            </w:r>
          </w:p>
        </w:tc>
      </w:tr>
      <w:tr w:rsidR="00E0646E" w:rsidRPr="00675CDC" w14:paraId="67DAD46A" w14:textId="77777777" w:rsidTr="00AA70EA">
        <w:trPr>
          <w:tblCellSpacing w:w="15" w:type="dxa"/>
        </w:trPr>
        <w:tc>
          <w:tcPr>
            <w:tcW w:w="6221" w:type="dxa"/>
            <w:vAlign w:val="center"/>
            <w:hideMark/>
          </w:tcPr>
          <w:p w14:paraId="558103DC" w14:textId="77777777" w:rsidR="00DD239A" w:rsidRPr="00675CDC" w:rsidRDefault="00DD239A" w:rsidP="00DD239A">
            <w:pPr>
              <w:ind w:left="720"/>
            </w:pPr>
            <w:r w:rsidRPr="00675CDC">
              <w:t>2.1.1 Insider Research and Ethical Considerations</w:t>
            </w:r>
          </w:p>
          <w:p w14:paraId="690A0262" w14:textId="05B4C796" w:rsidR="00E0646E" w:rsidRPr="00675CDC" w:rsidRDefault="00E0646E" w:rsidP="00675CDC"/>
        </w:tc>
        <w:tc>
          <w:tcPr>
            <w:tcW w:w="1514" w:type="dxa"/>
            <w:vAlign w:val="center"/>
            <w:hideMark/>
          </w:tcPr>
          <w:p w14:paraId="400A57E5" w14:textId="0D07097E" w:rsidR="00E0646E" w:rsidRPr="00675CDC" w:rsidRDefault="00EB36C3" w:rsidP="003447FA">
            <w:pPr>
              <w:jc w:val="center"/>
            </w:pPr>
            <w:r>
              <w:t>4</w:t>
            </w:r>
            <w:r w:rsidR="00DD239A">
              <w:t>-6</w:t>
            </w:r>
          </w:p>
        </w:tc>
      </w:tr>
      <w:tr w:rsidR="00E0646E" w:rsidRPr="00675CDC" w14:paraId="59FD80B0" w14:textId="77777777" w:rsidTr="00AA70EA">
        <w:trPr>
          <w:tblCellSpacing w:w="15" w:type="dxa"/>
        </w:trPr>
        <w:tc>
          <w:tcPr>
            <w:tcW w:w="6221" w:type="dxa"/>
            <w:vAlign w:val="center"/>
            <w:hideMark/>
          </w:tcPr>
          <w:p w14:paraId="07E4EB8E" w14:textId="77777777" w:rsidR="00DD239A" w:rsidRPr="00675CDC" w:rsidRDefault="00DD239A" w:rsidP="00DD239A">
            <w:pPr>
              <w:ind w:left="720"/>
            </w:pPr>
            <w:r w:rsidRPr="00675CDC">
              <w:t>2.1.2 Qualitative Approach</w:t>
            </w:r>
          </w:p>
          <w:p w14:paraId="5113D9BF" w14:textId="5756073D" w:rsidR="00E0646E" w:rsidRPr="00675CDC" w:rsidRDefault="00E0646E" w:rsidP="00675CDC"/>
        </w:tc>
        <w:tc>
          <w:tcPr>
            <w:tcW w:w="1514" w:type="dxa"/>
            <w:vAlign w:val="center"/>
            <w:hideMark/>
          </w:tcPr>
          <w:p w14:paraId="01955C2B" w14:textId="4A1A8C70" w:rsidR="00E0646E" w:rsidRPr="00675CDC" w:rsidRDefault="00DD239A" w:rsidP="003447FA">
            <w:pPr>
              <w:jc w:val="center"/>
            </w:pPr>
            <w:r>
              <w:t>6-</w:t>
            </w:r>
            <w:r w:rsidR="00EB36C3">
              <w:t>8</w:t>
            </w:r>
          </w:p>
        </w:tc>
      </w:tr>
      <w:tr w:rsidR="00E0646E" w:rsidRPr="00675CDC" w14:paraId="2486C8F9" w14:textId="77777777" w:rsidTr="00AA70EA">
        <w:trPr>
          <w:tblCellSpacing w:w="15" w:type="dxa"/>
        </w:trPr>
        <w:tc>
          <w:tcPr>
            <w:tcW w:w="6221" w:type="dxa"/>
            <w:vAlign w:val="center"/>
            <w:hideMark/>
          </w:tcPr>
          <w:p w14:paraId="43BF2543" w14:textId="77777777" w:rsidR="00DD239A" w:rsidRPr="00675CDC" w:rsidRDefault="00DD239A" w:rsidP="00DD239A">
            <w:pPr>
              <w:ind w:left="720"/>
            </w:pPr>
            <w:r w:rsidRPr="00675CDC">
              <w:t>2.1.3 Quantitative Approach</w:t>
            </w:r>
          </w:p>
          <w:p w14:paraId="6D3EBA13" w14:textId="66543794" w:rsidR="00E0646E" w:rsidRPr="00675CDC" w:rsidRDefault="00E0646E" w:rsidP="00675CDC"/>
        </w:tc>
        <w:tc>
          <w:tcPr>
            <w:tcW w:w="1514" w:type="dxa"/>
            <w:vAlign w:val="center"/>
            <w:hideMark/>
          </w:tcPr>
          <w:p w14:paraId="1A7563EA" w14:textId="77777777" w:rsidR="00E0646E" w:rsidRPr="00675CDC" w:rsidRDefault="00E0646E" w:rsidP="003447FA">
            <w:pPr>
              <w:jc w:val="center"/>
            </w:pPr>
            <w:r w:rsidRPr="00675CDC">
              <w:t>8–9</w:t>
            </w:r>
          </w:p>
        </w:tc>
      </w:tr>
      <w:tr w:rsidR="00E0646E" w:rsidRPr="00675CDC" w14:paraId="78242984" w14:textId="77777777" w:rsidTr="00AA70EA">
        <w:trPr>
          <w:tblCellSpacing w:w="15" w:type="dxa"/>
        </w:trPr>
        <w:tc>
          <w:tcPr>
            <w:tcW w:w="6221" w:type="dxa"/>
            <w:vAlign w:val="center"/>
            <w:hideMark/>
          </w:tcPr>
          <w:p w14:paraId="61D8BE70" w14:textId="5CF2E0C9" w:rsidR="00E0646E" w:rsidRPr="00675CDC" w:rsidRDefault="00DD239A" w:rsidP="00675CDC">
            <w:r>
              <w:t xml:space="preserve">               </w:t>
            </w:r>
            <w:r w:rsidRPr="00675CDC">
              <w:t>2.1.4 Methodological Justification</w:t>
            </w:r>
          </w:p>
        </w:tc>
        <w:tc>
          <w:tcPr>
            <w:tcW w:w="1514" w:type="dxa"/>
            <w:vAlign w:val="center"/>
            <w:hideMark/>
          </w:tcPr>
          <w:p w14:paraId="530EC18D" w14:textId="5467F063" w:rsidR="00E0646E" w:rsidRPr="00675CDC" w:rsidRDefault="00E0646E" w:rsidP="003447FA">
            <w:pPr>
              <w:jc w:val="center"/>
            </w:pPr>
            <w:r w:rsidRPr="00675CDC">
              <w:t>9–1</w:t>
            </w:r>
            <w:r w:rsidR="00B22CC0">
              <w:t>1</w:t>
            </w:r>
          </w:p>
        </w:tc>
      </w:tr>
      <w:tr w:rsidR="00675CDC" w:rsidRPr="00675CDC" w14:paraId="77561306" w14:textId="77777777" w:rsidTr="00AA70EA">
        <w:trPr>
          <w:tblCellSpacing w:w="15" w:type="dxa"/>
        </w:trPr>
        <w:tc>
          <w:tcPr>
            <w:tcW w:w="6221" w:type="dxa"/>
            <w:vAlign w:val="center"/>
            <w:hideMark/>
          </w:tcPr>
          <w:p w14:paraId="1E59B15B" w14:textId="77777777" w:rsidR="00675CDC" w:rsidRPr="00675CDC" w:rsidRDefault="00675CDC" w:rsidP="00675CDC">
            <w:r w:rsidRPr="00675CDC">
              <w:t>Conclusion</w:t>
            </w:r>
          </w:p>
        </w:tc>
        <w:tc>
          <w:tcPr>
            <w:tcW w:w="1514" w:type="dxa"/>
            <w:vAlign w:val="center"/>
            <w:hideMark/>
          </w:tcPr>
          <w:p w14:paraId="71F5A208" w14:textId="308F214C" w:rsidR="00675CDC" w:rsidRPr="00675CDC" w:rsidRDefault="00E0646E" w:rsidP="003447FA">
            <w:pPr>
              <w:jc w:val="center"/>
            </w:pPr>
            <w:r>
              <w:t>1</w:t>
            </w:r>
            <w:r w:rsidR="00B22CC0">
              <w:t>1</w:t>
            </w:r>
            <w:r w:rsidR="00462400">
              <w:t>-1</w:t>
            </w:r>
            <w:r w:rsidR="00B22CC0">
              <w:t>2</w:t>
            </w:r>
          </w:p>
        </w:tc>
      </w:tr>
      <w:tr w:rsidR="00675CDC" w:rsidRPr="00675CDC" w14:paraId="6449D0D1" w14:textId="77777777" w:rsidTr="00AA70EA">
        <w:trPr>
          <w:tblCellSpacing w:w="15" w:type="dxa"/>
        </w:trPr>
        <w:tc>
          <w:tcPr>
            <w:tcW w:w="6221" w:type="dxa"/>
            <w:vAlign w:val="center"/>
            <w:hideMark/>
          </w:tcPr>
          <w:p w14:paraId="3C24D2C7" w14:textId="77777777" w:rsidR="00675CDC" w:rsidRPr="00675CDC" w:rsidRDefault="00675CDC" w:rsidP="00675CDC">
            <w:r w:rsidRPr="00675CDC">
              <w:t>Recommendations</w:t>
            </w:r>
          </w:p>
        </w:tc>
        <w:tc>
          <w:tcPr>
            <w:tcW w:w="1514" w:type="dxa"/>
            <w:vAlign w:val="center"/>
            <w:hideMark/>
          </w:tcPr>
          <w:p w14:paraId="6BB6F109" w14:textId="75E36904" w:rsidR="00675CDC" w:rsidRPr="00675CDC" w:rsidRDefault="00877655" w:rsidP="003447FA">
            <w:pPr>
              <w:jc w:val="center"/>
            </w:pPr>
            <w:r>
              <w:t>1</w:t>
            </w:r>
            <w:r w:rsidR="00B22CC0">
              <w:t>2</w:t>
            </w:r>
          </w:p>
        </w:tc>
      </w:tr>
      <w:tr w:rsidR="00675CDC" w:rsidRPr="00675CDC" w14:paraId="4CCE8D4B" w14:textId="77777777" w:rsidTr="00AA70EA">
        <w:trPr>
          <w:tblCellSpacing w:w="15" w:type="dxa"/>
        </w:trPr>
        <w:tc>
          <w:tcPr>
            <w:tcW w:w="6221" w:type="dxa"/>
            <w:vAlign w:val="center"/>
            <w:hideMark/>
          </w:tcPr>
          <w:p w14:paraId="7EDCC727" w14:textId="77777777" w:rsidR="00675CDC" w:rsidRPr="00675CDC" w:rsidRDefault="00675CDC" w:rsidP="00675CDC">
            <w:r w:rsidRPr="00675CDC">
              <w:t>References</w:t>
            </w:r>
          </w:p>
        </w:tc>
        <w:tc>
          <w:tcPr>
            <w:tcW w:w="1514" w:type="dxa"/>
            <w:vAlign w:val="center"/>
            <w:hideMark/>
          </w:tcPr>
          <w:p w14:paraId="76D10C37" w14:textId="65989848" w:rsidR="00675CDC" w:rsidRPr="00675CDC" w:rsidRDefault="00675CDC" w:rsidP="003447FA">
            <w:pPr>
              <w:jc w:val="center"/>
            </w:pPr>
            <w:r w:rsidRPr="00675CDC">
              <w:t>1</w:t>
            </w:r>
            <w:r w:rsidR="00B22CC0">
              <w:t>3</w:t>
            </w:r>
            <w:r w:rsidR="00E32D95">
              <w:t>-1</w:t>
            </w:r>
            <w:r w:rsidR="00B22CC0">
              <w:t>5</w:t>
            </w:r>
          </w:p>
        </w:tc>
      </w:tr>
    </w:tbl>
    <w:p w14:paraId="771A7B06" w14:textId="77777777" w:rsidR="00FD6E33" w:rsidRDefault="00FD6E33" w:rsidP="00FD6E33">
      <w:pPr>
        <w:rPr>
          <w:b/>
          <w:bCs/>
        </w:rPr>
      </w:pPr>
    </w:p>
    <w:p w14:paraId="5472A785" w14:textId="77777777" w:rsidR="00FD6E33" w:rsidRDefault="00FD6E33" w:rsidP="00FD6E33">
      <w:pPr>
        <w:rPr>
          <w:b/>
          <w:bCs/>
        </w:rPr>
      </w:pPr>
    </w:p>
    <w:p w14:paraId="62AA984B" w14:textId="77777777" w:rsidR="00FD6E33" w:rsidRDefault="00FD6E33" w:rsidP="00FD6E33">
      <w:pPr>
        <w:rPr>
          <w:b/>
          <w:bCs/>
        </w:rPr>
      </w:pPr>
    </w:p>
    <w:p w14:paraId="5A329BD7" w14:textId="77777777" w:rsidR="00FD6E33" w:rsidRDefault="00FD6E33" w:rsidP="00FD6E33">
      <w:pPr>
        <w:rPr>
          <w:b/>
          <w:bCs/>
        </w:rPr>
      </w:pPr>
    </w:p>
    <w:p w14:paraId="023D67AE" w14:textId="77777777" w:rsidR="00FD6E33" w:rsidRDefault="00FD6E33" w:rsidP="00FD6E33">
      <w:pPr>
        <w:rPr>
          <w:b/>
          <w:bCs/>
        </w:rPr>
      </w:pPr>
    </w:p>
    <w:p w14:paraId="290A6850" w14:textId="77777777" w:rsidR="00FD6E33" w:rsidRDefault="00FD6E33" w:rsidP="00FD6E33">
      <w:pPr>
        <w:rPr>
          <w:b/>
          <w:bCs/>
        </w:rPr>
      </w:pPr>
    </w:p>
    <w:p w14:paraId="20E15128" w14:textId="77777777" w:rsidR="00FD6E33" w:rsidRDefault="00FD6E33" w:rsidP="00FD6E33">
      <w:pPr>
        <w:rPr>
          <w:b/>
          <w:bCs/>
        </w:rPr>
      </w:pPr>
    </w:p>
    <w:p w14:paraId="50680C6B" w14:textId="77777777" w:rsidR="00FD6E33" w:rsidRDefault="00FD6E33" w:rsidP="00FD6E33">
      <w:pPr>
        <w:rPr>
          <w:b/>
          <w:bCs/>
        </w:rPr>
      </w:pPr>
    </w:p>
    <w:p w14:paraId="26CAC641" w14:textId="77777777" w:rsidR="00FD6E33" w:rsidRDefault="00FD6E33" w:rsidP="00FD6E33">
      <w:pPr>
        <w:rPr>
          <w:b/>
          <w:bCs/>
        </w:rPr>
      </w:pPr>
    </w:p>
    <w:p w14:paraId="42B24AC5" w14:textId="77777777" w:rsidR="00DA7A87" w:rsidRDefault="00DA7A87" w:rsidP="00FD6E33">
      <w:pPr>
        <w:rPr>
          <w:b/>
          <w:bCs/>
        </w:rPr>
      </w:pPr>
    </w:p>
    <w:p w14:paraId="75A9A1F0" w14:textId="77777777" w:rsidR="00DA7A87" w:rsidRDefault="00DA7A87" w:rsidP="00FD6E33">
      <w:pPr>
        <w:rPr>
          <w:b/>
          <w:bCs/>
        </w:rPr>
      </w:pPr>
    </w:p>
    <w:p w14:paraId="586CF5ED" w14:textId="77777777" w:rsidR="003447FA" w:rsidRDefault="003447FA" w:rsidP="00FD6E33">
      <w:pPr>
        <w:rPr>
          <w:b/>
          <w:bCs/>
        </w:rPr>
      </w:pPr>
    </w:p>
    <w:p w14:paraId="4AE20E7C" w14:textId="77777777" w:rsidR="005337EB" w:rsidRPr="00D80B40" w:rsidRDefault="005337EB" w:rsidP="005337EB">
      <w:pPr>
        <w:jc w:val="center"/>
        <w:rPr>
          <w:rFonts w:ascii="Arial" w:hAnsi="Arial" w:cs="Arial"/>
          <w:b/>
          <w:bCs/>
        </w:rPr>
      </w:pPr>
      <w:r w:rsidRPr="00D80B40">
        <w:rPr>
          <w:rFonts w:ascii="Arial" w:hAnsi="Arial" w:cs="Arial"/>
          <w:b/>
          <w:bCs/>
        </w:rPr>
        <w:lastRenderedPageBreak/>
        <w:t>Assessing Workforce Redesign Capability Within Hywel Dda University Health Board: A Mixed-Methods Study of Managers' Skills, Knowledge and Confidence in Workforce Transformation</w:t>
      </w:r>
    </w:p>
    <w:p w14:paraId="1C5B7A23" w14:textId="77777777" w:rsidR="00D44222" w:rsidRDefault="00D44222" w:rsidP="003A4AE2">
      <w:pPr>
        <w:spacing w:line="360" w:lineRule="auto"/>
        <w:rPr>
          <w:rFonts w:ascii="Arial" w:hAnsi="Arial" w:cs="Arial"/>
          <w:b/>
          <w:bCs/>
        </w:rPr>
      </w:pPr>
    </w:p>
    <w:p w14:paraId="3618DF81" w14:textId="573EB967" w:rsidR="00FD6E33" w:rsidRPr="003A4AE2" w:rsidRDefault="00FD6E33" w:rsidP="003A4AE2">
      <w:pPr>
        <w:spacing w:line="360" w:lineRule="auto"/>
        <w:rPr>
          <w:rFonts w:ascii="Arial" w:hAnsi="Arial" w:cs="Arial"/>
          <w:b/>
          <w:bCs/>
        </w:rPr>
      </w:pPr>
      <w:r w:rsidRPr="003A4AE2">
        <w:rPr>
          <w:rFonts w:ascii="Arial" w:hAnsi="Arial" w:cs="Arial"/>
          <w:b/>
          <w:bCs/>
        </w:rPr>
        <w:t xml:space="preserve">Introduction </w:t>
      </w:r>
    </w:p>
    <w:p w14:paraId="0978C260" w14:textId="6ED63997" w:rsidR="00BB7539" w:rsidRPr="00BB7539" w:rsidRDefault="00BB7539" w:rsidP="00BB7539">
      <w:pPr>
        <w:spacing w:line="360" w:lineRule="auto"/>
        <w:rPr>
          <w:rFonts w:ascii="Arial" w:hAnsi="Arial" w:cs="Arial"/>
        </w:rPr>
      </w:pPr>
      <w:r w:rsidRPr="00BB7539">
        <w:rPr>
          <w:rFonts w:ascii="Arial" w:hAnsi="Arial" w:cs="Arial"/>
        </w:rPr>
        <w:t>Workforce redesign is a strategic priority across NHS Wales</w:t>
      </w:r>
      <w:r w:rsidR="00D80B40">
        <w:rPr>
          <w:rFonts w:ascii="Arial" w:hAnsi="Arial" w:cs="Arial"/>
        </w:rPr>
        <w:t xml:space="preserve">, </w:t>
      </w:r>
      <w:r w:rsidRPr="00BB7539">
        <w:rPr>
          <w:rFonts w:ascii="Arial" w:hAnsi="Arial" w:cs="Arial"/>
        </w:rPr>
        <w:t>respon</w:t>
      </w:r>
      <w:r w:rsidR="00CB7BFE">
        <w:rPr>
          <w:rFonts w:ascii="Arial" w:hAnsi="Arial" w:cs="Arial"/>
        </w:rPr>
        <w:t>ding</w:t>
      </w:r>
      <w:r w:rsidRPr="00BB7539">
        <w:rPr>
          <w:rFonts w:ascii="Arial" w:hAnsi="Arial" w:cs="Arial"/>
        </w:rPr>
        <w:t xml:space="preserve"> to growing demand, workforce shortages, and the need to improve productivity and service sustainability (Welsh Government, 2025; </w:t>
      </w:r>
      <w:r w:rsidR="000D5071">
        <w:rPr>
          <w:rFonts w:ascii="Arial" w:hAnsi="Arial" w:cs="Arial"/>
        </w:rPr>
        <w:t>Welsh Government</w:t>
      </w:r>
      <w:r w:rsidRPr="00BB7539">
        <w:rPr>
          <w:rFonts w:ascii="Arial" w:hAnsi="Arial" w:cs="Arial"/>
        </w:rPr>
        <w:t>, 2020). National policy emphasise</w:t>
      </w:r>
      <w:r w:rsidR="00CB7BFE">
        <w:rPr>
          <w:rFonts w:ascii="Arial" w:hAnsi="Arial" w:cs="Arial"/>
        </w:rPr>
        <w:t>s</w:t>
      </w:r>
      <w:r w:rsidRPr="00BB7539">
        <w:rPr>
          <w:rFonts w:ascii="Arial" w:hAnsi="Arial" w:cs="Arial"/>
        </w:rPr>
        <w:t xml:space="preserve"> workforce transformation, leadership and innovation </w:t>
      </w:r>
      <w:r w:rsidR="00B8306B">
        <w:rPr>
          <w:rFonts w:ascii="Arial" w:hAnsi="Arial" w:cs="Arial"/>
        </w:rPr>
        <w:t xml:space="preserve">as enablers of </w:t>
      </w:r>
      <w:r w:rsidRPr="00BB7539">
        <w:rPr>
          <w:rFonts w:ascii="Arial" w:hAnsi="Arial" w:cs="Arial"/>
        </w:rPr>
        <w:t>future healthcare needs (HEIW, 2024). Despite this, organisations across Wales face challenges in developing workforce planning capability and leadership capacity to deliver sustainable redesign (Audit Wales, 2023).</w:t>
      </w:r>
    </w:p>
    <w:p w14:paraId="78C59272" w14:textId="65D62414" w:rsidR="00BB7539" w:rsidRPr="00BB7539" w:rsidRDefault="00BB7539" w:rsidP="00BB7539">
      <w:pPr>
        <w:spacing w:line="360" w:lineRule="auto"/>
        <w:rPr>
          <w:rFonts w:ascii="Arial" w:hAnsi="Arial" w:cs="Arial"/>
        </w:rPr>
      </w:pPr>
      <w:r w:rsidRPr="00BB7539">
        <w:rPr>
          <w:rFonts w:ascii="Arial" w:hAnsi="Arial" w:cs="Arial"/>
        </w:rPr>
        <w:t xml:space="preserve">Within Hywel Dda University Health Board (HDUHB), workforce sustainability is a strategic priority, reflected </w:t>
      </w:r>
      <w:r w:rsidRPr="008E2E68">
        <w:rPr>
          <w:rFonts w:ascii="Arial" w:hAnsi="Arial" w:cs="Arial"/>
        </w:rPr>
        <w:t>in A Healthier Mid and West Wales</w:t>
      </w:r>
      <w:r w:rsidRPr="00BB7539">
        <w:rPr>
          <w:rFonts w:ascii="Arial" w:hAnsi="Arial" w:cs="Arial"/>
        </w:rPr>
        <w:t xml:space="preserve"> (Hywel Dda University Health Board, 20</w:t>
      </w:r>
      <w:r w:rsidR="00624899">
        <w:rPr>
          <w:rFonts w:ascii="Arial" w:hAnsi="Arial" w:cs="Arial"/>
        </w:rPr>
        <w:t>19</w:t>
      </w:r>
      <w:r w:rsidRPr="00BB7539">
        <w:rPr>
          <w:rFonts w:ascii="Arial" w:hAnsi="Arial" w:cs="Arial"/>
        </w:rPr>
        <w:t>). Audit Wales (2023) identified opportunities to strengthen workforce planning arrangements, highlighting the need for evidence-informed workforce planning capability and transformation.</w:t>
      </w:r>
    </w:p>
    <w:p w14:paraId="4E901ABF" w14:textId="68AE69C5" w:rsidR="00BB7539" w:rsidRPr="00BB7539" w:rsidRDefault="00BB7539" w:rsidP="00BB7539">
      <w:pPr>
        <w:spacing w:line="360" w:lineRule="auto"/>
        <w:rPr>
          <w:rFonts w:ascii="Arial" w:hAnsi="Arial" w:cs="Arial"/>
        </w:rPr>
      </w:pPr>
      <w:r w:rsidRPr="00BB7539">
        <w:rPr>
          <w:rFonts w:ascii="Arial" w:hAnsi="Arial" w:cs="Arial"/>
        </w:rPr>
        <w:t>This study addresses challenges in understanding whether leaders possess the skills</w:t>
      </w:r>
      <w:r w:rsidR="00F269F3">
        <w:rPr>
          <w:rFonts w:ascii="Arial" w:hAnsi="Arial" w:cs="Arial"/>
        </w:rPr>
        <w:t xml:space="preserve"> and </w:t>
      </w:r>
      <w:r w:rsidRPr="00BB7539">
        <w:rPr>
          <w:rFonts w:ascii="Arial" w:hAnsi="Arial" w:cs="Arial"/>
        </w:rPr>
        <w:t>confidence required to undertake workforce redesign within HDUHB. Successful redesign depends upon managers developing new roles</w:t>
      </w:r>
      <w:r w:rsidR="00F269F3">
        <w:rPr>
          <w:rFonts w:ascii="Arial" w:hAnsi="Arial" w:cs="Arial"/>
        </w:rPr>
        <w:t xml:space="preserve"> </w:t>
      </w:r>
      <w:r w:rsidRPr="00BB7539">
        <w:rPr>
          <w:rFonts w:ascii="Arial" w:hAnsi="Arial" w:cs="Arial"/>
        </w:rPr>
        <w:t>and supporting organisational transformation, yet building a skilled, agile and resilient workforce remains a significant challenge (NHS Employers, 2026; NHS England, 2023).</w:t>
      </w:r>
    </w:p>
    <w:p w14:paraId="095EEAA1" w14:textId="77777777" w:rsidR="00BB7539" w:rsidRPr="00BB7539" w:rsidRDefault="00BB7539" w:rsidP="00BB7539">
      <w:pPr>
        <w:spacing w:line="360" w:lineRule="auto"/>
        <w:rPr>
          <w:rFonts w:ascii="Arial" w:hAnsi="Arial" w:cs="Arial"/>
        </w:rPr>
      </w:pPr>
      <w:r w:rsidRPr="00BB7539">
        <w:rPr>
          <w:rFonts w:ascii="Arial" w:hAnsi="Arial" w:cs="Arial"/>
        </w:rPr>
        <w:t>A mixed-methods approach is adopted to explore managers’ experiences whilst examining measurable indicators of workforce redesign capability through surveys and training records. Whilst Heideggerian phenomenology informs the qualitative component, the overall design reflects a pragmatic stance (Johnson &amp; Onwuegbuzie, 2004). Quantitative evidence complements participants’ accounts, enabling workforce redesign capability to be examined from both experiential and organisational perspectives.</w:t>
      </w:r>
    </w:p>
    <w:p w14:paraId="195BE2C8" w14:textId="4A1C928C" w:rsidR="00BB7539" w:rsidRPr="00BB7539" w:rsidRDefault="00BB7539" w:rsidP="00BB7539">
      <w:pPr>
        <w:spacing w:line="360" w:lineRule="auto"/>
        <w:rPr>
          <w:rFonts w:ascii="Arial" w:hAnsi="Arial" w:cs="Arial"/>
        </w:rPr>
      </w:pPr>
      <w:r w:rsidRPr="00BB7539">
        <w:rPr>
          <w:rFonts w:ascii="Arial" w:hAnsi="Arial" w:cs="Arial"/>
        </w:rPr>
        <w:t xml:space="preserve">Healthcare managers play a critical role in organisational change, workforce transformation and service improvement. However, leadership capability, management capacity and workforce planning expertise are not consistently </w:t>
      </w:r>
      <w:r w:rsidRPr="00BB7539">
        <w:rPr>
          <w:rFonts w:ascii="Arial" w:hAnsi="Arial" w:cs="Arial"/>
        </w:rPr>
        <w:lastRenderedPageBreak/>
        <w:t>developed</w:t>
      </w:r>
      <w:r w:rsidR="00864CCE">
        <w:rPr>
          <w:rFonts w:ascii="Arial" w:hAnsi="Arial" w:cs="Arial"/>
        </w:rPr>
        <w:t xml:space="preserve">, often </w:t>
      </w:r>
      <w:r w:rsidRPr="00BB7539">
        <w:rPr>
          <w:rFonts w:ascii="Arial" w:hAnsi="Arial" w:cs="Arial"/>
        </w:rPr>
        <w:t>shaped by organisational context, experience and access to development opportunities (Hartviksen et al., 2019; HEIW, 2024). Furthermore, compassionate and inclusive leadership is recognised as fundamental to fostering cultures that support innovation and improvement (West, 2021). Understanding workforce redesign capability can therefore inform leadership development and workforce transformation within HDUHB.</w:t>
      </w:r>
    </w:p>
    <w:p w14:paraId="7517C049" w14:textId="110407D1" w:rsidR="00BB7539" w:rsidRPr="00BB7539" w:rsidRDefault="00BB7539" w:rsidP="00BB7539">
      <w:pPr>
        <w:spacing w:line="360" w:lineRule="auto"/>
        <w:rPr>
          <w:rFonts w:ascii="Arial" w:hAnsi="Arial" w:cs="Arial"/>
        </w:rPr>
      </w:pPr>
      <w:r w:rsidRPr="00BB7539">
        <w:rPr>
          <w:rFonts w:ascii="Arial" w:hAnsi="Arial" w:cs="Arial"/>
        </w:rPr>
        <w:t>Conducted by a Workforce Planning Project Manager within HDUHB, the study adopts a reflexive insider-research approach. Reflective journalling, transparent reporting and audit trails will enhance rigour, credibility and trustworthiness by ensuring interpretations remain grounded in participant experiences (Finlay, 2002; Nowell et al., 2017; Bryman, 2021)</w:t>
      </w:r>
      <w:r w:rsidR="00FA698D">
        <w:rPr>
          <w:rFonts w:ascii="Arial" w:hAnsi="Arial" w:cs="Arial"/>
        </w:rPr>
        <w:t>.</w:t>
      </w:r>
    </w:p>
    <w:p w14:paraId="6E7BE08A" w14:textId="4DB5FB7F" w:rsidR="00FD6E33" w:rsidRPr="003A4AE2" w:rsidRDefault="00B94182" w:rsidP="003A4AE2">
      <w:pPr>
        <w:spacing w:line="360" w:lineRule="auto"/>
        <w:rPr>
          <w:rFonts w:ascii="Arial" w:hAnsi="Arial" w:cs="Arial"/>
          <w:b/>
          <w:bCs/>
        </w:rPr>
      </w:pPr>
      <w:r w:rsidRPr="003A4AE2">
        <w:rPr>
          <w:rFonts w:ascii="Arial" w:hAnsi="Arial" w:cs="Arial"/>
          <w:b/>
          <w:bCs/>
        </w:rPr>
        <w:t>Methodological Approaches and Ethical Considerations</w:t>
      </w:r>
    </w:p>
    <w:p w14:paraId="3C18D5CD" w14:textId="55FA1DB4" w:rsidR="00487D00" w:rsidRPr="003A4AE2" w:rsidRDefault="009D3874" w:rsidP="003A4AE2">
      <w:pPr>
        <w:spacing w:line="360" w:lineRule="auto"/>
        <w:rPr>
          <w:rFonts w:ascii="Arial" w:hAnsi="Arial" w:cs="Arial"/>
        </w:rPr>
      </w:pPr>
      <w:r w:rsidRPr="009D3874">
        <w:rPr>
          <w:rFonts w:ascii="Arial" w:hAnsi="Arial" w:cs="Arial"/>
        </w:rPr>
        <w:t>This section critically evaluates the methodological approaches considered for this study and examines the ethical implications of conducting research within H</w:t>
      </w:r>
      <w:r w:rsidR="00B25222" w:rsidRPr="003A4AE2">
        <w:rPr>
          <w:rFonts w:ascii="Arial" w:hAnsi="Arial" w:cs="Arial"/>
        </w:rPr>
        <w:t>DUHB</w:t>
      </w:r>
      <w:r w:rsidRPr="009D3874">
        <w:rPr>
          <w:rFonts w:ascii="Arial" w:hAnsi="Arial" w:cs="Arial"/>
        </w:rPr>
        <w:t>. It provides a rationale for the research design by comparing qualitative and quantitative methods</w:t>
      </w:r>
      <w:r w:rsidR="00133263" w:rsidRPr="003A4AE2">
        <w:rPr>
          <w:rFonts w:ascii="Arial" w:hAnsi="Arial" w:cs="Arial"/>
        </w:rPr>
        <w:t xml:space="preserve">, whilst </w:t>
      </w:r>
      <w:r w:rsidRPr="009D3874">
        <w:rPr>
          <w:rFonts w:ascii="Arial" w:hAnsi="Arial" w:cs="Arial"/>
        </w:rPr>
        <w:t>assessing their suitability for addressing the research question and managing the challenges associated with insider research.</w:t>
      </w:r>
    </w:p>
    <w:p w14:paraId="3B97284B" w14:textId="4910F619" w:rsidR="009D3874" w:rsidRPr="009D3874" w:rsidRDefault="009D3874" w:rsidP="003A4AE2">
      <w:pPr>
        <w:spacing w:line="360" w:lineRule="auto"/>
        <w:rPr>
          <w:rFonts w:ascii="Arial" w:hAnsi="Arial" w:cs="Arial"/>
        </w:rPr>
      </w:pPr>
      <w:r w:rsidRPr="009D3874">
        <w:rPr>
          <w:rFonts w:ascii="Arial" w:hAnsi="Arial" w:cs="Arial"/>
          <w:i/>
          <w:iCs/>
        </w:rPr>
        <w:t xml:space="preserve">2.1 </w:t>
      </w:r>
      <w:r w:rsidR="0003228F" w:rsidRPr="003A4AE2">
        <w:rPr>
          <w:rFonts w:ascii="Arial" w:hAnsi="Arial" w:cs="Arial"/>
          <w:i/>
          <w:iCs/>
        </w:rPr>
        <w:t>Research Design</w:t>
      </w:r>
    </w:p>
    <w:p w14:paraId="43494611" w14:textId="6CD3E7F5" w:rsidR="006B1B86" w:rsidRPr="002705E0" w:rsidRDefault="009D3874" w:rsidP="003A4AE2">
      <w:pPr>
        <w:spacing w:line="360" w:lineRule="auto"/>
        <w:rPr>
          <w:rFonts w:ascii="Arial" w:eastAsia="Times New Roman" w:hAnsi="Arial" w:cs="Arial"/>
          <w:kern w:val="0"/>
          <w:lang w:eastAsia="en-GB"/>
          <w14:ligatures w14:val="none"/>
        </w:rPr>
      </w:pPr>
      <w:r w:rsidRPr="009D3874">
        <w:rPr>
          <w:rFonts w:ascii="Arial" w:hAnsi="Arial" w:cs="Arial"/>
        </w:rPr>
        <w:t>The purpose of this study is to explore managers' skills, knowledge and confidence in undertaking workforce redesign. Given the focus on individual experiences</w:t>
      </w:r>
      <w:r w:rsidR="00133263" w:rsidRPr="003A4AE2">
        <w:rPr>
          <w:rFonts w:ascii="Arial" w:hAnsi="Arial" w:cs="Arial"/>
        </w:rPr>
        <w:t xml:space="preserve"> and </w:t>
      </w:r>
      <w:r w:rsidRPr="009D3874">
        <w:rPr>
          <w:rFonts w:ascii="Arial" w:hAnsi="Arial" w:cs="Arial"/>
        </w:rPr>
        <w:t xml:space="preserve">perceptions, consideration must be given to both the methodological approach and the ethical implications of conducting research within the researcher's </w:t>
      </w:r>
      <w:r w:rsidR="00133263" w:rsidRPr="003A4AE2">
        <w:rPr>
          <w:rFonts w:ascii="Arial" w:hAnsi="Arial" w:cs="Arial"/>
        </w:rPr>
        <w:t>employing</w:t>
      </w:r>
      <w:r w:rsidRPr="009D3874">
        <w:rPr>
          <w:rFonts w:ascii="Arial" w:hAnsi="Arial" w:cs="Arial"/>
        </w:rPr>
        <w:t xml:space="preserve"> organisation.</w:t>
      </w:r>
      <w:r w:rsidR="00133263" w:rsidRPr="003A4AE2">
        <w:rPr>
          <w:rFonts w:ascii="Arial" w:eastAsia="Times New Roman" w:hAnsi="Arial" w:cs="Arial"/>
          <w:kern w:val="0"/>
          <w:lang w:eastAsia="en-GB"/>
          <w14:ligatures w14:val="none"/>
        </w:rPr>
        <w:t xml:space="preserve"> </w:t>
      </w:r>
    </w:p>
    <w:p w14:paraId="40CFBC66" w14:textId="7155F95D" w:rsidR="009D3874" w:rsidRPr="009D3874" w:rsidRDefault="00133263" w:rsidP="003A4AE2">
      <w:pPr>
        <w:spacing w:line="360" w:lineRule="auto"/>
        <w:rPr>
          <w:rFonts w:ascii="Arial" w:hAnsi="Arial" w:cs="Arial"/>
          <w:i/>
          <w:iCs/>
        </w:rPr>
      </w:pPr>
      <w:r w:rsidRPr="003A4AE2">
        <w:rPr>
          <w:rFonts w:ascii="Arial" w:hAnsi="Arial" w:cs="Arial"/>
          <w:i/>
          <w:iCs/>
        </w:rPr>
        <w:t>2.</w:t>
      </w:r>
      <w:r w:rsidR="006A78DB" w:rsidRPr="003A4AE2">
        <w:rPr>
          <w:rFonts w:ascii="Arial" w:hAnsi="Arial" w:cs="Arial"/>
          <w:i/>
          <w:iCs/>
        </w:rPr>
        <w:t>1.1</w:t>
      </w:r>
      <w:r w:rsidRPr="003A4AE2">
        <w:rPr>
          <w:rFonts w:ascii="Arial" w:hAnsi="Arial" w:cs="Arial"/>
          <w:i/>
          <w:iCs/>
        </w:rPr>
        <w:t xml:space="preserve"> </w:t>
      </w:r>
      <w:r w:rsidR="009D3874" w:rsidRPr="009D3874">
        <w:rPr>
          <w:rFonts w:ascii="Arial" w:hAnsi="Arial" w:cs="Arial"/>
          <w:i/>
          <w:iCs/>
        </w:rPr>
        <w:t>Insider Research and Ethical Considerations</w:t>
      </w:r>
    </w:p>
    <w:p w14:paraId="0540AC4A" w14:textId="77777777" w:rsidR="002E3451" w:rsidRPr="002E3451" w:rsidRDefault="00BC2357" w:rsidP="002E3451">
      <w:pPr>
        <w:spacing w:line="360" w:lineRule="auto"/>
        <w:rPr>
          <w:rFonts w:ascii="Arial" w:hAnsi="Arial" w:cs="Arial"/>
        </w:rPr>
      </w:pPr>
      <w:r w:rsidRPr="00BC2357">
        <w:rPr>
          <w:rFonts w:ascii="Arial" w:hAnsi="Arial" w:cs="Arial"/>
        </w:rPr>
        <w:t xml:space="preserve">Insider research occurs when a researcher investigates a setting in which they are already a member (Brannick &amp; Coghlan, 2007). As the researcher is employed by the Health Board as a Workforce Planning Project Manager and is actively involved in workforce redesign activities, this study is situated within an insider research context. This positioning offers advantages, including enhanced access to participants, organisational processes, and contextual understanding of workforce planning, strategic priorities, and workforce transformation initiatives. </w:t>
      </w:r>
      <w:r w:rsidR="00FE5F71" w:rsidRPr="00FE5F71">
        <w:rPr>
          <w:rFonts w:ascii="Arial" w:hAnsi="Arial" w:cs="Arial"/>
        </w:rPr>
        <w:t xml:space="preserve">However, it </w:t>
      </w:r>
      <w:r w:rsidR="00FE5F71" w:rsidRPr="00FE5F71">
        <w:rPr>
          <w:rFonts w:ascii="Arial" w:hAnsi="Arial" w:cs="Arial"/>
        </w:rPr>
        <w:lastRenderedPageBreak/>
        <w:t>also presents ethical and methodological challenges relating to bias, confidentiality, workplace relationships and conflicts of interest</w:t>
      </w:r>
      <w:r w:rsidRPr="00BC2357">
        <w:rPr>
          <w:rFonts w:ascii="Arial" w:hAnsi="Arial" w:cs="Arial"/>
        </w:rPr>
        <w:t xml:space="preserve">. </w:t>
      </w:r>
      <w:r w:rsidR="002E3451" w:rsidRPr="002E3451">
        <w:rPr>
          <w:rFonts w:ascii="Arial" w:hAnsi="Arial" w:cs="Arial"/>
        </w:rPr>
        <w:t>Consequently, careful consideration is required to promote methodological rigour, transparency and reflexive awareness, whilst maintaining professional boundaries and ethical standards throughout the research process. Participants may perceive the researcher as representing organisational interests and therefore be reluctant to express critical or divergent views regarding workforce redesign. Although participation would be voluntary and supported through informed consent, confidentiality and anonymity, these measures cannot eliminate the influence of organisational power dynamics. Consequently, the researcher will adopt a transparent and reflexive approach, critically examining how their professional role, prior experience and assumptions may influence both participant responses and the interpretation of findings. This is essential not only to address ethical and methodological risks, but also to foster psychological safety, encouraging openness and meaningful engagement without fear of negative consequences (Edmondson, 1999).</w:t>
      </w:r>
    </w:p>
    <w:p w14:paraId="1B99077E" w14:textId="0BFBB3A8" w:rsidR="003B2137" w:rsidRPr="003B2137" w:rsidRDefault="00133263" w:rsidP="003B2137">
      <w:pPr>
        <w:spacing w:line="360" w:lineRule="auto"/>
        <w:rPr>
          <w:rFonts w:ascii="Arial" w:eastAsia="Times New Roman" w:hAnsi="Arial" w:cs="Arial"/>
          <w:kern w:val="0"/>
          <w:lang w:eastAsia="en-GB"/>
          <w14:ligatures w14:val="none"/>
        </w:rPr>
      </w:pPr>
      <w:r w:rsidRPr="003A4AE2">
        <w:rPr>
          <w:rFonts w:ascii="Arial" w:hAnsi="Arial" w:cs="Arial"/>
        </w:rPr>
        <w:t xml:space="preserve">Findings would be reported </w:t>
      </w:r>
      <w:r w:rsidR="00E75274" w:rsidRPr="003A4AE2">
        <w:rPr>
          <w:rFonts w:ascii="Arial" w:hAnsi="Arial" w:cs="Arial"/>
        </w:rPr>
        <w:t xml:space="preserve">in </w:t>
      </w:r>
      <w:r w:rsidR="0012427B">
        <w:rPr>
          <w:rFonts w:ascii="Arial" w:hAnsi="Arial" w:cs="Arial"/>
        </w:rPr>
        <w:t>aggregate</w:t>
      </w:r>
      <w:r w:rsidRPr="003A4AE2">
        <w:rPr>
          <w:rFonts w:ascii="Arial" w:hAnsi="Arial" w:cs="Arial"/>
        </w:rPr>
        <w:t xml:space="preserve"> form to protect participant confidentiality and minimise the risk of identification.</w:t>
      </w:r>
      <w:r w:rsidR="008D668B" w:rsidRPr="003A4AE2">
        <w:rPr>
          <w:rFonts w:ascii="Arial" w:hAnsi="Arial" w:cs="Arial"/>
        </w:rPr>
        <w:t xml:space="preserve"> </w:t>
      </w:r>
      <w:r w:rsidR="003B2137" w:rsidRPr="003B2137">
        <w:rPr>
          <w:rFonts w:ascii="Arial" w:eastAsia="Times New Roman" w:hAnsi="Arial" w:cs="Arial"/>
          <w:kern w:val="0"/>
          <w:lang w:eastAsia="en-GB"/>
          <w14:ligatures w14:val="none"/>
        </w:rPr>
        <w:t>Whilst insider status may facilitate access, trust and contextual understanding, it also increases the risk that organisational assumptions and shared understandings remain insufficiently questioned (Brannick &amp; Coghlan, 2007). This creates the potential for bias during data collection and interpretation. However, insider researchers may be uniquely positioned to identify subtle organisational dynamics that could be overlooked by external researchers. Consequently, insider status should be viewed as both a methodological strength and a potential source of bias requiring ongoing reflexive management.</w:t>
      </w:r>
    </w:p>
    <w:p w14:paraId="7E7765DB" w14:textId="7A07D2CD" w:rsidR="00B17435" w:rsidRDefault="00DC5EF4" w:rsidP="003A4AE2">
      <w:pPr>
        <w:spacing w:line="360" w:lineRule="auto"/>
        <w:rPr>
          <w:rFonts w:ascii="Arial" w:hAnsi="Arial" w:cs="Arial"/>
        </w:rPr>
      </w:pPr>
      <w:r w:rsidRPr="003A4AE2">
        <w:rPr>
          <w:rFonts w:ascii="Arial" w:hAnsi="Arial" w:cs="Arial"/>
        </w:rPr>
        <w:t>Costle</w:t>
      </w:r>
      <w:r w:rsidR="00D57710" w:rsidRPr="003A4AE2">
        <w:rPr>
          <w:rFonts w:ascii="Arial" w:hAnsi="Arial" w:cs="Arial"/>
        </w:rPr>
        <w:t>y</w:t>
      </w:r>
      <w:r w:rsidRPr="003A4AE2">
        <w:rPr>
          <w:rFonts w:ascii="Arial" w:hAnsi="Arial" w:cs="Arial"/>
        </w:rPr>
        <w:t xml:space="preserve"> et al</w:t>
      </w:r>
      <w:r w:rsidR="007D1FDF">
        <w:rPr>
          <w:rFonts w:ascii="Arial" w:hAnsi="Arial" w:cs="Arial"/>
        </w:rPr>
        <w:t>.</w:t>
      </w:r>
      <w:r w:rsidRPr="003A4AE2">
        <w:rPr>
          <w:rFonts w:ascii="Arial" w:hAnsi="Arial" w:cs="Arial"/>
        </w:rPr>
        <w:t xml:space="preserve"> (2010) </w:t>
      </w:r>
      <w:r w:rsidR="00340A81">
        <w:rPr>
          <w:rFonts w:ascii="Arial" w:hAnsi="Arial" w:cs="Arial"/>
        </w:rPr>
        <w:t xml:space="preserve">argue that insider researchers must critically examine their </w:t>
      </w:r>
      <w:r w:rsidR="00FE51D6">
        <w:rPr>
          <w:rFonts w:ascii="Arial" w:hAnsi="Arial" w:cs="Arial"/>
        </w:rPr>
        <w:t xml:space="preserve">own ideological positioning, particularly if professional and research responsibilities cause overlap. </w:t>
      </w:r>
      <w:r w:rsidR="00B05C99" w:rsidRPr="003A4AE2">
        <w:rPr>
          <w:rFonts w:ascii="Arial" w:hAnsi="Arial" w:cs="Arial"/>
        </w:rPr>
        <w:t xml:space="preserve">This is critical in relation to this study, </w:t>
      </w:r>
      <w:r w:rsidR="003C6590" w:rsidRPr="003A4AE2">
        <w:rPr>
          <w:rFonts w:ascii="Arial" w:hAnsi="Arial" w:cs="Arial"/>
        </w:rPr>
        <w:t>acknowledg</w:t>
      </w:r>
      <w:r w:rsidR="000D2F06">
        <w:rPr>
          <w:rFonts w:ascii="Arial" w:hAnsi="Arial" w:cs="Arial"/>
        </w:rPr>
        <w:t>ing</w:t>
      </w:r>
      <w:r w:rsidR="003C6590" w:rsidRPr="003A4AE2">
        <w:rPr>
          <w:rFonts w:ascii="Arial" w:hAnsi="Arial" w:cs="Arial"/>
        </w:rPr>
        <w:t xml:space="preserve"> that e</w:t>
      </w:r>
      <w:r w:rsidR="009D3874" w:rsidRPr="009D3874">
        <w:rPr>
          <w:rFonts w:ascii="Arial" w:hAnsi="Arial" w:cs="Arial"/>
        </w:rPr>
        <w:t xml:space="preserve">thics in organisational research </w:t>
      </w:r>
      <w:r w:rsidR="00133263" w:rsidRPr="003A4AE2">
        <w:rPr>
          <w:rFonts w:ascii="Arial" w:hAnsi="Arial" w:cs="Arial"/>
        </w:rPr>
        <w:t xml:space="preserve">must </w:t>
      </w:r>
      <w:r w:rsidR="009D3874" w:rsidRPr="009D3874">
        <w:rPr>
          <w:rFonts w:ascii="Arial" w:hAnsi="Arial" w:cs="Arial"/>
        </w:rPr>
        <w:t xml:space="preserve">extend beyond protecting </w:t>
      </w:r>
      <w:r w:rsidR="00133263" w:rsidRPr="003A4AE2">
        <w:rPr>
          <w:rFonts w:ascii="Arial" w:hAnsi="Arial" w:cs="Arial"/>
        </w:rPr>
        <w:t xml:space="preserve">individual </w:t>
      </w:r>
      <w:r w:rsidR="009D3874" w:rsidRPr="009D3874">
        <w:rPr>
          <w:rFonts w:ascii="Arial" w:hAnsi="Arial" w:cs="Arial"/>
        </w:rPr>
        <w:t>participants</w:t>
      </w:r>
      <w:r w:rsidR="000D2F06">
        <w:rPr>
          <w:rFonts w:ascii="Arial" w:hAnsi="Arial" w:cs="Arial"/>
        </w:rPr>
        <w:t xml:space="preserve">, </w:t>
      </w:r>
      <w:r w:rsidR="00133263" w:rsidRPr="003A4AE2">
        <w:rPr>
          <w:rFonts w:ascii="Arial" w:hAnsi="Arial" w:cs="Arial"/>
        </w:rPr>
        <w:t>also seek</w:t>
      </w:r>
      <w:r w:rsidR="000D2F06">
        <w:rPr>
          <w:rFonts w:ascii="Arial" w:hAnsi="Arial" w:cs="Arial"/>
        </w:rPr>
        <w:t>ing</w:t>
      </w:r>
      <w:r w:rsidR="00133263" w:rsidRPr="003A4AE2">
        <w:rPr>
          <w:rFonts w:ascii="Arial" w:hAnsi="Arial" w:cs="Arial"/>
        </w:rPr>
        <w:t xml:space="preserve"> to</w:t>
      </w:r>
      <w:r w:rsidR="009D3874" w:rsidRPr="009D3874">
        <w:rPr>
          <w:rFonts w:ascii="Arial" w:hAnsi="Arial" w:cs="Arial"/>
        </w:rPr>
        <w:t xml:space="preserve"> </w:t>
      </w:r>
      <w:r w:rsidR="00E00F74">
        <w:rPr>
          <w:rFonts w:ascii="Arial" w:hAnsi="Arial" w:cs="Arial"/>
        </w:rPr>
        <w:t>encompass re</w:t>
      </w:r>
      <w:r w:rsidR="007A5B68">
        <w:rPr>
          <w:rFonts w:ascii="Arial" w:hAnsi="Arial" w:cs="Arial"/>
        </w:rPr>
        <w:t>sponsibilities towards the</w:t>
      </w:r>
      <w:r w:rsidR="009D3874" w:rsidRPr="009D3874">
        <w:rPr>
          <w:rFonts w:ascii="Arial" w:hAnsi="Arial" w:cs="Arial"/>
        </w:rPr>
        <w:t xml:space="preserve"> organisation</w:t>
      </w:r>
      <w:r w:rsidR="007A5B68">
        <w:rPr>
          <w:rFonts w:ascii="Arial" w:hAnsi="Arial" w:cs="Arial"/>
        </w:rPr>
        <w:t>,</w:t>
      </w:r>
      <w:r w:rsidR="009D3874" w:rsidRPr="009D3874">
        <w:rPr>
          <w:rFonts w:ascii="Arial" w:hAnsi="Arial" w:cs="Arial"/>
        </w:rPr>
        <w:t xml:space="preserve"> </w:t>
      </w:r>
      <w:r w:rsidR="00133263" w:rsidRPr="003A4AE2">
        <w:rPr>
          <w:rFonts w:ascii="Arial" w:hAnsi="Arial" w:cs="Arial"/>
        </w:rPr>
        <w:t xml:space="preserve">whilst </w:t>
      </w:r>
      <w:r w:rsidR="009D3874" w:rsidRPr="009D3874">
        <w:rPr>
          <w:rFonts w:ascii="Arial" w:hAnsi="Arial" w:cs="Arial"/>
        </w:rPr>
        <w:t>maintaining the integrity of the research process.</w:t>
      </w:r>
    </w:p>
    <w:p w14:paraId="76B4E5F8" w14:textId="77777777" w:rsidR="00D90F43" w:rsidRPr="00D90F43" w:rsidRDefault="00D90F43" w:rsidP="00D90F43">
      <w:pPr>
        <w:spacing w:line="360" w:lineRule="auto"/>
        <w:rPr>
          <w:rFonts w:ascii="Arial" w:hAnsi="Arial" w:cs="Arial"/>
        </w:rPr>
      </w:pPr>
      <w:r w:rsidRPr="00D90F43">
        <w:rPr>
          <w:rFonts w:ascii="Arial" w:hAnsi="Arial" w:cs="Arial"/>
        </w:rPr>
        <w:t xml:space="preserve">Workforce redesign in HDUHB may be perceived as a sensitive topic due to its association with service transformation, productivity and workforce utilisation, with </w:t>
      </w:r>
      <w:r w:rsidRPr="00D90F43">
        <w:rPr>
          <w:rFonts w:ascii="Arial" w:hAnsi="Arial" w:cs="Arial"/>
        </w:rPr>
        <w:lastRenderedPageBreak/>
        <w:t>potential implications for both staff and service users. Consequently, findings must be reported responsibly to ensure that neither individuals nor services can be identified. Prior to commencing the study, formal ethical approval would be sought from the relevant ethics committee alongside organisational approval from the Health Board, with consultation undertaken with Workforce and Organisational Development, Information Governance and relevant service leads. Participants would receive a Participant Information Sheet outlining the purpose of the study, confidentiality and consent arrangements, data protection requirements, and their right to withdraw at any stage.</w:t>
      </w:r>
    </w:p>
    <w:p w14:paraId="14E7578D" w14:textId="4253575D" w:rsidR="00D90F43" w:rsidRPr="00D90F43" w:rsidRDefault="00D90F43" w:rsidP="00D90F43">
      <w:pPr>
        <w:spacing w:line="360" w:lineRule="auto"/>
        <w:rPr>
          <w:rFonts w:ascii="Arial" w:hAnsi="Arial" w:cs="Arial"/>
        </w:rPr>
      </w:pPr>
      <w:r w:rsidRPr="00D90F43">
        <w:rPr>
          <w:rFonts w:ascii="Arial" w:hAnsi="Arial" w:cs="Arial"/>
        </w:rPr>
        <w:t>All data would be managed in accordance with data protection and information governance requirements and stored securely with access restricted to the researcher. Personally identifiable information would be removed during transcription and analysis, and data retained and destroyed in line with organisational policies to ensure confidentiality and minimise the risk of participant identification (Wiles et al., 2008; Kaiser, 2009; Mercer, 2007)</w:t>
      </w:r>
      <w:r>
        <w:rPr>
          <w:rFonts w:ascii="Arial" w:hAnsi="Arial" w:cs="Arial"/>
        </w:rPr>
        <w:t xml:space="preserve">. </w:t>
      </w:r>
    </w:p>
    <w:p w14:paraId="73AA8569" w14:textId="1539C941" w:rsidR="00D90F43" w:rsidRPr="003D7346" w:rsidRDefault="003D7346" w:rsidP="003A4AE2">
      <w:pPr>
        <w:spacing w:line="360" w:lineRule="auto"/>
        <w:rPr>
          <w:rFonts w:ascii="Arial" w:hAnsi="Arial" w:cs="Arial"/>
        </w:rPr>
      </w:pPr>
      <w:r w:rsidRPr="003D7346">
        <w:rPr>
          <w:rFonts w:ascii="Arial" w:hAnsi="Arial" w:cs="Arial"/>
        </w:rPr>
        <w:t xml:space="preserve">Consistent with Heideggerian phenomenology, the study recognises that understanding is shaped by prior experience and contextual knowledge rather than detached from them (Heidegger, 1962). Reflexive practice will therefore be embedded throughout the research through reflective journalling, critical self-evaluation and an audit trail to enhance transparency, </w:t>
      </w:r>
      <w:r w:rsidR="00205829">
        <w:rPr>
          <w:rFonts w:ascii="Arial" w:hAnsi="Arial" w:cs="Arial"/>
        </w:rPr>
        <w:t>critically examine the influence of the resea</w:t>
      </w:r>
      <w:r w:rsidR="00E138A4">
        <w:rPr>
          <w:rFonts w:ascii="Arial" w:hAnsi="Arial" w:cs="Arial"/>
        </w:rPr>
        <w:t>r</w:t>
      </w:r>
      <w:r w:rsidR="00205829">
        <w:rPr>
          <w:rFonts w:ascii="Arial" w:hAnsi="Arial" w:cs="Arial"/>
        </w:rPr>
        <w:t>cher’s assumptions</w:t>
      </w:r>
      <w:r w:rsidRPr="003D7346">
        <w:rPr>
          <w:rFonts w:ascii="Arial" w:hAnsi="Arial" w:cs="Arial"/>
        </w:rPr>
        <w:t xml:space="preserve"> and ensure findings remain grounded in participants’ accounts (Finlay, 2002; Nowell et al., 2017).</w:t>
      </w:r>
    </w:p>
    <w:p w14:paraId="0182A639" w14:textId="2D0ADACF" w:rsidR="009D3874" w:rsidRDefault="009D3874" w:rsidP="003A4AE2">
      <w:pPr>
        <w:spacing w:line="360" w:lineRule="auto"/>
        <w:rPr>
          <w:rFonts w:ascii="Arial" w:hAnsi="Arial" w:cs="Arial"/>
          <w:i/>
          <w:iCs/>
        </w:rPr>
      </w:pPr>
      <w:r w:rsidRPr="009D3874">
        <w:rPr>
          <w:rFonts w:ascii="Arial" w:hAnsi="Arial" w:cs="Arial"/>
          <w:i/>
          <w:iCs/>
        </w:rPr>
        <w:t>2.1.</w:t>
      </w:r>
      <w:r w:rsidR="006A78DB" w:rsidRPr="003A4AE2">
        <w:rPr>
          <w:rFonts w:ascii="Arial" w:hAnsi="Arial" w:cs="Arial"/>
          <w:i/>
          <w:iCs/>
        </w:rPr>
        <w:t>2</w:t>
      </w:r>
      <w:r w:rsidRPr="009D3874">
        <w:rPr>
          <w:rFonts w:ascii="Arial" w:hAnsi="Arial" w:cs="Arial"/>
          <w:i/>
          <w:iCs/>
        </w:rPr>
        <w:t xml:space="preserve"> Qualitative Approach</w:t>
      </w:r>
    </w:p>
    <w:p w14:paraId="4F5BF4C8" w14:textId="77777777" w:rsidR="006A425C" w:rsidRPr="006A425C" w:rsidRDefault="006A425C" w:rsidP="006A425C">
      <w:pPr>
        <w:spacing w:line="360" w:lineRule="auto"/>
        <w:rPr>
          <w:rFonts w:ascii="Arial" w:hAnsi="Arial" w:cs="Arial"/>
        </w:rPr>
      </w:pPr>
      <w:r w:rsidRPr="006A425C">
        <w:rPr>
          <w:rFonts w:ascii="Arial" w:hAnsi="Arial" w:cs="Arial"/>
        </w:rPr>
        <w:t>Qualitative research seeks to understand how individuals interpret and make sense of their experiences (Bryman, 2021). It is particularly suited to exploring complex organisational issues where lived experiences and perceptions are central to the research question. Whilst qualitative approaches may be criticised for limited transferability and reliance on researcher interpretation, these characteristics align with the aims of this study, which seeks to generate contextualised understanding rather than statistically generalisable findings. Consequently, depth of insight is prioritised over breadth of coverage when exploring workforce redesign capability.</w:t>
      </w:r>
    </w:p>
    <w:p w14:paraId="15CA8ACE" w14:textId="77777777" w:rsidR="006A425C" w:rsidRPr="006A425C" w:rsidRDefault="006A425C" w:rsidP="006A425C">
      <w:pPr>
        <w:spacing w:line="360" w:lineRule="auto"/>
        <w:rPr>
          <w:rFonts w:ascii="Arial" w:hAnsi="Arial" w:cs="Arial"/>
        </w:rPr>
      </w:pPr>
      <w:r w:rsidRPr="006A425C">
        <w:rPr>
          <w:rFonts w:ascii="Arial" w:hAnsi="Arial" w:cs="Arial"/>
        </w:rPr>
        <w:lastRenderedPageBreak/>
        <w:t>Although qualitative findings are influenced by researcher interpretation and have limited transferability, they are well suited to exploring workforce redesign capability as a socially constructed phenomenon.</w:t>
      </w:r>
    </w:p>
    <w:p w14:paraId="163BB4C4" w14:textId="77777777" w:rsidR="006A425C" w:rsidRPr="006A425C" w:rsidRDefault="006A425C" w:rsidP="006A425C">
      <w:pPr>
        <w:spacing w:line="360" w:lineRule="auto"/>
        <w:rPr>
          <w:rFonts w:ascii="Arial" w:hAnsi="Arial" w:cs="Arial"/>
        </w:rPr>
      </w:pPr>
      <w:r w:rsidRPr="006A425C">
        <w:rPr>
          <w:rFonts w:ascii="Arial" w:hAnsi="Arial" w:cs="Arial"/>
        </w:rPr>
        <w:t>This study adopts an interpretivist paradigm, underpinned by a relativist ontology and subjectivist epistemology, informed by Heideggerian phenomenology (Crotty, 1998; Heidegger, 1962; Bryman, 2021; Saunders et al., 2023). It recognises that managers may hold different but equally valid perspectives of workforce redesign capability based on their experiences and organisational roles. Consequently, the study seeks to understand how managers experience and interpret workforce redesign rather than measure it objectively.</w:t>
      </w:r>
    </w:p>
    <w:p w14:paraId="0B9271F6" w14:textId="77777777" w:rsidR="006A425C" w:rsidRPr="006A425C" w:rsidRDefault="006A425C" w:rsidP="006A425C">
      <w:pPr>
        <w:spacing w:line="360" w:lineRule="auto"/>
        <w:rPr>
          <w:rFonts w:ascii="Arial" w:hAnsi="Arial" w:cs="Arial"/>
        </w:rPr>
      </w:pPr>
      <w:r w:rsidRPr="006A425C">
        <w:rPr>
          <w:rFonts w:ascii="Arial" w:hAnsi="Arial" w:cs="Arial"/>
        </w:rPr>
        <w:t>Semi-structured interviews will be the primary method of data collection. They combine predefined questions with flexibility to probe emerging issues, enabling the collection of rich data while maintaining focus on the research aims (Ahlin, 2019). This approach allows participants to describe experiences of workforce redesign, leadership and organisational support in their own words, which is particularly appropriate within HDUHB, where capability may have developed through diverse professional experiences.</w:t>
      </w:r>
    </w:p>
    <w:p w14:paraId="0C2AAB09" w14:textId="77777777" w:rsidR="006A425C" w:rsidRPr="006A425C" w:rsidRDefault="006A425C" w:rsidP="006A425C">
      <w:pPr>
        <w:spacing w:line="360" w:lineRule="auto"/>
        <w:rPr>
          <w:rFonts w:ascii="Arial" w:hAnsi="Arial" w:cs="Arial"/>
        </w:rPr>
      </w:pPr>
      <w:r w:rsidRPr="006A425C">
        <w:rPr>
          <w:rFonts w:ascii="Arial" w:hAnsi="Arial" w:cs="Arial"/>
        </w:rPr>
        <w:t>Despite limitations including the time required for data collection and analysis, potential interviewer bias and challenges relating to generalisability (Collis &amp; Hussey, 2014), semi-structured interviews provide the depth and contextual understanding required to address the research objectives. More structured methods, such as questionnaires, would be unlikely to capture the complexity of managers' experiences (Kvale &amp; Brinkmann, 2015; Bryman, 2021).</w:t>
      </w:r>
    </w:p>
    <w:p w14:paraId="5BF02261" w14:textId="77777777" w:rsidR="006A425C" w:rsidRPr="006A425C" w:rsidRDefault="006A425C" w:rsidP="006A425C">
      <w:pPr>
        <w:spacing w:line="360" w:lineRule="auto"/>
        <w:rPr>
          <w:rFonts w:ascii="Arial" w:hAnsi="Arial" w:cs="Arial"/>
        </w:rPr>
      </w:pPr>
      <w:r w:rsidRPr="006A425C">
        <w:rPr>
          <w:rFonts w:ascii="Arial" w:hAnsi="Arial" w:cs="Arial"/>
        </w:rPr>
        <w:t xml:space="preserve">Qualitative data will be analysed using Interpretative Phenomenological Analysis (IPA), which explores how individuals make sense of lived experiences (Smith et al., 2022). IPA was selected in preference to approaches such as thematic analysis because the study seeks to understand how managers make sense of workforce redesign capability rather than simply identify recurring patterns within the data (Smith et al., 2022). Whilst thematic analysis may facilitate broader pattern recognition, it places less emphasis on individual meaning-making, which is central to the Heideggerian phenomenological foundations of this research. Consequently, </w:t>
      </w:r>
      <w:r w:rsidRPr="006A425C">
        <w:rPr>
          <w:rFonts w:ascii="Arial" w:hAnsi="Arial" w:cs="Arial"/>
        </w:rPr>
        <w:lastRenderedPageBreak/>
        <w:t>IPA is better suited to examining the subjective and contextual nature of workforce redesign capability.</w:t>
      </w:r>
    </w:p>
    <w:p w14:paraId="2663C03A" w14:textId="10BAEC99" w:rsidR="006A425C" w:rsidRPr="006A425C" w:rsidRDefault="006A425C" w:rsidP="006A425C">
      <w:pPr>
        <w:spacing w:line="360" w:lineRule="auto"/>
        <w:rPr>
          <w:rFonts w:ascii="Arial" w:hAnsi="Arial" w:cs="Arial"/>
        </w:rPr>
      </w:pPr>
      <w:r w:rsidRPr="006A425C">
        <w:rPr>
          <w:rFonts w:ascii="Arial" w:hAnsi="Arial" w:cs="Arial"/>
        </w:rPr>
        <w:t>As workforce redesign capability is shaped by perceptions, beliefs and professional experiences, qualitative methods can generate insights difficult to capture through numerical measures alone (Costley et al., 2010; Raelin, 2008). Recognising the potential for researcher bias, the study will employ reflexive practice, transparent reporting and a structured analytical approach. Consistent with work-based learning theory, Costley et al. (2010) and Raelin (2008) argue that organisational knowledge is generated through engagement with workplace challenges, suggesting workforce redesign capability is best understood within its organisational setting</w:t>
      </w:r>
      <w:r w:rsidR="00C10BE9">
        <w:rPr>
          <w:rFonts w:ascii="Arial" w:hAnsi="Arial" w:cs="Arial"/>
        </w:rPr>
        <w:t>.</w:t>
      </w:r>
    </w:p>
    <w:p w14:paraId="2CE8B150" w14:textId="425A510C" w:rsidR="009D3874" w:rsidRPr="003A4AE2" w:rsidRDefault="009D3874" w:rsidP="003A4AE2">
      <w:pPr>
        <w:spacing w:line="360" w:lineRule="auto"/>
        <w:rPr>
          <w:rFonts w:ascii="Arial" w:hAnsi="Arial" w:cs="Arial"/>
          <w:i/>
          <w:iCs/>
        </w:rPr>
      </w:pPr>
      <w:r w:rsidRPr="009D3874">
        <w:rPr>
          <w:rFonts w:ascii="Arial" w:hAnsi="Arial" w:cs="Arial"/>
          <w:i/>
          <w:iCs/>
        </w:rPr>
        <w:t>2.1.</w:t>
      </w:r>
      <w:r w:rsidR="00E476E8" w:rsidRPr="003A4AE2">
        <w:rPr>
          <w:rFonts w:ascii="Arial" w:hAnsi="Arial" w:cs="Arial"/>
          <w:i/>
          <w:iCs/>
        </w:rPr>
        <w:t>3</w:t>
      </w:r>
      <w:r w:rsidRPr="009D3874">
        <w:rPr>
          <w:rFonts w:ascii="Arial" w:hAnsi="Arial" w:cs="Arial"/>
          <w:i/>
          <w:iCs/>
        </w:rPr>
        <w:t xml:space="preserve"> Quantitative Approach</w:t>
      </w:r>
    </w:p>
    <w:p w14:paraId="0669E06B" w14:textId="44BE33C1" w:rsidR="003743B3" w:rsidRPr="003743B3" w:rsidRDefault="003743B3" w:rsidP="003743B3">
      <w:pPr>
        <w:spacing w:after="0" w:line="360" w:lineRule="auto"/>
        <w:rPr>
          <w:rFonts w:ascii="Arial" w:hAnsi="Arial" w:cs="Arial"/>
        </w:rPr>
      </w:pPr>
      <w:r w:rsidRPr="003743B3">
        <w:rPr>
          <w:rFonts w:ascii="Arial" w:hAnsi="Arial" w:cs="Arial"/>
        </w:rPr>
        <w:t xml:space="preserve">Quantitative methods provide measurable evidence of workforce redesign capability through </w:t>
      </w:r>
      <w:r w:rsidR="00B7500B">
        <w:rPr>
          <w:rFonts w:ascii="Arial" w:hAnsi="Arial" w:cs="Arial"/>
        </w:rPr>
        <w:t xml:space="preserve">analysis of </w:t>
      </w:r>
      <w:r w:rsidRPr="003743B3">
        <w:rPr>
          <w:rFonts w:ascii="Arial" w:hAnsi="Arial" w:cs="Arial"/>
        </w:rPr>
        <w:t>surveys, workforce data and training records. Training completion rates and participation in workforce planning, leadership and transformation programmes can provide objective indicators of capability and support organisational workforce planning decisions (Liang et al., 2024). A key strength of quantitative approaches lies in their ability to identify patterns, trends and variations across managerial groups, supporting benchmarking, capability assessment and evidence-informed decision-making (Bandura, 1997; Hartviksen et al., 2019). However, whilst quantitative data can measure the extent of workforce redesign capability, they offer limited insight into the organisational, cultural and experiential factors that shape it. Complex constructs such as confidence, leadership capability and workforce redesign competence may therefore be reduced to numerical measures that fail to capture their contextual complexity. Consequently, quantitative findings are most valuable when interpreted alongside qualitative evidence that can explain the reasons underpinning observed trends.</w:t>
      </w:r>
    </w:p>
    <w:p w14:paraId="5605F969" w14:textId="77777777" w:rsidR="00140207" w:rsidRPr="00140207" w:rsidRDefault="003743B3" w:rsidP="00140207">
      <w:pPr>
        <w:spacing w:after="0" w:line="360" w:lineRule="auto"/>
        <w:rPr>
          <w:rFonts w:ascii="Arial" w:hAnsi="Arial" w:cs="Arial"/>
        </w:rPr>
      </w:pPr>
      <w:r w:rsidRPr="003743B3">
        <w:rPr>
          <w:rFonts w:ascii="Arial" w:hAnsi="Arial" w:cs="Arial"/>
        </w:rPr>
        <w:t xml:space="preserve">Quantitative data collected within this study will be analysed using Microsoft Excel and descriptive statistical techniques, including frequencies, percentages and summary measures, to identify capability levels, trends and development needs across managerial groups. </w:t>
      </w:r>
      <w:r w:rsidR="00140207" w:rsidRPr="00140207">
        <w:rPr>
          <w:rFonts w:ascii="Arial" w:hAnsi="Arial" w:cs="Arial"/>
        </w:rPr>
        <w:t>Findings will be presented through statistical summaries and tables to facilitate comparison with qualitative results.</w:t>
      </w:r>
    </w:p>
    <w:p w14:paraId="759A46EE" w14:textId="15073423" w:rsidR="00697871" w:rsidRDefault="00462400" w:rsidP="00697871">
      <w:pPr>
        <w:spacing w:after="0" w:line="360" w:lineRule="auto"/>
        <w:rPr>
          <w:rFonts w:ascii="Arial" w:hAnsi="Arial" w:cs="Arial"/>
        </w:rPr>
      </w:pPr>
      <w:r>
        <w:rPr>
          <w:rFonts w:ascii="Arial" w:hAnsi="Arial" w:cs="Arial"/>
        </w:rPr>
        <w:lastRenderedPageBreak/>
        <w:t>Q</w:t>
      </w:r>
      <w:r w:rsidR="00942DBD" w:rsidRPr="00942DBD">
        <w:rPr>
          <w:rFonts w:ascii="Arial" w:hAnsi="Arial" w:cs="Arial"/>
        </w:rPr>
        <w:t>uantitative approaches are particularly valuable when examining workforce capability at an organisational level because they enable data to be gathered from larger populations and analysed systematically. Their structured nature enhances reliability, transparency and comparability, supporting evidence-based workforce planning and decision-making (Saunders et al., 2023). Nevertheless, quantitative methods provide limited understanding of how workforce redesign capability is experienced and developed in practice. For example, survey findings may identify low confidence in workforce redesign but cannot explain the experiences, organisational barriers or contextual influences contributing to these perceptions. As a result, quantitative methods alone may oversimplify organisational phenomena. This limitation reinforces the rationale for adopting a mixed-methods approach, in which quantitative findings establish workforce redesign capability levels and qualitative data provide the contextual understanding necessary to explain and interpret those findings (Saunders et al., 2023; Hartviksen et al., 2019).</w:t>
      </w:r>
    </w:p>
    <w:p w14:paraId="3954B5B3" w14:textId="77777777" w:rsidR="000F1A0A" w:rsidRPr="000F1A0A" w:rsidRDefault="000F1A0A" w:rsidP="00697871">
      <w:pPr>
        <w:spacing w:after="0" w:line="360" w:lineRule="auto"/>
        <w:rPr>
          <w:rFonts w:ascii="Arial" w:hAnsi="Arial" w:cs="Arial"/>
        </w:rPr>
      </w:pPr>
    </w:p>
    <w:p w14:paraId="3A9FFD17" w14:textId="77777777" w:rsidR="00697871" w:rsidRPr="000F1A0A" w:rsidRDefault="00697871" w:rsidP="00697871">
      <w:pPr>
        <w:spacing w:after="0" w:line="360" w:lineRule="auto"/>
        <w:rPr>
          <w:rFonts w:ascii="Arial" w:hAnsi="Arial" w:cs="Arial"/>
          <w:i/>
          <w:iCs/>
        </w:rPr>
      </w:pPr>
      <w:r w:rsidRPr="000F1A0A">
        <w:rPr>
          <w:rFonts w:ascii="Arial" w:hAnsi="Arial" w:cs="Arial"/>
          <w:i/>
          <w:iCs/>
        </w:rPr>
        <w:t>2.1.4 Methodological Justification</w:t>
      </w:r>
    </w:p>
    <w:p w14:paraId="26BD3319" w14:textId="77777777" w:rsidR="00697871" w:rsidRPr="00697871" w:rsidRDefault="00697871" w:rsidP="00697871">
      <w:pPr>
        <w:spacing w:after="0" w:line="360" w:lineRule="auto"/>
        <w:rPr>
          <w:rFonts w:ascii="Arial" w:hAnsi="Arial" w:cs="Arial"/>
        </w:rPr>
      </w:pPr>
      <w:r w:rsidRPr="00697871">
        <w:rPr>
          <w:rFonts w:ascii="Arial" w:hAnsi="Arial" w:cs="Arial"/>
        </w:rPr>
        <w:t>Both qualitative and quantitative approaches offer valuable yet distinct perspectives for understanding workforce redesign capability. Quantitative methods support benchmarking and capability assessment by generating measurable data that enables the identification of patterns, trends and differences across managerial groups. Bryman (2021) argues that quantitative approaches are particularly useful for measuring and comparing variables across populations. However, whilst quantitative methods can establish the extent of workforce redesign capability, they may oversimplify complex organisational phenomena by reducing experiences, beliefs and behaviours to numerical indicators. For example, survey data may identify variations in workforce redesign confidence but cannot explain how organisational culture, leadership support or professional experience contribute to these differences. Consequently, quantitative findings may provide only a partial understanding of workforce redesign capability and its underlying influences.</w:t>
      </w:r>
    </w:p>
    <w:p w14:paraId="435E1475" w14:textId="77777777" w:rsidR="00697871" w:rsidRPr="00697871" w:rsidRDefault="00697871" w:rsidP="00697871">
      <w:pPr>
        <w:spacing w:after="0" w:line="360" w:lineRule="auto"/>
        <w:rPr>
          <w:rFonts w:ascii="Arial" w:hAnsi="Arial" w:cs="Arial"/>
        </w:rPr>
      </w:pPr>
      <w:r w:rsidRPr="00697871">
        <w:rPr>
          <w:rFonts w:ascii="Arial" w:hAnsi="Arial" w:cs="Arial"/>
        </w:rPr>
        <w:t xml:space="preserve">In contrast, qualitative methods facilitate a deeper exploration of managers' experiences, perceptions and interpretations of workforce redesign within their organisational context. Through semi-structured interviews, participants can articulate how workforce planning, organisational support, leadership and prior professional experiences influence their knowledge, skills and confidence in </w:t>
      </w:r>
      <w:r w:rsidRPr="00697871">
        <w:rPr>
          <w:rFonts w:ascii="Arial" w:hAnsi="Arial" w:cs="Arial"/>
        </w:rPr>
        <w:lastRenderedPageBreak/>
        <w:t>workforce transformation. This aligns with Bryman's (2021) assertion that qualitative research is concerned with understanding the meanings individuals attach to their experiences. Nevertheless, qualitative approaches are not without limitations. Findings are influenced by researcher interpretation and may be criticised for limited transferability beyond the study setting. Furthermore, interviews can be resource intensive and may be influenced by participant bias, social desirability and the organisational environment in which they are conducted, particularly when investigating potentially sensitive issues such as workforce redesign.</w:t>
      </w:r>
    </w:p>
    <w:p w14:paraId="0B43A632" w14:textId="77777777" w:rsidR="00697871" w:rsidRPr="00697871" w:rsidRDefault="00697871" w:rsidP="00697871">
      <w:pPr>
        <w:spacing w:after="0" w:line="360" w:lineRule="auto"/>
        <w:rPr>
          <w:rFonts w:ascii="Arial" w:hAnsi="Arial" w:cs="Arial"/>
        </w:rPr>
      </w:pPr>
      <w:r w:rsidRPr="00697871">
        <w:rPr>
          <w:rFonts w:ascii="Arial" w:hAnsi="Arial" w:cs="Arial"/>
        </w:rPr>
        <w:t>Alternative qualitative methods were considered. Focus groups may have generated collective discussion and enabled participants to challenge and build upon one another's perspectives. However, workforce redesign is closely associated with organisational change and managerial decision-making, meaning existing professional hierarchies may have inhibited open discussion and limited the disclosure of critical views. Observation was also considered; however, workforce redesign capability is primarily concerned with knowledge, confidence and perceptions that are not directly observable in practice. Consequently, semi-structured interviews were considered the most appropriate method for exploring individual experiences whilst providing sufficient flexibility to examine emerging issues in depth.</w:t>
      </w:r>
    </w:p>
    <w:p w14:paraId="3D4B8FE6" w14:textId="77777777" w:rsidR="00697871" w:rsidRPr="00697871" w:rsidRDefault="00697871" w:rsidP="00697871">
      <w:pPr>
        <w:spacing w:after="0" w:line="360" w:lineRule="auto"/>
        <w:rPr>
          <w:rFonts w:ascii="Arial" w:hAnsi="Arial" w:cs="Arial"/>
        </w:rPr>
      </w:pPr>
      <w:r w:rsidRPr="00697871">
        <w:rPr>
          <w:rFonts w:ascii="Arial" w:hAnsi="Arial" w:cs="Arial"/>
        </w:rPr>
        <w:t>Although the philosophical compatibility of qualitative and quantitative approaches remains contested (Bryman, 2021; Creswell &amp; Plano Clark, 2018), a pragmatic stance recognises that research methods should be selected according to their ability to address the research question rather than adherence to a single philosophical position (Johnson &amp; Onwuegbuzie, 2004). Whilst Heideggerian phenomenology underpins the exploration of managers' experiences and meaning-making, quantitative methods provide complementary evidence regarding workforce redesign capability. As neither approach alone can fully capture the complexity of workforce redesign capability, a mixed-methods design is adopted to integrate measurable indicators of competence with participants' subjective experiences, thereby providing a more comprehensive understanding of workforce redesign capability within HDUHB.</w:t>
      </w:r>
    </w:p>
    <w:p w14:paraId="16DC4C30" w14:textId="77777777" w:rsidR="00697871" w:rsidRDefault="00697871" w:rsidP="00697871">
      <w:pPr>
        <w:spacing w:after="0" w:line="360" w:lineRule="auto"/>
        <w:rPr>
          <w:rFonts w:ascii="Arial" w:hAnsi="Arial" w:cs="Arial"/>
        </w:rPr>
      </w:pPr>
      <w:r w:rsidRPr="00697871">
        <w:rPr>
          <w:rFonts w:ascii="Arial" w:hAnsi="Arial" w:cs="Arial"/>
        </w:rPr>
        <w:t xml:space="preserve">In addition to its mixed-methods orientation, this study adopts a case study strategy, with Hywel Dda University Health Board serving as the bounded case. Yin (2018) argues that case study research is particularly appropriate when investigating </w:t>
      </w:r>
      <w:r w:rsidRPr="00697871">
        <w:rPr>
          <w:rFonts w:ascii="Arial" w:hAnsi="Arial" w:cs="Arial"/>
        </w:rPr>
        <w:lastRenderedPageBreak/>
        <w:t>contemporary phenomena within their real-world context, especially where the boundaries between the phenomenon and its context are not clearly defined. Workforce redesign capability is influenced by organisational culture, leadership practices, workforce planning arrangements and strategic priorities, making it difficult to separate individual capability from the environment in which it develops. Similarly, Stake (1995) highlights the value of case study research in generating an in-depth understanding of complex organisational issues within their natural setting. Whilst case study research is often criticised for limited generalisability, its purpose is not to achieve statistical representation but to generate rich contextual understanding. Consequently, adopting HDUHB as a case study enables workforce redesign capability to be examined in depth whilst generating findings that may be transferable to other NHS organisations facing similar workforce transformation challenges.</w:t>
      </w:r>
    </w:p>
    <w:p w14:paraId="06180844" w14:textId="77777777" w:rsidR="00B22CC0" w:rsidRPr="00697871" w:rsidRDefault="00B22CC0" w:rsidP="00697871">
      <w:pPr>
        <w:spacing w:after="0" w:line="360" w:lineRule="auto"/>
        <w:rPr>
          <w:rFonts w:ascii="Arial" w:hAnsi="Arial" w:cs="Arial"/>
        </w:rPr>
      </w:pPr>
    </w:p>
    <w:p w14:paraId="46FA8D2D" w14:textId="145F2432" w:rsidR="00487D00" w:rsidRPr="003A4AE2" w:rsidRDefault="00FD6E33" w:rsidP="003A4AE2">
      <w:pPr>
        <w:spacing w:after="0" w:line="360" w:lineRule="auto"/>
        <w:rPr>
          <w:rFonts w:ascii="Arial" w:hAnsi="Arial" w:cs="Arial"/>
        </w:rPr>
      </w:pPr>
      <w:r w:rsidRPr="003A4AE2">
        <w:rPr>
          <w:rFonts w:ascii="Arial" w:hAnsi="Arial" w:cs="Arial"/>
          <w:b/>
          <w:bCs/>
        </w:rPr>
        <w:t>Conclusion</w:t>
      </w:r>
      <w:r w:rsidRPr="003A4AE2">
        <w:rPr>
          <w:rFonts w:ascii="Arial" w:hAnsi="Arial" w:cs="Arial"/>
        </w:rPr>
        <w:t> </w:t>
      </w:r>
    </w:p>
    <w:p w14:paraId="75DF9D34" w14:textId="161D677E" w:rsidR="009E1454" w:rsidRPr="009E1454" w:rsidRDefault="009E1454" w:rsidP="003A4AE2">
      <w:pPr>
        <w:spacing w:line="360" w:lineRule="auto"/>
        <w:rPr>
          <w:rFonts w:ascii="Arial" w:hAnsi="Arial" w:cs="Arial"/>
        </w:rPr>
      </w:pPr>
      <w:r w:rsidRPr="009E1454">
        <w:rPr>
          <w:rFonts w:ascii="Arial" w:hAnsi="Arial" w:cs="Arial"/>
        </w:rPr>
        <w:t xml:space="preserve">This study adopts a mixed-methods case study design to explore managers’ workforce redesign knowledge, skills and confidence within Hywel Dda University Health Board (HDUHB). Quantitative data, including surveys, workforce metrics and training records, will be used to identify patterns, trends and development needs in workforce redesign capability. Qualitative interviews will provide insight into managers’ experiences, perceptions and the organisational factors that shape these capabilities. </w:t>
      </w:r>
      <w:r w:rsidR="00922386" w:rsidRPr="003A4AE2">
        <w:rPr>
          <w:rFonts w:ascii="Arial" w:hAnsi="Arial" w:cs="Arial"/>
        </w:rPr>
        <w:t>Quantitative and qualitative findings will be analysed separately before being synthesised to develop a comprehensive understanding of workforce redesign capability and the factors that influence it (Creswell &amp; Plano Clark, 2018).</w:t>
      </w:r>
    </w:p>
    <w:p w14:paraId="1E9EDA04" w14:textId="36BE17C6" w:rsidR="009E1454" w:rsidRPr="009E1454" w:rsidRDefault="009E1454" w:rsidP="003A4AE2">
      <w:pPr>
        <w:spacing w:line="360" w:lineRule="auto"/>
        <w:rPr>
          <w:rFonts w:ascii="Arial" w:hAnsi="Arial" w:cs="Arial"/>
        </w:rPr>
      </w:pPr>
      <w:r w:rsidRPr="009E1454">
        <w:rPr>
          <w:rFonts w:ascii="Arial" w:hAnsi="Arial" w:cs="Arial"/>
        </w:rPr>
        <w:t xml:space="preserve">Given the insider researcher position, reflexivity and robust ethical safeguards are essential to ensuring the credibility and trustworthiness of the study. </w:t>
      </w:r>
      <w:r w:rsidR="00F9704A" w:rsidRPr="00F9704A">
        <w:rPr>
          <w:rFonts w:ascii="Arial" w:hAnsi="Arial" w:cs="Arial"/>
        </w:rPr>
        <w:t>Through reflective practice, transparency and ethical principles, the research seeks to protect participants and manage potential bias.</w:t>
      </w:r>
      <w:r w:rsidR="00F9704A">
        <w:rPr>
          <w:rFonts w:ascii="Arial" w:hAnsi="Arial" w:cs="Arial"/>
        </w:rPr>
        <w:t xml:space="preserve"> </w:t>
      </w:r>
      <w:r w:rsidRPr="009E1454">
        <w:rPr>
          <w:rFonts w:ascii="Arial" w:hAnsi="Arial" w:cs="Arial"/>
        </w:rPr>
        <w:t xml:space="preserve">The study recognises that workforce redesign capability is shaped by the interaction of organisational context, professional experience and demonstrable competence. </w:t>
      </w:r>
      <w:r w:rsidR="00E84683" w:rsidRPr="00E84683">
        <w:rPr>
          <w:rFonts w:ascii="Arial" w:hAnsi="Arial" w:cs="Arial"/>
        </w:rPr>
        <w:t xml:space="preserve">Consequently, a mixed-methods approach is considered best suited to investigating workforce redesign capability. </w:t>
      </w:r>
      <w:r w:rsidR="0026408F" w:rsidRPr="0026408F">
        <w:rPr>
          <w:rFonts w:ascii="Arial" w:hAnsi="Arial" w:cs="Arial"/>
        </w:rPr>
        <w:t xml:space="preserve">Neither qualitative nor quantitative methods alone can fully capture the phenomenon; their integration enables both experiential and measurable dimensions </w:t>
      </w:r>
      <w:r w:rsidR="0026408F" w:rsidRPr="0026408F">
        <w:rPr>
          <w:rFonts w:ascii="Arial" w:hAnsi="Arial" w:cs="Arial"/>
        </w:rPr>
        <w:lastRenderedPageBreak/>
        <w:t>of capability to be explored</w:t>
      </w:r>
      <w:r w:rsidR="00E84683" w:rsidRPr="00E84683">
        <w:rPr>
          <w:rFonts w:ascii="Arial" w:hAnsi="Arial" w:cs="Arial"/>
        </w:rPr>
        <w:t>, resulting in a more robust understanding</w:t>
      </w:r>
      <w:r w:rsidR="002F160C">
        <w:rPr>
          <w:rFonts w:ascii="Arial" w:hAnsi="Arial" w:cs="Arial"/>
        </w:rPr>
        <w:t xml:space="preserve"> </w:t>
      </w:r>
      <w:r w:rsidRPr="009E1454">
        <w:rPr>
          <w:rFonts w:ascii="Arial" w:hAnsi="Arial" w:cs="Arial"/>
        </w:rPr>
        <w:t>to support workforce planning, leadership development and workforce transformation within HDUHB</w:t>
      </w:r>
      <w:r w:rsidR="002F160C">
        <w:rPr>
          <w:rFonts w:ascii="Arial" w:hAnsi="Arial" w:cs="Arial"/>
        </w:rPr>
        <w:t xml:space="preserve">. </w:t>
      </w:r>
    </w:p>
    <w:p w14:paraId="321CFCB3" w14:textId="5C956DBE" w:rsidR="00AC43F7" w:rsidRPr="00AC43F7" w:rsidRDefault="00AC43F7" w:rsidP="003A4AE2">
      <w:pPr>
        <w:spacing w:line="360" w:lineRule="auto"/>
        <w:rPr>
          <w:rFonts w:ascii="Arial" w:hAnsi="Arial" w:cs="Arial"/>
          <w:b/>
          <w:bCs/>
        </w:rPr>
      </w:pPr>
      <w:r w:rsidRPr="00AC43F7">
        <w:rPr>
          <w:rFonts w:ascii="Arial" w:hAnsi="Arial" w:cs="Arial"/>
          <w:b/>
          <w:bCs/>
        </w:rPr>
        <w:t>Recommendations</w:t>
      </w:r>
    </w:p>
    <w:p w14:paraId="349E4E85" w14:textId="152EF8D4" w:rsidR="00AC43F7" w:rsidRPr="00AC43F7" w:rsidRDefault="00AC43F7" w:rsidP="003A4AE2">
      <w:pPr>
        <w:spacing w:line="360" w:lineRule="auto"/>
        <w:rPr>
          <w:rFonts w:ascii="Arial" w:hAnsi="Arial" w:cs="Arial"/>
        </w:rPr>
      </w:pPr>
      <w:r w:rsidRPr="00AC43F7">
        <w:rPr>
          <w:rFonts w:ascii="Arial" w:hAnsi="Arial" w:cs="Arial"/>
        </w:rPr>
        <w:t xml:space="preserve">Future research within </w:t>
      </w:r>
      <w:r w:rsidR="006529A3" w:rsidRPr="003A4AE2">
        <w:rPr>
          <w:rFonts w:ascii="Arial" w:hAnsi="Arial" w:cs="Arial"/>
        </w:rPr>
        <w:t>HDUHB</w:t>
      </w:r>
      <w:r w:rsidRPr="00AC43F7">
        <w:rPr>
          <w:rFonts w:ascii="Arial" w:hAnsi="Arial" w:cs="Arial"/>
        </w:rPr>
        <w:t xml:space="preserve"> should continue to adopt mixed-methods approaches that integrate qualitative insights with quantitative workforce data to support evidence-based workforce planning, leadership development and organisational decision-making.</w:t>
      </w:r>
    </w:p>
    <w:p w14:paraId="38371D7B" w14:textId="77777777" w:rsidR="00AC43F7" w:rsidRPr="00AC43F7" w:rsidRDefault="00AC43F7" w:rsidP="003A4AE2">
      <w:pPr>
        <w:spacing w:line="360" w:lineRule="auto"/>
        <w:rPr>
          <w:rFonts w:ascii="Arial" w:hAnsi="Arial" w:cs="Arial"/>
        </w:rPr>
      </w:pPr>
      <w:r w:rsidRPr="00AC43F7">
        <w:rPr>
          <w:rFonts w:ascii="Arial" w:hAnsi="Arial" w:cs="Arial"/>
        </w:rPr>
        <w:t>Given the sensitivity of workforce redesign research, studies should be supported by robust ethical and governance arrangements, including compliance with relevant legislative and information governance requirements, transparent consent processes and the protection of participant confidentiality.</w:t>
      </w:r>
    </w:p>
    <w:p w14:paraId="3572D75E" w14:textId="254BB16C" w:rsidR="00AC43F7" w:rsidRPr="00AC43F7" w:rsidRDefault="007F4400" w:rsidP="003A4AE2">
      <w:pPr>
        <w:spacing w:line="360" w:lineRule="auto"/>
        <w:rPr>
          <w:rFonts w:ascii="Arial" w:hAnsi="Arial" w:cs="Arial"/>
        </w:rPr>
      </w:pPr>
      <w:r w:rsidRPr="003A4AE2">
        <w:rPr>
          <w:rFonts w:ascii="Arial" w:hAnsi="Arial" w:cs="Arial"/>
        </w:rPr>
        <w:t>Attention</w:t>
      </w:r>
      <w:r w:rsidR="00AC43F7" w:rsidRPr="00AC43F7">
        <w:rPr>
          <w:rFonts w:ascii="Arial" w:hAnsi="Arial" w:cs="Arial"/>
        </w:rPr>
        <w:t xml:space="preserve"> should also be paid to the challenges of insider research. Researchers should engage in ongoing reflexive practice to critically examine the influence of their professional experience, assumptions and workplace relationships, thereby enhancing the credibility and trustworthiness of findings.</w:t>
      </w:r>
    </w:p>
    <w:p w14:paraId="3CC3BC04" w14:textId="241C0792" w:rsidR="001A2E39" w:rsidRPr="001A2E39" w:rsidRDefault="001A2E39" w:rsidP="003A4AE2">
      <w:pPr>
        <w:spacing w:line="360" w:lineRule="auto"/>
        <w:rPr>
          <w:rFonts w:ascii="Arial" w:hAnsi="Arial" w:cs="Arial"/>
        </w:rPr>
      </w:pPr>
      <w:r w:rsidRPr="001A2E39">
        <w:rPr>
          <w:rFonts w:ascii="Arial" w:hAnsi="Arial" w:cs="Arial"/>
        </w:rPr>
        <w:t xml:space="preserve">Future research should generate actionable evidence by identifying workforce redesign capability gaps, evaluating workforce development interventions and assessing the impact of leadership and workforce planning initiatives. Comparative studies across NHS Wales may further strengthen understanding of factors that enable or hinder successful workforce transformation. Hantrais (2009) argues that comparative approaches support the identification and interpretation of similarities and differences between groups, enabling researchers to develop a richer understanding of the contextual factors that shape outcomes. The researcher intends to build on the findings of this study through future comparative research, </w:t>
      </w:r>
      <w:r w:rsidR="007651CB">
        <w:rPr>
          <w:rFonts w:ascii="Arial" w:hAnsi="Arial" w:cs="Arial"/>
        </w:rPr>
        <w:t xml:space="preserve">to </w:t>
      </w:r>
      <w:r w:rsidRPr="001A2E39">
        <w:rPr>
          <w:rFonts w:ascii="Arial" w:hAnsi="Arial" w:cs="Arial"/>
        </w:rPr>
        <w:t>promo</w:t>
      </w:r>
      <w:r w:rsidR="007651CB">
        <w:rPr>
          <w:rFonts w:ascii="Arial" w:hAnsi="Arial" w:cs="Arial"/>
        </w:rPr>
        <w:t>te</w:t>
      </w:r>
      <w:r w:rsidRPr="001A2E39">
        <w:rPr>
          <w:rFonts w:ascii="Arial" w:hAnsi="Arial" w:cs="Arial"/>
        </w:rPr>
        <w:t xml:space="preserve"> shared learning and supporting workforce transformation across </w:t>
      </w:r>
      <w:r w:rsidR="00D300DB">
        <w:rPr>
          <w:rFonts w:ascii="Arial" w:hAnsi="Arial" w:cs="Arial"/>
        </w:rPr>
        <w:t xml:space="preserve">NHS Wales and the wider </w:t>
      </w:r>
      <w:r w:rsidR="004361A3">
        <w:rPr>
          <w:rFonts w:ascii="Arial" w:hAnsi="Arial" w:cs="Arial"/>
        </w:rPr>
        <w:t>health care</w:t>
      </w:r>
      <w:r w:rsidR="00D300DB">
        <w:rPr>
          <w:rFonts w:ascii="Arial" w:hAnsi="Arial" w:cs="Arial"/>
        </w:rPr>
        <w:t xml:space="preserve"> system</w:t>
      </w:r>
      <w:r w:rsidR="004361A3">
        <w:rPr>
          <w:rFonts w:ascii="Arial" w:hAnsi="Arial" w:cs="Arial"/>
        </w:rPr>
        <w:t xml:space="preserve">. </w:t>
      </w:r>
    </w:p>
    <w:p w14:paraId="77211121" w14:textId="76BFE783" w:rsidR="007254AD" w:rsidRPr="0049425F" w:rsidRDefault="00FD6E33" w:rsidP="0049425F">
      <w:pPr>
        <w:spacing w:line="360" w:lineRule="auto"/>
        <w:rPr>
          <w:rFonts w:ascii="Arial" w:hAnsi="Arial" w:cs="Arial"/>
        </w:rPr>
      </w:pPr>
      <w:r w:rsidRPr="0057434D">
        <w:rPr>
          <w:rFonts w:ascii="Arial" w:hAnsi="Arial" w:cs="Arial"/>
          <w:b/>
          <w:bCs/>
        </w:rPr>
        <w:t>Reference</w:t>
      </w:r>
      <w:r w:rsidR="00F30281">
        <w:rPr>
          <w:rFonts w:ascii="Arial" w:hAnsi="Arial" w:cs="Arial"/>
          <w:b/>
          <w:bCs/>
        </w:rPr>
        <w:t>s</w:t>
      </w:r>
    </w:p>
    <w:p w14:paraId="647005B8"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Ahlin, E. M. (2019). Semi-structured interviews with expert practitioners: Their validity and significant contribution to translational research. SAGE Research Methods Cases. https://doi.org/10.4135/9781526466037</w:t>
      </w:r>
      <w:r w:rsidRPr="00543612">
        <w:rPr>
          <w:rFonts w:ascii="Arial" w:hAnsi="Arial" w:cs="Arial"/>
        </w:rPr>
        <w:t> </w:t>
      </w:r>
    </w:p>
    <w:p w14:paraId="7B4C5789" w14:textId="5B836E8C" w:rsidR="00A17E39" w:rsidRPr="00A17E39" w:rsidRDefault="00A17E39" w:rsidP="00A17E39">
      <w:pPr>
        <w:pStyle w:val="ListParagraph"/>
        <w:numPr>
          <w:ilvl w:val="0"/>
          <w:numId w:val="33"/>
        </w:numPr>
        <w:spacing w:line="360" w:lineRule="auto"/>
        <w:rPr>
          <w:rFonts w:ascii="Arial" w:hAnsi="Arial" w:cs="Arial"/>
        </w:rPr>
      </w:pPr>
      <w:r w:rsidRPr="00A17E39">
        <w:rPr>
          <w:rFonts w:ascii="Arial" w:hAnsi="Arial" w:cs="Arial"/>
        </w:rPr>
        <w:lastRenderedPageBreak/>
        <w:t xml:space="preserve">Audit Wales. (2023). </w:t>
      </w:r>
      <w:r w:rsidRPr="00A17E39">
        <w:rPr>
          <w:rStyle w:val="Emphasis"/>
          <w:rFonts w:ascii="Arial" w:hAnsi="Arial" w:cs="Arial"/>
        </w:rPr>
        <w:t>Review of workforce planning arrangements: Hywel Dda University Health Board</w:t>
      </w:r>
      <w:r w:rsidRPr="00A17E39">
        <w:rPr>
          <w:rFonts w:ascii="Arial" w:hAnsi="Arial" w:cs="Arial"/>
        </w:rPr>
        <w:t>.</w:t>
      </w:r>
      <w:r w:rsidR="00523A25">
        <w:rPr>
          <w:rFonts w:ascii="Arial" w:hAnsi="Arial" w:cs="Arial"/>
        </w:rPr>
        <w:t xml:space="preserve"> </w:t>
      </w:r>
      <w:hyperlink r:id="rId8" w:history="1">
        <w:r w:rsidR="00BD4768" w:rsidRPr="00F51DC0">
          <w:rPr>
            <w:rStyle w:val="Hyperlink"/>
            <w:rFonts w:ascii="Arial" w:hAnsi="Arial" w:cs="Arial"/>
          </w:rPr>
          <w:t>https://www.wao.gov.uk/sites/default/files/publications/hduhb_wfp.pdf</w:t>
        </w:r>
      </w:hyperlink>
    </w:p>
    <w:p w14:paraId="47B643E1"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Bandura, A. (1997). Self-efficacy: The exercise of control. W. H. Freeman.</w:t>
      </w:r>
      <w:r w:rsidRPr="00543612">
        <w:rPr>
          <w:rFonts w:ascii="Arial" w:hAnsi="Arial" w:cs="Arial"/>
        </w:rPr>
        <w:t> </w:t>
      </w:r>
    </w:p>
    <w:p w14:paraId="3656E163"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Brannick, T., &amp; Coghlan, D. (2007). In defence of being native: The case for insider academic research. Organizational Research Methods, 10(1), 59–74. https://doi.org/10.1177/1094428106289253</w:t>
      </w:r>
      <w:r w:rsidRPr="00543612">
        <w:rPr>
          <w:rFonts w:ascii="Arial" w:hAnsi="Arial" w:cs="Arial"/>
        </w:rPr>
        <w:t> </w:t>
      </w:r>
    </w:p>
    <w:p w14:paraId="3E1153DA"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Bryman, A. (2021). Social research methods (6th ed.). Oxford University Press.</w:t>
      </w:r>
      <w:r w:rsidRPr="00543612">
        <w:rPr>
          <w:rFonts w:ascii="Arial" w:hAnsi="Arial" w:cs="Arial"/>
        </w:rPr>
        <w:t> </w:t>
      </w:r>
    </w:p>
    <w:p w14:paraId="39CAB793"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Collis, J., &amp; Hussey, R. (2014). Business research: A practical guide for undergraduate and postgraduate students (4th ed.). Palgrave Macmillan.</w:t>
      </w:r>
      <w:r w:rsidRPr="00543612">
        <w:rPr>
          <w:rFonts w:ascii="Arial" w:hAnsi="Arial" w:cs="Arial"/>
        </w:rPr>
        <w:t> </w:t>
      </w:r>
    </w:p>
    <w:p w14:paraId="30F15307" w14:textId="08B451EE" w:rsidR="00543612" w:rsidRPr="00E012E0" w:rsidRDefault="00543612" w:rsidP="00E012E0">
      <w:pPr>
        <w:pStyle w:val="ListParagraph"/>
        <w:numPr>
          <w:ilvl w:val="0"/>
          <w:numId w:val="33"/>
        </w:numPr>
        <w:spacing w:line="360" w:lineRule="auto"/>
        <w:rPr>
          <w:rFonts w:ascii="Arial" w:hAnsi="Arial" w:cs="Arial"/>
        </w:rPr>
      </w:pPr>
      <w:r w:rsidRPr="00543612">
        <w:rPr>
          <w:rFonts w:ascii="Arial" w:hAnsi="Arial" w:cs="Arial"/>
          <w:lang w:val="en-US"/>
        </w:rPr>
        <w:t xml:space="preserve">Costley, C., Elliott, G., &amp; Gibbs, P. (2010). </w:t>
      </w:r>
      <w:r w:rsidR="0076738A" w:rsidRPr="0076738A">
        <w:rPr>
          <w:rFonts w:ascii="Arial" w:hAnsi="Arial" w:cs="Arial"/>
        </w:rPr>
        <w:t>Doing work-based research: Approaches to enquiry for insider-researchers</w:t>
      </w:r>
      <w:r w:rsidRPr="00E012E0">
        <w:rPr>
          <w:rFonts w:ascii="Arial" w:hAnsi="Arial" w:cs="Arial"/>
          <w:lang w:val="en-US"/>
        </w:rPr>
        <w:t>. SAGE.</w:t>
      </w:r>
      <w:r w:rsidRPr="00E012E0">
        <w:rPr>
          <w:rFonts w:ascii="Arial" w:hAnsi="Arial" w:cs="Arial"/>
        </w:rPr>
        <w:t> </w:t>
      </w:r>
    </w:p>
    <w:p w14:paraId="350AF81A"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Creswell, J. W., &amp; Plano Clark, V. L. (2018). Designing and conducting mixed methods research (3rd ed.). SAGE.</w:t>
      </w:r>
      <w:r w:rsidRPr="00543612">
        <w:rPr>
          <w:rFonts w:ascii="Arial" w:hAnsi="Arial" w:cs="Arial"/>
        </w:rPr>
        <w:t> </w:t>
      </w:r>
    </w:p>
    <w:p w14:paraId="00DCDF02" w14:textId="77777777" w:rsid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Crotty, M. (1998). The foundations of social research: Meaning and perspective in the research process. SAGE.</w:t>
      </w:r>
      <w:r w:rsidRPr="00543612">
        <w:rPr>
          <w:rFonts w:ascii="Arial" w:hAnsi="Arial" w:cs="Arial"/>
        </w:rPr>
        <w:t> </w:t>
      </w:r>
    </w:p>
    <w:p w14:paraId="7F8313D3" w14:textId="1F90DF65" w:rsidR="00414967" w:rsidRPr="009F7E9B" w:rsidRDefault="00414967" w:rsidP="009F7E9B">
      <w:pPr>
        <w:pStyle w:val="ListParagraph"/>
        <w:numPr>
          <w:ilvl w:val="0"/>
          <w:numId w:val="33"/>
        </w:numPr>
        <w:spacing w:after="0" w:line="360" w:lineRule="auto"/>
        <w:rPr>
          <w:rFonts w:ascii="Arial" w:eastAsia="Times New Roman" w:hAnsi="Arial" w:cs="Arial"/>
          <w:kern w:val="0"/>
          <w:lang w:eastAsia="en-GB"/>
          <w14:ligatures w14:val="none"/>
        </w:rPr>
      </w:pPr>
      <w:r w:rsidRPr="00414967">
        <w:rPr>
          <w:rFonts w:ascii="Arial" w:eastAsia="Times New Roman" w:hAnsi="Arial" w:cs="Arial"/>
          <w:kern w:val="0"/>
          <w:lang w:eastAsia="en-GB"/>
          <w14:ligatures w14:val="none"/>
        </w:rPr>
        <w:t xml:space="preserve">Edmondson, A. (1999). Psychological safety and learning behavior in work teams. </w:t>
      </w:r>
      <w:r w:rsidRPr="00414967">
        <w:rPr>
          <w:rFonts w:ascii="Arial" w:eastAsia="Times New Roman" w:hAnsi="Arial" w:cs="Arial"/>
          <w:i/>
          <w:iCs/>
          <w:kern w:val="0"/>
          <w:lang w:eastAsia="en-GB"/>
          <w14:ligatures w14:val="none"/>
        </w:rPr>
        <w:t>Administrative Science Quarterly, 44</w:t>
      </w:r>
      <w:r w:rsidRPr="00414967">
        <w:rPr>
          <w:rFonts w:ascii="Arial" w:eastAsia="Times New Roman" w:hAnsi="Arial" w:cs="Arial"/>
          <w:kern w:val="0"/>
          <w:lang w:eastAsia="en-GB"/>
          <w14:ligatures w14:val="none"/>
        </w:rPr>
        <w:t xml:space="preserve">(2), </w:t>
      </w:r>
      <w:r w:rsidR="009F7E9B" w:rsidRPr="009F7E9B">
        <w:rPr>
          <w:rFonts w:ascii="Arial" w:eastAsia="Times New Roman" w:hAnsi="Arial" w:cs="Arial"/>
          <w:kern w:val="0"/>
          <w:lang w:eastAsia="en-GB"/>
          <w14:ligatures w14:val="none"/>
        </w:rPr>
        <w:t>350–383</w:t>
      </w:r>
      <w:r w:rsidR="009F7E9B">
        <w:rPr>
          <w:rFonts w:ascii="Arial" w:eastAsia="Times New Roman" w:hAnsi="Arial" w:cs="Arial"/>
          <w:kern w:val="0"/>
          <w:lang w:eastAsia="en-GB"/>
          <w14:ligatures w14:val="none"/>
        </w:rPr>
        <w:t xml:space="preserve">. </w:t>
      </w:r>
      <w:r w:rsidRPr="009F7E9B">
        <w:rPr>
          <w:rFonts w:ascii="Arial" w:eastAsia="Times New Roman" w:hAnsi="Arial" w:cs="Arial"/>
          <w:kern w:val="0"/>
          <w:lang w:eastAsia="en-GB"/>
          <w14:ligatures w14:val="none"/>
        </w:rPr>
        <w:t>https://doi.org/10.2307/2666999</w:t>
      </w:r>
    </w:p>
    <w:p w14:paraId="3463EFDF"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Finlay, L. (2002). Negotiating the swamp: The opportunity and challenge of reflexivity in research practice. Qualitative Research, 2(2), 209–230. https://doi.org/10.1177/146879410200200205</w:t>
      </w:r>
      <w:r w:rsidRPr="00543612">
        <w:rPr>
          <w:rFonts w:ascii="Arial" w:hAnsi="Arial" w:cs="Arial"/>
        </w:rPr>
        <w:t> </w:t>
      </w:r>
    </w:p>
    <w:p w14:paraId="138DC86A"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Hantrais, L. (2009). International comparative research: Theory, methods and practice. Palgrave Macmillan.</w:t>
      </w:r>
      <w:r w:rsidRPr="00543612">
        <w:rPr>
          <w:rFonts w:ascii="Arial" w:hAnsi="Arial" w:cs="Arial"/>
        </w:rPr>
        <w:t> </w:t>
      </w:r>
    </w:p>
    <w:p w14:paraId="414E5390"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Hartviksen, T. A., Aspfors, J., &amp; Uhrenfeldt, L. (2019). Healthcare middle managers’ experiences of developing capacity and capability: A systematic review and meta-synthesis. BMC Health Services Research, 19, Article 546. https://doi.org/10.1186/s12913-019-4345-1</w:t>
      </w:r>
      <w:r w:rsidRPr="00543612">
        <w:rPr>
          <w:rFonts w:ascii="Arial" w:hAnsi="Arial" w:cs="Arial"/>
        </w:rPr>
        <w:t> </w:t>
      </w:r>
    </w:p>
    <w:p w14:paraId="4B964822" w14:textId="77777777" w:rsidR="008D069D" w:rsidRPr="008D069D" w:rsidRDefault="008D069D" w:rsidP="008D069D">
      <w:pPr>
        <w:pStyle w:val="ListParagraph"/>
        <w:numPr>
          <w:ilvl w:val="0"/>
          <w:numId w:val="33"/>
        </w:numPr>
        <w:spacing w:after="0" w:line="360" w:lineRule="auto"/>
        <w:rPr>
          <w:rFonts w:ascii="Arial" w:eastAsia="Times New Roman" w:hAnsi="Arial" w:cs="Arial"/>
          <w:kern w:val="0"/>
          <w:lang w:eastAsia="en-GB"/>
          <w14:ligatures w14:val="none"/>
        </w:rPr>
      </w:pPr>
      <w:r w:rsidRPr="008D069D">
        <w:rPr>
          <w:rFonts w:ascii="Arial" w:eastAsia="Times New Roman" w:hAnsi="Arial" w:cs="Arial"/>
          <w:kern w:val="0"/>
          <w:lang w:eastAsia="en-GB"/>
          <w14:ligatures w14:val="none"/>
        </w:rPr>
        <w:t xml:space="preserve">Health Education and Improvement Wales. (2024). </w:t>
      </w:r>
      <w:r w:rsidRPr="008D069D">
        <w:rPr>
          <w:rFonts w:ascii="Arial" w:eastAsia="Times New Roman" w:hAnsi="Arial" w:cs="Arial"/>
          <w:i/>
          <w:iCs/>
          <w:kern w:val="0"/>
          <w:lang w:eastAsia="en-GB"/>
          <w14:ligatures w14:val="none"/>
        </w:rPr>
        <w:t>NHS Wales workforce planning competence framework</w:t>
      </w:r>
      <w:r w:rsidRPr="008D069D">
        <w:rPr>
          <w:rFonts w:ascii="Arial" w:eastAsia="Times New Roman" w:hAnsi="Arial" w:cs="Arial"/>
          <w:kern w:val="0"/>
          <w:lang w:eastAsia="en-GB"/>
          <w14:ligatures w14:val="none"/>
        </w:rPr>
        <w:t>. Health Education and Improvement Wales.</w:t>
      </w:r>
    </w:p>
    <w:p w14:paraId="41E7EFD6" w14:textId="77777777" w:rsidR="00464896" w:rsidRPr="00464896" w:rsidRDefault="00464896" w:rsidP="00464896">
      <w:pPr>
        <w:pStyle w:val="ListParagraph"/>
        <w:numPr>
          <w:ilvl w:val="0"/>
          <w:numId w:val="33"/>
        </w:numPr>
        <w:spacing w:after="0" w:line="360" w:lineRule="auto"/>
        <w:rPr>
          <w:rFonts w:ascii="Arial" w:eastAsia="Times New Roman" w:hAnsi="Arial" w:cs="Arial"/>
          <w:kern w:val="0"/>
          <w:lang w:eastAsia="en-GB"/>
          <w14:ligatures w14:val="none"/>
        </w:rPr>
      </w:pPr>
      <w:r w:rsidRPr="00464896">
        <w:rPr>
          <w:rFonts w:ascii="Arial" w:eastAsia="Times New Roman" w:hAnsi="Arial" w:cs="Arial"/>
          <w:kern w:val="0"/>
          <w:lang w:eastAsia="en-GB"/>
          <w14:ligatures w14:val="none"/>
        </w:rPr>
        <w:t xml:space="preserve">Heidegger, M. (1962). </w:t>
      </w:r>
      <w:r w:rsidRPr="00464896">
        <w:rPr>
          <w:rFonts w:ascii="Arial" w:eastAsia="Times New Roman" w:hAnsi="Arial" w:cs="Arial"/>
          <w:i/>
          <w:iCs/>
          <w:kern w:val="0"/>
          <w:lang w:eastAsia="en-GB"/>
          <w14:ligatures w14:val="none"/>
        </w:rPr>
        <w:t>Being and time</w:t>
      </w:r>
      <w:r w:rsidRPr="00464896">
        <w:rPr>
          <w:rFonts w:ascii="Arial" w:eastAsia="Times New Roman" w:hAnsi="Arial" w:cs="Arial"/>
          <w:kern w:val="0"/>
          <w:lang w:eastAsia="en-GB"/>
          <w14:ligatures w14:val="none"/>
        </w:rPr>
        <w:t xml:space="preserve"> (J. Macquarrie &amp; E. Robinson, Trans.). Blackwell. (Original work published 1927).</w:t>
      </w:r>
    </w:p>
    <w:p w14:paraId="3EA68C85" w14:textId="5F19C20D" w:rsidR="006C3E3B" w:rsidRPr="006C3E3B" w:rsidRDefault="006C3E3B" w:rsidP="006C3E3B">
      <w:pPr>
        <w:pStyle w:val="ListParagraph"/>
        <w:numPr>
          <w:ilvl w:val="0"/>
          <w:numId w:val="33"/>
        </w:numPr>
        <w:spacing w:line="360" w:lineRule="auto"/>
        <w:rPr>
          <w:rFonts w:ascii="Arial" w:hAnsi="Arial" w:cs="Arial"/>
        </w:rPr>
      </w:pPr>
      <w:r w:rsidRPr="006C3E3B">
        <w:rPr>
          <w:rFonts w:ascii="Arial" w:hAnsi="Arial" w:cs="Arial"/>
        </w:rPr>
        <w:lastRenderedPageBreak/>
        <w:t xml:space="preserve">Hywel Dda University Health Board. (2019). </w:t>
      </w:r>
      <w:r w:rsidRPr="006C3E3B">
        <w:rPr>
          <w:rStyle w:val="Emphasis"/>
          <w:rFonts w:ascii="Arial" w:hAnsi="Arial" w:cs="Arial"/>
        </w:rPr>
        <w:t>Workforce, organisational development and education strategy 2020–2030</w:t>
      </w:r>
      <w:r w:rsidRPr="006C3E3B">
        <w:rPr>
          <w:rFonts w:ascii="Arial" w:hAnsi="Arial" w:cs="Arial"/>
        </w:rPr>
        <w:t xml:space="preserve">. Hywel Dda University Health Board. </w:t>
      </w:r>
      <w:hyperlink r:id="rId9" w:tgtFrame="_blank" w:history="1">
        <w:r w:rsidRPr="006C3E3B">
          <w:rPr>
            <w:rStyle w:val="Hyperlink"/>
            <w:rFonts w:ascii="Arial" w:hAnsi="Arial" w:cs="Arial"/>
          </w:rPr>
          <w:t>https://hduhb.nhs.wales/about-us/governance-arrangements/freedom-of-information/disclosure-log/disclosure-log-appendices/1-bank-and-agency-staff-pdf-370kb/</w:t>
        </w:r>
      </w:hyperlink>
    </w:p>
    <w:p w14:paraId="46EA163F" w14:textId="57D3F917" w:rsidR="00543612" w:rsidRPr="007D1FDF" w:rsidRDefault="00543612" w:rsidP="007D1FDF">
      <w:pPr>
        <w:pStyle w:val="ListParagraph"/>
        <w:numPr>
          <w:ilvl w:val="0"/>
          <w:numId w:val="33"/>
        </w:numPr>
        <w:spacing w:line="360" w:lineRule="auto"/>
        <w:rPr>
          <w:rFonts w:ascii="Arial" w:hAnsi="Arial" w:cs="Arial"/>
        </w:rPr>
      </w:pPr>
      <w:r w:rsidRPr="00543612">
        <w:rPr>
          <w:rFonts w:ascii="Arial" w:hAnsi="Arial" w:cs="Arial"/>
          <w:lang w:val="en-US"/>
        </w:rPr>
        <w:t>Johnson, R. B., &amp; Onwuegbuzie, A. J. (2004). Mixed methods research: A research paradigm whose time has come. Educational Researcher, 33(7), 14–26.</w:t>
      </w:r>
      <w:r w:rsidRPr="00543612">
        <w:rPr>
          <w:rFonts w:ascii="Arial" w:hAnsi="Arial" w:cs="Arial"/>
        </w:rPr>
        <w:t> </w:t>
      </w:r>
      <w:r w:rsidR="005F7962" w:rsidRPr="005F7962">
        <w:rPr>
          <w:rFonts w:ascii="Arial" w:hAnsi="Arial" w:cs="Arial"/>
        </w:rPr>
        <w:t>https://doi.org/10.3102/0013189X033007014</w:t>
      </w:r>
    </w:p>
    <w:p w14:paraId="1D64528B"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Kaiser, K. (2009). Protecting respondent confidentiality in qualitative research. Qualitative Health Research, 19(11), 1632–1641. https://doi.org/10.1177/1049732309350879</w:t>
      </w:r>
      <w:r w:rsidRPr="00543612">
        <w:rPr>
          <w:rFonts w:ascii="Arial" w:hAnsi="Arial" w:cs="Arial"/>
        </w:rPr>
        <w:t> </w:t>
      </w:r>
    </w:p>
    <w:p w14:paraId="2CBF684D"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Kvale, S., &amp; Brinkmann, S. (2015). InterViews: Learning the craft of qualitative research interviewing (3rd ed.). SAGE.</w:t>
      </w:r>
      <w:r w:rsidRPr="00543612">
        <w:rPr>
          <w:rFonts w:ascii="Arial" w:hAnsi="Arial" w:cs="Arial"/>
        </w:rPr>
        <w:t> </w:t>
      </w:r>
    </w:p>
    <w:p w14:paraId="46112897"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Liang, Z., King, J. C., Nagle, C., Pain, T., &amp; Mallett, A. J. (2024). Empowering and building the capabilities of mid-level health service managers to lead and support the health workforce: A study protocol. International Journal of Environmental Research and Public Health, 21(8), Article 994. https://doi.org/10.3390/ijerph21080994</w:t>
      </w:r>
      <w:r w:rsidRPr="00543612">
        <w:rPr>
          <w:rFonts w:ascii="Arial" w:hAnsi="Arial" w:cs="Arial"/>
        </w:rPr>
        <w:t> </w:t>
      </w:r>
    </w:p>
    <w:p w14:paraId="1B4F01CC"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Mercer, J. (2007). The challenges of insider research in educational institutions: Wielding a double-edged sword and resolving delicate dilemmas. Oxford Review of Education, 33(1), 1–17. https://doi.org/10.1080/03054980601094651</w:t>
      </w:r>
      <w:r w:rsidRPr="00543612">
        <w:rPr>
          <w:rFonts w:ascii="Arial" w:hAnsi="Arial" w:cs="Arial"/>
        </w:rPr>
        <w:t> </w:t>
      </w:r>
    </w:p>
    <w:p w14:paraId="785AB36B" w14:textId="77777777" w:rsidR="003B4108" w:rsidRPr="003B4108" w:rsidRDefault="003B4108" w:rsidP="003B4108">
      <w:pPr>
        <w:pStyle w:val="ListParagraph"/>
        <w:numPr>
          <w:ilvl w:val="0"/>
          <w:numId w:val="33"/>
        </w:numPr>
        <w:spacing w:line="360" w:lineRule="auto"/>
        <w:rPr>
          <w:rFonts w:ascii="Arial" w:hAnsi="Arial" w:cs="Arial"/>
        </w:rPr>
      </w:pPr>
      <w:r w:rsidRPr="003B4108">
        <w:rPr>
          <w:rFonts w:ascii="Arial" w:hAnsi="Arial" w:cs="Arial"/>
        </w:rPr>
        <w:t xml:space="preserve">NHS England. (2023). </w:t>
      </w:r>
      <w:r w:rsidRPr="003B4108">
        <w:rPr>
          <w:rStyle w:val="Emphasis"/>
          <w:rFonts w:ascii="Arial" w:hAnsi="Arial" w:cs="Arial"/>
        </w:rPr>
        <w:t>NHS long term workforce plan</w:t>
      </w:r>
      <w:r w:rsidRPr="003B4108">
        <w:rPr>
          <w:rFonts w:ascii="Arial" w:hAnsi="Arial" w:cs="Arial"/>
        </w:rPr>
        <w:t xml:space="preserve">. NHS England. </w:t>
      </w:r>
      <w:hyperlink r:id="rId10" w:tgtFrame="_blank" w:history="1">
        <w:r w:rsidRPr="003B4108">
          <w:rPr>
            <w:rStyle w:val="Hyperlink"/>
            <w:rFonts w:ascii="Arial" w:hAnsi="Arial" w:cs="Arial"/>
          </w:rPr>
          <w:t>https://www.england.nhs.uk/long-read/nhs-long-term-workforce-plan-2/</w:t>
        </w:r>
      </w:hyperlink>
    </w:p>
    <w:p w14:paraId="6D5C1DF1"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 xml:space="preserve">NHS Employers. (2026). </w:t>
      </w:r>
      <w:r w:rsidRPr="005662A4">
        <w:rPr>
          <w:rFonts w:ascii="Arial" w:hAnsi="Arial" w:cs="Arial"/>
          <w:i/>
          <w:iCs/>
          <w:lang w:val="en-US"/>
        </w:rPr>
        <w:t>Workforce redesign.</w:t>
      </w:r>
      <w:r w:rsidRPr="00543612">
        <w:rPr>
          <w:rFonts w:ascii="Arial" w:hAnsi="Arial" w:cs="Arial"/>
          <w:lang w:val="en-US"/>
        </w:rPr>
        <w:t xml:space="preserve"> https://www.nhsemployers.org/articles/workforce-redesign</w:t>
      </w:r>
      <w:r w:rsidRPr="00543612">
        <w:rPr>
          <w:rFonts w:ascii="Arial" w:hAnsi="Arial" w:cs="Arial"/>
        </w:rPr>
        <w:t> </w:t>
      </w:r>
    </w:p>
    <w:p w14:paraId="45A10797"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Nowell, L. S., Norris, J. M., White, D. E., &amp; Moules, N. J. (2017). Thematic analysis: Striving to meet the trustworthiness criteria. International Journal of Qualitative Methods, 16(1), 1–13. https://doi.org/10.1177/1609406917733847</w:t>
      </w:r>
      <w:r w:rsidRPr="00543612">
        <w:rPr>
          <w:rFonts w:ascii="Arial" w:hAnsi="Arial" w:cs="Arial"/>
        </w:rPr>
        <w:t> </w:t>
      </w:r>
    </w:p>
    <w:p w14:paraId="4DAD08EB"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Raelin, J. A. (2008). Work-based learning: Bridging knowledge and action in the workplace. Jossey-Bass.</w:t>
      </w:r>
      <w:r w:rsidRPr="00543612">
        <w:rPr>
          <w:rFonts w:ascii="Arial" w:hAnsi="Arial" w:cs="Arial"/>
        </w:rPr>
        <w:t> </w:t>
      </w:r>
    </w:p>
    <w:p w14:paraId="023C00C8"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Saunders, M. N. K., Lewis, P., &amp; Thornhill, A. (2023). Research methods for business students (9th ed.). Pearson.</w:t>
      </w:r>
      <w:r w:rsidRPr="00543612">
        <w:rPr>
          <w:rFonts w:ascii="Arial" w:hAnsi="Arial" w:cs="Arial"/>
        </w:rPr>
        <w:t> </w:t>
      </w:r>
    </w:p>
    <w:p w14:paraId="52F6B13A" w14:textId="77777777" w:rsid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lastRenderedPageBreak/>
        <w:t>Smith, J. A., Flowers, P., &amp; Larkin, M. (2022). Interpretative phenomenological analysis: Theory, method and research (2nd ed.). SAGE.</w:t>
      </w:r>
      <w:r w:rsidRPr="00543612">
        <w:rPr>
          <w:rFonts w:ascii="Arial" w:hAnsi="Arial" w:cs="Arial"/>
        </w:rPr>
        <w:t> </w:t>
      </w:r>
    </w:p>
    <w:p w14:paraId="189CB6BC" w14:textId="368CB8B9" w:rsidR="008E7A7C" w:rsidRPr="008E7A7C" w:rsidRDefault="008E7A7C" w:rsidP="008E7A7C">
      <w:pPr>
        <w:pStyle w:val="ListParagraph"/>
        <w:numPr>
          <w:ilvl w:val="0"/>
          <w:numId w:val="33"/>
        </w:numPr>
        <w:spacing w:line="360" w:lineRule="auto"/>
        <w:rPr>
          <w:rFonts w:ascii="Arial" w:hAnsi="Arial" w:cs="Arial"/>
        </w:rPr>
      </w:pPr>
      <w:r w:rsidRPr="008E7A7C">
        <w:rPr>
          <w:rFonts w:ascii="Arial" w:hAnsi="Arial" w:cs="Arial"/>
        </w:rPr>
        <w:t xml:space="preserve">Welsh Government. (2020). </w:t>
      </w:r>
      <w:r w:rsidRPr="008E7A7C">
        <w:rPr>
          <w:rStyle w:val="Emphasis"/>
          <w:rFonts w:ascii="Arial" w:hAnsi="Arial" w:cs="Arial"/>
        </w:rPr>
        <w:t>A healthier Wales: Our workforce strategy for health and social care</w:t>
      </w:r>
      <w:r w:rsidRPr="008E7A7C">
        <w:rPr>
          <w:rFonts w:ascii="Arial" w:hAnsi="Arial" w:cs="Arial"/>
        </w:rPr>
        <w:t xml:space="preserve">. Welsh Government. </w:t>
      </w:r>
      <w:hyperlink r:id="rId11" w:tgtFrame="_blank" w:history="1">
        <w:r w:rsidRPr="008E7A7C">
          <w:rPr>
            <w:rStyle w:val="Hyperlink"/>
            <w:rFonts w:ascii="Arial" w:hAnsi="Arial" w:cs="Arial"/>
          </w:rPr>
          <w:t>https://heiw.nhs.wales/files/a-healthier-wales-our-workforce-strategy-for-health-and-social-care/</w:t>
        </w:r>
      </w:hyperlink>
    </w:p>
    <w:p w14:paraId="019B0723" w14:textId="77777777" w:rsidR="00BB3E23" w:rsidRPr="00BB3E23" w:rsidRDefault="00BB3E23" w:rsidP="00BB3E23">
      <w:pPr>
        <w:pStyle w:val="ListParagraph"/>
        <w:numPr>
          <w:ilvl w:val="0"/>
          <w:numId w:val="33"/>
        </w:numPr>
        <w:spacing w:line="360" w:lineRule="auto"/>
        <w:rPr>
          <w:rFonts w:ascii="Arial" w:hAnsi="Arial" w:cs="Arial"/>
        </w:rPr>
      </w:pPr>
      <w:r w:rsidRPr="00BB3E23">
        <w:rPr>
          <w:rFonts w:ascii="Arial" w:hAnsi="Arial" w:cs="Arial"/>
        </w:rPr>
        <w:t xml:space="preserve">Welsh Government. (2025). </w:t>
      </w:r>
      <w:r w:rsidRPr="00BB3E23">
        <w:rPr>
          <w:rStyle w:val="Emphasis"/>
          <w:rFonts w:ascii="Arial" w:hAnsi="Arial" w:cs="Arial"/>
        </w:rPr>
        <w:t>NHS Wales planning framework 2025 to 2028</w:t>
      </w:r>
      <w:r w:rsidRPr="00BB3E23">
        <w:rPr>
          <w:rFonts w:ascii="Arial" w:hAnsi="Arial" w:cs="Arial"/>
        </w:rPr>
        <w:t xml:space="preserve">. Welsh Government. </w:t>
      </w:r>
      <w:hyperlink r:id="rId12" w:tgtFrame="_blank" w:history="1">
        <w:r w:rsidRPr="00BB3E23">
          <w:rPr>
            <w:rStyle w:val="Hyperlink"/>
            <w:rFonts w:ascii="Arial" w:hAnsi="Arial" w:cs="Arial"/>
          </w:rPr>
          <w:t>https://www.gov.wales/nhs-wales-planning-framework-2025-2028</w:t>
        </w:r>
      </w:hyperlink>
    </w:p>
    <w:p w14:paraId="78A90522"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West, M. A. (2021). Compassionate leadership: Sustaining wisdom, humanity and presence in health and social care. Swirling Leaf Press.</w:t>
      </w:r>
      <w:r w:rsidRPr="00543612">
        <w:rPr>
          <w:rFonts w:ascii="Arial" w:hAnsi="Arial" w:cs="Arial"/>
        </w:rPr>
        <w:t> </w:t>
      </w:r>
    </w:p>
    <w:p w14:paraId="0736EE5A" w14:textId="77777777" w:rsidR="00543612" w:rsidRPr="00543612" w:rsidRDefault="00543612" w:rsidP="00543612">
      <w:pPr>
        <w:pStyle w:val="ListParagraph"/>
        <w:numPr>
          <w:ilvl w:val="0"/>
          <w:numId w:val="33"/>
        </w:numPr>
        <w:spacing w:line="360" w:lineRule="auto"/>
        <w:rPr>
          <w:rFonts w:ascii="Arial" w:hAnsi="Arial" w:cs="Arial"/>
        </w:rPr>
      </w:pPr>
      <w:r w:rsidRPr="00543612">
        <w:rPr>
          <w:rFonts w:ascii="Arial" w:hAnsi="Arial" w:cs="Arial"/>
          <w:lang w:val="en-US"/>
        </w:rPr>
        <w:t>Wiles, R., Charles, V., Crow, G., &amp; Heath, S. (2008). The management of confidentiality and anonymity in social research. International Journal of Social Research Methodology, 11(5), 417–428. https://doi.org/10.1080/1364557070162223</w:t>
      </w:r>
      <w:r w:rsidRPr="00543612">
        <w:rPr>
          <w:rFonts w:ascii="Arial" w:hAnsi="Arial" w:cs="Arial"/>
        </w:rPr>
        <w:t> </w:t>
      </w:r>
    </w:p>
    <w:p w14:paraId="38051A89" w14:textId="77777777" w:rsidR="0049425F" w:rsidRPr="0049425F" w:rsidRDefault="0049425F" w:rsidP="00543612">
      <w:pPr>
        <w:pStyle w:val="ListParagraph"/>
        <w:spacing w:after="0" w:line="360" w:lineRule="auto"/>
        <w:rPr>
          <w:rFonts w:ascii="Arial" w:hAnsi="Arial" w:cs="Arial"/>
        </w:rPr>
      </w:pPr>
    </w:p>
    <w:sectPr w:rsidR="0049425F" w:rsidRPr="0049425F" w:rsidSect="003A447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30C41" w14:textId="77777777" w:rsidR="00503D9A" w:rsidRDefault="00503D9A" w:rsidP="00487D00">
      <w:pPr>
        <w:spacing w:after="0" w:line="240" w:lineRule="auto"/>
      </w:pPr>
      <w:r>
        <w:separator/>
      </w:r>
    </w:p>
  </w:endnote>
  <w:endnote w:type="continuationSeparator" w:id="0">
    <w:p w14:paraId="7C722296" w14:textId="77777777" w:rsidR="00503D9A" w:rsidRDefault="00503D9A" w:rsidP="00487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235D9" w14:textId="77777777" w:rsidR="00744735" w:rsidRDefault="007447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443253"/>
      <w:docPartObj>
        <w:docPartGallery w:val="Page Numbers (Bottom of Page)"/>
        <w:docPartUnique/>
      </w:docPartObj>
    </w:sdtPr>
    <w:sdtEndPr>
      <w:rPr>
        <w:noProof/>
      </w:rPr>
    </w:sdtEndPr>
    <w:sdtContent>
      <w:p w14:paraId="608759A4" w14:textId="2B102212" w:rsidR="00487D00" w:rsidRDefault="00487D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E92F7E" w14:textId="77777777" w:rsidR="00487D00" w:rsidRDefault="00487D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6BF7D" w14:textId="77777777" w:rsidR="00744735" w:rsidRDefault="00744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6EEA3" w14:textId="77777777" w:rsidR="00503D9A" w:rsidRDefault="00503D9A" w:rsidP="00487D00">
      <w:pPr>
        <w:spacing w:after="0" w:line="240" w:lineRule="auto"/>
      </w:pPr>
      <w:r>
        <w:separator/>
      </w:r>
    </w:p>
  </w:footnote>
  <w:footnote w:type="continuationSeparator" w:id="0">
    <w:p w14:paraId="2964981B" w14:textId="77777777" w:rsidR="00503D9A" w:rsidRDefault="00503D9A" w:rsidP="00487D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FA3C8" w14:textId="77489C89" w:rsidR="00744735" w:rsidRDefault="007447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A8E9B" w14:textId="37AA3A57" w:rsidR="00744735" w:rsidRDefault="007447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41284" w14:textId="2A617169" w:rsidR="00744735" w:rsidRDefault="007447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C4FEE"/>
    <w:multiLevelType w:val="multilevel"/>
    <w:tmpl w:val="272AC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97769"/>
    <w:multiLevelType w:val="multilevel"/>
    <w:tmpl w:val="790E9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111C4"/>
    <w:multiLevelType w:val="multilevel"/>
    <w:tmpl w:val="82D48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7E484D"/>
    <w:multiLevelType w:val="multilevel"/>
    <w:tmpl w:val="E8B2A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B60006"/>
    <w:multiLevelType w:val="multilevel"/>
    <w:tmpl w:val="0D3AE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10C0F"/>
    <w:multiLevelType w:val="multilevel"/>
    <w:tmpl w:val="8148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57DCA"/>
    <w:multiLevelType w:val="multilevel"/>
    <w:tmpl w:val="1A163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950C56"/>
    <w:multiLevelType w:val="multilevel"/>
    <w:tmpl w:val="053E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6D1673"/>
    <w:multiLevelType w:val="hybridMultilevel"/>
    <w:tmpl w:val="458A1A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30E5704C"/>
    <w:multiLevelType w:val="multilevel"/>
    <w:tmpl w:val="A4722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37271993"/>
    <w:multiLevelType w:val="multilevel"/>
    <w:tmpl w:val="9160B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E708FC"/>
    <w:multiLevelType w:val="multilevel"/>
    <w:tmpl w:val="CD62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5C5282"/>
    <w:multiLevelType w:val="multilevel"/>
    <w:tmpl w:val="F5DA5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3E2F4D7B"/>
    <w:multiLevelType w:val="multilevel"/>
    <w:tmpl w:val="382E9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496B44"/>
    <w:multiLevelType w:val="multilevel"/>
    <w:tmpl w:val="DFA2F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0C3291"/>
    <w:multiLevelType w:val="hybridMultilevel"/>
    <w:tmpl w:val="508E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4D3F1ED0"/>
    <w:multiLevelType w:val="multilevel"/>
    <w:tmpl w:val="A19EB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541733"/>
    <w:multiLevelType w:val="multilevel"/>
    <w:tmpl w:val="7894372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5EE07C31"/>
    <w:multiLevelType w:val="multilevel"/>
    <w:tmpl w:val="8A00A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FA3085"/>
    <w:multiLevelType w:val="multilevel"/>
    <w:tmpl w:val="51301F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1E2222"/>
    <w:multiLevelType w:val="multilevel"/>
    <w:tmpl w:val="38D0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9E3DD4"/>
    <w:multiLevelType w:val="multilevel"/>
    <w:tmpl w:val="639C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4177A7"/>
    <w:multiLevelType w:val="multilevel"/>
    <w:tmpl w:val="34B0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1870FA"/>
    <w:multiLevelType w:val="multilevel"/>
    <w:tmpl w:val="E9945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9F3A38"/>
    <w:multiLevelType w:val="multilevel"/>
    <w:tmpl w:val="4FA4BE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343EE9"/>
    <w:multiLevelType w:val="multilevel"/>
    <w:tmpl w:val="853E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C85C10"/>
    <w:multiLevelType w:val="multilevel"/>
    <w:tmpl w:val="5338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2E44C0"/>
    <w:multiLevelType w:val="multilevel"/>
    <w:tmpl w:val="8E9EDA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751B03"/>
    <w:multiLevelType w:val="multilevel"/>
    <w:tmpl w:val="0AC21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517CBD"/>
    <w:multiLevelType w:val="multilevel"/>
    <w:tmpl w:val="6876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AA2B39"/>
    <w:multiLevelType w:val="multilevel"/>
    <w:tmpl w:val="B60A2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5850631">
    <w:abstractNumId w:val="19"/>
  </w:num>
  <w:num w:numId="2" w16cid:durableId="1017734591">
    <w:abstractNumId w:val="15"/>
  </w:num>
  <w:num w:numId="3" w16cid:durableId="878518317">
    <w:abstractNumId w:val="11"/>
  </w:num>
  <w:num w:numId="4" w16cid:durableId="1461146433">
    <w:abstractNumId w:val="9"/>
  </w:num>
  <w:num w:numId="5" w16cid:durableId="1080562193">
    <w:abstractNumId w:val="24"/>
  </w:num>
  <w:num w:numId="6" w16cid:durableId="1759643065">
    <w:abstractNumId w:val="13"/>
  </w:num>
  <w:num w:numId="7" w16cid:durableId="1324890110">
    <w:abstractNumId w:val="16"/>
  </w:num>
  <w:num w:numId="8" w16cid:durableId="1680157519">
    <w:abstractNumId w:val="12"/>
  </w:num>
  <w:num w:numId="9" w16cid:durableId="1399941425">
    <w:abstractNumId w:val="14"/>
  </w:num>
  <w:num w:numId="10" w16cid:durableId="1440448182">
    <w:abstractNumId w:val="29"/>
  </w:num>
  <w:num w:numId="11" w16cid:durableId="1859276108">
    <w:abstractNumId w:val="28"/>
  </w:num>
  <w:num w:numId="12" w16cid:durableId="1711690360">
    <w:abstractNumId w:val="10"/>
  </w:num>
  <w:num w:numId="13" w16cid:durableId="641272058">
    <w:abstractNumId w:val="33"/>
  </w:num>
  <w:num w:numId="14" w16cid:durableId="150563320">
    <w:abstractNumId w:val="7"/>
  </w:num>
  <w:num w:numId="15" w16cid:durableId="1791124753">
    <w:abstractNumId w:val="4"/>
  </w:num>
  <w:num w:numId="16" w16cid:durableId="1298417545">
    <w:abstractNumId w:val="3"/>
  </w:num>
  <w:num w:numId="17" w16cid:durableId="770783280">
    <w:abstractNumId w:val="6"/>
  </w:num>
  <w:num w:numId="18" w16cid:durableId="1703675650">
    <w:abstractNumId w:val="21"/>
  </w:num>
  <w:num w:numId="19" w16cid:durableId="371732124">
    <w:abstractNumId w:val="31"/>
  </w:num>
  <w:num w:numId="20" w16cid:durableId="650526559">
    <w:abstractNumId w:val="22"/>
  </w:num>
  <w:num w:numId="21" w16cid:durableId="89130595">
    <w:abstractNumId w:val="23"/>
  </w:num>
  <w:num w:numId="22" w16cid:durableId="1756244986">
    <w:abstractNumId w:val="25"/>
  </w:num>
  <w:num w:numId="23" w16cid:durableId="1831481242">
    <w:abstractNumId w:val="20"/>
  </w:num>
  <w:num w:numId="24" w16cid:durableId="1737241776">
    <w:abstractNumId w:val="27"/>
  </w:num>
  <w:num w:numId="25" w16cid:durableId="614673797">
    <w:abstractNumId w:val="32"/>
  </w:num>
  <w:num w:numId="26" w16cid:durableId="961692857">
    <w:abstractNumId w:val="1"/>
  </w:num>
  <w:num w:numId="27" w16cid:durableId="1406489804">
    <w:abstractNumId w:val="5"/>
  </w:num>
  <w:num w:numId="28" w16cid:durableId="720056848">
    <w:abstractNumId w:val="26"/>
  </w:num>
  <w:num w:numId="29" w16cid:durableId="790435570">
    <w:abstractNumId w:val="34"/>
  </w:num>
  <w:num w:numId="30" w16cid:durableId="1142120376">
    <w:abstractNumId w:val="30"/>
  </w:num>
  <w:num w:numId="31" w16cid:durableId="1695377903">
    <w:abstractNumId w:val="0"/>
  </w:num>
  <w:num w:numId="32" w16cid:durableId="772476179">
    <w:abstractNumId w:val="18"/>
  </w:num>
  <w:num w:numId="33" w16cid:durableId="2076199264">
    <w:abstractNumId w:val="8"/>
  </w:num>
  <w:num w:numId="34" w16cid:durableId="440685553">
    <w:abstractNumId w:val="2"/>
  </w:num>
  <w:num w:numId="35" w16cid:durableId="9232278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E33"/>
    <w:rsid w:val="00010951"/>
    <w:rsid w:val="000161F9"/>
    <w:rsid w:val="0003228F"/>
    <w:rsid w:val="0003490E"/>
    <w:rsid w:val="00044315"/>
    <w:rsid w:val="000471C9"/>
    <w:rsid w:val="00073B76"/>
    <w:rsid w:val="00080C4B"/>
    <w:rsid w:val="000907BD"/>
    <w:rsid w:val="000C0293"/>
    <w:rsid w:val="000D2F06"/>
    <w:rsid w:val="000D5071"/>
    <w:rsid w:val="000F1A0A"/>
    <w:rsid w:val="00101BB9"/>
    <w:rsid w:val="00104FE6"/>
    <w:rsid w:val="0012427B"/>
    <w:rsid w:val="00125D11"/>
    <w:rsid w:val="00126205"/>
    <w:rsid w:val="00133263"/>
    <w:rsid w:val="00137CD3"/>
    <w:rsid w:val="00140207"/>
    <w:rsid w:val="00154097"/>
    <w:rsid w:val="00163DDB"/>
    <w:rsid w:val="001762C8"/>
    <w:rsid w:val="0018753D"/>
    <w:rsid w:val="001923D7"/>
    <w:rsid w:val="00192F65"/>
    <w:rsid w:val="001938EB"/>
    <w:rsid w:val="00197687"/>
    <w:rsid w:val="001A2E39"/>
    <w:rsid w:val="001B4085"/>
    <w:rsid w:val="001B4E16"/>
    <w:rsid w:val="001B5FEB"/>
    <w:rsid w:val="001C028A"/>
    <w:rsid w:val="00201198"/>
    <w:rsid w:val="002042F8"/>
    <w:rsid w:val="002046DF"/>
    <w:rsid w:val="00205829"/>
    <w:rsid w:val="00256964"/>
    <w:rsid w:val="00257DA7"/>
    <w:rsid w:val="0026408F"/>
    <w:rsid w:val="002705E0"/>
    <w:rsid w:val="0027389B"/>
    <w:rsid w:val="0027655B"/>
    <w:rsid w:val="00292434"/>
    <w:rsid w:val="002B669E"/>
    <w:rsid w:val="002C2859"/>
    <w:rsid w:val="002E3451"/>
    <w:rsid w:val="002F160C"/>
    <w:rsid w:val="00301C0D"/>
    <w:rsid w:val="00313647"/>
    <w:rsid w:val="00326FAE"/>
    <w:rsid w:val="00332166"/>
    <w:rsid w:val="00340A81"/>
    <w:rsid w:val="00342A64"/>
    <w:rsid w:val="00344096"/>
    <w:rsid w:val="003447FA"/>
    <w:rsid w:val="003743B3"/>
    <w:rsid w:val="00376FEF"/>
    <w:rsid w:val="0038777E"/>
    <w:rsid w:val="003935D3"/>
    <w:rsid w:val="0039635B"/>
    <w:rsid w:val="003A171C"/>
    <w:rsid w:val="003A4476"/>
    <w:rsid w:val="003A4914"/>
    <w:rsid w:val="003A4AE2"/>
    <w:rsid w:val="003A5F23"/>
    <w:rsid w:val="003B2137"/>
    <w:rsid w:val="003B4108"/>
    <w:rsid w:val="003B60BF"/>
    <w:rsid w:val="003C6590"/>
    <w:rsid w:val="003C7B04"/>
    <w:rsid w:val="003D1D93"/>
    <w:rsid w:val="003D4232"/>
    <w:rsid w:val="003D7346"/>
    <w:rsid w:val="003E1088"/>
    <w:rsid w:val="003F059E"/>
    <w:rsid w:val="00410A4E"/>
    <w:rsid w:val="00414967"/>
    <w:rsid w:val="004361A3"/>
    <w:rsid w:val="004441AD"/>
    <w:rsid w:val="00455CE5"/>
    <w:rsid w:val="004565A0"/>
    <w:rsid w:val="0046136A"/>
    <w:rsid w:val="00462400"/>
    <w:rsid w:val="00464896"/>
    <w:rsid w:val="00487D00"/>
    <w:rsid w:val="0049425F"/>
    <w:rsid w:val="004C72E8"/>
    <w:rsid w:val="004D3D59"/>
    <w:rsid w:val="004F5FF0"/>
    <w:rsid w:val="00502BB4"/>
    <w:rsid w:val="00503D9A"/>
    <w:rsid w:val="00505C00"/>
    <w:rsid w:val="00511182"/>
    <w:rsid w:val="00523A25"/>
    <w:rsid w:val="005337EB"/>
    <w:rsid w:val="00533F2C"/>
    <w:rsid w:val="00535029"/>
    <w:rsid w:val="00543612"/>
    <w:rsid w:val="00562D9B"/>
    <w:rsid w:val="00564DA2"/>
    <w:rsid w:val="005662A4"/>
    <w:rsid w:val="00575987"/>
    <w:rsid w:val="005A349B"/>
    <w:rsid w:val="005A4DCE"/>
    <w:rsid w:val="005E66E8"/>
    <w:rsid w:val="005F399A"/>
    <w:rsid w:val="005F7962"/>
    <w:rsid w:val="00624899"/>
    <w:rsid w:val="00630794"/>
    <w:rsid w:val="006529A3"/>
    <w:rsid w:val="00664247"/>
    <w:rsid w:val="006658C7"/>
    <w:rsid w:val="00665B53"/>
    <w:rsid w:val="00675CDC"/>
    <w:rsid w:val="006914E4"/>
    <w:rsid w:val="00697871"/>
    <w:rsid w:val="006A425C"/>
    <w:rsid w:val="006A497A"/>
    <w:rsid w:val="006A78DB"/>
    <w:rsid w:val="006B1B86"/>
    <w:rsid w:val="006B650F"/>
    <w:rsid w:val="006C3E3B"/>
    <w:rsid w:val="006E182B"/>
    <w:rsid w:val="006F1B42"/>
    <w:rsid w:val="006F4098"/>
    <w:rsid w:val="007254AD"/>
    <w:rsid w:val="00744735"/>
    <w:rsid w:val="00746C9B"/>
    <w:rsid w:val="00750AC9"/>
    <w:rsid w:val="007547F4"/>
    <w:rsid w:val="00760214"/>
    <w:rsid w:val="007627F9"/>
    <w:rsid w:val="007651CB"/>
    <w:rsid w:val="0076738A"/>
    <w:rsid w:val="007A5B68"/>
    <w:rsid w:val="007B1010"/>
    <w:rsid w:val="007C0A4C"/>
    <w:rsid w:val="007D0C92"/>
    <w:rsid w:val="007D1FDF"/>
    <w:rsid w:val="007D6AFD"/>
    <w:rsid w:val="007E4BDC"/>
    <w:rsid w:val="007F4400"/>
    <w:rsid w:val="0081596F"/>
    <w:rsid w:val="00817B0D"/>
    <w:rsid w:val="00817B3F"/>
    <w:rsid w:val="00822E29"/>
    <w:rsid w:val="00825B21"/>
    <w:rsid w:val="008340A6"/>
    <w:rsid w:val="00834440"/>
    <w:rsid w:val="00837844"/>
    <w:rsid w:val="00851661"/>
    <w:rsid w:val="008574BF"/>
    <w:rsid w:val="008635A0"/>
    <w:rsid w:val="00864CCE"/>
    <w:rsid w:val="00877655"/>
    <w:rsid w:val="00894817"/>
    <w:rsid w:val="00896829"/>
    <w:rsid w:val="00896E94"/>
    <w:rsid w:val="008A7377"/>
    <w:rsid w:val="008B2D7E"/>
    <w:rsid w:val="008C5314"/>
    <w:rsid w:val="008D069D"/>
    <w:rsid w:val="008D5566"/>
    <w:rsid w:val="008D659F"/>
    <w:rsid w:val="008D668B"/>
    <w:rsid w:val="008E2E68"/>
    <w:rsid w:val="008E7A7C"/>
    <w:rsid w:val="008F69FD"/>
    <w:rsid w:val="00922386"/>
    <w:rsid w:val="009336F2"/>
    <w:rsid w:val="00942DBD"/>
    <w:rsid w:val="00967F3F"/>
    <w:rsid w:val="009746A6"/>
    <w:rsid w:val="009779BE"/>
    <w:rsid w:val="00987F5E"/>
    <w:rsid w:val="009D0024"/>
    <w:rsid w:val="009D3874"/>
    <w:rsid w:val="009D4C85"/>
    <w:rsid w:val="009D563E"/>
    <w:rsid w:val="009E1454"/>
    <w:rsid w:val="009F5927"/>
    <w:rsid w:val="009F7E9B"/>
    <w:rsid w:val="00A141E7"/>
    <w:rsid w:val="00A16C70"/>
    <w:rsid w:val="00A17E39"/>
    <w:rsid w:val="00A24395"/>
    <w:rsid w:val="00A4657B"/>
    <w:rsid w:val="00A60EA7"/>
    <w:rsid w:val="00A70E0F"/>
    <w:rsid w:val="00A93EA1"/>
    <w:rsid w:val="00AA70EA"/>
    <w:rsid w:val="00AC43F7"/>
    <w:rsid w:val="00AF2314"/>
    <w:rsid w:val="00AF5F74"/>
    <w:rsid w:val="00B05C99"/>
    <w:rsid w:val="00B104CE"/>
    <w:rsid w:val="00B15EA4"/>
    <w:rsid w:val="00B17435"/>
    <w:rsid w:val="00B2027C"/>
    <w:rsid w:val="00B22CC0"/>
    <w:rsid w:val="00B25222"/>
    <w:rsid w:val="00B26606"/>
    <w:rsid w:val="00B35F68"/>
    <w:rsid w:val="00B408DB"/>
    <w:rsid w:val="00B44ABE"/>
    <w:rsid w:val="00B66980"/>
    <w:rsid w:val="00B7500B"/>
    <w:rsid w:val="00B75CA7"/>
    <w:rsid w:val="00B7756B"/>
    <w:rsid w:val="00B8306B"/>
    <w:rsid w:val="00B860F0"/>
    <w:rsid w:val="00B86265"/>
    <w:rsid w:val="00B94182"/>
    <w:rsid w:val="00BA6FF6"/>
    <w:rsid w:val="00BB3E23"/>
    <w:rsid w:val="00BB7539"/>
    <w:rsid w:val="00BC2357"/>
    <w:rsid w:val="00BC4723"/>
    <w:rsid w:val="00BC663F"/>
    <w:rsid w:val="00BC7AA5"/>
    <w:rsid w:val="00BD15BC"/>
    <w:rsid w:val="00BD2E81"/>
    <w:rsid w:val="00BD4768"/>
    <w:rsid w:val="00BE174C"/>
    <w:rsid w:val="00BE60B2"/>
    <w:rsid w:val="00BE7536"/>
    <w:rsid w:val="00BF309F"/>
    <w:rsid w:val="00C049AC"/>
    <w:rsid w:val="00C10BE9"/>
    <w:rsid w:val="00C1388A"/>
    <w:rsid w:val="00C35D22"/>
    <w:rsid w:val="00C53250"/>
    <w:rsid w:val="00C660D0"/>
    <w:rsid w:val="00CB7BFE"/>
    <w:rsid w:val="00CC327A"/>
    <w:rsid w:val="00CD037F"/>
    <w:rsid w:val="00CD1D2A"/>
    <w:rsid w:val="00CF042C"/>
    <w:rsid w:val="00CF650D"/>
    <w:rsid w:val="00D300DB"/>
    <w:rsid w:val="00D44222"/>
    <w:rsid w:val="00D5276D"/>
    <w:rsid w:val="00D57710"/>
    <w:rsid w:val="00D74509"/>
    <w:rsid w:val="00D74817"/>
    <w:rsid w:val="00D80B40"/>
    <w:rsid w:val="00D87401"/>
    <w:rsid w:val="00D90F43"/>
    <w:rsid w:val="00D94F8B"/>
    <w:rsid w:val="00DA7A87"/>
    <w:rsid w:val="00DB550C"/>
    <w:rsid w:val="00DB5F8C"/>
    <w:rsid w:val="00DC5EF4"/>
    <w:rsid w:val="00DC776A"/>
    <w:rsid w:val="00DD239A"/>
    <w:rsid w:val="00E00F74"/>
    <w:rsid w:val="00E012E0"/>
    <w:rsid w:val="00E0244B"/>
    <w:rsid w:val="00E0646E"/>
    <w:rsid w:val="00E1243A"/>
    <w:rsid w:val="00E138A4"/>
    <w:rsid w:val="00E169B7"/>
    <w:rsid w:val="00E32D95"/>
    <w:rsid w:val="00E331E2"/>
    <w:rsid w:val="00E36CC1"/>
    <w:rsid w:val="00E36E83"/>
    <w:rsid w:val="00E476E8"/>
    <w:rsid w:val="00E47B9A"/>
    <w:rsid w:val="00E508A6"/>
    <w:rsid w:val="00E51DF3"/>
    <w:rsid w:val="00E75274"/>
    <w:rsid w:val="00E77361"/>
    <w:rsid w:val="00E84683"/>
    <w:rsid w:val="00E93521"/>
    <w:rsid w:val="00EA4923"/>
    <w:rsid w:val="00EB36C3"/>
    <w:rsid w:val="00EC4623"/>
    <w:rsid w:val="00EC7130"/>
    <w:rsid w:val="00ED214F"/>
    <w:rsid w:val="00ED6930"/>
    <w:rsid w:val="00EE7447"/>
    <w:rsid w:val="00EF1D2D"/>
    <w:rsid w:val="00F03912"/>
    <w:rsid w:val="00F23AD7"/>
    <w:rsid w:val="00F269F3"/>
    <w:rsid w:val="00F30281"/>
    <w:rsid w:val="00F33055"/>
    <w:rsid w:val="00F672D6"/>
    <w:rsid w:val="00F6781B"/>
    <w:rsid w:val="00F87DC9"/>
    <w:rsid w:val="00F90F93"/>
    <w:rsid w:val="00F9704A"/>
    <w:rsid w:val="00FA65D7"/>
    <w:rsid w:val="00FA698D"/>
    <w:rsid w:val="00FB4581"/>
    <w:rsid w:val="00FB4D90"/>
    <w:rsid w:val="00FB60DE"/>
    <w:rsid w:val="00FC71CC"/>
    <w:rsid w:val="00FD6E33"/>
    <w:rsid w:val="00FE51D6"/>
    <w:rsid w:val="00FE5F71"/>
    <w:rsid w:val="00FF3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629CFF"/>
  <w15:chartTrackingRefBased/>
  <w15:docId w15:val="{789B5B88-5F28-40FD-94D8-FBF915965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6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6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6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6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E33"/>
    <w:rPr>
      <w:rFonts w:eastAsiaTheme="majorEastAsia" w:cstheme="majorBidi"/>
      <w:color w:val="272727" w:themeColor="text1" w:themeTint="D8"/>
    </w:rPr>
  </w:style>
  <w:style w:type="paragraph" w:styleId="Title">
    <w:name w:val="Title"/>
    <w:basedOn w:val="Normal"/>
    <w:next w:val="Normal"/>
    <w:link w:val="TitleChar"/>
    <w:uiPriority w:val="10"/>
    <w:qFormat/>
    <w:rsid w:val="00FD6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E33"/>
    <w:pPr>
      <w:spacing w:before="160"/>
      <w:jc w:val="center"/>
    </w:pPr>
    <w:rPr>
      <w:i/>
      <w:iCs/>
      <w:color w:val="404040" w:themeColor="text1" w:themeTint="BF"/>
    </w:rPr>
  </w:style>
  <w:style w:type="character" w:customStyle="1" w:styleId="QuoteChar">
    <w:name w:val="Quote Char"/>
    <w:basedOn w:val="DefaultParagraphFont"/>
    <w:link w:val="Quote"/>
    <w:uiPriority w:val="29"/>
    <w:rsid w:val="00FD6E33"/>
    <w:rPr>
      <w:i/>
      <w:iCs/>
      <w:color w:val="404040" w:themeColor="text1" w:themeTint="BF"/>
    </w:rPr>
  </w:style>
  <w:style w:type="paragraph" w:styleId="ListParagraph">
    <w:name w:val="List Paragraph"/>
    <w:basedOn w:val="Normal"/>
    <w:uiPriority w:val="34"/>
    <w:qFormat/>
    <w:rsid w:val="00FD6E33"/>
    <w:pPr>
      <w:ind w:left="720"/>
      <w:contextualSpacing/>
    </w:pPr>
  </w:style>
  <w:style w:type="character" w:styleId="IntenseEmphasis">
    <w:name w:val="Intense Emphasis"/>
    <w:basedOn w:val="DefaultParagraphFont"/>
    <w:uiPriority w:val="21"/>
    <w:qFormat/>
    <w:rsid w:val="00FD6E33"/>
    <w:rPr>
      <w:i/>
      <w:iCs/>
      <w:color w:val="0F4761" w:themeColor="accent1" w:themeShade="BF"/>
    </w:rPr>
  </w:style>
  <w:style w:type="paragraph" w:styleId="IntenseQuote">
    <w:name w:val="Intense Quote"/>
    <w:basedOn w:val="Normal"/>
    <w:next w:val="Normal"/>
    <w:link w:val="IntenseQuoteChar"/>
    <w:uiPriority w:val="30"/>
    <w:qFormat/>
    <w:rsid w:val="00FD6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E33"/>
    <w:rPr>
      <w:i/>
      <w:iCs/>
      <w:color w:val="0F4761" w:themeColor="accent1" w:themeShade="BF"/>
    </w:rPr>
  </w:style>
  <w:style w:type="character" w:styleId="IntenseReference">
    <w:name w:val="Intense Reference"/>
    <w:basedOn w:val="DefaultParagraphFont"/>
    <w:uiPriority w:val="32"/>
    <w:qFormat/>
    <w:rsid w:val="00FD6E33"/>
    <w:rPr>
      <w:b/>
      <w:bCs/>
      <w:smallCaps/>
      <w:color w:val="0F4761" w:themeColor="accent1" w:themeShade="BF"/>
      <w:spacing w:val="5"/>
    </w:rPr>
  </w:style>
  <w:style w:type="paragraph" w:styleId="NormalWeb">
    <w:name w:val="Normal (Web)"/>
    <w:basedOn w:val="Normal"/>
    <w:uiPriority w:val="99"/>
    <w:semiHidden/>
    <w:unhideWhenUsed/>
    <w:rsid w:val="00825B21"/>
    <w:rPr>
      <w:rFonts w:ascii="Times New Roman" w:hAnsi="Times New Roman" w:cs="Times New Roman"/>
    </w:rPr>
  </w:style>
  <w:style w:type="table" w:styleId="TableGrid">
    <w:name w:val="Table Grid"/>
    <w:basedOn w:val="TableNormal"/>
    <w:uiPriority w:val="39"/>
    <w:rsid w:val="00487D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7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D00"/>
  </w:style>
  <w:style w:type="paragraph" w:styleId="Footer">
    <w:name w:val="footer"/>
    <w:basedOn w:val="Normal"/>
    <w:link w:val="FooterChar"/>
    <w:uiPriority w:val="99"/>
    <w:unhideWhenUsed/>
    <w:rsid w:val="00487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D00"/>
  </w:style>
  <w:style w:type="character" w:styleId="Hyperlink">
    <w:name w:val="Hyperlink"/>
    <w:basedOn w:val="DefaultParagraphFont"/>
    <w:uiPriority w:val="99"/>
    <w:unhideWhenUsed/>
    <w:rsid w:val="00564DA2"/>
    <w:rPr>
      <w:color w:val="467886" w:themeColor="hyperlink"/>
      <w:u w:val="single"/>
    </w:rPr>
  </w:style>
  <w:style w:type="character" w:styleId="UnresolvedMention">
    <w:name w:val="Unresolved Mention"/>
    <w:basedOn w:val="DefaultParagraphFont"/>
    <w:uiPriority w:val="99"/>
    <w:semiHidden/>
    <w:unhideWhenUsed/>
    <w:rsid w:val="00564DA2"/>
    <w:rPr>
      <w:color w:val="605E5C"/>
      <w:shd w:val="clear" w:color="auto" w:fill="E1DFDD"/>
    </w:rPr>
  </w:style>
  <w:style w:type="paragraph" w:styleId="TOCHeading">
    <w:name w:val="TOC Heading"/>
    <w:basedOn w:val="Heading1"/>
    <w:next w:val="Normal"/>
    <w:uiPriority w:val="39"/>
    <w:unhideWhenUsed/>
    <w:qFormat/>
    <w:rsid w:val="00F87DC9"/>
    <w:pPr>
      <w:spacing w:before="240" w:after="0" w:line="259" w:lineRule="auto"/>
      <w:outlineLvl w:val="9"/>
    </w:pPr>
    <w:rPr>
      <w:kern w:val="0"/>
      <w:sz w:val="32"/>
      <w:szCs w:val="32"/>
      <w:lang w:val="en-US"/>
      <w14:ligatures w14:val="none"/>
    </w:rPr>
  </w:style>
  <w:style w:type="character" w:styleId="CommentReference">
    <w:name w:val="annotation reference"/>
    <w:basedOn w:val="DefaultParagraphFont"/>
    <w:uiPriority w:val="99"/>
    <w:semiHidden/>
    <w:unhideWhenUsed/>
    <w:rsid w:val="00EC7130"/>
    <w:rPr>
      <w:sz w:val="16"/>
      <w:szCs w:val="16"/>
    </w:rPr>
  </w:style>
  <w:style w:type="paragraph" w:styleId="CommentText">
    <w:name w:val="annotation text"/>
    <w:basedOn w:val="Normal"/>
    <w:link w:val="CommentTextChar"/>
    <w:uiPriority w:val="99"/>
    <w:unhideWhenUsed/>
    <w:rsid w:val="00EC7130"/>
    <w:pPr>
      <w:spacing w:line="240" w:lineRule="auto"/>
    </w:pPr>
    <w:rPr>
      <w:sz w:val="20"/>
      <w:szCs w:val="20"/>
    </w:rPr>
  </w:style>
  <w:style w:type="character" w:customStyle="1" w:styleId="CommentTextChar">
    <w:name w:val="Comment Text Char"/>
    <w:basedOn w:val="DefaultParagraphFont"/>
    <w:link w:val="CommentText"/>
    <w:uiPriority w:val="99"/>
    <w:rsid w:val="00EC7130"/>
    <w:rPr>
      <w:sz w:val="20"/>
      <w:szCs w:val="20"/>
    </w:rPr>
  </w:style>
  <w:style w:type="paragraph" w:styleId="CommentSubject">
    <w:name w:val="annotation subject"/>
    <w:basedOn w:val="CommentText"/>
    <w:next w:val="CommentText"/>
    <w:link w:val="CommentSubjectChar"/>
    <w:uiPriority w:val="99"/>
    <w:semiHidden/>
    <w:unhideWhenUsed/>
    <w:rsid w:val="00EC7130"/>
    <w:rPr>
      <w:b/>
      <w:bCs/>
    </w:rPr>
  </w:style>
  <w:style w:type="character" w:customStyle="1" w:styleId="CommentSubjectChar">
    <w:name w:val="Comment Subject Char"/>
    <w:basedOn w:val="CommentTextChar"/>
    <w:link w:val="CommentSubject"/>
    <w:uiPriority w:val="99"/>
    <w:semiHidden/>
    <w:rsid w:val="00EC7130"/>
    <w:rPr>
      <w:b/>
      <w:bCs/>
      <w:sz w:val="20"/>
      <w:szCs w:val="20"/>
    </w:rPr>
  </w:style>
  <w:style w:type="character" w:styleId="Emphasis">
    <w:name w:val="Emphasis"/>
    <w:basedOn w:val="DefaultParagraphFont"/>
    <w:uiPriority w:val="20"/>
    <w:qFormat/>
    <w:rsid w:val="004149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o.gov.uk/sites/default/files/publications/hduhb_wfp.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nhs-wales-planning-framework-2025-2028"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iw.nhs.wales/files/a-healthier-wales-our-workforce-strategy-for-health-and-social-car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ngland.nhs.uk/long-read/nhs-long-term-workforce-plan-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duhb.nhs.wales/about-us/governance-arrangements/freedom-of-information/disclosure-log/disclosure-log-appendices/1-bank-and-agency-staff-pdf-370kb/"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410991-6A42-4BB4-95C2-CAB255BE5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15</Pages>
  <Words>4468</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Gray (Hywel Dda UHB - Workforce Planning Project Manager)</dc:creator>
  <cp:keywords/>
  <dc:description/>
  <cp:lastModifiedBy>Anna Gray (Hywel Dda UHB - Workforce Planning Project Manager)</cp:lastModifiedBy>
  <cp:revision>69</cp:revision>
  <dcterms:created xsi:type="dcterms:W3CDTF">2026-08-06T22:45:00Z</dcterms:created>
  <dcterms:modified xsi:type="dcterms:W3CDTF">2026-08-07T22:57:00Z</dcterms:modified>
</cp:coreProperties>
</file>