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EDFD52" w14:textId="321C09A2" w:rsidR="002924D2" w:rsidRPr="001C1A44" w:rsidRDefault="002924D2" w:rsidP="001C1A44">
      <w:pPr>
        <w:spacing w:after="0" w:line="360" w:lineRule="auto"/>
        <w:rPr>
          <w:rFonts w:ascii="Arial" w:hAnsi="Arial" w:cs="Arial"/>
          <w:sz w:val="22"/>
        </w:rPr>
      </w:pPr>
    </w:p>
    <w:p w14:paraId="78AA5354" w14:textId="394BC8A8" w:rsidR="002924D2" w:rsidRPr="001C1A44" w:rsidRDefault="002924D2" w:rsidP="001C1A44">
      <w:pPr>
        <w:spacing w:after="0" w:line="360" w:lineRule="auto"/>
        <w:rPr>
          <w:rFonts w:ascii="Arial" w:hAnsi="Arial" w:cs="Arial"/>
          <w:sz w:val="22"/>
        </w:rPr>
      </w:pPr>
    </w:p>
    <w:p w14:paraId="2B5DBAB6" w14:textId="45D09E40" w:rsidR="002924D2" w:rsidRPr="001C1A44" w:rsidRDefault="002924D2" w:rsidP="001C1A44">
      <w:pPr>
        <w:spacing w:after="0" w:line="360" w:lineRule="auto"/>
        <w:rPr>
          <w:rFonts w:ascii="Arial" w:hAnsi="Arial" w:cs="Arial"/>
          <w:sz w:val="22"/>
        </w:rPr>
      </w:pPr>
    </w:p>
    <w:p w14:paraId="6F53D7B0" w14:textId="7E865DFD" w:rsidR="002924D2" w:rsidRPr="001C1A44" w:rsidRDefault="002924D2" w:rsidP="001C1A44">
      <w:pPr>
        <w:spacing w:after="0" w:line="360" w:lineRule="auto"/>
        <w:rPr>
          <w:rFonts w:ascii="Arial" w:hAnsi="Arial" w:cs="Arial"/>
          <w:sz w:val="22"/>
        </w:rPr>
      </w:pPr>
    </w:p>
    <w:p w14:paraId="03D0B836" w14:textId="7937A87C" w:rsidR="002924D2" w:rsidRPr="001C1A44" w:rsidRDefault="002924D2" w:rsidP="001C1A44">
      <w:pPr>
        <w:spacing w:after="0" w:line="360" w:lineRule="auto"/>
        <w:rPr>
          <w:rFonts w:ascii="Arial" w:hAnsi="Arial" w:cs="Arial"/>
          <w:sz w:val="22"/>
        </w:rPr>
      </w:pPr>
    </w:p>
    <w:p w14:paraId="67479814" w14:textId="40A21AFF" w:rsidR="002924D2" w:rsidRPr="001C1A44" w:rsidRDefault="002924D2" w:rsidP="001C1A44">
      <w:pPr>
        <w:spacing w:after="0" w:line="360" w:lineRule="auto"/>
        <w:rPr>
          <w:rFonts w:ascii="Arial" w:hAnsi="Arial" w:cs="Arial"/>
          <w:sz w:val="22"/>
        </w:rPr>
      </w:pPr>
    </w:p>
    <w:p w14:paraId="25F27969" w14:textId="622883A4" w:rsidR="002924D2" w:rsidRPr="001C1A44" w:rsidRDefault="002924D2" w:rsidP="001C1A44">
      <w:pPr>
        <w:spacing w:after="0" w:line="360" w:lineRule="auto"/>
        <w:rPr>
          <w:rFonts w:ascii="Arial" w:hAnsi="Arial" w:cs="Arial"/>
          <w:sz w:val="22"/>
        </w:rPr>
      </w:pPr>
    </w:p>
    <w:p w14:paraId="0827259E" w14:textId="1A08D4C4" w:rsidR="002924D2" w:rsidRPr="001C1A44" w:rsidRDefault="002924D2" w:rsidP="001C1A44">
      <w:pPr>
        <w:spacing w:after="0" w:line="360" w:lineRule="auto"/>
        <w:rPr>
          <w:rFonts w:ascii="Arial" w:hAnsi="Arial" w:cs="Arial"/>
          <w:sz w:val="22"/>
        </w:rPr>
      </w:pPr>
    </w:p>
    <w:p w14:paraId="593BE94D" w14:textId="36B59246" w:rsidR="00606C12" w:rsidRPr="001C1A44" w:rsidRDefault="00F92474" w:rsidP="001C1A44">
      <w:pPr>
        <w:spacing w:after="0" w:line="360" w:lineRule="auto"/>
        <w:jc w:val="center"/>
        <w:rPr>
          <w:rFonts w:ascii="Arial" w:hAnsi="Arial" w:cs="Arial"/>
          <w:b/>
          <w:sz w:val="22"/>
        </w:rPr>
      </w:pPr>
      <w:r w:rsidRPr="001C1A44">
        <w:rPr>
          <w:rFonts w:ascii="Arial" w:hAnsi="Arial" w:cs="Arial"/>
          <w:b/>
          <w:sz w:val="22"/>
        </w:rPr>
        <w:t xml:space="preserve">Student </w:t>
      </w:r>
      <w:r w:rsidR="000C753D" w:rsidRPr="001C1A44">
        <w:rPr>
          <w:rFonts w:ascii="Arial" w:hAnsi="Arial" w:cs="Arial"/>
          <w:b/>
          <w:sz w:val="22"/>
        </w:rPr>
        <w:t>Name</w:t>
      </w:r>
      <w:r w:rsidR="000C753D">
        <w:rPr>
          <w:rFonts w:ascii="Arial" w:hAnsi="Arial" w:cs="Arial"/>
          <w:b/>
          <w:sz w:val="22"/>
        </w:rPr>
        <w:t>: Nadia</w:t>
      </w:r>
      <w:r w:rsidR="000E4587">
        <w:rPr>
          <w:rFonts w:ascii="Arial" w:hAnsi="Arial" w:cs="Arial"/>
          <w:b/>
          <w:sz w:val="22"/>
        </w:rPr>
        <w:t xml:space="preserve"> </w:t>
      </w:r>
      <w:r w:rsidR="00782DCD">
        <w:rPr>
          <w:rFonts w:ascii="Arial" w:hAnsi="Arial" w:cs="Arial"/>
          <w:b/>
          <w:sz w:val="22"/>
        </w:rPr>
        <w:t>Qamar</w:t>
      </w:r>
    </w:p>
    <w:p w14:paraId="6A7214F3" w14:textId="4A27293E" w:rsidR="00606C12" w:rsidRPr="001C1A44" w:rsidRDefault="00F92474" w:rsidP="001C1A44">
      <w:pPr>
        <w:spacing w:after="0" w:line="360" w:lineRule="auto"/>
        <w:jc w:val="center"/>
        <w:rPr>
          <w:rFonts w:ascii="Arial" w:hAnsi="Arial" w:cs="Arial"/>
          <w:b/>
          <w:sz w:val="22"/>
        </w:rPr>
      </w:pPr>
      <w:r w:rsidRPr="001C1A44">
        <w:rPr>
          <w:rFonts w:ascii="Arial" w:hAnsi="Arial" w:cs="Arial"/>
          <w:b/>
          <w:sz w:val="22"/>
        </w:rPr>
        <w:t>Student Number</w:t>
      </w:r>
      <w:r w:rsidR="000E4587">
        <w:rPr>
          <w:rFonts w:ascii="Arial" w:hAnsi="Arial" w:cs="Arial"/>
          <w:b/>
          <w:sz w:val="22"/>
        </w:rPr>
        <w:t>:</w:t>
      </w:r>
      <w:r w:rsidR="00782DCD">
        <w:rPr>
          <w:rFonts w:ascii="Arial" w:hAnsi="Arial" w:cs="Arial"/>
          <w:b/>
          <w:sz w:val="22"/>
        </w:rPr>
        <w:t>2312083</w:t>
      </w:r>
    </w:p>
    <w:p w14:paraId="359A9049" w14:textId="77777777" w:rsidR="00606C12" w:rsidRPr="001C1A44" w:rsidRDefault="00F92474" w:rsidP="001C1A44">
      <w:pPr>
        <w:spacing w:after="0" w:line="360" w:lineRule="auto"/>
        <w:jc w:val="center"/>
        <w:rPr>
          <w:rFonts w:ascii="Arial" w:hAnsi="Arial" w:cs="Arial"/>
          <w:b/>
          <w:sz w:val="22"/>
        </w:rPr>
      </w:pPr>
      <w:r w:rsidRPr="001C1A44">
        <w:rPr>
          <w:rFonts w:ascii="Arial" w:hAnsi="Arial" w:cs="Arial"/>
          <w:b/>
          <w:sz w:val="22"/>
        </w:rPr>
        <w:t>Module Code: LCLM5002</w:t>
      </w:r>
    </w:p>
    <w:p w14:paraId="059E0A7A" w14:textId="1D9A56E9" w:rsidR="00606C12" w:rsidRPr="001C1A44" w:rsidRDefault="00F92474" w:rsidP="001C1A44">
      <w:pPr>
        <w:spacing w:after="0" w:line="360" w:lineRule="auto"/>
        <w:jc w:val="center"/>
        <w:rPr>
          <w:rFonts w:ascii="Arial" w:hAnsi="Arial" w:cs="Arial"/>
          <w:b/>
          <w:sz w:val="22"/>
        </w:rPr>
      </w:pPr>
      <w:r w:rsidRPr="001C1A44">
        <w:rPr>
          <w:rFonts w:ascii="Arial" w:hAnsi="Arial" w:cs="Arial"/>
          <w:b/>
          <w:sz w:val="22"/>
        </w:rPr>
        <w:t xml:space="preserve">Module Title: Developing And Managing Individuals </w:t>
      </w:r>
      <w:r w:rsidR="00EA1E5B" w:rsidRPr="001C1A44">
        <w:rPr>
          <w:rFonts w:ascii="Arial" w:hAnsi="Arial" w:cs="Arial"/>
          <w:b/>
          <w:sz w:val="22"/>
        </w:rPr>
        <w:t>and</w:t>
      </w:r>
      <w:r w:rsidRPr="001C1A44">
        <w:rPr>
          <w:rFonts w:ascii="Arial" w:hAnsi="Arial" w:cs="Arial"/>
          <w:b/>
          <w:sz w:val="22"/>
        </w:rPr>
        <w:t xml:space="preserve"> Teams</w:t>
      </w:r>
    </w:p>
    <w:p w14:paraId="1B04A883" w14:textId="29966513" w:rsidR="00606C12" w:rsidRPr="001C1A44" w:rsidRDefault="00E17A2E" w:rsidP="001C1A44">
      <w:pPr>
        <w:spacing w:after="0" w:line="360" w:lineRule="auto"/>
        <w:jc w:val="center"/>
        <w:rPr>
          <w:rFonts w:ascii="Arial" w:hAnsi="Arial" w:cs="Arial"/>
          <w:b/>
          <w:sz w:val="22"/>
        </w:rPr>
      </w:pPr>
      <w:r>
        <w:rPr>
          <w:rFonts w:ascii="Arial" w:hAnsi="Arial" w:cs="Arial"/>
          <w:b/>
          <w:sz w:val="22"/>
        </w:rPr>
        <w:t>Teacher Nam</w:t>
      </w:r>
      <w:r w:rsidR="00B069B9">
        <w:rPr>
          <w:rFonts w:ascii="Arial" w:hAnsi="Arial" w:cs="Arial"/>
          <w:b/>
          <w:sz w:val="22"/>
        </w:rPr>
        <w:t>e</w:t>
      </w:r>
      <w:r w:rsidR="00F92474" w:rsidRPr="001C1A44">
        <w:rPr>
          <w:rFonts w:ascii="Arial" w:hAnsi="Arial" w:cs="Arial"/>
          <w:b/>
          <w:sz w:val="22"/>
        </w:rPr>
        <w:t>: Doreen Nyaa Amundam</w:t>
      </w:r>
    </w:p>
    <w:p w14:paraId="57A82502" w14:textId="3ED8BC39" w:rsidR="005D714D" w:rsidRPr="001C1A44" w:rsidRDefault="00F92474" w:rsidP="001C1A44">
      <w:pPr>
        <w:spacing w:after="0" w:line="360" w:lineRule="auto"/>
        <w:jc w:val="center"/>
        <w:rPr>
          <w:rFonts w:ascii="Arial" w:hAnsi="Arial" w:cs="Arial"/>
          <w:b/>
          <w:sz w:val="22"/>
        </w:rPr>
      </w:pPr>
      <w:r w:rsidRPr="001C1A44">
        <w:rPr>
          <w:rFonts w:ascii="Arial" w:hAnsi="Arial" w:cs="Arial"/>
          <w:b/>
          <w:sz w:val="22"/>
        </w:rPr>
        <w:t>Component 2- Individual Report</w:t>
      </w:r>
    </w:p>
    <w:p w14:paraId="1BB99FB1" w14:textId="3B2FF9A1" w:rsidR="007113AE" w:rsidRPr="001C1A44" w:rsidRDefault="007113AE" w:rsidP="001C1A44">
      <w:pPr>
        <w:spacing w:after="0" w:line="360" w:lineRule="auto"/>
        <w:jc w:val="center"/>
        <w:rPr>
          <w:rFonts w:ascii="Arial" w:hAnsi="Arial" w:cs="Arial"/>
          <w:sz w:val="22"/>
        </w:rPr>
      </w:pPr>
    </w:p>
    <w:p w14:paraId="3A887566" w14:textId="200C90B7" w:rsidR="007113AE" w:rsidRPr="001C1A44" w:rsidRDefault="007113AE" w:rsidP="001C1A44">
      <w:pPr>
        <w:spacing w:after="0" w:line="360" w:lineRule="auto"/>
        <w:jc w:val="center"/>
        <w:rPr>
          <w:rFonts w:ascii="Arial" w:hAnsi="Arial" w:cs="Arial"/>
          <w:sz w:val="22"/>
        </w:rPr>
      </w:pPr>
    </w:p>
    <w:p w14:paraId="1D187AF9" w14:textId="4F3268AA" w:rsidR="007113AE" w:rsidRPr="001C1A44" w:rsidRDefault="007113AE" w:rsidP="001C1A44">
      <w:pPr>
        <w:spacing w:after="0" w:line="360" w:lineRule="auto"/>
        <w:jc w:val="center"/>
        <w:rPr>
          <w:rFonts w:ascii="Arial" w:hAnsi="Arial" w:cs="Arial"/>
          <w:sz w:val="22"/>
        </w:rPr>
      </w:pPr>
    </w:p>
    <w:p w14:paraId="5A68A621" w14:textId="77777777" w:rsidR="007113AE" w:rsidRPr="001C1A44" w:rsidRDefault="00F92474" w:rsidP="001C1A44">
      <w:pPr>
        <w:spacing w:after="0" w:line="360" w:lineRule="auto"/>
        <w:rPr>
          <w:rFonts w:ascii="Arial" w:hAnsi="Arial" w:cs="Arial"/>
          <w:sz w:val="22"/>
        </w:rPr>
      </w:pPr>
      <w:r w:rsidRPr="001C1A44">
        <w:rPr>
          <w:rFonts w:ascii="Arial" w:hAnsi="Arial" w:cs="Arial"/>
          <w:sz w:val="22"/>
        </w:rPr>
        <w:br w:type="page"/>
      </w:r>
    </w:p>
    <w:sdt>
      <w:sdtPr>
        <w:rPr>
          <w:rFonts w:ascii="Arial" w:eastAsiaTheme="minorHAnsi" w:hAnsi="Arial" w:cs="Arial"/>
          <w:color w:val="auto"/>
          <w:sz w:val="22"/>
          <w:szCs w:val="22"/>
          <w:lang w:val="en-GB"/>
        </w:rPr>
        <w:id w:val="1213921753"/>
        <w:docPartObj>
          <w:docPartGallery w:val="Table of Contents"/>
          <w:docPartUnique/>
        </w:docPartObj>
      </w:sdtPr>
      <w:sdtEndPr>
        <w:rPr>
          <w:b/>
          <w:bCs/>
          <w:noProof/>
        </w:rPr>
      </w:sdtEndPr>
      <w:sdtContent>
        <w:p w14:paraId="749021C7" w14:textId="6CDE3894" w:rsidR="007113AE" w:rsidRPr="00D86975" w:rsidRDefault="00F92474" w:rsidP="001C1A44">
          <w:pPr>
            <w:pStyle w:val="TOCHeading"/>
            <w:spacing w:line="360" w:lineRule="auto"/>
            <w:rPr>
              <w:rFonts w:ascii="Arial" w:hAnsi="Arial" w:cs="Arial"/>
              <w:b/>
              <w:bCs/>
              <w:color w:val="000000" w:themeColor="text1"/>
              <w:sz w:val="22"/>
              <w:szCs w:val="22"/>
            </w:rPr>
          </w:pPr>
          <w:r w:rsidRPr="00D86975">
            <w:rPr>
              <w:rFonts w:ascii="Arial" w:hAnsi="Arial" w:cs="Arial"/>
              <w:b/>
              <w:bCs/>
              <w:color w:val="000000" w:themeColor="text1"/>
              <w:sz w:val="22"/>
              <w:szCs w:val="22"/>
            </w:rPr>
            <w:t>Table of Contents</w:t>
          </w:r>
        </w:p>
        <w:p w14:paraId="52194621" w14:textId="3EC4D9AC" w:rsidR="001B7EF9" w:rsidRDefault="00F92474" w:rsidP="00653F6B">
          <w:pPr>
            <w:pStyle w:val="TOC1"/>
            <w:rPr>
              <w:rFonts w:asciiTheme="minorHAnsi" w:eastAsiaTheme="minorEastAsia" w:hAnsiTheme="minorHAnsi"/>
              <w:lang w:eastAsia="en-GB"/>
            </w:rPr>
          </w:pPr>
          <w:r w:rsidRPr="001C1A44">
            <w:rPr>
              <w:noProof w:val="0"/>
              <w:color w:val="000000" w:themeColor="text1"/>
            </w:rPr>
            <w:fldChar w:fldCharType="begin"/>
          </w:r>
          <w:r w:rsidRPr="001C1A44">
            <w:rPr>
              <w:color w:val="000000" w:themeColor="text1"/>
            </w:rPr>
            <w:instrText xml:space="preserve"> TOC \o "1-3" \h \z \u </w:instrText>
          </w:r>
          <w:r w:rsidRPr="001C1A44">
            <w:rPr>
              <w:noProof w:val="0"/>
              <w:color w:val="000000" w:themeColor="text1"/>
            </w:rPr>
            <w:fldChar w:fldCharType="separate"/>
          </w:r>
          <w:hyperlink w:anchor="_Toc220611154" w:history="1">
            <w:r w:rsidR="001B7EF9" w:rsidRPr="002775A7">
              <w:rPr>
                <w:rStyle w:val="Hyperlink"/>
              </w:rPr>
              <w:t>Introduction</w:t>
            </w:r>
            <w:r w:rsidR="001B7EF9">
              <w:rPr>
                <w:webHidden/>
              </w:rPr>
              <w:tab/>
            </w:r>
            <w:r w:rsidR="001B7EF9">
              <w:rPr>
                <w:webHidden/>
              </w:rPr>
              <w:fldChar w:fldCharType="begin"/>
            </w:r>
            <w:r w:rsidR="001B7EF9">
              <w:rPr>
                <w:webHidden/>
              </w:rPr>
              <w:instrText xml:space="preserve"> PAGEREF _Toc220611154 \h </w:instrText>
            </w:r>
            <w:r w:rsidR="001B7EF9">
              <w:rPr>
                <w:webHidden/>
              </w:rPr>
            </w:r>
            <w:r w:rsidR="001B7EF9">
              <w:rPr>
                <w:webHidden/>
              </w:rPr>
              <w:fldChar w:fldCharType="separate"/>
            </w:r>
            <w:r w:rsidR="00514FA4">
              <w:rPr>
                <w:webHidden/>
              </w:rPr>
              <w:t>3</w:t>
            </w:r>
            <w:r w:rsidR="001B7EF9">
              <w:rPr>
                <w:webHidden/>
              </w:rPr>
              <w:fldChar w:fldCharType="end"/>
            </w:r>
          </w:hyperlink>
        </w:p>
        <w:p w14:paraId="2EA44E6F" w14:textId="27A83E9C" w:rsidR="001B7EF9" w:rsidRPr="00653F6B" w:rsidRDefault="001B7EF9" w:rsidP="00653F6B">
          <w:pPr>
            <w:pStyle w:val="TOC1"/>
            <w:rPr>
              <w:rFonts w:asciiTheme="minorHAnsi" w:eastAsiaTheme="minorEastAsia" w:hAnsiTheme="minorHAnsi"/>
              <w:lang w:eastAsia="en-GB"/>
            </w:rPr>
          </w:pPr>
          <w:hyperlink w:anchor="_Toc220611155" w:history="1">
            <w:r w:rsidRPr="00653F6B">
              <w:rPr>
                <w:rStyle w:val="Hyperlink"/>
              </w:rPr>
              <w:t>Factors Affecting HR at ASDA</w:t>
            </w:r>
            <w:r w:rsidRPr="00653F6B">
              <w:rPr>
                <w:webHidden/>
              </w:rPr>
              <w:tab/>
            </w:r>
            <w:r w:rsidRPr="00653F6B">
              <w:rPr>
                <w:webHidden/>
              </w:rPr>
              <w:fldChar w:fldCharType="begin"/>
            </w:r>
            <w:r w:rsidRPr="00653F6B">
              <w:rPr>
                <w:webHidden/>
              </w:rPr>
              <w:instrText xml:space="preserve"> PAGEREF _Toc220611155 \h </w:instrText>
            </w:r>
            <w:r w:rsidRPr="00653F6B">
              <w:rPr>
                <w:webHidden/>
              </w:rPr>
            </w:r>
            <w:r w:rsidRPr="00653F6B">
              <w:rPr>
                <w:webHidden/>
              </w:rPr>
              <w:fldChar w:fldCharType="separate"/>
            </w:r>
            <w:r w:rsidR="00514FA4" w:rsidRPr="00653F6B">
              <w:rPr>
                <w:webHidden/>
              </w:rPr>
              <w:t>3</w:t>
            </w:r>
            <w:r w:rsidRPr="00653F6B">
              <w:rPr>
                <w:webHidden/>
              </w:rPr>
              <w:fldChar w:fldCharType="end"/>
            </w:r>
          </w:hyperlink>
        </w:p>
        <w:p w14:paraId="7061C81F" w14:textId="62454714" w:rsidR="001B7EF9" w:rsidRDefault="001B7EF9" w:rsidP="00A37160">
          <w:pPr>
            <w:pStyle w:val="TOC2"/>
            <w:rPr>
              <w:rFonts w:asciiTheme="minorHAnsi" w:eastAsiaTheme="minorEastAsia" w:hAnsiTheme="minorHAnsi"/>
              <w:lang w:eastAsia="en-GB"/>
            </w:rPr>
          </w:pPr>
          <w:hyperlink w:anchor="_Toc220611156" w:history="1">
            <w:r w:rsidRPr="002775A7">
              <w:rPr>
                <w:rStyle w:val="Hyperlink"/>
              </w:rPr>
              <w:t>Meeting Technological Advancement</w:t>
            </w:r>
            <w:r>
              <w:rPr>
                <w:webHidden/>
              </w:rPr>
              <w:tab/>
            </w:r>
            <w:r>
              <w:rPr>
                <w:webHidden/>
              </w:rPr>
              <w:fldChar w:fldCharType="begin"/>
            </w:r>
            <w:r>
              <w:rPr>
                <w:webHidden/>
              </w:rPr>
              <w:instrText xml:space="preserve"> PAGEREF _Toc220611156 \h </w:instrText>
            </w:r>
            <w:r>
              <w:rPr>
                <w:webHidden/>
              </w:rPr>
            </w:r>
            <w:r>
              <w:rPr>
                <w:webHidden/>
              </w:rPr>
              <w:fldChar w:fldCharType="separate"/>
            </w:r>
            <w:r w:rsidR="00514FA4">
              <w:rPr>
                <w:webHidden/>
              </w:rPr>
              <w:t>3</w:t>
            </w:r>
            <w:r>
              <w:rPr>
                <w:webHidden/>
              </w:rPr>
              <w:fldChar w:fldCharType="end"/>
            </w:r>
          </w:hyperlink>
        </w:p>
        <w:p w14:paraId="72473842" w14:textId="643F2631" w:rsidR="001B7EF9" w:rsidRDefault="001B7EF9" w:rsidP="00A37160">
          <w:pPr>
            <w:pStyle w:val="TOC2"/>
            <w:rPr>
              <w:rFonts w:asciiTheme="minorHAnsi" w:eastAsiaTheme="minorEastAsia" w:hAnsiTheme="minorHAnsi"/>
              <w:lang w:eastAsia="en-GB"/>
            </w:rPr>
          </w:pPr>
          <w:hyperlink w:anchor="_Toc220611157" w:history="1">
            <w:r w:rsidRPr="002775A7">
              <w:rPr>
                <w:rStyle w:val="Hyperlink"/>
              </w:rPr>
              <w:t>Talent Acquisition and Retention</w:t>
            </w:r>
            <w:r>
              <w:rPr>
                <w:webHidden/>
              </w:rPr>
              <w:tab/>
            </w:r>
            <w:r>
              <w:rPr>
                <w:webHidden/>
              </w:rPr>
              <w:fldChar w:fldCharType="begin"/>
            </w:r>
            <w:r>
              <w:rPr>
                <w:webHidden/>
              </w:rPr>
              <w:instrText xml:space="preserve"> PAGEREF _Toc220611157 \h </w:instrText>
            </w:r>
            <w:r>
              <w:rPr>
                <w:webHidden/>
              </w:rPr>
            </w:r>
            <w:r>
              <w:rPr>
                <w:webHidden/>
              </w:rPr>
              <w:fldChar w:fldCharType="separate"/>
            </w:r>
            <w:r w:rsidR="00514FA4">
              <w:rPr>
                <w:webHidden/>
              </w:rPr>
              <w:t>3</w:t>
            </w:r>
            <w:r>
              <w:rPr>
                <w:webHidden/>
              </w:rPr>
              <w:fldChar w:fldCharType="end"/>
            </w:r>
          </w:hyperlink>
        </w:p>
        <w:p w14:paraId="31462481" w14:textId="29C90804" w:rsidR="001B7EF9" w:rsidRDefault="001B7EF9" w:rsidP="00A37160">
          <w:pPr>
            <w:pStyle w:val="TOC2"/>
            <w:rPr>
              <w:rFonts w:asciiTheme="minorHAnsi" w:eastAsiaTheme="minorEastAsia" w:hAnsiTheme="minorHAnsi"/>
              <w:lang w:eastAsia="en-GB"/>
            </w:rPr>
          </w:pPr>
          <w:hyperlink w:anchor="_Toc220611158" w:history="1">
            <w:r w:rsidRPr="002775A7">
              <w:rPr>
                <w:rStyle w:val="Hyperlink"/>
              </w:rPr>
              <w:t>Diversity, Equity, and Inclusion</w:t>
            </w:r>
            <w:r>
              <w:rPr>
                <w:webHidden/>
              </w:rPr>
              <w:tab/>
            </w:r>
            <w:r>
              <w:rPr>
                <w:webHidden/>
              </w:rPr>
              <w:fldChar w:fldCharType="begin"/>
            </w:r>
            <w:r>
              <w:rPr>
                <w:webHidden/>
              </w:rPr>
              <w:instrText xml:space="preserve"> PAGEREF _Toc220611158 \h </w:instrText>
            </w:r>
            <w:r>
              <w:rPr>
                <w:webHidden/>
              </w:rPr>
            </w:r>
            <w:r>
              <w:rPr>
                <w:webHidden/>
              </w:rPr>
              <w:fldChar w:fldCharType="separate"/>
            </w:r>
            <w:r w:rsidR="00514FA4">
              <w:rPr>
                <w:webHidden/>
              </w:rPr>
              <w:t>4</w:t>
            </w:r>
            <w:r>
              <w:rPr>
                <w:webHidden/>
              </w:rPr>
              <w:fldChar w:fldCharType="end"/>
            </w:r>
          </w:hyperlink>
        </w:p>
        <w:p w14:paraId="6AF32B53" w14:textId="1DD06767" w:rsidR="001B7EF9" w:rsidRDefault="001B7EF9" w:rsidP="00653F6B">
          <w:pPr>
            <w:pStyle w:val="TOC1"/>
            <w:rPr>
              <w:rFonts w:asciiTheme="minorHAnsi" w:eastAsiaTheme="minorEastAsia" w:hAnsiTheme="minorHAnsi"/>
              <w:lang w:eastAsia="en-GB"/>
            </w:rPr>
          </w:pPr>
          <w:hyperlink w:anchor="_Toc220611159" w:history="1">
            <w:r w:rsidRPr="002775A7">
              <w:rPr>
                <w:rStyle w:val="Hyperlink"/>
              </w:rPr>
              <w:t>Contemporary HR Practices to Address These Factors</w:t>
            </w:r>
            <w:r>
              <w:rPr>
                <w:webHidden/>
              </w:rPr>
              <w:tab/>
            </w:r>
            <w:r>
              <w:rPr>
                <w:webHidden/>
              </w:rPr>
              <w:fldChar w:fldCharType="begin"/>
            </w:r>
            <w:r>
              <w:rPr>
                <w:webHidden/>
              </w:rPr>
              <w:instrText xml:space="preserve"> PAGEREF _Toc220611159 \h </w:instrText>
            </w:r>
            <w:r>
              <w:rPr>
                <w:webHidden/>
              </w:rPr>
            </w:r>
            <w:r>
              <w:rPr>
                <w:webHidden/>
              </w:rPr>
              <w:fldChar w:fldCharType="separate"/>
            </w:r>
            <w:r w:rsidR="00514FA4">
              <w:rPr>
                <w:webHidden/>
              </w:rPr>
              <w:t>5</w:t>
            </w:r>
            <w:r>
              <w:rPr>
                <w:webHidden/>
              </w:rPr>
              <w:fldChar w:fldCharType="end"/>
            </w:r>
          </w:hyperlink>
        </w:p>
        <w:p w14:paraId="0DD1ED6A" w14:textId="50E44653" w:rsidR="001B7EF9" w:rsidRDefault="001B7EF9" w:rsidP="00A37160">
          <w:pPr>
            <w:pStyle w:val="TOC2"/>
            <w:rPr>
              <w:rFonts w:asciiTheme="minorHAnsi" w:eastAsiaTheme="minorEastAsia" w:hAnsiTheme="minorHAnsi"/>
              <w:lang w:eastAsia="en-GB"/>
            </w:rPr>
          </w:pPr>
          <w:hyperlink w:anchor="_Toc220611160" w:history="1">
            <w:r w:rsidRPr="002775A7">
              <w:rPr>
                <w:rStyle w:val="Hyperlink"/>
              </w:rPr>
              <w:t>Technological Advancement</w:t>
            </w:r>
            <w:r>
              <w:rPr>
                <w:webHidden/>
              </w:rPr>
              <w:tab/>
            </w:r>
            <w:r>
              <w:rPr>
                <w:webHidden/>
              </w:rPr>
              <w:fldChar w:fldCharType="begin"/>
            </w:r>
            <w:r>
              <w:rPr>
                <w:webHidden/>
              </w:rPr>
              <w:instrText xml:space="preserve"> PAGEREF _Toc220611160 \h </w:instrText>
            </w:r>
            <w:r>
              <w:rPr>
                <w:webHidden/>
              </w:rPr>
            </w:r>
            <w:r>
              <w:rPr>
                <w:webHidden/>
              </w:rPr>
              <w:fldChar w:fldCharType="separate"/>
            </w:r>
            <w:r w:rsidR="00514FA4">
              <w:rPr>
                <w:webHidden/>
              </w:rPr>
              <w:t>5</w:t>
            </w:r>
            <w:r>
              <w:rPr>
                <w:webHidden/>
              </w:rPr>
              <w:fldChar w:fldCharType="end"/>
            </w:r>
          </w:hyperlink>
        </w:p>
        <w:p w14:paraId="498DC277" w14:textId="7DD0D80A" w:rsidR="001B7EF9" w:rsidRDefault="001B7EF9" w:rsidP="00A37160">
          <w:pPr>
            <w:pStyle w:val="TOC2"/>
            <w:rPr>
              <w:rFonts w:asciiTheme="minorHAnsi" w:eastAsiaTheme="minorEastAsia" w:hAnsiTheme="minorHAnsi"/>
              <w:lang w:eastAsia="en-GB"/>
            </w:rPr>
          </w:pPr>
          <w:hyperlink w:anchor="_Toc220611161" w:history="1">
            <w:r w:rsidRPr="002775A7">
              <w:rPr>
                <w:rStyle w:val="Hyperlink"/>
              </w:rPr>
              <w:t>Talent Acquisition and Retention</w:t>
            </w:r>
            <w:r>
              <w:rPr>
                <w:webHidden/>
              </w:rPr>
              <w:tab/>
            </w:r>
            <w:r>
              <w:rPr>
                <w:webHidden/>
              </w:rPr>
              <w:fldChar w:fldCharType="begin"/>
            </w:r>
            <w:r>
              <w:rPr>
                <w:webHidden/>
              </w:rPr>
              <w:instrText xml:space="preserve"> PAGEREF _Toc220611161 \h </w:instrText>
            </w:r>
            <w:r>
              <w:rPr>
                <w:webHidden/>
              </w:rPr>
            </w:r>
            <w:r>
              <w:rPr>
                <w:webHidden/>
              </w:rPr>
              <w:fldChar w:fldCharType="separate"/>
            </w:r>
            <w:r w:rsidR="00514FA4">
              <w:rPr>
                <w:webHidden/>
              </w:rPr>
              <w:t>5</w:t>
            </w:r>
            <w:r>
              <w:rPr>
                <w:webHidden/>
              </w:rPr>
              <w:fldChar w:fldCharType="end"/>
            </w:r>
          </w:hyperlink>
        </w:p>
        <w:p w14:paraId="5E6A2998" w14:textId="17E9CCDA" w:rsidR="001B7EF9" w:rsidRPr="00A37160" w:rsidRDefault="001B7EF9" w:rsidP="00A37160">
          <w:pPr>
            <w:pStyle w:val="TOC2"/>
            <w:rPr>
              <w:rFonts w:asciiTheme="minorHAnsi" w:eastAsiaTheme="minorEastAsia" w:hAnsiTheme="minorHAnsi"/>
              <w:lang w:eastAsia="en-GB"/>
            </w:rPr>
          </w:pPr>
          <w:hyperlink w:anchor="_Toc220611162" w:history="1">
            <w:r w:rsidRPr="00A37160">
              <w:rPr>
                <w:rStyle w:val="Hyperlink"/>
              </w:rPr>
              <w:t>Diversity, Equity, and Inclusion (DEI)</w:t>
            </w:r>
            <w:r w:rsidRPr="00A37160">
              <w:rPr>
                <w:webHidden/>
              </w:rPr>
              <w:tab/>
            </w:r>
            <w:r w:rsidRPr="00A37160">
              <w:rPr>
                <w:webHidden/>
              </w:rPr>
              <w:fldChar w:fldCharType="begin"/>
            </w:r>
            <w:r w:rsidRPr="00A37160">
              <w:rPr>
                <w:webHidden/>
              </w:rPr>
              <w:instrText xml:space="preserve"> PAGEREF _Toc220611162 \h </w:instrText>
            </w:r>
            <w:r w:rsidRPr="00A37160">
              <w:rPr>
                <w:webHidden/>
              </w:rPr>
            </w:r>
            <w:r w:rsidRPr="00A37160">
              <w:rPr>
                <w:webHidden/>
              </w:rPr>
              <w:fldChar w:fldCharType="separate"/>
            </w:r>
            <w:r w:rsidR="00514FA4">
              <w:rPr>
                <w:webHidden/>
              </w:rPr>
              <w:t>6</w:t>
            </w:r>
            <w:r w:rsidRPr="00A37160">
              <w:rPr>
                <w:webHidden/>
              </w:rPr>
              <w:fldChar w:fldCharType="end"/>
            </w:r>
          </w:hyperlink>
        </w:p>
        <w:p w14:paraId="29CA884F" w14:textId="3845C49A" w:rsidR="001B7EF9" w:rsidRDefault="00AD09A5" w:rsidP="00A37160">
          <w:pPr>
            <w:pStyle w:val="TOC2"/>
            <w:rPr>
              <w:rFonts w:asciiTheme="minorHAnsi" w:eastAsiaTheme="minorEastAsia" w:hAnsiTheme="minorHAnsi"/>
              <w:lang w:eastAsia="en-GB"/>
            </w:rPr>
          </w:pPr>
          <w:r>
            <w:t>D</w:t>
          </w:r>
          <w:r w:rsidR="00BE5A92">
            <w:t>epartme</w:t>
          </w:r>
          <w:r w:rsidR="006B5054">
            <w:t xml:space="preserve">ntal Managers </w:t>
          </w:r>
          <w:hyperlink w:anchor="_Toc220611163" w:history="1">
            <w:r w:rsidR="001B7EF9" w:rsidRPr="002775A7">
              <w:rPr>
                <w:rStyle w:val="Hyperlink"/>
              </w:rPr>
              <w:t>Ensuring Implementation of HR Practices</w:t>
            </w:r>
            <w:r w:rsidR="001B7EF9">
              <w:rPr>
                <w:webHidden/>
              </w:rPr>
              <w:tab/>
            </w:r>
            <w:r w:rsidR="001B7EF9">
              <w:rPr>
                <w:webHidden/>
              </w:rPr>
              <w:fldChar w:fldCharType="begin"/>
            </w:r>
            <w:r w:rsidR="001B7EF9">
              <w:rPr>
                <w:webHidden/>
              </w:rPr>
              <w:instrText xml:space="preserve"> PAGEREF _Toc220611163 \h </w:instrText>
            </w:r>
            <w:r w:rsidR="001B7EF9">
              <w:rPr>
                <w:webHidden/>
              </w:rPr>
            </w:r>
            <w:r w:rsidR="001B7EF9">
              <w:rPr>
                <w:webHidden/>
              </w:rPr>
              <w:fldChar w:fldCharType="separate"/>
            </w:r>
            <w:r w:rsidR="00514FA4">
              <w:rPr>
                <w:webHidden/>
              </w:rPr>
              <w:t>6</w:t>
            </w:r>
            <w:r w:rsidR="001B7EF9">
              <w:rPr>
                <w:webHidden/>
              </w:rPr>
              <w:fldChar w:fldCharType="end"/>
            </w:r>
          </w:hyperlink>
        </w:p>
        <w:p w14:paraId="59DBFB3D" w14:textId="725FB508" w:rsidR="001B7EF9" w:rsidRDefault="001B7EF9" w:rsidP="00653F6B">
          <w:pPr>
            <w:pStyle w:val="TOC1"/>
            <w:rPr>
              <w:rFonts w:asciiTheme="minorHAnsi" w:eastAsiaTheme="minorEastAsia" w:hAnsiTheme="minorHAnsi"/>
              <w:lang w:eastAsia="en-GB"/>
            </w:rPr>
          </w:pPr>
          <w:hyperlink w:anchor="_Toc220611164" w:history="1">
            <w:r w:rsidRPr="002775A7">
              <w:rPr>
                <w:rStyle w:val="Hyperlink"/>
              </w:rPr>
              <w:t>Conclusion and Recommendations</w:t>
            </w:r>
            <w:r>
              <w:rPr>
                <w:webHidden/>
              </w:rPr>
              <w:tab/>
            </w:r>
            <w:r>
              <w:rPr>
                <w:webHidden/>
              </w:rPr>
              <w:fldChar w:fldCharType="begin"/>
            </w:r>
            <w:r>
              <w:rPr>
                <w:webHidden/>
              </w:rPr>
              <w:instrText xml:space="preserve"> PAGEREF _Toc220611164 \h </w:instrText>
            </w:r>
            <w:r>
              <w:rPr>
                <w:webHidden/>
              </w:rPr>
            </w:r>
            <w:r>
              <w:rPr>
                <w:webHidden/>
              </w:rPr>
              <w:fldChar w:fldCharType="separate"/>
            </w:r>
            <w:r w:rsidR="00514FA4">
              <w:rPr>
                <w:webHidden/>
              </w:rPr>
              <w:t>8</w:t>
            </w:r>
            <w:r>
              <w:rPr>
                <w:webHidden/>
              </w:rPr>
              <w:fldChar w:fldCharType="end"/>
            </w:r>
          </w:hyperlink>
        </w:p>
        <w:p w14:paraId="67424A5E" w14:textId="19143693" w:rsidR="001B7EF9" w:rsidRDefault="001B7EF9" w:rsidP="00653F6B">
          <w:pPr>
            <w:pStyle w:val="TOC1"/>
            <w:rPr>
              <w:rFonts w:asciiTheme="minorHAnsi" w:eastAsiaTheme="minorEastAsia" w:hAnsiTheme="minorHAnsi"/>
              <w:lang w:eastAsia="en-GB"/>
            </w:rPr>
          </w:pPr>
          <w:hyperlink w:anchor="_Toc220611165" w:history="1">
            <w:r w:rsidRPr="002775A7">
              <w:rPr>
                <w:rStyle w:val="Hyperlink"/>
              </w:rPr>
              <w:t>References</w:t>
            </w:r>
            <w:r>
              <w:rPr>
                <w:webHidden/>
              </w:rPr>
              <w:tab/>
            </w:r>
            <w:r>
              <w:rPr>
                <w:webHidden/>
              </w:rPr>
              <w:fldChar w:fldCharType="begin"/>
            </w:r>
            <w:r>
              <w:rPr>
                <w:webHidden/>
              </w:rPr>
              <w:instrText xml:space="preserve"> PAGEREF _Toc220611165 \h </w:instrText>
            </w:r>
            <w:r>
              <w:rPr>
                <w:webHidden/>
              </w:rPr>
            </w:r>
            <w:r>
              <w:rPr>
                <w:webHidden/>
              </w:rPr>
              <w:fldChar w:fldCharType="separate"/>
            </w:r>
            <w:r w:rsidR="00514FA4">
              <w:rPr>
                <w:webHidden/>
              </w:rPr>
              <w:t>9</w:t>
            </w:r>
            <w:r>
              <w:rPr>
                <w:webHidden/>
              </w:rPr>
              <w:fldChar w:fldCharType="end"/>
            </w:r>
          </w:hyperlink>
        </w:p>
        <w:p w14:paraId="586CD3C4" w14:textId="5252EB4A" w:rsidR="007113AE" w:rsidRPr="001C1A44" w:rsidRDefault="00F92474" w:rsidP="001C1A44">
          <w:pPr>
            <w:spacing w:after="0" w:line="360" w:lineRule="auto"/>
            <w:rPr>
              <w:rFonts w:ascii="Arial" w:hAnsi="Arial" w:cs="Arial"/>
              <w:sz w:val="22"/>
            </w:rPr>
          </w:pPr>
          <w:r w:rsidRPr="001C1A44">
            <w:rPr>
              <w:rFonts w:ascii="Arial" w:hAnsi="Arial" w:cs="Arial"/>
              <w:b/>
              <w:bCs/>
              <w:noProof/>
              <w:color w:val="000000" w:themeColor="text1"/>
              <w:sz w:val="22"/>
            </w:rPr>
            <w:fldChar w:fldCharType="end"/>
          </w:r>
        </w:p>
      </w:sdtContent>
    </w:sdt>
    <w:p w14:paraId="5BE6232A" w14:textId="141DE862" w:rsidR="007113AE" w:rsidRPr="001C1A44" w:rsidRDefault="007113AE" w:rsidP="001C1A44">
      <w:pPr>
        <w:spacing w:after="0" w:line="360" w:lineRule="auto"/>
        <w:rPr>
          <w:rFonts w:ascii="Arial" w:hAnsi="Arial" w:cs="Arial"/>
          <w:sz w:val="22"/>
        </w:rPr>
      </w:pPr>
    </w:p>
    <w:p w14:paraId="75CEF3F5" w14:textId="77777777" w:rsidR="007113AE" w:rsidRPr="001C1A44" w:rsidRDefault="007113AE" w:rsidP="001C1A44">
      <w:pPr>
        <w:spacing w:after="0" w:line="360" w:lineRule="auto"/>
        <w:rPr>
          <w:rFonts w:ascii="Arial" w:hAnsi="Arial" w:cs="Arial"/>
          <w:sz w:val="22"/>
        </w:rPr>
      </w:pPr>
    </w:p>
    <w:p w14:paraId="767B6978" w14:textId="778A2776" w:rsidR="005D714D" w:rsidRPr="001C1A44" w:rsidRDefault="00F92474" w:rsidP="001C1A44">
      <w:pPr>
        <w:spacing w:after="0" w:line="360" w:lineRule="auto"/>
        <w:rPr>
          <w:rFonts w:ascii="Arial" w:hAnsi="Arial" w:cs="Arial"/>
          <w:sz w:val="22"/>
        </w:rPr>
      </w:pPr>
      <w:r w:rsidRPr="001C1A44">
        <w:rPr>
          <w:rFonts w:ascii="Arial" w:hAnsi="Arial" w:cs="Arial"/>
          <w:sz w:val="22"/>
        </w:rPr>
        <w:br w:type="page"/>
      </w:r>
    </w:p>
    <w:p w14:paraId="08A2C24B" w14:textId="39B5FC32" w:rsidR="008F57A5" w:rsidRPr="001C1A44" w:rsidRDefault="00F92474" w:rsidP="001C1A44">
      <w:pPr>
        <w:pStyle w:val="Heading1"/>
        <w:spacing w:after="0" w:line="360" w:lineRule="auto"/>
        <w:rPr>
          <w:rFonts w:ascii="Arial" w:hAnsi="Arial" w:cs="Arial"/>
          <w:sz w:val="22"/>
          <w:szCs w:val="22"/>
        </w:rPr>
      </w:pPr>
      <w:bookmarkStart w:id="0" w:name="_Toc220611154"/>
      <w:r w:rsidRPr="001C1A44">
        <w:rPr>
          <w:rFonts w:ascii="Arial" w:hAnsi="Arial" w:cs="Arial"/>
          <w:sz w:val="22"/>
          <w:szCs w:val="22"/>
        </w:rPr>
        <w:lastRenderedPageBreak/>
        <w:t>Introduction</w:t>
      </w:r>
      <w:bookmarkEnd w:id="0"/>
    </w:p>
    <w:p w14:paraId="3807ECB1" w14:textId="5207C71C" w:rsidR="00851748" w:rsidRPr="001C1A44" w:rsidRDefault="00F92474" w:rsidP="007F7566">
      <w:pPr>
        <w:spacing w:after="0" w:line="360" w:lineRule="auto"/>
        <w:jc w:val="both"/>
        <w:rPr>
          <w:rFonts w:ascii="Arial" w:hAnsi="Arial" w:cs="Arial"/>
          <w:sz w:val="22"/>
        </w:rPr>
      </w:pPr>
      <w:r w:rsidRPr="001C1A44">
        <w:rPr>
          <w:rFonts w:ascii="Arial" w:hAnsi="Arial" w:cs="Arial"/>
          <w:sz w:val="22"/>
        </w:rPr>
        <w:t xml:space="preserve">ASDA is the major retail chain in the United Kingdom, which has over </w:t>
      </w:r>
      <w:r w:rsidR="007862B0" w:rsidRPr="001C1A44">
        <w:rPr>
          <w:rFonts w:ascii="Arial" w:hAnsi="Arial" w:cs="Arial"/>
          <w:sz w:val="22"/>
        </w:rPr>
        <w:t>six hundred</w:t>
      </w:r>
      <w:r w:rsidRPr="001C1A44">
        <w:rPr>
          <w:rFonts w:ascii="Arial" w:hAnsi="Arial" w:cs="Arial"/>
          <w:sz w:val="22"/>
        </w:rPr>
        <w:t xml:space="preserve"> stores across the nation, employing more than 145,000 people (store staff, supply chain, and corporate staff) (Jones, 2024). The high representation on the market, the competition with Tesco and Sainsbury in prices and customer experience has been secured by being a part of Walmart since 2021, ASDA. The retail business is increasingly becoming a stressed issue with digital transformation, which makes firms in the relevant industry adopt new advanced technologies, including automated inventory management and e-commerce applications and solutions alongside artificial intelligence-driven customer analytics. Furthermore, Diversity, Equity, and Inclusion (DEI) became one of the most important organisational issues to foster inclusive work cultures and to meet the legal and social demands (</w:t>
      </w:r>
      <w:r w:rsidR="007F7566" w:rsidRPr="007F7566">
        <w:rPr>
          <w:rFonts w:ascii="Arial" w:hAnsi="Arial" w:cs="Arial"/>
          <w:sz w:val="22"/>
        </w:rPr>
        <w:t>Iyer</w:t>
      </w:r>
      <w:r w:rsidR="007F7566">
        <w:rPr>
          <w:rFonts w:ascii="Arial" w:hAnsi="Arial" w:cs="Arial"/>
          <w:sz w:val="22"/>
        </w:rPr>
        <w:t>, 2022</w:t>
      </w:r>
      <w:r w:rsidRPr="001C1A44">
        <w:rPr>
          <w:rFonts w:ascii="Arial" w:hAnsi="Arial" w:cs="Arial"/>
          <w:sz w:val="22"/>
        </w:rPr>
        <w:t xml:space="preserve">). This report examines current HR practises at ASDA to counter these challenges and provides a practical report to diverse managers to enhance the performance. </w:t>
      </w:r>
    </w:p>
    <w:p w14:paraId="78020B21" w14:textId="77777777" w:rsidR="00D43A8E" w:rsidRPr="001C1A44" w:rsidRDefault="00D43A8E" w:rsidP="001C1A44">
      <w:pPr>
        <w:spacing w:after="0" w:line="360" w:lineRule="auto"/>
        <w:rPr>
          <w:rFonts w:ascii="Arial" w:hAnsi="Arial" w:cs="Arial"/>
          <w:sz w:val="22"/>
        </w:rPr>
      </w:pPr>
    </w:p>
    <w:p w14:paraId="6704731D" w14:textId="12C8B7A7" w:rsidR="008F57A5" w:rsidRPr="001C1A44" w:rsidRDefault="00F92474" w:rsidP="001C1A44">
      <w:pPr>
        <w:pStyle w:val="Heading1"/>
        <w:spacing w:after="0" w:line="360" w:lineRule="auto"/>
        <w:rPr>
          <w:rFonts w:ascii="Arial" w:hAnsi="Arial" w:cs="Arial"/>
          <w:sz w:val="22"/>
          <w:szCs w:val="22"/>
        </w:rPr>
      </w:pPr>
      <w:bookmarkStart w:id="1" w:name="_Toc220611155"/>
      <w:r w:rsidRPr="001C1A44">
        <w:rPr>
          <w:rFonts w:ascii="Arial" w:hAnsi="Arial" w:cs="Arial"/>
          <w:sz w:val="22"/>
          <w:szCs w:val="22"/>
        </w:rPr>
        <w:t>Factors Affecting HR at ASDA</w:t>
      </w:r>
      <w:bookmarkEnd w:id="1"/>
    </w:p>
    <w:p w14:paraId="73DE180F" w14:textId="12E16193" w:rsidR="008F57A5" w:rsidRPr="00A20182" w:rsidRDefault="00F92474" w:rsidP="001C1A44">
      <w:pPr>
        <w:pStyle w:val="Heading2"/>
        <w:spacing w:after="0" w:line="360" w:lineRule="auto"/>
        <w:rPr>
          <w:rFonts w:ascii="Arial" w:hAnsi="Arial" w:cs="Arial"/>
          <w:b/>
          <w:bCs/>
          <w:sz w:val="22"/>
          <w:szCs w:val="22"/>
        </w:rPr>
      </w:pPr>
      <w:bookmarkStart w:id="2" w:name="_Toc220611156"/>
      <w:r w:rsidRPr="00A20182">
        <w:rPr>
          <w:rFonts w:ascii="Arial" w:hAnsi="Arial" w:cs="Arial"/>
          <w:b/>
          <w:bCs/>
          <w:sz w:val="22"/>
          <w:szCs w:val="22"/>
        </w:rPr>
        <w:t>Meeting Technological Advancement</w:t>
      </w:r>
      <w:bookmarkEnd w:id="2"/>
    </w:p>
    <w:p w14:paraId="59452645" w14:textId="3E753AC9" w:rsidR="001F32F0" w:rsidRPr="001C1A44" w:rsidRDefault="00F92474" w:rsidP="007F7566">
      <w:pPr>
        <w:spacing w:after="0" w:line="360" w:lineRule="auto"/>
        <w:jc w:val="both"/>
        <w:rPr>
          <w:rFonts w:ascii="Arial" w:hAnsi="Arial" w:cs="Arial"/>
          <w:sz w:val="22"/>
          <w:highlight w:val="yellow"/>
        </w:rPr>
      </w:pPr>
      <w:r w:rsidRPr="001C1A44">
        <w:rPr>
          <w:rFonts w:ascii="Arial" w:hAnsi="Arial" w:cs="Arial"/>
          <w:sz w:val="22"/>
        </w:rPr>
        <w:t xml:space="preserve">The high-speed digitalisation of the retail industry has emerged as one of the burning issues for the HR of ASDA. An information and communication technology-based modern store industry is increasingly relying on web-based shops, computerised inventory management systems, and artificial intelligence-based customer presentation </w:t>
      </w:r>
      <w:r w:rsidR="00394EDE" w:rsidRPr="001C1A44">
        <w:rPr>
          <w:rFonts w:ascii="Arial" w:hAnsi="Arial" w:cs="Arial"/>
          <w:sz w:val="22"/>
        </w:rPr>
        <w:t>to</w:t>
      </w:r>
      <w:r w:rsidRPr="001C1A44">
        <w:rPr>
          <w:rFonts w:ascii="Arial" w:hAnsi="Arial" w:cs="Arial"/>
          <w:sz w:val="22"/>
        </w:rPr>
        <w:t xml:space="preserve"> increase the efficiency and satisfaction of customers (Arinze, 2024). The existing and effective implementation of these technologies in the case of ASDA will require much labour force upskilling, </w:t>
      </w:r>
      <w:r w:rsidR="00394EDE" w:rsidRPr="001C1A44">
        <w:rPr>
          <w:rFonts w:ascii="Arial" w:hAnsi="Arial" w:cs="Arial"/>
          <w:sz w:val="22"/>
        </w:rPr>
        <w:t>in</w:t>
      </w:r>
      <w:r w:rsidRPr="001C1A44">
        <w:rPr>
          <w:rFonts w:ascii="Arial" w:hAnsi="Arial" w:cs="Arial"/>
          <w:sz w:val="22"/>
        </w:rPr>
        <w:t xml:space="preserve"> the field of digital literacy and data analytics, and a deployment of a more refined Human Resource Information System workforce planning and data analytics (Saidakhrarovich et al., 2024). </w:t>
      </w:r>
    </w:p>
    <w:p w14:paraId="57A79070" w14:textId="3767E0BB" w:rsidR="009D0008" w:rsidRPr="001C1A44" w:rsidRDefault="00F92474" w:rsidP="007F7566">
      <w:pPr>
        <w:spacing w:after="0" w:line="360" w:lineRule="auto"/>
        <w:jc w:val="both"/>
        <w:rPr>
          <w:rFonts w:ascii="Arial" w:hAnsi="Arial" w:cs="Arial"/>
          <w:sz w:val="22"/>
        </w:rPr>
      </w:pPr>
      <w:r w:rsidRPr="001C1A44">
        <w:rPr>
          <w:rFonts w:ascii="Arial" w:hAnsi="Arial" w:cs="Arial"/>
          <w:sz w:val="22"/>
        </w:rPr>
        <w:t xml:space="preserve">Ensuring cybersecurity and securing the data of the employees and customers is also a challenging task that needs to be taken care of through proper training and compliance control. The technological shift redefines the job descriptions, requires a more technologically proficient workforce, </w:t>
      </w:r>
      <w:r w:rsidR="00394EDE" w:rsidRPr="001C1A44">
        <w:rPr>
          <w:rFonts w:ascii="Arial" w:hAnsi="Arial" w:cs="Arial"/>
          <w:sz w:val="22"/>
        </w:rPr>
        <w:t>and</w:t>
      </w:r>
      <w:r w:rsidRPr="001C1A44">
        <w:rPr>
          <w:rFonts w:ascii="Arial" w:hAnsi="Arial" w:cs="Arial"/>
          <w:sz w:val="22"/>
        </w:rPr>
        <w:t xml:space="preserve"> alters the performance expectation as the front-line workers will be forced to adapt to the automated stock management and electronic checkout office software. </w:t>
      </w:r>
    </w:p>
    <w:p w14:paraId="1BB1DE8A" w14:textId="77777777" w:rsidR="008D1A84" w:rsidRPr="001C1A44" w:rsidRDefault="008D1A84" w:rsidP="001C1A44">
      <w:pPr>
        <w:spacing w:after="0" w:line="360" w:lineRule="auto"/>
        <w:rPr>
          <w:rFonts w:ascii="Arial" w:hAnsi="Arial" w:cs="Arial"/>
          <w:sz w:val="22"/>
        </w:rPr>
      </w:pPr>
    </w:p>
    <w:p w14:paraId="786057E8" w14:textId="017100F9" w:rsidR="008F57A5" w:rsidRPr="00087EBA" w:rsidRDefault="00F92474" w:rsidP="001C1A44">
      <w:pPr>
        <w:pStyle w:val="Heading2"/>
        <w:spacing w:after="0" w:line="360" w:lineRule="auto"/>
        <w:rPr>
          <w:rFonts w:ascii="Arial" w:hAnsi="Arial" w:cs="Arial"/>
          <w:b/>
          <w:bCs/>
          <w:sz w:val="22"/>
          <w:szCs w:val="22"/>
        </w:rPr>
      </w:pPr>
      <w:bookmarkStart w:id="3" w:name="_Toc220611157"/>
      <w:r w:rsidRPr="00087EBA">
        <w:rPr>
          <w:rFonts w:ascii="Arial" w:hAnsi="Arial" w:cs="Arial"/>
          <w:b/>
          <w:bCs/>
          <w:sz w:val="22"/>
          <w:szCs w:val="22"/>
        </w:rPr>
        <w:t>Talent Acquisition and Retention</w:t>
      </w:r>
      <w:bookmarkEnd w:id="3"/>
    </w:p>
    <w:p w14:paraId="02DCC66A" w14:textId="42A21610" w:rsidR="004944E9" w:rsidRDefault="00F92474" w:rsidP="007F7566">
      <w:pPr>
        <w:spacing w:after="0" w:line="360" w:lineRule="auto"/>
        <w:jc w:val="both"/>
        <w:rPr>
          <w:rFonts w:ascii="Arial" w:hAnsi="Arial" w:cs="Arial"/>
          <w:sz w:val="22"/>
        </w:rPr>
      </w:pPr>
      <w:r w:rsidRPr="001C1A44">
        <w:rPr>
          <w:rFonts w:ascii="Arial" w:hAnsi="Arial" w:cs="Arial"/>
          <w:sz w:val="22"/>
        </w:rPr>
        <w:t xml:space="preserve">Talent acquisition and retention are the primary HR dilemmas that are still encountered by ASDA, particularly in a highly competitive UK retail labour market. The post-pandemic labour shortage pressures are still being piled on top of retailers, forcing them to seek a skilled workforce, including </w:t>
      </w:r>
      <w:r w:rsidRPr="001C1A44">
        <w:rPr>
          <w:rFonts w:ascii="Arial" w:hAnsi="Arial" w:cs="Arial"/>
          <w:sz w:val="22"/>
        </w:rPr>
        <w:lastRenderedPageBreak/>
        <w:t xml:space="preserve">a technology-savvy workforce to perform online and managerial talent to coordinate work across locations (Aksoy et al., 2022). One of the problems that ASDA is facing is the challenge of hiring individuals who are operational and flexible enough to develop </w:t>
      </w:r>
      <w:r w:rsidR="001159CC" w:rsidRPr="001C1A44">
        <w:rPr>
          <w:rFonts w:ascii="Arial" w:hAnsi="Arial" w:cs="Arial"/>
          <w:sz w:val="22"/>
        </w:rPr>
        <w:t>modern technologies</w:t>
      </w:r>
      <w:r w:rsidRPr="001C1A44">
        <w:rPr>
          <w:rFonts w:ascii="Arial" w:hAnsi="Arial" w:cs="Arial"/>
          <w:sz w:val="22"/>
        </w:rPr>
        <w:t xml:space="preserve">, in particular, because other rivals such as Tesco and Sainsbury have attractive remuneration packages and career growth opportunities (Hartfield, 2024). </w:t>
      </w:r>
    </w:p>
    <w:p w14:paraId="299A166B" w14:textId="6ABBF20C" w:rsidR="00710003" w:rsidRDefault="00F92474" w:rsidP="0093149C">
      <w:pPr>
        <w:spacing w:after="0" w:line="360" w:lineRule="auto"/>
        <w:jc w:val="both"/>
        <w:rPr>
          <w:rFonts w:ascii="Arial" w:hAnsi="Arial" w:cs="Arial"/>
          <w:sz w:val="22"/>
          <w:highlight w:val="yellow"/>
        </w:rPr>
      </w:pPr>
      <w:r w:rsidRPr="001C1A44">
        <w:rPr>
          <w:rFonts w:ascii="Arial" w:hAnsi="Arial" w:cs="Arial"/>
          <w:sz w:val="22"/>
        </w:rPr>
        <w:t xml:space="preserve">The frontline employment offices have a high turnover rate that is usually triggered by lack of engagement, growth, and pay disparity (Bhaskaran et al., 2022). The retention plan is also important since frequent change of staff will occur at the expense of disrupted services and work efficiency for the customers. ASDA has implemented programmes such as formal apprenticeship programmes, flexible working, and in-service talent pipelines to drive retention and development of future leaders. An effective HR management of talent acquisition and retention will ensure that the organisation is stable, the workforce is doing </w:t>
      </w:r>
      <w:r w:rsidR="00EA1E5B" w:rsidRPr="001C1A44">
        <w:rPr>
          <w:rFonts w:ascii="Arial" w:hAnsi="Arial" w:cs="Arial"/>
          <w:sz w:val="22"/>
        </w:rPr>
        <w:t>better and</w:t>
      </w:r>
      <w:r w:rsidRPr="001C1A44">
        <w:rPr>
          <w:rFonts w:ascii="Arial" w:hAnsi="Arial" w:cs="Arial"/>
          <w:sz w:val="22"/>
        </w:rPr>
        <w:t xml:space="preserve"> wins a competitive advantage in the dynamic retail market.</w:t>
      </w:r>
    </w:p>
    <w:p w14:paraId="7B3F5A06" w14:textId="77777777" w:rsidR="0093149C" w:rsidRPr="0093149C" w:rsidRDefault="0093149C" w:rsidP="0093149C">
      <w:pPr>
        <w:spacing w:after="0" w:line="360" w:lineRule="auto"/>
        <w:jc w:val="both"/>
        <w:rPr>
          <w:rFonts w:ascii="Arial" w:hAnsi="Arial" w:cs="Arial"/>
          <w:sz w:val="22"/>
          <w:highlight w:val="yellow"/>
        </w:rPr>
      </w:pPr>
    </w:p>
    <w:p w14:paraId="28C440E3" w14:textId="3D79F3EC" w:rsidR="008F57A5" w:rsidRPr="00514CA6" w:rsidRDefault="00F92474" w:rsidP="001C1A44">
      <w:pPr>
        <w:pStyle w:val="Heading2"/>
        <w:spacing w:after="0" w:line="360" w:lineRule="auto"/>
        <w:rPr>
          <w:rFonts w:ascii="Arial" w:hAnsi="Arial" w:cs="Arial"/>
          <w:b/>
          <w:bCs/>
          <w:sz w:val="22"/>
          <w:szCs w:val="22"/>
        </w:rPr>
      </w:pPr>
      <w:r w:rsidRPr="00514CA6">
        <w:rPr>
          <w:rFonts w:ascii="Arial" w:hAnsi="Arial" w:cs="Arial"/>
          <w:b/>
          <w:bCs/>
          <w:sz w:val="22"/>
          <w:szCs w:val="22"/>
        </w:rPr>
        <w:t>Diversity, Equity, a</w:t>
      </w:r>
      <w:bookmarkStart w:id="4" w:name="_Toc220611158"/>
      <w:r w:rsidRPr="00514CA6">
        <w:rPr>
          <w:rFonts w:ascii="Arial" w:hAnsi="Arial" w:cs="Arial"/>
          <w:b/>
          <w:bCs/>
          <w:sz w:val="22"/>
          <w:szCs w:val="22"/>
        </w:rPr>
        <w:t>nd Inclusion</w:t>
      </w:r>
      <w:bookmarkEnd w:id="4"/>
    </w:p>
    <w:p w14:paraId="61507815" w14:textId="4FC493BA" w:rsidR="00151939" w:rsidRPr="001C1A44" w:rsidRDefault="00F92474" w:rsidP="001C1A44">
      <w:pPr>
        <w:spacing w:after="0" w:line="360" w:lineRule="auto"/>
        <w:rPr>
          <w:rFonts w:ascii="Arial" w:hAnsi="Arial" w:cs="Arial"/>
          <w:sz w:val="22"/>
          <w:highlight w:val="yellow"/>
        </w:rPr>
      </w:pPr>
      <w:r w:rsidRPr="001C1A44">
        <w:rPr>
          <w:rFonts w:ascii="Arial" w:hAnsi="Arial" w:cs="Arial"/>
          <w:sz w:val="22"/>
        </w:rPr>
        <w:t xml:space="preserve">DEI are becoming up-to-date concerns of organisational culture, employee satisfaction, and brand image in the retail sector. In this instance of ASDA, a multicultural labour force can enhance the process of innovation and problem-solving and the engagement with customers since it will enable the company to capitalise on the diverse market in the UK, which is manifested through a multicultural workforce (El-Khatib et al., 2025). However, barriers to the initiation of meaningful DEI practise include unconscious bias during the recruitment and promotion of employees and proportions of representation in senior leadership roles, and the development of policies to support equitable career progression. </w:t>
      </w:r>
    </w:p>
    <w:p w14:paraId="4CC0A7E3" w14:textId="6461E704" w:rsidR="000719CC" w:rsidRPr="001C1A44" w:rsidRDefault="00F92474" w:rsidP="001C1A44">
      <w:pPr>
        <w:spacing w:after="0" w:line="360" w:lineRule="auto"/>
        <w:rPr>
          <w:rFonts w:ascii="Arial" w:hAnsi="Arial" w:cs="Arial"/>
          <w:sz w:val="22"/>
        </w:rPr>
      </w:pPr>
      <w:r w:rsidRPr="001C1A44">
        <w:rPr>
          <w:rFonts w:ascii="Arial" w:hAnsi="Arial" w:cs="Arial"/>
          <w:sz w:val="22"/>
        </w:rPr>
        <w:t xml:space="preserve">The non-discriminatory practises are both legally and ethically mandated, </w:t>
      </w:r>
      <w:r w:rsidR="00545ACA">
        <w:rPr>
          <w:rFonts w:ascii="Arial" w:hAnsi="Arial" w:cs="Arial"/>
          <w:sz w:val="22"/>
        </w:rPr>
        <w:t>as</w:t>
      </w:r>
      <w:r w:rsidRPr="001C1A44">
        <w:rPr>
          <w:rFonts w:ascii="Arial" w:hAnsi="Arial" w:cs="Arial"/>
          <w:sz w:val="22"/>
        </w:rPr>
        <w:t xml:space="preserve"> the UK Equality Act 2010 stipulates that non-discriminatory policies should be applied, and that the corporate social responsibility initiatives promote an inclusive workplace further (GOV.UK, 2010). ASDA has been leading in assisting DEI by having initiatives such as employment in diversified panels, employee resource groups, and special leadership development programmes to support some of the underrepresented groups (Buttinger, 2023). Embracing DEI as part of organisational strategy equates to perpetual observation, educating, and accountability of policies, ensuring that policy translates to effective cultural change and to achieve sustainability of workforce equity. </w:t>
      </w:r>
    </w:p>
    <w:p w14:paraId="0BFA0D86" w14:textId="5930A5B7" w:rsidR="008F57A5" w:rsidRPr="001C1A44" w:rsidRDefault="008F57A5" w:rsidP="001C1A44">
      <w:pPr>
        <w:spacing w:after="0" w:line="360" w:lineRule="auto"/>
        <w:rPr>
          <w:rFonts w:ascii="Arial" w:hAnsi="Arial" w:cs="Arial"/>
          <w:sz w:val="22"/>
        </w:rPr>
      </w:pPr>
    </w:p>
    <w:p w14:paraId="12E584FB" w14:textId="45A0E65F" w:rsidR="008F57A5" w:rsidRPr="001C1A44" w:rsidRDefault="00F92474" w:rsidP="001C1A44">
      <w:pPr>
        <w:pStyle w:val="Heading1"/>
        <w:spacing w:after="0" w:line="360" w:lineRule="auto"/>
        <w:rPr>
          <w:rFonts w:ascii="Arial" w:hAnsi="Arial" w:cs="Arial"/>
          <w:sz w:val="22"/>
          <w:szCs w:val="22"/>
        </w:rPr>
      </w:pPr>
      <w:bookmarkStart w:id="5" w:name="_Toc220611159"/>
      <w:r w:rsidRPr="001C1A44">
        <w:rPr>
          <w:rFonts w:ascii="Arial" w:hAnsi="Arial" w:cs="Arial"/>
          <w:sz w:val="22"/>
          <w:szCs w:val="22"/>
        </w:rPr>
        <w:lastRenderedPageBreak/>
        <w:t>Contemporary HR Practices to Address These Factors</w:t>
      </w:r>
      <w:bookmarkEnd w:id="5"/>
    </w:p>
    <w:p w14:paraId="443D3B6A" w14:textId="7392C600" w:rsidR="008F57A5" w:rsidRPr="00525AC8" w:rsidRDefault="00F92474" w:rsidP="001C1A44">
      <w:pPr>
        <w:pStyle w:val="Heading2"/>
        <w:spacing w:after="0" w:line="360" w:lineRule="auto"/>
        <w:rPr>
          <w:rFonts w:ascii="Arial" w:hAnsi="Arial" w:cs="Arial"/>
          <w:b/>
          <w:bCs/>
          <w:sz w:val="22"/>
          <w:szCs w:val="22"/>
        </w:rPr>
      </w:pPr>
      <w:bookmarkStart w:id="6" w:name="_Toc220611160"/>
      <w:r w:rsidRPr="00525AC8">
        <w:rPr>
          <w:rFonts w:ascii="Arial" w:hAnsi="Arial" w:cs="Arial"/>
          <w:b/>
          <w:bCs/>
          <w:sz w:val="22"/>
          <w:szCs w:val="22"/>
        </w:rPr>
        <w:t>Technological Advancement</w:t>
      </w:r>
      <w:bookmarkEnd w:id="6"/>
    </w:p>
    <w:p w14:paraId="313F0477" w14:textId="55D74F82" w:rsidR="007F7566" w:rsidRDefault="00F92474" w:rsidP="007F7566">
      <w:pPr>
        <w:spacing w:after="0" w:line="360" w:lineRule="auto"/>
        <w:jc w:val="both"/>
        <w:rPr>
          <w:rFonts w:ascii="Arial" w:hAnsi="Arial" w:cs="Arial"/>
          <w:sz w:val="22"/>
        </w:rPr>
      </w:pPr>
      <w:r w:rsidRPr="001C1A44">
        <w:rPr>
          <w:rFonts w:ascii="Arial" w:hAnsi="Arial" w:cs="Arial"/>
          <w:sz w:val="22"/>
        </w:rPr>
        <w:t xml:space="preserve">The contemporary HR practises in ASDA are preoccupied with the deployment of digital tools and human capital development strategies in reaction to the technological development quandary. Advanced Human Resource Information Systems (HRIS) can aid in strategic decision-making to efficiently manage employee information, monitor performance, and plan the workforce (Oktaviannur and Kindiasari, 2024). Digital learning modules and e-learning platforms present scalable sources of upskilling staff, whereby workers are empowered to receive technical skills that will allow them access to automated inventory management, self-checkout systems, and AI-driven analytics. </w:t>
      </w:r>
    </w:p>
    <w:p w14:paraId="4A8FC66F" w14:textId="246E299C" w:rsidR="00116846" w:rsidRPr="007F7566" w:rsidRDefault="00F92474" w:rsidP="007F7566">
      <w:pPr>
        <w:spacing w:after="0" w:line="360" w:lineRule="auto"/>
        <w:jc w:val="both"/>
        <w:rPr>
          <w:rFonts w:ascii="Arial" w:hAnsi="Arial" w:cs="Arial"/>
          <w:sz w:val="22"/>
          <w:highlight w:val="yellow"/>
        </w:rPr>
      </w:pPr>
      <w:r w:rsidRPr="001C1A44">
        <w:rPr>
          <w:rFonts w:ascii="Arial" w:hAnsi="Arial" w:cs="Arial"/>
          <w:sz w:val="22"/>
        </w:rPr>
        <w:t xml:space="preserve">Continuous Professional Development (CPD) programmes enable employees to be digitally current and receptive to dynamic business needs. Moreover, AI-based workforce analytics and staffing can help in predictive staffing and talent matching, identify skills gaps, based on which an informed decision should be made by HR based on the data (Devi et al., 2025). </w:t>
      </w:r>
      <w:r w:rsidR="007F7566" w:rsidRPr="007F7566">
        <w:rPr>
          <w:rFonts w:ascii="Arial" w:hAnsi="Arial" w:cs="Arial"/>
          <w:sz w:val="22"/>
        </w:rPr>
        <w:t>Retail managers, like those at Tesco, have created automated scheduling and staffing models to improve employee efficiency and service. Similar methods from ASDA can enhance operations and staff adaptability.</w:t>
      </w:r>
      <w:r w:rsidRPr="001C1A44">
        <w:rPr>
          <w:rFonts w:ascii="Arial" w:hAnsi="Arial" w:cs="Arial"/>
          <w:sz w:val="22"/>
        </w:rPr>
        <w:t xml:space="preserve"> </w:t>
      </w:r>
    </w:p>
    <w:p w14:paraId="5882800B" w14:textId="77777777" w:rsidR="002A41D7" w:rsidRPr="001C1A44" w:rsidRDefault="002A41D7" w:rsidP="001C1A44">
      <w:pPr>
        <w:spacing w:after="0" w:line="360" w:lineRule="auto"/>
        <w:rPr>
          <w:rFonts w:ascii="Arial" w:hAnsi="Arial" w:cs="Arial"/>
          <w:sz w:val="22"/>
        </w:rPr>
      </w:pPr>
    </w:p>
    <w:p w14:paraId="0C6BE743" w14:textId="05BE3748" w:rsidR="008F57A5" w:rsidRPr="00525AC8" w:rsidRDefault="00F92474" w:rsidP="001C1A44">
      <w:pPr>
        <w:pStyle w:val="Heading2"/>
        <w:spacing w:after="0" w:line="360" w:lineRule="auto"/>
        <w:rPr>
          <w:rFonts w:ascii="Arial" w:hAnsi="Arial" w:cs="Arial"/>
          <w:b/>
          <w:bCs/>
          <w:sz w:val="22"/>
          <w:szCs w:val="22"/>
        </w:rPr>
      </w:pPr>
      <w:bookmarkStart w:id="7" w:name="_Toc220611161"/>
      <w:r w:rsidRPr="00525AC8">
        <w:rPr>
          <w:rFonts w:ascii="Arial" w:hAnsi="Arial" w:cs="Arial"/>
          <w:b/>
          <w:bCs/>
          <w:sz w:val="22"/>
          <w:szCs w:val="22"/>
        </w:rPr>
        <w:t>Talent Acquisition and Retention</w:t>
      </w:r>
      <w:bookmarkEnd w:id="7"/>
    </w:p>
    <w:p w14:paraId="3D4A8C3C" w14:textId="37934C57" w:rsidR="007B3331" w:rsidRDefault="00F92474" w:rsidP="007F7566">
      <w:pPr>
        <w:spacing w:after="0" w:line="360" w:lineRule="auto"/>
        <w:jc w:val="both"/>
        <w:rPr>
          <w:rFonts w:ascii="Arial" w:hAnsi="Arial" w:cs="Arial"/>
          <w:sz w:val="22"/>
        </w:rPr>
      </w:pPr>
      <w:r w:rsidRPr="001C1A44">
        <w:rPr>
          <w:rFonts w:ascii="Arial" w:hAnsi="Arial" w:cs="Arial"/>
          <w:sz w:val="22"/>
        </w:rPr>
        <w:t xml:space="preserve">The </w:t>
      </w:r>
      <w:r w:rsidR="003B09E7" w:rsidRPr="001C1A44">
        <w:rPr>
          <w:rFonts w:ascii="Arial" w:hAnsi="Arial" w:cs="Arial"/>
          <w:sz w:val="22"/>
        </w:rPr>
        <w:t xml:space="preserve">contemporary </w:t>
      </w:r>
      <w:r w:rsidRPr="001C1A44">
        <w:rPr>
          <w:rFonts w:ascii="Arial" w:hAnsi="Arial" w:cs="Arial"/>
          <w:sz w:val="22"/>
        </w:rPr>
        <w:t xml:space="preserve">HR practises in ASDA are based on HR absorbing and retaining talents through the strategic employer branding and attractive Employee Value Proposition (EVP). By sharing organisational culture, career opportunities, and commitment to employee wellbeing at ASDA, HR </w:t>
      </w:r>
      <w:r w:rsidR="00EA1E5B" w:rsidRPr="001C1A44">
        <w:rPr>
          <w:rFonts w:ascii="Arial" w:hAnsi="Arial" w:cs="Arial"/>
          <w:sz w:val="22"/>
        </w:rPr>
        <w:t>can</w:t>
      </w:r>
      <w:r w:rsidRPr="001C1A44">
        <w:rPr>
          <w:rFonts w:ascii="Arial" w:hAnsi="Arial" w:cs="Arial"/>
          <w:sz w:val="22"/>
        </w:rPr>
        <w:t xml:space="preserve"> attract the attention of talented persons in the retail labour market, which is increasingly competitive (Mendonça, 2025). </w:t>
      </w:r>
      <w:r w:rsidR="00EA1E5B" w:rsidRPr="001C1A44">
        <w:rPr>
          <w:rFonts w:ascii="Arial" w:hAnsi="Arial" w:cs="Arial"/>
          <w:sz w:val="22"/>
        </w:rPr>
        <w:t>Recruitment</w:t>
      </w:r>
      <w:r w:rsidRPr="001C1A44">
        <w:rPr>
          <w:rFonts w:ascii="Arial" w:hAnsi="Arial" w:cs="Arial"/>
          <w:sz w:val="22"/>
        </w:rPr>
        <w:t xml:space="preserve"> advertisements, particularly through social media and online job markets, artificially inflate the disclosures to techno-sophisticated and managerial competency. </w:t>
      </w:r>
    </w:p>
    <w:p w14:paraId="0039FB7A" w14:textId="22F04E39" w:rsidR="003C067E" w:rsidRPr="007B3331" w:rsidRDefault="00F92474" w:rsidP="007F7566">
      <w:pPr>
        <w:spacing w:after="0" w:line="360" w:lineRule="auto"/>
        <w:jc w:val="both"/>
        <w:rPr>
          <w:rFonts w:ascii="Arial" w:hAnsi="Arial" w:cs="Arial"/>
          <w:sz w:val="22"/>
          <w:highlight w:val="yellow"/>
        </w:rPr>
      </w:pPr>
      <w:r w:rsidRPr="001C1A44">
        <w:rPr>
          <w:rFonts w:ascii="Arial" w:hAnsi="Arial" w:cs="Arial"/>
          <w:sz w:val="22"/>
        </w:rPr>
        <w:t xml:space="preserve">ASDA also invests in planned and organised career development opportunities, flexible work schemes, and mentoring/coaching programmes to provide skill development and engagement of employees as a basis of retention (Timsina, 2024). Rewarding things and recognition relieve from motivation and turnover, like performance bonuses and employee appreciation programmes. According to ASDA apprenticeship schemes and internal promotion programmes, there have been reported higher rates and better productivity and work satisfaction, and the retention of both frontline and managerial personnel (Timsina, 2024). </w:t>
      </w:r>
    </w:p>
    <w:p w14:paraId="15A2A003" w14:textId="77777777" w:rsidR="002A41D7" w:rsidRPr="001C1A44" w:rsidRDefault="002A41D7" w:rsidP="001C1A44">
      <w:pPr>
        <w:spacing w:after="0" w:line="360" w:lineRule="auto"/>
        <w:rPr>
          <w:rFonts w:ascii="Arial" w:hAnsi="Arial" w:cs="Arial"/>
          <w:sz w:val="22"/>
        </w:rPr>
      </w:pPr>
    </w:p>
    <w:p w14:paraId="3F0C3117" w14:textId="2DB10A49" w:rsidR="008F57A5" w:rsidRPr="00862C56" w:rsidRDefault="00F92474" w:rsidP="001C1A44">
      <w:pPr>
        <w:pStyle w:val="Heading2"/>
        <w:spacing w:after="0" w:line="360" w:lineRule="auto"/>
        <w:rPr>
          <w:rFonts w:ascii="Arial" w:hAnsi="Arial" w:cs="Arial"/>
          <w:b/>
          <w:bCs/>
          <w:sz w:val="22"/>
          <w:szCs w:val="22"/>
        </w:rPr>
      </w:pPr>
      <w:bookmarkStart w:id="8" w:name="_Toc220611162"/>
      <w:r w:rsidRPr="00862C56">
        <w:rPr>
          <w:rFonts w:ascii="Arial" w:hAnsi="Arial" w:cs="Arial"/>
          <w:b/>
          <w:bCs/>
          <w:sz w:val="22"/>
          <w:szCs w:val="22"/>
        </w:rPr>
        <w:lastRenderedPageBreak/>
        <w:t>Diversity, Equity, and Inclusion (DEI)</w:t>
      </w:r>
      <w:bookmarkEnd w:id="8"/>
    </w:p>
    <w:p w14:paraId="2BF050BC" w14:textId="3CB4B282" w:rsidR="00386FF6" w:rsidRPr="001C1A44" w:rsidRDefault="00F92474" w:rsidP="007F7566">
      <w:pPr>
        <w:spacing w:after="0" w:line="360" w:lineRule="auto"/>
        <w:jc w:val="both"/>
        <w:rPr>
          <w:rFonts w:ascii="Arial" w:hAnsi="Arial" w:cs="Arial"/>
          <w:sz w:val="22"/>
          <w:highlight w:val="yellow"/>
        </w:rPr>
      </w:pPr>
      <w:r w:rsidRPr="001C1A44">
        <w:rPr>
          <w:rFonts w:ascii="Arial" w:hAnsi="Arial" w:cs="Arial"/>
          <w:sz w:val="22"/>
        </w:rPr>
        <w:t>ASDA has incorporated the principles of modern HR practises to enhance an inclusive organisational culture to boost DEI. Through fair recruitment policies, such as the use of ethnic hiring boards and anonymised resumes, a researcher can limit uncertainty bias and provide equitable hiring decisions (</w:t>
      </w:r>
      <w:r w:rsidR="00C06EBC" w:rsidRPr="00C06EBC">
        <w:rPr>
          <w:rFonts w:ascii="Arial" w:hAnsi="Arial" w:cs="Arial"/>
          <w:sz w:val="22"/>
        </w:rPr>
        <w:t>Chen, 2023</w:t>
      </w:r>
      <w:r w:rsidRPr="001C1A44">
        <w:rPr>
          <w:rFonts w:ascii="Arial" w:hAnsi="Arial" w:cs="Arial"/>
          <w:sz w:val="22"/>
        </w:rPr>
        <w:t xml:space="preserve">). DEI awareness and training are offered at every level of personnel and involve summarising and informing the employees and managers about the inclusivity, cultural competency, and anti-discrimination policies and behaviours. Gender, ethnicity, and representation in the role of authority are diversity indicators that, when regularly monitored by HR, can contribute to monitoring the progress and aligning the DEI performance with appraisal and organisational goals, increasing accountability (Abumere, 2025). </w:t>
      </w:r>
    </w:p>
    <w:p w14:paraId="75D3EDAD" w14:textId="1271E531" w:rsidR="00971833" w:rsidRDefault="00F92474" w:rsidP="001C1A44">
      <w:pPr>
        <w:spacing w:after="0" w:line="360" w:lineRule="auto"/>
        <w:rPr>
          <w:rFonts w:ascii="Arial" w:hAnsi="Arial" w:cs="Arial"/>
          <w:sz w:val="22"/>
        </w:rPr>
      </w:pPr>
      <w:r w:rsidRPr="001C1A44">
        <w:rPr>
          <w:rFonts w:ascii="Arial" w:hAnsi="Arial" w:cs="Arial"/>
          <w:sz w:val="22"/>
        </w:rPr>
        <w:t>Implementing DEI in organisational recruitment and development has supported employee engagement, reduced turnover, and improved organisational reputation, as has been demonstrated by other similar retailers in the UK, including Tesco and Sainsbury (Mendonça, 2025).</w:t>
      </w:r>
    </w:p>
    <w:p w14:paraId="49ED46C3" w14:textId="77777777" w:rsidR="00054760" w:rsidRPr="004568AE" w:rsidRDefault="00234F2B" w:rsidP="00054760">
      <w:pPr>
        <w:keepNext/>
        <w:spacing w:after="0" w:line="360" w:lineRule="auto"/>
        <w:jc w:val="center"/>
        <w:rPr>
          <w:rFonts w:ascii="Arial" w:hAnsi="Arial" w:cs="Arial"/>
        </w:rPr>
      </w:pPr>
      <w:r w:rsidRPr="00234F2B">
        <w:rPr>
          <w:rFonts w:ascii="Arial" w:hAnsi="Arial" w:cs="Arial"/>
          <w:noProof/>
          <w:sz w:val="22"/>
        </w:rPr>
        <w:drawing>
          <wp:inline distT="0" distB="0" distL="0" distR="0" wp14:anchorId="3EEB904A" wp14:editId="7246B641">
            <wp:extent cx="4754880" cy="2773680"/>
            <wp:effectExtent l="0" t="0" r="762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761895" cy="2777772"/>
                    </a:xfrm>
                    <a:prstGeom prst="rect">
                      <a:avLst/>
                    </a:prstGeom>
                  </pic:spPr>
                </pic:pic>
              </a:graphicData>
            </a:graphic>
          </wp:inline>
        </w:drawing>
      </w:r>
    </w:p>
    <w:p w14:paraId="5759FA26" w14:textId="5E08EC75" w:rsidR="00C11CBF" w:rsidRPr="00C11CBF" w:rsidRDefault="00054760" w:rsidP="00D1107E">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xml:space="preserve">: </w:t>
      </w:r>
      <w:r w:rsidRPr="0054756A">
        <w:t>Balanced Scorecard (BSC)</w:t>
      </w:r>
      <w:r>
        <w:t xml:space="preserve"> For ASDA</w:t>
      </w:r>
    </w:p>
    <w:p w14:paraId="10278B19" w14:textId="5646F5EF" w:rsidR="0083690B" w:rsidRPr="001C1A44" w:rsidRDefault="007F7566" w:rsidP="0083690B">
      <w:pPr>
        <w:spacing w:after="0" w:line="360" w:lineRule="auto"/>
        <w:jc w:val="both"/>
        <w:rPr>
          <w:rFonts w:ascii="Arial" w:hAnsi="Arial" w:cs="Arial"/>
          <w:sz w:val="22"/>
        </w:rPr>
      </w:pPr>
      <w:r w:rsidRPr="007F7566">
        <w:rPr>
          <w:rFonts w:ascii="Arial" w:hAnsi="Arial" w:cs="Arial"/>
          <w:sz w:val="22"/>
        </w:rPr>
        <w:t>Efficient implementation of DEI practices can enhance workforce inclusion and performance, as demonstrated by ASDA through employee groups and mentorship. This approach supports legal compliance with the UK Equality Act of 2010 and leads to measurable results</w:t>
      </w:r>
      <w:r w:rsidR="00370324">
        <w:rPr>
          <w:rFonts w:ascii="Arial" w:hAnsi="Arial" w:cs="Arial"/>
          <w:sz w:val="22"/>
        </w:rPr>
        <w:t xml:space="preserve"> (</w:t>
      </w:r>
      <w:r w:rsidR="00370324" w:rsidRPr="001C1A44">
        <w:rPr>
          <w:rFonts w:ascii="Arial" w:hAnsi="Arial" w:cs="Arial"/>
          <w:sz w:val="22"/>
          <w:lang w:val="en-US"/>
        </w:rPr>
        <w:t>GOV.UK.</w:t>
      </w:r>
      <w:r w:rsidR="00252279">
        <w:rPr>
          <w:rFonts w:ascii="Arial" w:hAnsi="Arial" w:cs="Arial"/>
          <w:sz w:val="22"/>
          <w:lang w:val="en-US"/>
        </w:rPr>
        <w:t xml:space="preserve"> </w:t>
      </w:r>
      <w:r w:rsidR="00370324" w:rsidRPr="001C1A44">
        <w:rPr>
          <w:rFonts w:ascii="Arial" w:hAnsi="Arial" w:cs="Arial"/>
          <w:sz w:val="22"/>
          <w:lang w:val="en-US"/>
        </w:rPr>
        <w:t>2010</w:t>
      </w:r>
      <w:r w:rsidR="00370324">
        <w:rPr>
          <w:rFonts w:ascii="Arial" w:hAnsi="Arial" w:cs="Arial"/>
          <w:sz w:val="22"/>
          <w:lang w:val="en-US"/>
        </w:rPr>
        <w:t>)</w:t>
      </w:r>
      <w:r w:rsidRPr="007F7566">
        <w:rPr>
          <w:rFonts w:ascii="Arial" w:hAnsi="Arial" w:cs="Arial"/>
          <w:sz w:val="22"/>
        </w:rPr>
        <w:t>.</w:t>
      </w:r>
    </w:p>
    <w:p w14:paraId="39968794" w14:textId="4CC9743E" w:rsidR="008F57A5" w:rsidRPr="00456F79" w:rsidRDefault="0083690B" w:rsidP="001C1A44">
      <w:pPr>
        <w:pStyle w:val="Heading2"/>
        <w:spacing w:after="0" w:line="360" w:lineRule="auto"/>
        <w:rPr>
          <w:rFonts w:ascii="Arial" w:hAnsi="Arial" w:cs="Arial"/>
          <w:b/>
          <w:bCs/>
          <w:sz w:val="22"/>
          <w:szCs w:val="22"/>
        </w:rPr>
      </w:pPr>
      <w:bookmarkStart w:id="9" w:name="_Toc220611163"/>
      <w:r>
        <w:rPr>
          <w:rFonts w:ascii="Arial" w:hAnsi="Arial" w:cs="Arial"/>
          <w:b/>
          <w:bCs/>
          <w:sz w:val="22"/>
          <w:szCs w:val="22"/>
        </w:rPr>
        <w:t>De</w:t>
      </w:r>
      <w:r w:rsidR="00CF71ED">
        <w:rPr>
          <w:rFonts w:ascii="Arial" w:hAnsi="Arial" w:cs="Arial"/>
          <w:b/>
          <w:bCs/>
          <w:sz w:val="22"/>
          <w:szCs w:val="22"/>
        </w:rPr>
        <w:t>partmental Manage</w:t>
      </w:r>
      <w:r w:rsidR="00E87E77">
        <w:rPr>
          <w:rFonts w:ascii="Arial" w:hAnsi="Arial" w:cs="Arial"/>
          <w:b/>
          <w:bCs/>
          <w:sz w:val="22"/>
          <w:szCs w:val="22"/>
        </w:rPr>
        <w:t xml:space="preserve"> </w:t>
      </w:r>
      <w:r w:rsidR="00F92474" w:rsidRPr="00456F79">
        <w:rPr>
          <w:rFonts w:ascii="Arial" w:hAnsi="Arial" w:cs="Arial"/>
          <w:b/>
          <w:bCs/>
          <w:sz w:val="22"/>
          <w:szCs w:val="22"/>
        </w:rPr>
        <w:t>Ensuring Implementation of HR Practices</w:t>
      </w:r>
      <w:bookmarkEnd w:id="9"/>
    </w:p>
    <w:p w14:paraId="32B03490" w14:textId="7F63E22D" w:rsidR="008A118E" w:rsidRPr="001C1A44" w:rsidRDefault="00F92474" w:rsidP="007F7566">
      <w:pPr>
        <w:spacing w:after="0" w:line="360" w:lineRule="auto"/>
        <w:jc w:val="both"/>
        <w:rPr>
          <w:rFonts w:ascii="Arial" w:hAnsi="Arial" w:cs="Arial"/>
          <w:sz w:val="22"/>
          <w:highlight w:val="yellow"/>
        </w:rPr>
      </w:pPr>
      <w:r w:rsidRPr="001C1A44">
        <w:rPr>
          <w:rFonts w:ascii="Arial" w:hAnsi="Arial" w:cs="Arial"/>
          <w:sz w:val="22"/>
        </w:rPr>
        <w:t xml:space="preserve">The departmental managers must be charged with a dynamic and responsible mindset to ensure that the modern HR practises in ASDA have been effectively put into place since they are the locus of interface between the HR strategy and the operational implementation. Mendonça (2025) </w:t>
      </w:r>
      <w:r w:rsidRPr="001C1A44">
        <w:rPr>
          <w:rFonts w:ascii="Arial" w:hAnsi="Arial" w:cs="Arial"/>
          <w:sz w:val="22"/>
        </w:rPr>
        <w:lastRenderedPageBreak/>
        <w:t xml:space="preserve">argues that managers are instrumental in aligning HR work with observable behaviours in workplaces, particularly in big box retail organisations such as the </w:t>
      </w:r>
      <w:r w:rsidR="007862B0" w:rsidRPr="001C1A44">
        <w:rPr>
          <w:rFonts w:ascii="Arial" w:hAnsi="Arial" w:cs="Arial"/>
          <w:sz w:val="22"/>
        </w:rPr>
        <w:t>six hundred</w:t>
      </w:r>
      <w:r w:rsidRPr="001C1A44">
        <w:rPr>
          <w:rFonts w:ascii="Arial" w:hAnsi="Arial" w:cs="Arial"/>
          <w:sz w:val="22"/>
        </w:rPr>
        <w:t xml:space="preserve"> or more outlets in the United Kingdom, with decentralised business processes where standardisation of HR implementation is elusive. The implementation of even more developed solutions, such as AI-based workforce planning or DEI programmes, </w:t>
      </w:r>
      <w:r w:rsidR="00070305">
        <w:rPr>
          <w:rFonts w:ascii="Arial" w:hAnsi="Arial" w:cs="Arial"/>
          <w:sz w:val="22"/>
        </w:rPr>
        <w:t>can</w:t>
      </w:r>
      <w:r w:rsidR="00070305" w:rsidRPr="001C1A44">
        <w:rPr>
          <w:rFonts w:ascii="Arial" w:hAnsi="Arial" w:cs="Arial"/>
          <w:sz w:val="22"/>
        </w:rPr>
        <w:t>not</w:t>
      </w:r>
      <w:r w:rsidRPr="001C1A44">
        <w:rPr>
          <w:rFonts w:ascii="Arial" w:hAnsi="Arial" w:cs="Arial"/>
          <w:sz w:val="22"/>
        </w:rPr>
        <w:t xml:space="preserve"> be </w:t>
      </w:r>
      <w:r w:rsidR="007862B0" w:rsidRPr="001C1A44">
        <w:rPr>
          <w:rFonts w:ascii="Arial" w:hAnsi="Arial" w:cs="Arial"/>
          <w:sz w:val="22"/>
        </w:rPr>
        <w:t>used</w:t>
      </w:r>
      <w:r w:rsidRPr="001C1A44">
        <w:rPr>
          <w:rFonts w:ascii="Arial" w:hAnsi="Arial" w:cs="Arial"/>
          <w:sz w:val="22"/>
        </w:rPr>
        <w:t xml:space="preserve"> effectively without the involvement of managers since employees will tend to have to resolve urgent operational needs rather than conceptual HR policies. However, the literature intentionally scolds the established top-down enactment through which it is suggested that obedience by coercion rather than engagement often is dead and short-lived (Gottschalk, 2022). </w:t>
      </w:r>
    </w:p>
    <w:p w14:paraId="617AFB5A" w14:textId="59606D7B" w:rsidR="00ED3991" w:rsidRDefault="00F92474" w:rsidP="007F7566">
      <w:pPr>
        <w:spacing w:after="0" w:line="360" w:lineRule="auto"/>
        <w:jc w:val="both"/>
        <w:rPr>
          <w:rFonts w:ascii="Arial" w:hAnsi="Arial" w:cs="Arial"/>
          <w:sz w:val="22"/>
        </w:rPr>
      </w:pPr>
      <w:r w:rsidRPr="001C1A44">
        <w:rPr>
          <w:rFonts w:ascii="Arial" w:hAnsi="Arial" w:cs="Arial"/>
          <w:sz w:val="22"/>
        </w:rPr>
        <w:t xml:space="preserve">The importance of observation and feedback systems is to push accountability, and it is also crucial in ensuring constant development. Key performance indicators are the digital adoption, staff retention, and DEI outcomes, which provide concrete metrics that managers can adopt to measure improvement. Fawzy et al. (2025) suggest that by introducing this information-based monitoring in daily management activities, they can </w:t>
      </w:r>
      <w:r w:rsidR="007862B0" w:rsidRPr="001C1A44">
        <w:rPr>
          <w:rFonts w:ascii="Arial" w:hAnsi="Arial" w:cs="Arial"/>
          <w:sz w:val="22"/>
        </w:rPr>
        <w:t>produce</w:t>
      </w:r>
      <w:r w:rsidRPr="001C1A44">
        <w:rPr>
          <w:rFonts w:ascii="Arial" w:hAnsi="Arial" w:cs="Arial"/>
          <w:sz w:val="22"/>
        </w:rPr>
        <w:t xml:space="preserve"> informed decisions that reduce dependence on anecdotal outcomes of performance evaluation. Notably</w:t>
      </w:r>
      <w:r w:rsidR="00823AE0" w:rsidRPr="001C1A44">
        <w:rPr>
          <w:rFonts w:ascii="Arial" w:hAnsi="Arial" w:cs="Arial"/>
          <w:sz w:val="22"/>
        </w:rPr>
        <w:t xml:space="preserve">, </w:t>
      </w:r>
      <w:r w:rsidRPr="001C1A44">
        <w:rPr>
          <w:rFonts w:ascii="Arial" w:hAnsi="Arial" w:cs="Arial"/>
          <w:sz w:val="22"/>
        </w:rPr>
        <w:t>the overuse of metrics will also probably contribute to the fact that more surface-level compliance is incentivised, as opposed to behaviour change, particularly when it comes to DEI, where inclusion cannot in any way be measured in terms of numerical values</w:t>
      </w:r>
      <w:r w:rsidR="00752FB2">
        <w:rPr>
          <w:rFonts w:ascii="Arial" w:hAnsi="Arial" w:cs="Arial"/>
          <w:sz w:val="22"/>
        </w:rPr>
        <w:t xml:space="preserve"> </w:t>
      </w:r>
      <w:r w:rsidR="00752FB2" w:rsidRPr="00752FB2">
        <w:rPr>
          <w:rFonts w:ascii="Arial" w:hAnsi="Arial" w:cs="Arial"/>
          <w:sz w:val="22"/>
        </w:rPr>
        <w:t>(Iyer, 2022)</w:t>
      </w:r>
      <w:r w:rsidRPr="001C1A44">
        <w:rPr>
          <w:rFonts w:ascii="Arial" w:hAnsi="Arial" w:cs="Arial"/>
          <w:sz w:val="22"/>
        </w:rPr>
        <w:t xml:space="preserve">. </w:t>
      </w:r>
    </w:p>
    <w:p w14:paraId="5655BD7B" w14:textId="7E11E70E" w:rsidR="00994FB8" w:rsidRPr="001C1A44" w:rsidRDefault="00F92474" w:rsidP="007F7566">
      <w:pPr>
        <w:spacing w:after="0" w:line="360" w:lineRule="auto"/>
        <w:jc w:val="both"/>
        <w:rPr>
          <w:rFonts w:ascii="Arial" w:hAnsi="Arial" w:cs="Arial"/>
          <w:sz w:val="22"/>
          <w:highlight w:val="yellow"/>
        </w:rPr>
      </w:pPr>
      <w:r w:rsidRPr="001C1A44">
        <w:rPr>
          <w:rFonts w:ascii="Arial" w:hAnsi="Arial" w:cs="Arial"/>
          <w:sz w:val="22"/>
        </w:rPr>
        <w:t xml:space="preserve">The prominence and speed of adoption of HR practices </w:t>
      </w:r>
      <w:r w:rsidR="00241A85" w:rsidRPr="001C1A44">
        <w:rPr>
          <w:rFonts w:ascii="Arial" w:hAnsi="Arial" w:cs="Arial"/>
          <w:sz w:val="22"/>
        </w:rPr>
        <w:t>solely rely</w:t>
      </w:r>
      <w:r w:rsidRPr="001C1A44">
        <w:rPr>
          <w:rFonts w:ascii="Arial" w:hAnsi="Arial" w:cs="Arial"/>
          <w:sz w:val="22"/>
        </w:rPr>
        <w:t xml:space="preserve"> on the leadership behaviours. According to Buick et al (2024), managers who are actively displaying behaviours such as training attendance, who support flexible working arrangements, or who occupy official positions in support of employee resource groups gain credibility and normative pressure in their work groups. In contrast, the managers are introducing HR initiatives as marginal additions to the lack of engagement and uneven uptake</w:t>
      </w:r>
      <w:r w:rsidR="008169FC">
        <w:rPr>
          <w:rFonts w:ascii="Arial" w:hAnsi="Arial" w:cs="Arial"/>
          <w:sz w:val="22"/>
        </w:rPr>
        <w:t xml:space="preserve"> </w:t>
      </w:r>
      <w:r w:rsidR="008169FC" w:rsidRPr="008169FC">
        <w:rPr>
          <w:rFonts w:ascii="Arial" w:hAnsi="Arial" w:cs="Arial"/>
          <w:sz w:val="22"/>
        </w:rPr>
        <w:t>(Buttinger, 2023)</w:t>
      </w:r>
      <w:r w:rsidRPr="001C1A44">
        <w:rPr>
          <w:rFonts w:ascii="Arial" w:hAnsi="Arial" w:cs="Arial"/>
          <w:sz w:val="22"/>
        </w:rPr>
        <w:t xml:space="preserve">. </w:t>
      </w:r>
      <w:r w:rsidR="00AB4980" w:rsidRPr="001C1A44">
        <w:rPr>
          <w:rFonts w:ascii="Arial" w:hAnsi="Arial" w:cs="Arial"/>
          <w:sz w:val="22"/>
        </w:rPr>
        <w:t xml:space="preserve">By integrating the HR practises into the daily operations, such as incorporating the deliberation of DEI into the store briefing or updating the scheduling decisions, results in the weekly team-building meetings, one can make such initiatives not merely formal. </w:t>
      </w:r>
    </w:p>
    <w:p w14:paraId="0B9BD8B8" w14:textId="12133EEE" w:rsidR="0082581C" w:rsidRPr="009A325F" w:rsidRDefault="00F92474" w:rsidP="007F7566">
      <w:pPr>
        <w:spacing w:after="0" w:line="360" w:lineRule="auto"/>
        <w:jc w:val="both"/>
        <w:rPr>
          <w:rFonts w:ascii="Arial" w:hAnsi="Arial" w:cs="Arial"/>
          <w:sz w:val="22"/>
        </w:rPr>
      </w:pPr>
      <w:r w:rsidRPr="001C1A44">
        <w:rPr>
          <w:rFonts w:ascii="Arial" w:hAnsi="Arial" w:cs="Arial"/>
          <w:sz w:val="22"/>
        </w:rPr>
        <w:t xml:space="preserve">The problem of compliance has been an unsolved issue, particularly in the retailing sectors that are characterised by high turnover rates, skills diversity of their workers, and geographical differences in their operations. Change management strategies are, therefore, essential. Nwisigbo et al. (2025) dictate that resistance should be broken by </w:t>
      </w:r>
      <w:r w:rsidR="001159CC" w:rsidRPr="001C1A44">
        <w:rPr>
          <w:rFonts w:ascii="Arial" w:hAnsi="Arial" w:cs="Arial"/>
          <w:sz w:val="22"/>
        </w:rPr>
        <w:t>effective communication</w:t>
      </w:r>
      <w:r w:rsidRPr="001C1A44">
        <w:rPr>
          <w:rFonts w:ascii="Arial" w:hAnsi="Arial" w:cs="Arial"/>
          <w:sz w:val="22"/>
        </w:rPr>
        <w:t xml:space="preserve">, staged implementation, and alignment of incentives in the future. </w:t>
      </w:r>
      <w:r w:rsidR="006E35AD" w:rsidRPr="001C1A44">
        <w:rPr>
          <w:rFonts w:ascii="Arial" w:hAnsi="Arial" w:cs="Arial"/>
          <w:sz w:val="22"/>
        </w:rPr>
        <w:t xml:space="preserve">For example, </w:t>
      </w:r>
      <w:r w:rsidRPr="001C1A44">
        <w:rPr>
          <w:rFonts w:ascii="Arial" w:hAnsi="Arial" w:cs="Arial"/>
          <w:sz w:val="22"/>
        </w:rPr>
        <w:t xml:space="preserve">ASDA is initiating the pilot programme of self-checkout systems and automated warehouse systems, in which the company trains and mentors with far-reaching recognition schemes, giving rise to </w:t>
      </w:r>
      <w:r w:rsidR="00394EDE" w:rsidRPr="001C1A44">
        <w:rPr>
          <w:rFonts w:ascii="Arial" w:hAnsi="Arial" w:cs="Arial"/>
          <w:sz w:val="22"/>
        </w:rPr>
        <w:t>several</w:t>
      </w:r>
      <w:r w:rsidRPr="001C1A44">
        <w:rPr>
          <w:rFonts w:ascii="Arial" w:hAnsi="Arial" w:cs="Arial"/>
          <w:sz w:val="22"/>
        </w:rPr>
        <w:t xml:space="preserve"> </w:t>
      </w:r>
      <w:r w:rsidRPr="001C1A44">
        <w:rPr>
          <w:rFonts w:ascii="Arial" w:hAnsi="Arial" w:cs="Arial"/>
          <w:sz w:val="22"/>
        </w:rPr>
        <w:lastRenderedPageBreak/>
        <w:t xml:space="preserve">operational errors and involvement among employees (Faisal, 2024). </w:t>
      </w:r>
      <w:r w:rsidR="00545ACA" w:rsidRPr="00545ACA">
        <w:rPr>
          <w:rFonts w:ascii="Arial" w:hAnsi="Arial" w:cs="Arial"/>
          <w:sz w:val="22"/>
        </w:rPr>
        <w:t>Departmental managers in ASDA enforce HR practices and contribute to success through monitoring, leadership, and addressing resistance in operations.</w:t>
      </w:r>
      <w:r w:rsidRPr="001C1A44">
        <w:rPr>
          <w:rFonts w:ascii="Arial" w:hAnsi="Arial" w:cs="Arial"/>
          <w:sz w:val="22"/>
        </w:rPr>
        <w:t xml:space="preserve"> </w:t>
      </w:r>
    </w:p>
    <w:p w14:paraId="37CE3E53" w14:textId="77777777" w:rsidR="00D22C76" w:rsidRPr="001C1A44" w:rsidRDefault="00D22C76" w:rsidP="001C1A44">
      <w:pPr>
        <w:spacing w:after="0" w:line="360" w:lineRule="auto"/>
        <w:rPr>
          <w:rFonts w:ascii="Arial" w:hAnsi="Arial" w:cs="Arial"/>
          <w:sz w:val="22"/>
        </w:rPr>
      </w:pPr>
    </w:p>
    <w:p w14:paraId="24CFD9EE" w14:textId="18BDB7CD" w:rsidR="000A18E5" w:rsidRPr="001C1A44" w:rsidRDefault="00F92474" w:rsidP="001C1A44">
      <w:pPr>
        <w:pStyle w:val="Heading1"/>
        <w:spacing w:after="0" w:line="360" w:lineRule="auto"/>
        <w:rPr>
          <w:rFonts w:ascii="Arial" w:hAnsi="Arial" w:cs="Arial"/>
          <w:sz w:val="22"/>
          <w:szCs w:val="22"/>
        </w:rPr>
      </w:pPr>
      <w:bookmarkStart w:id="10" w:name="_Toc220611164"/>
      <w:r w:rsidRPr="001C1A44">
        <w:rPr>
          <w:rFonts w:ascii="Arial" w:hAnsi="Arial" w:cs="Arial"/>
          <w:sz w:val="22"/>
          <w:szCs w:val="22"/>
        </w:rPr>
        <w:t>Conclusion and Recommendations</w:t>
      </w:r>
      <w:bookmarkEnd w:id="10"/>
    </w:p>
    <w:p w14:paraId="15FD2954" w14:textId="081DDD34" w:rsidR="001C1A44" w:rsidRDefault="00992FCC" w:rsidP="007F7566">
      <w:pPr>
        <w:spacing w:after="0" w:line="360" w:lineRule="auto"/>
        <w:jc w:val="both"/>
        <w:rPr>
          <w:rFonts w:ascii="Arial" w:hAnsi="Arial" w:cs="Arial"/>
          <w:sz w:val="22"/>
        </w:rPr>
      </w:pPr>
      <w:r>
        <w:rPr>
          <w:rFonts w:ascii="Arial" w:hAnsi="Arial" w:cs="Arial"/>
          <w:sz w:val="22"/>
        </w:rPr>
        <w:t>T</w:t>
      </w:r>
      <w:r w:rsidR="00F92474" w:rsidRPr="001C1A44">
        <w:rPr>
          <w:rFonts w:ascii="Arial" w:hAnsi="Arial" w:cs="Arial"/>
          <w:sz w:val="22"/>
        </w:rPr>
        <w:t xml:space="preserve">his report reveals that the HR efficacy of ASDA is dependent on the strategic integration of technological embracement, effective talent recruitment and retention strategies, and overall DEI initiatives. The use of technology enhances efficiency and employee power, while effective talent management ensures that skilled and motivated employees are recruited and retained. DEI initiatives foster an inclusive work environment that improves employee engagement and the diversity of the customer base. Departmental managers are important in embedding these cultures because they drive accountability, improve </w:t>
      </w:r>
      <w:r w:rsidR="00FE2C1B" w:rsidRPr="001C1A44">
        <w:rPr>
          <w:rFonts w:ascii="Arial" w:hAnsi="Arial" w:cs="Arial"/>
          <w:sz w:val="22"/>
        </w:rPr>
        <w:t>behaviours</w:t>
      </w:r>
      <w:r w:rsidR="00F92474" w:rsidRPr="001C1A44">
        <w:rPr>
          <w:rFonts w:ascii="Arial" w:hAnsi="Arial" w:cs="Arial"/>
          <w:sz w:val="22"/>
        </w:rPr>
        <w:t>, and implement HR policies. It is recommended that ASDA should further focus on digital HR technology and employee awareness, improve its Employee Value Proposition and flexible working policies, and implement a systematic DEI monitoring framework with management accountability. These efforts will ensure long-term HR outcomes, employee satisfaction, and competitive advantage of ASDA in the dynamic market of the UK retail sector.</w:t>
      </w:r>
    </w:p>
    <w:p w14:paraId="61D0861A" w14:textId="58281D69" w:rsidR="007124AB" w:rsidRPr="001C1A44" w:rsidRDefault="00F92474" w:rsidP="001C1A44">
      <w:pPr>
        <w:spacing w:after="0" w:line="360" w:lineRule="auto"/>
        <w:rPr>
          <w:rFonts w:ascii="Arial" w:hAnsi="Arial" w:cs="Arial"/>
          <w:sz w:val="22"/>
        </w:rPr>
      </w:pPr>
      <w:r w:rsidRPr="001C1A44">
        <w:rPr>
          <w:rFonts w:ascii="Arial" w:hAnsi="Arial" w:cs="Arial"/>
          <w:sz w:val="22"/>
        </w:rPr>
        <w:br w:type="page"/>
      </w:r>
    </w:p>
    <w:p w14:paraId="29B4F296" w14:textId="0781B787" w:rsidR="007124AB" w:rsidRPr="001C1A44" w:rsidRDefault="00F92474" w:rsidP="001C1A44">
      <w:pPr>
        <w:pStyle w:val="Heading1"/>
        <w:spacing w:after="0" w:line="360" w:lineRule="auto"/>
        <w:rPr>
          <w:rFonts w:ascii="Arial" w:hAnsi="Arial" w:cs="Arial"/>
          <w:sz w:val="22"/>
          <w:szCs w:val="22"/>
        </w:rPr>
      </w:pPr>
      <w:bookmarkStart w:id="11" w:name="_Toc220611165"/>
      <w:r w:rsidRPr="001C1A44">
        <w:rPr>
          <w:rFonts w:ascii="Arial" w:hAnsi="Arial" w:cs="Arial"/>
          <w:sz w:val="22"/>
          <w:szCs w:val="22"/>
        </w:rPr>
        <w:lastRenderedPageBreak/>
        <w:t>References</w:t>
      </w:r>
      <w:bookmarkEnd w:id="11"/>
    </w:p>
    <w:p w14:paraId="736A4C17" w14:textId="77777777" w:rsidR="00324369" w:rsidRDefault="005E38BA" w:rsidP="001C1A44">
      <w:pPr>
        <w:spacing w:after="0" w:line="360" w:lineRule="auto"/>
        <w:ind w:left="720" w:hanging="720"/>
        <w:rPr>
          <w:rFonts w:ascii="Arial" w:hAnsi="Arial" w:cs="Arial"/>
          <w:sz w:val="22"/>
        </w:rPr>
      </w:pPr>
      <w:r w:rsidRPr="001C1A44">
        <w:rPr>
          <w:rFonts w:ascii="Arial" w:hAnsi="Arial" w:cs="Arial"/>
          <w:sz w:val="22"/>
        </w:rPr>
        <w:t xml:space="preserve">ABUMERE, P., (2025). Diversity, Equity, Inclusion (DEI) in the Workplace "Beyond Compliance: </w:t>
      </w:r>
    </w:p>
    <w:p w14:paraId="29C521DF" w14:textId="77777777" w:rsidR="00324369" w:rsidRDefault="005E38BA" w:rsidP="001C1A44">
      <w:pPr>
        <w:spacing w:after="0" w:line="360" w:lineRule="auto"/>
        <w:ind w:left="720" w:hanging="720"/>
        <w:rPr>
          <w:rFonts w:ascii="Arial" w:hAnsi="Arial" w:cs="Arial"/>
          <w:i/>
          <w:iCs/>
          <w:sz w:val="22"/>
        </w:rPr>
      </w:pPr>
      <w:r w:rsidRPr="001C1A44">
        <w:rPr>
          <w:rFonts w:ascii="Arial" w:hAnsi="Arial" w:cs="Arial"/>
          <w:sz w:val="22"/>
        </w:rPr>
        <w:t xml:space="preserve">Building Inclusive Workplaces Through HR Leadership." </w:t>
      </w:r>
      <w:r w:rsidRPr="001C1A44">
        <w:rPr>
          <w:rFonts w:ascii="Arial" w:hAnsi="Arial" w:cs="Arial"/>
          <w:i/>
          <w:iCs/>
          <w:sz w:val="22"/>
        </w:rPr>
        <w:t xml:space="preserve">International Journal of Social </w:t>
      </w:r>
    </w:p>
    <w:p w14:paraId="2FB7B452" w14:textId="4FF5F502" w:rsidR="005E38BA" w:rsidRDefault="005E38BA" w:rsidP="001C1A44">
      <w:pPr>
        <w:spacing w:after="0" w:line="360" w:lineRule="auto"/>
        <w:ind w:left="720" w:hanging="720"/>
        <w:rPr>
          <w:rFonts w:ascii="Arial" w:hAnsi="Arial" w:cs="Arial"/>
          <w:sz w:val="22"/>
        </w:rPr>
      </w:pPr>
      <w:r w:rsidRPr="001C1A44">
        <w:rPr>
          <w:rFonts w:ascii="Arial" w:hAnsi="Arial" w:cs="Arial"/>
          <w:i/>
          <w:iCs/>
          <w:sz w:val="22"/>
        </w:rPr>
        <w:t>Sciences and Management Research E-ISSN</w:t>
      </w:r>
      <w:r w:rsidRPr="001C1A44">
        <w:rPr>
          <w:rFonts w:ascii="Arial" w:hAnsi="Arial" w:cs="Arial"/>
          <w:sz w:val="22"/>
        </w:rPr>
        <w:t>, </w:t>
      </w:r>
      <w:r w:rsidRPr="001C1A44">
        <w:rPr>
          <w:rFonts w:ascii="Arial" w:hAnsi="Arial" w:cs="Arial"/>
          <w:i/>
          <w:iCs/>
          <w:sz w:val="22"/>
        </w:rPr>
        <w:t>11</w:t>
      </w:r>
      <w:r w:rsidRPr="001C1A44">
        <w:rPr>
          <w:rFonts w:ascii="Arial" w:hAnsi="Arial" w:cs="Arial"/>
          <w:sz w:val="22"/>
        </w:rPr>
        <w:t>(10), p.2025.</w:t>
      </w:r>
    </w:p>
    <w:p w14:paraId="4D1E3B08" w14:textId="77777777" w:rsidR="00324369" w:rsidRPr="001C1A44" w:rsidRDefault="00324369" w:rsidP="001C1A44">
      <w:pPr>
        <w:spacing w:after="0" w:line="360" w:lineRule="auto"/>
        <w:ind w:left="720" w:hanging="720"/>
        <w:rPr>
          <w:rFonts w:ascii="Arial" w:hAnsi="Arial" w:cs="Arial"/>
          <w:sz w:val="22"/>
        </w:rPr>
      </w:pPr>
    </w:p>
    <w:p w14:paraId="68150308" w14:textId="77777777" w:rsidR="00324369" w:rsidRDefault="005E38BA" w:rsidP="001C1A44">
      <w:pPr>
        <w:spacing w:after="0" w:line="360" w:lineRule="auto"/>
        <w:ind w:left="720" w:hanging="720"/>
        <w:rPr>
          <w:rFonts w:ascii="Arial" w:hAnsi="Arial" w:cs="Arial"/>
          <w:sz w:val="22"/>
        </w:rPr>
      </w:pPr>
      <w:r w:rsidRPr="001C1A44">
        <w:rPr>
          <w:rFonts w:ascii="Arial" w:hAnsi="Arial" w:cs="Arial"/>
          <w:sz w:val="22"/>
        </w:rPr>
        <w:t xml:space="preserve">Aksoy, C.G., Barrero, J.M., Bloom, N., Davis, S.J., Dolls, M. and Zarate, P., (2022). Working </w:t>
      </w:r>
    </w:p>
    <w:p w14:paraId="358D6F94" w14:textId="1BCB7A06" w:rsidR="005E38BA" w:rsidRDefault="005E38BA" w:rsidP="001C1A44">
      <w:pPr>
        <w:spacing w:after="0" w:line="360" w:lineRule="auto"/>
        <w:ind w:left="720" w:hanging="720"/>
        <w:rPr>
          <w:rFonts w:ascii="Arial" w:hAnsi="Arial" w:cs="Arial"/>
          <w:sz w:val="22"/>
        </w:rPr>
      </w:pPr>
      <w:r w:rsidRPr="001C1A44">
        <w:rPr>
          <w:rFonts w:ascii="Arial" w:hAnsi="Arial" w:cs="Arial"/>
          <w:sz w:val="22"/>
        </w:rPr>
        <w:t>from home around the world. </w:t>
      </w:r>
      <w:r w:rsidRPr="001C1A44">
        <w:rPr>
          <w:rFonts w:ascii="Arial" w:hAnsi="Arial" w:cs="Arial"/>
          <w:i/>
          <w:iCs/>
          <w:sz w:val="22"/>
        </w:rPr>
        <w:t>Brookings Papers on Economic Activity</w:t>
      </w:r>
      <w:r w:rsidRPr="001C1A44">
        <w:rPr>
          <w:rFonts w:ascii="Arial" w:hAnsi="Arial" w:cs="Arial"/>
          <w:sz w:val="22"/>
        </w:rPr>
        <w:t>, </w:t>
      </w:r>
      <w:r w:rsidRPr="001C1A44">
        <w:rPr>
          <w:rFonts w:ascii="Arial" w:hAnsi="Arial" w:cs="Arial"/>
          <w:i/>
          <w:iCs/>
          <w:sz w:val="22"/>
        </w:rPr>
        <w:t>2022</w:t>
      </w:r>
      <w:r w:rsidRPr="001C1A44">
        <w:rPr>
          <w:rFonts w:ascii="Arial" w:hAnsi="Arial" w:cs="Arial"/>
          <w:sz w:val="22"/>
        </w:rPr>
        <w:t>(2), pp.281-360.</w:t>
      </w:r>
    </w:p>
    <w:p w14:paraId="0065A9AC" w14:textId="77777777" w:rsidR="00324369" w:rsidRPr="001C1A44" w:rsidRDefault="00324369" w:rsidP="001C1A44">
      <w:pPr>
        <w:spacing w:after="0" w:line="360" w:lineRule="auto"/>
        <w:ind w:left="720" w:hanging="720"/>
        <w:rPr>
          <w:rFonts w:ascii="Arial" w:hAnsi="Arial" w:cs="Arial"/>
          <w:sz w:val="22"/>
        </w:rPr>
      </w:pPr>
    </w:p>
    <w:p w14:paraId="213FC5FC" w14:textId="77777777" w:rsidR="00324369" w:rsidRDefault="005E38BA" w:rsidP="001C1A44">
      <w:pPr>
        <w:spacing w:after="0" w:line="360" w:lineRule="auto"/>
        <w:ind w:left="720" w:hanging="720"/>
        <w:rPr>
          <w:rFonts w:ascii="Arial" w:hAnsi="Arial" w:cs="Arial"/>
          <w:sz w:val="22"/>
        </w:rPr>
      </w:pPr>
      <w:r w:rsidRPr="001C1A44">
        <w:rPr>
          <w:rFonts w:ascii="Arial" w:hAnsi="Arial" w:cs="Arial"/>
          <w:sz w:val="22"/>
        </w:rPr>
        <w:t xml:space="preserve">Arinze, E.D., (2024). Artificial Intelligence (AI) in Customer Service: Revolutionising Support and </w:t>
      </w:r>
    </w:p>
    <w:p w14:paraId="0DFE46AD" w14:textId="572AD525" w:rsidR="005E38BA" w:rsidRDefault="005E38BA" w:rsidP="001C1A44">
      <w:pPr>
        <w:spacing w:after="0" w:line="360" w:lineRule="auto"/>
        <w:ind w:left="720" w:hanging="720"/>
        <w:rPr>
          <w:rFonts w:ascii="Arial" w:hAnsi="Arial" w:cs="Arial"/>
          <w:sz w:val="22"/>
        </w:rPr>
      </w:pPr>
      <w:r w:rsidRPr="001C1A44">
        <w:rPr>
          <w:rFonts w:ascii="Arial" w:hAnsi="Arial" w:cs="Arial"/>
          <w:sz w:val="22"/>
        </w:rPr>
        <w:t>Engagement. </w:t>
      </w:r>
      <w:r w:rsidRPr="001C1A44">
        <w:rPr>
          <w:rFonts w:ascii="Arial" w:hAnsi="Arial" w:cs="Arial"/>
          <w:i/>
          <w:iCs/>
          <w:sz w:val="22"/>
        </w:rPr>
        <w:t>IAA Journal of Scientific Research</w:t>
      </w:r>
      <w:r w:rsidRPr="001C1A44">
        <w:rPr>
          <w:rFonts w:ascii="Arial" w:hAnsi="Arial" w:cs="Arial"/>
          <w:sz w:val="22"/>
        </w:rPr>
        <w:t>, </w:t>
      </w:r>
      <w:r w:rsidRPr="001C1A44">
        <w:rPr>
          <w:rFonts w:ascii="Arial" w:hAnsi="Arial" w:cs="Arial"/>
          <w:i/>
          <w:iCs/>
          <w:sz w:val="22"/>
        </w:rPr>
        <w:t>11</w:t>
      </w:r>
      <w:r w:rsidRPr="001C1A44">
        <w:rPr>
          <w:rFonts w:ascii="Arial" w:hAnsi="Arial" w:cs="Arial"/>
          <w:sz w:val="22"/>
        </w:rPr>
        <w:t>(2), pp.33-39.</w:t>
      </w:r>
    </w:p>
    <w:p w14:paraId="2710A304" w14:textId="77777777" w:rsidR="00324369" w:rsidRPr="001C1A44" w:rsidRDefault="00324369" w:rsidP="001C1A44">
      <w:pPr>
        <w:spacing w:after="0" w:line="360" w:lineRule="auto"/>
        <w:ind w:left="720" w:hanging="720"/>
        <w:rPr>
          <w:rFonts w:ascii="Arial" w:hAnsi="Arial" w:cs="Arial"/>
          <w:sz w:val="22"/>
        </w:rPr>
      </w:pPr>
    </w:p>
    <w:p w14:paraId="36B98D8D" w14:textId="77777777" w:rsidR="00BE061A" w:rsidRDefault="005E38BA" w:rsidP="001C1A44">
      <w:pPr>
        <w:spacing w:after="0" w:line="360" w:lineRule="auto"/>
        <w:ind w:left="720" w:hanging="720"/>
        <w:rPr>
          <w:rFonts w:ascii="Arial" w:hAnsi="Arial" w:cs="Arial"/>
          <w:sz w:val="22"/>
        </w:rPr>
      </w:pPr>
      <w:r w:rsidRPr="001C1A44">
        <w:rPr>
          <w:rFonts w:ascii="Arial" w:hAnsi="Arial" w:cs="Arial"/>
          <w:sz w:val="22"/>
        </w:rPr>
        <w:t xml:space="preserve">Bhaskaran, S., Davis, A., Desbrière, C. and Wasserteil, S., (2022). Bridging the advancement </w:t>
      </w:r>
    </w:p>
    <w:p w14:paraId="256A29EA" w14:textId="77777777" w:rsidR="00BE061A" w:rsidRDefault="005E38BA" w:rsidP="001C1A44">
      <w:pPr>
        <w:spacing w:after="0" w:line="360" w:lineRule="auto"/>
        <w:ind w:left="720" w:hanging="720"/>
        <w:rPr>
          <w:rFonts w:ascii="Arial" w:hAnsi="Arial" w:cs="Arial"/>
          <w:i/>
          <w:iCs/>
          <w:sz w:val="22"/>
        </w:rPr>
      </w:pPr>
      <w:r w:rsidRPr="001C1A44">
        <w:rPr>
          <w:rFonts w:ascii="Arial" w:hAnsi="Arial" w:cs="Arial"/>
          <w:sz w:val="22"/>
        </w:rPr>
        <w:t>gap: What frontline employees want–and what employers think they want. </w:t>
      </w:r>
      <w:r w:rsidRPr="001C1A44">
        <w:rPr>
          <w:rFonts w:ascii="Arial" w:hAnsi="Arial" w:cs="Arial"/>
          <w:i/>
          <w:iCs/>
          <w:sz w:val="22"/>
        </w:rPr>
        <w:t xml:space="preserve">McKinsey &amp; </w:t>
      </w:r>
    </w:p>
    <w:p w14:paraId="26E918A9" w14:textId="0778192B" w:rsidR="005E38BA" w:rsidRDefault="005E38BA" w:rsidP="001C1A44">
      <w:pPr>
        <w:spacing w:after="0" w:line="360" w:lineRule="auto"/>
        <w:ind w:left="720" w:hanging="720"/>
        <w:rPr>
          <w:rFonts w:ascii="Arial" w:hAnsi="Arial" w:cs="Arial"/>
          <w:sz w:val="22"/>
        </w:rPr>
      </w:pPr>
      <w:r w:rsidRPr="001C1A44">
        <w:rPr>
          <w:rFonts w:ascii="Arial" w:hAnsi="Arial" w:cs="Arial"/>
          <w:i/>
          <w:iCs/>
          <w:sz w:val="22"/>
        </w:rPr>
        <w:t>Company</w:t>
      </w:r>
      <w:r w:rsidRPr="001C1A44">
        <w:rPr>
          <w:rFonts w:ascii="Arial" w:hAnsi="Arial" w:cs="Arial"/>
          <w:sz w:val="22"/>
        </w:rPr>
        <w:t>.</w:t>
      </w:r>
    </w:p>
    <w:p w14:paraId="6D5E471E" w14:textId="77777777" w:rsidR="00BE061A" w:rsidRPr="001C1A44" w:rsidRDefault="00BE061A" w:rsidP="001C1A44">
      <w:pPr>
        <w:spacing w:after="0" w:line="360" w:lineRule="auto"/>
        <w:ind w:left="720" w:hanging="720"/>
        <w:rPr>
          <w:rFonts w:ascii="Arial" w:hAnsi="Arial" w:cs="Arial"/>
          <w:sz w:val="22"/>
        </w:rPr>
      </w:pPr>
    </w:p>
    <w:p w14:paraId="795AF459" w14:textId="77777777" w:rsidR="00BE061A" w:rsidRDefault="005E38BA" w:rsidP="001C1A44">
      <w:pPr>
        <w:spacing w:after="0" w:line="360" w:lineRule="auto"/>
        <w:ind w:left="720" w:hanging="720"/>
        <w:rPr>
          <w:rFonts w:ascii="Arial" w:hAnsi="Arial" w:cs="Arial"/>
          <w:sz w:val="22"/>
        </w:rPr>
      </w:pPr>
      <w:r w:rsidRPr="001C1A44">
        <w:rPr>
          <w:rFonts w:ascii="Arial" w:hAnsi="Arial" w:cs="Arial"/>
          <w:sz w:val="22"/>
        </w:rPr>
        <w:t xml:space="preserve">Buick, F., Blackman, D.A., Glennie, M., Weeratunga, V. and O’Donnell, M.E., (2024). Different </w:t>
      </w:r>
    </w:p>
    <w:p w14:paraId="55749D6B" w14:textId="77777777" w:rsidR="00BE061A" w:rsidRDefault="005E38BA" w:rsidP="001C1A44">
      <w:pPr>
        <w:spacing w:after="0" w:line="360" w:lineRule="auto"/>
        <w:ind w:left="720" w:hanging="720"/>
        <w:rPr>
          <w:rFonts w:ascii="Arial" w:hAnsi="Arial" w:cs="Arial"/>
          <w:sz w:val="22"/>
        </w:rPr>
      </w:pPr>
      <w:r w:rsidRPr="001C1A44">
        <w:rPr>
          <w:rFonts w:ascii="Arial" w:hAnsi="Arial" w:cs="Arial"/>
          <w:sz w:val="22"/>
        </w:rPr>
        <w:t xml:space="preserve">approaches to managerial support for flexible working: Implications for public sector employee </w:t>
      </w:r>
    </w:p>
    <w:p w14:paraId="5763C2C4" w14:textId="315CF01F" w:rsidR="005E38BA" w:rsidRDefault="005E38BA" w:rsidP="001C1A44">
      <w:pPr>
        <w:spacing w:after="0" w:line="360" w:lineRule="auto"/>
        <w:ind w:left="720" w:hanging="720"/>
        <w:rPr>
          <w:rFonts w:ascii="Arial" w:hAnsi="Arial" w:cs="Arial"/>
          <w:sz w:val="22"/>
        </w:rPr>
      </w:pPr>
      <w:r w:rsidRPr="001C1A44">
        <w:rPr>
          <w:rFonts w:ascii="Arial" w:hAnsi="Arial" w:cs="Arial"/>
          <w:sz w:val="22"/>
        </w:rPr>
        <w:t>well-being. </w:t>
      </w:r>
      <w:r w:rsidRPr="001C1A44">
        <w:rPr>
          <w:rFonts w:ascii="Arial" w:hAnsi="Arial" w:cs="Arial"/>
          <w:i/>
          <w:iCs/>
          <w:sz w:val="22"/>
        </w:rPr>
        <w:t>Public Personnel Management</w:t>
      </w:r>
      <w:r w:rsidRPr="001C1A44">
        <w:rPr>
          <w:rFonts w:ascii="Arial" w:hAnsi="Arial" w:cs="Arial"/>
          <w:sz w:val="22"/>
        </w:rPr>
        <w:t>, </w:t>
      </w:r>
      <w:r w:rsidRPr="001C1A44">
        <w:rPr>
          <w:rFonts w:ascii="Arial" w:hAnsi="Arial" w:cs="Arial"/>
          <w:i/>
          <w:iCs/>
          <w:sz w:val="22"/>
        </w:rPr>
        <w:t>53</w:t>
      </w:r>
      <w:r w:rsidRPr="001C1A44">
        <w:rPr>
          <w:rFonts w:ascii="Arial" w:hAnsi="Arial" w:cs="Arial"/>
          <w:sz w:val="22"/>
        </w:rPr>
        <w:t>(3), pp.377-405.</w:t>
      </w:r>
    </w:p>
    <w:p w14:paraId="11349C18" w14:textId="77777777" w:rsidR="00BE061A" w:rsidRPr="001C1A44" w:rsidRDefault="00BE061A" w:rsidP="001C1A44">
      <w:pPr>
        <w:spacing w:after="0" w:line="360" w:lineRule="auto"/>
        <w:ind w:left="720" w:hanging="720"/>
        <w:rPr>
          <w:rFonts w:ascii="Arial" w:hAnsi="Arial" w:cs="Arial"/>
          <w:sz w:val="22"/>
        </w:rPr>
      </w:pPr>
    </w:p>
    <w:p w14:paraId="1B070DB7" w14:textId="07DD2B49" w:rsidR="00BE061A" w:rsidRDefault="005E38BA" w:rsidP="001C1A44">
      <w:pPr>
        <w:spacing w:after="0" w:line="360" w:lineRule="auto"/>
        <w:ind w:left="720" w:hanging="720"/>
        <w:rPr>
          <w:rFonts w:ascii="Arial" w:hAnsi="Arial" w:cs="Arial"/>
          <w:i/>
          <w:iCs/>
          <w:sz w:val="22"/>
        </w:rPr>
      </w:pPr>
      <w:r w:rsidRPr="001C1A44">
        <w:rPr>
          <w:rFonts w:ascii="Arial" w:hAnsi="Arial" w:cs="Arial"/>
          <w:sz w:val="22"/>
        </w:rPr>
        <w:t xml:space="preserve">Buttinger, L., (2023). Diversity, </w:t>
      </w:r>
      <w:r w:rsidR="007862B0" w:rsidRPr="001C1A44">
        <w:rPr>
          <w:rFonts w:ascii="Arial" w:hAnsi="Arial" w:cs="Arial"/>
          <w:sz w:val="22"/>
        </w:rPr>
        <w:t>equity,</w:t>
      </w:r>
      <w:r w:rsidRPr="001C1A44">
        <w:rPr>
          <w:rFonts w:ascii="Arial" w:hAnsi="Arial" w:cs="Arial"/>
          <w:sz w:val="22"/>
        </w:rPr>
        <w:t xml:space="preserve"> and inclusion: Strategies for success. </w:t>
      </w:r>
      <w:r w:rsidRPr="001C1A44">
        <w:rPr>
          <w:rFonts w:ascii="Arial" w:hAnsi="Arial" w:cs="Arial"/>
          <w:i/>
          <w:iCs/>
          <w:sz w:val="22"/>
        </w:rPr>
        <w:t xml:space="preserve">Journal of </w:t>
      </w:r>
    </w:p>
    <w:p w14:paraId="2933BBF6" w14:textId="2A550755" w:rsidR="005E38BA" w:rsidRDefault="005E38BA" w:rsidP="001C1A44">
      <w:pPr>
        <w:spacing w:after="0" w:line="360" w:lineRule="auto"/>
        <w:ind w:left="720" w:hanging="720"/>
        <w:rPr>
          <w:rFonts w:ascii="Arial" w:hAnsi="Arial" w:cs="Arial"/>
          <w:sz w:val="22"/>
        </w:rPr>
      </w:pPr>
      <w:r w:rsidRPr="001C1A44">
        <w:rPr>
          <w:rFonts w:ascii="Arial" w:hAnsi="Arial" w:cs="Arial"/>
          <w:i/>
          <w:iCs/>
          <w:sz w:val="22"/>
        </w:rPr>
        <w:t>Securities Operations &amp; Custody</w:t>
      </w:r>
      <w:r w:rsidRPr="001C1A44">
        <w:rPr>
          <w:rFonts w:ascii="Arial" w:hAnsi="Arial" w:cs="Arial"/>
          <w:sz w:val="22"/>
        </w:rPr>
        <w:t>, </w:t>
      </w:r>
      <w:r w:rsidRPr="001C1A44">
        <w:rPr>
          <w:rFonts w:ascii="Arial" w:hAnsi="Arial" w:cs="Arial"/>
          <w:i/>
          <w:iCs/>
          <w:sz w:val="22"/>
        </w:rPr>
        <w:t>15</w:t>
      </w:r>
      <w:r w:rsidRPr="001C1A44">
        <w:rPr>
          <w:rFonts w:ascii="Arial" w:hAnsi="Arial" w:cs="Arial"/>
          <w:sz w:val="22"/>
        </w:rPr>
        <w:t>(3), pp.205-217.</w:t>
      </w:r>
    </w:p>
    <w:p w14:paraId="0F2A6D8A" w14:textId="77777777" w:rsidR="00BE061A" w:rsidRPr="001C1A44" w:rsidRDefault="00BE061A" w:rsidP="001C1A44">
      <w:pPr>
        <w:spacing w:after="0" w:line="360" w:lineRule="auto"/>
        <w:ind w:left="720" w:hanging="720"/>
        <w:rPr>
          <w:rFonts w:ascii="Arial" w:hAnsi="Arial" w:cs="Arial"/>
          <w:sz w:val="22"/>
        </w:rPr>
      </w:pPr>
    </w:p>
    <w:p w14:paraId="67770A74" w14:textId="77777777" w:rsidR="00BE061A" w:rsidRDefault="005E38BA" w:rsidP="001C1A44">
      <w:pPr>
        <w:spacing w:after="0" w:line="360" w:lineRule="auto"/>
        <w:ind w:left="720" w:hanging="720"/>
        <w:rPr>
          <w:rFonts w:ascii="Arial" w:hAnsi="Arial" w:cs="Arial"/>
          <w:sz w:val="22"/>
        </w:rPr>
      </w:pPr>
      <w:r w:rsidRPr="002A1A2B">
        <w:rPr>
          <w:rFonts w:ascii="Arial" w:hAnsi="Arial" w:cs="Arial"/>
          <w:sz w:val="22"/>
        </w:rPr>
        <w:t xml:space="preserve">Chen, Z., </w:t>
      </w:r>
      <w:r>
        <w:rPr>
          <w:rFonts w:ascii="Arial" w:hAnsi="Arial" w:cs="Arial"/>
          <w:sz w:val="22"/>
        </w:rPr>
        <w:t>(</w:t>
      </w:r>
      <w:r w:rsidRPr="002A1A2B">
        <w:rPr>
          <w:rFonts w:ascii="Arial" w:hAnsi="Arial" w:cs="Arial"/>
          <w:sz w:val="22"/>
        </w:rPr>
        <w:t>2023</w:t>
      </w:r>
      <w:r>
        <w:rPr>
          <w:rFonts w:ascii="Arial" w:hAnsi="Arial" w:cs="Arial"/>
          <w:sz w:val="22"/>
        </w:rPr>
        <w:t>)</w:t>
      </w:r>
      <w:r w:rsidRPr="002A1A2B">
        <w:rPr>
          <w:rFonts w:ascii="Arial" w:hAnsi="Arial" w:cs="Arial"/>
          <w:sz w:val="22"/>
        </w:rPr>
        <w:t xml:space="preserve">. Ethics and discrimination in artificial intelligence-enabled recruitment </w:t>
      </w:r>
    </w:p>
    <w:p w14:paraId="40BE8F47" w14:textId="1CAE581D" w:rsidR="005E38BA" w:rsidRDefault="005E38BA" w:rsidP="001C1A44">
      <w:pPr>
        <w:spacing w:after="0" w:line="360" w:lineRule="auto"/>
        <w:ind w:left="720" w:hanging="720"/>
        <w:rPr>
          <w:rFonts w:ascii="Arial" w:hAnsi="Arial" w:cs="Arial"/>
          <w:sz w:val="22"/>
        </w:rPr>
      </w:pPr>
      <w:r w:rsidRPr="002A1A2B">
        <w:rPr>
          <w:rFonts w:ascii="Arial" w:hAnsi="Arial" w:cs="Arial"/>
          <w:sz w:val="22"/>
        </w:rPr>
        <w:t>practices. </w:t>
      </w:r>
      <w:r w:rsidRPr="002A1A2B">
        <w:rPr>
          <w:rFonts w:ascii="Arial" w:hAnsi="Arial" w:cs="Arial"/>
          <w:i/>
          <w:iCs/>
          <w:sz w:val="22"/>
        </w:rPr>
        <w:t>Humanities and social sciences communications</w:t>
      </w:r>
      <w:r w:rsidRPr="002A1A2B">
        <w:rPr>
          <w:rFonts w:ascii="Arial" w:hAnsi="Arial" w:cs="Arial"/>
          <w:sz w:val="22"/>
        </w:rPr>
        <w:t>, </w:t>
      </w:r>
      <w:r w:rsidRPr="002A1A2B">
        <w:rPr>
          <w:rFonts w:ascii="Arial" w:hAnsi="Arial" w:cs="Arial"/>
          <w:i/>
          <w:iCs/>
          <w:sz w:val="22"/>
        </w:rPr>
        <w:t>10</w:t>
      </w:r>
      <w:r w:rsidRPr="002A1A2B">
        <w:rPr>
          <w:rFonts w:ascii="Arial" w:hAnsi="Arial" w:cs="Arial"/>
          <w:sz w:val="22"/>
        </w:rPr>
        <w:t>(1), pp.1-12.</w:t>
      </w:r>
    </w:p>
    <w:p w14:paraId="78FCFE22" w14:textId="77777777" w:rsidR="00BE061A" w:rsidRPr="001C1A44" w:rsidRDefault="00BE061A" w:rsidP="001C1A44">
      <w:pPr>
        <w:spacing w:after="0" w:line="360" w:lineRule="auto"/>
        <w:ind w:left="720" w:hanging="720"/>
        <w:rPr>
          <w:rFonts w:ascii="Arial" w:hAnsi="Arial" w:cs="Arial"/>
          <w:sz w:val="22"/>
        </w:rPr>
      </w:pPr>
    </w:p>
    <w:p w14:paraId="3EE2185F" w14:textId="77777777" w:rsidR="00D4382C" w:rsidRDefault="00E16724" w:rsidP="001C1A44">
      <w:pPr>
        <w:spacing w:after="0" w:line="360" w:lineRule="auto"/>
        <w:ind w:left="720" w:hanging="720"/>
        <w:rPr>
          <w:rFonts w:ascii="Arial" w:hAnsi="Arial" w:cs="Arial"/>
          <w:sz w:val="22"/>
        </w:rPr>
      </w:pPr>
      <w:r w:rsidRPr="00E16724">
        <w:rPr>
          <w:rFonts w:ascii="Arial" w:hAnsi="Arial" w:cs="Arial"/>
          <w:sz w:val="22"/>
        </w:rPr>
        <w:t xml:space="preserve">Iyer, A., </w:t>
      </w:r>
      <w:r w:rsidR="0019265C">
        <w:rPr>
          <w:rFonts w:ascii="Arial" w:hAnsi="Arial" w:cs="Arial"/>
          <w:sz w:val="22"/>
        </w:rPr>
        <w:t>(</w:t>
      </w:r>
      <w:r w:rsidRPr="00E16724">
        <w:rPr>
          <w:rFonts w:ascii="Arial" w:hAnsi="Arial" w:cs="Arial"/>
          <w:sz w:val="22"/>
        </w:rPr>
        <w:t>2022</w:t>
      </w:r>
      <w:r w:rsidR="0019265C">
        <w:rPr>
          <w:rFonts w:ascii="Arial" w:hAnsi="Arial" w:cs="Arial"/>
          <w:sz w:val="22"/>
        </w:rPr>
        <w:t>)</w:t>
      </w:r>
      <w:r w:rsidRPr="00E16724">
        <w:rPr>
          <w:rFonts w:ascii="Arial" w:hAnsi="Arial" w:cs="Arial"/>
          <w:sz w:val="22"/>
        </w:rPr>
        <w:t xml:space="preserve">. Understanding advantaged groups' opposition to diversity, equity, and inclusion </w:t>
      </w:r>
    </w:p>
    <w:p w14:paraId="2A05404E" w14:textId="77777777" w:rsidR="00D4382C" w:rsidRDefault="00E16724" w:rsidP="001C1A44">
      <w:pPr>
        <w:spacing w:after="0" w:line="360" w:lineRule="auto"/>
        <w:ind w:left="720" w:hanging="720"/>
        <w:rPr>
          <w:rFonts w:ascii="Arial" w:hAnsi="Arial" w:cs="Arial"/>
          <w:sz w:val="22"/>
        </w:rPr>
      </w:pPr>
      <w:r w:rsidRPr="00E16724">
        <w:rPr>
          <w:rFonts w:ascii="Arial" w:hAnsi="Arial" w:cs="Arial"/>
          <w:sz w:val="22"/>
        </w:rPr>
        <w:t>(DEI) policies: The role of perceived threat. </w:t>
      </w:r>
      <w:r w:rsidRPr="00E16724">
        <w:rPr>
          <w:rFonts w:ascii="Arial" w:hAnsi="Arial" w:cs="Arial"/>
          <w:i/>
          <w:iCs/>
          <w:sz w:val="22"/>
        </w:rPr>
        <w:t>Social and Personality Psychology Compass</w:t>
      </w:r>
      <w:r w:rsidRPr="00E16724">
        <w:rPr>
          <w:rFonts w:ascii="Arial" w:hAnsi="Arial" w:cs="Arial"/>
          <w:sz w:val="22"/>
        </w:rPr>
        <w:t>, </w:t>
      </w:r>
      <w:r w:rsidRPr="00E16724">
        <w:rPr>
          <w:rFonts w:ascii="Arial" w:hAnsi="Arial" w:cs="Arial"/>
          <w:i/>
          <w:iCs/>
          <w:sz w:val="22"/>
        </w:rPr>
        <w:t>16</w:t>
      </w:r>
      <w:r w:rsidRPr="00E16724">
        <w:rPr>
          <w:rFonts w:ascii="Arial" w:hAnsi="Arial" w:cs="Arial"/>
          <w:sz w:val="22"/>
        </w:rPr>
        <w:t>(5),</w:t>
      </w:r>
    </w:p>
    <w:p w14:paraId="63E6148E" w14:textId="02CDBE2C" w:rsidR="00E16724" w:rsidRDefault="00E16724" w:rsidP="001C1A44">
      <w:pPr>
        <w:spacing w:after="0" w:line="360" w:lineRule="auto"/>
        <w:ind w:left="720" w:hanging="720"/>
        <w:rPr>
          <w:rFonts w:ascii="Arial" w:hAnsi="Arial" w:cs="Arial"/>
          <w:sz w:val="22"/>
        </w:rPr>
      </w:pPr>
      <w:r w:rsidRPr="00E16724">
        <w:rPr>
          <w:rFonts w:ascii="Arial" w:hAnsi="Arial" w:cs="Arial"/>
          <w:sz w:val="22"/>
        </w:rPr>
        <w:t xml:space="preserve"> </w:t>
      </w:r>
      <w:r w:rsidR="0019265C" w:rsidRPr="00E16724">
        <w:rPr>
          <w:rFonts w:ascii="Arial" w:hAnsi="Arial" w:cs="Arial"/>
          <w:sz w:val="22"/>
        </w:rPr>
        <w:t>p. e</w:t>
      </w:r>
      <w:r w:rsidRPr="00E16724">
        <w:rPr>
          <w:rFonts w:ascii="Arial" w:hAnsi="Arial" w:cs="Arial"/>
          <w:sz w:val="22"/>
        </w:rPr>
        <w:t>12666.</w:t>
      </w:r>
      <w:r>
        <w:rPr>
          <w:rFonts w:ascii="Arial" w:hAnsi="Arial" w:cs="Arial"/>
          <w:sz w:val="22"/>
        </w:rPr>
        <w:t xml:space="preserve"> </w:t>
      </w:r>
    </w:p>
    <w:p w14:paraId="42ED6F5A" w14:textId="77777777" w:rsidR="00D4382C" w:rsidRPr="001C1A44" w:rsidRDefault="00D4382C" w:rsidP="001C1A44">
      <w:pPr>
        <w:spacing w:after="0" w:line="360" w:lineRule="auto"/>
        <w:ind w:left="720" w:hanging="720"/>
        <w:rPr>
          <w:rFonts w:ascii="Arial" w:hAnsi="Arial" w:cs="Arial"/>
          <w:sz w:val="22"/>
        </w:rPr>
      </w:pPr>
    </w:p>
    <w:p w14:paraId="3132FE91" w14:textId="77777777" w:rsidR="00D4382C" w:rsidRDefault="005E38BA" w:rsidP="001C1A44">
      <w:pPr>
        <w:spacing w:after="0" w:line="360" w:lineRule="auto"/>
        <w:ind w:left="720" w:hanging="720"/>
        <w:rPr>
          <w:rFonts w:ascii="Arial" w:hAnsi="Arial" w:cs="Arial"/>
          <w:sz w:val="22"/>
        </w:rPr>
      </w:pPr>
      <w:r w:rsidRPr="001C1A44">
        <w:rPr>
          <w:rFonts w:ascii="Arial" w:hAnsi="Arial" w:cs="Arial"/>
          <w:sz w:val="22"/>
        </w:rPr>
        <w:t>Devi, P.R., Shaikh, M., Babu, S.B.T., Yadav, N., Sugandha, S. and Garg, K., (2025). AI-</w:t>
      </w:r>
    </w:p>
    <w:p w14:paraId="5CC29EF7" w14:textId="77777777" w:rsidR="00D4382C" w:rsidRDefault="005E38BA" w:rsidP="001C1A44">
      <w:pPr>
        <w:spacing w:after="0" w:line="360" w:lineRule="auto"/>
        <w:ind w:left="720" w:hanging="720"/>
        <w:rPr>
          <w:rFonts w:ascii="Arial" w:hAnsi="Arial" w:cs="Arial"/>
          <w:i/>
          <w:iCs/>
          <w:sz w:val="22"/>
        </w:rPr>
      </w:pPr>
      <w:r w:rsidRPr="001C1A44">
        <w:rPr>
          <w:rFonts w:ascii="Arial" w:hAnsi="Arial" w:cs="Arial"/>
          <w:sz w:val="22"/>
        </w:rPr>
        <w:t>Powered Workforce Analytics for Human Resource Planning and Optimization. </w:t>
      </w:r>
      <w:r w:rsidRPr="001C1A44">
        <w:rPr>
          <w:rFonts w:ascii="Arial" w:hAnsi="Arial" w:cs="Arial"/>
          <w:i/>
          <w:iCs/>
          <w:sz w:val="22"/>
        </w:rPr>
        <w:t xml:space="preserve">International </w:t>
      </w:r>
    </w:p>
    <w:p w14:paraId="14370497" w14:textId="0C5CBCC6" w:rsidR="005E38BA" w:rsidRDefault="005E38BA" w:rsidP="001C1A44">
      <w:pPr>
        <w:spacing w:after="0" w:line="360" w:lineRule="auto"/>
        <w:ind w:left="720" w:hanging="720"/>
        <w:rPr>
          <w:rFonts w:ascii="Arial" w:hAnsi="Arial" w:cs="Arial"/>
          <w:sz w:val="22"/>
        </w:rPr>
      </w:pPr>
      <w:r w:rsidRPr="001C1A44">
        <w:rPr>
          <w:rFonts w:ascii="Arial" w:hAnsi="Arial" w:cs="Arial"/>
          <w:i/>
          <w:iCs/>
          <w:sz w:val="22"/>
        </w:rPr>
        <w:t>Journal of Environmental Sciences</w:t>
      </w:r>
      <w:r w:rsidRPr="001C1A44">
        <w:rPr>
          <w:rFonts w:ascii="Arial" w:hAnsi="Arial" w:cs="Arial"/>
          <w:sz w:val="22"/>
        </w:rPr>
        <w:t>, pp.215-221.</w:t>
      </w:r>
    </w:p>
    <w:p w14:paraId="4C283FAE" w14:textId="77777777" w:rsidR="00D4382C" w:rsidRPr="001C1A44" w:rsidRDefault="00D4382C" w:rsidP="001C1A44">
      <w:pPr>
        <w:spacing w:after="0" w:line="360" w:lineRule="auto"/>
        <w:ind w:left="720" w:hanging="720"/>
        <w:rPr>
          <w:rFonts w:ascii="Arial" w:hAnsi="Arial" w:cs="Arial"/>
          <w:sz w:val="22"/>
        </w:rPr>
      </w:pPr>
    </w:p>
    <w:p w14:paraId="6314836A" w14:textId="4D374A42" w:rsidR="00421F49" w:rsidRDefault="005E38BA" w:rsidP="00421F49">
      <w:pPr>
        <w:spacing w:after="0" w:line="360" w:lineRule="auto"/>
        <w:ind w:left="720" w:hanging="720"/>
        <w:rPr>
          <w:rFonts w:ascii="Arial" w:hAnsi="Arial" w:cs="Arial"/>
          <w:sz w:val="22"/>
        </w:rPr>
      </w:pPr>
      <w:r w:rsidRPr="001C1A44">
        <w:rPr>
          <w:rFonts w:ascii="Arial" w:hAnsi="Arial" w:cs="Arial"/>
          <w:sz w:val="22"/>
        </w:rPr>
        <w:t xml:space="preserve">El-Khatib, S.E.S., </w:t>
      </w:r>
      <w:r w:rsidR="00EA1E5B" w:rsidRPr="001C1A44">
        <w:rPr>
          <w:rFonts w:ascii="Arial" w:hAnsi="Arial" w:cs="Arial"/>
          <w:sz w:val="22"/>
        </w:rPr>
        <w:t>Abdelwahab</w:t>
      </w:r>
      <w:r w:rsidRPr="001C1A44">
        <w:rPr>
          <w:rFonts w:ascii="Arial" w:hAnsi="Arial" w:cs="Arial"/>
          <w:sz w:val="22"/>
        </w:rPr>
        <w:t>, M. and Hegazy, H., (2025). Impact of Organizational Culture</w:t>
      </w:r>
    </w:p>
    <w:p w14:paraId="7E106700" w14:textId="53ECE9AB" w:rsidR="007B488E" w:rsidRDefault="005E38BA" w:rsidP="007B488E">
      <w:pPr>
        <w:spacing w:after="0" w:line="360" w:lineRule="auto"/>
        <w:ind w:left="720" w:hanging="720"/>
        <w:rPr>
          <w:rFonts w:ascii="Arial" w:hAnsi="Arial" w:cs="Arial"/>
          <w:sz w:val="22"/>
        </w:rPr>
      </w:pPr>
      <w:r w:rsidRPr="001C1A44">
        <w:rPr>
          <w:rFonts w:ascii="Arial" w:hAnsi="Arial" w:cs="Arial"/>
          <w:sz w:val="22"/>
        </w:rPr>
        <w:lastRenderedPageBreak/>
        <w:t xml:space="preserve">and </w:t>
      </w:r>
    </w:p>
    <w:p w14:paraId="68034E64" w14:textId="50483B1B" w:rsidR="00D4382C" w:rsidRDefault="005E38BA" w:rsidP="001C1A44">
      <w:pPr>
        <w:spacing w:after="0" w:line="360" w:lineRule="auto"/>
        <w:ind w:left="720" w:hanging="720"/>
        <w:rPr>
          <w:rFonts w:ascii="Arial" w:hAnsi="Arial" w:cs="Arial"/>
          <w:sz w:val="22"/>
        </w:rPr>
      </w:pPr>
      <w:r w:rsidRPr="001C1A44">
        <w:rPr>
          <w:rFonts w:ascii="Arial" w:hAnsi="Arial" w:cs="Arial"/>
          <w:sz w:val="22"/>
        </w:rPr>
        <w:t xml:space="preserve">Workforce Diversity on Management Practices. Employee Responsibilities and Rights Journal, </w:t>
      </w:r>
    </w:p>
    <w:p w14:paraId="1DB7E40F" w14:textId="38A333B4" w:rsidR="005E38BA" w:rsidRDefault="005E38BA" w:rsidP="001C1A44">
      <w:pPr>
        <w:spacing w:after="0" w:line="360" w:lineRule="auto"/>
        <w:ind w:left="720" w:hanging="720"/>
        <w:rPr>
          <w:rFonts w:ascii="Arial" w:hAnsi="Arial" w:cs="Arial"/>
          <w:sz w:val="22"/>
        </w:rPr>
      </w:pPr>
      <w:r w:rsidRPr="001C1A44">
        <w:rPr>
          <w:rFonts w:ascii="Arial" w:hAnsi="Arial" w:cs="Arial"/>
          <w:sz w:val="22"/>
        </w:rPr>
        <w:t>pp.1-14.</w:t>
      </w:r>
    </w:p>
    <w:p w14:paraId="63A39979" w14:textId="77777777" w:rsidR="00D4382C" w:rsidRPr="001C1A44" w:rsidRDefault="00D4382C" w:rsidP="001C1A44">
      <w:pPr>
        <w:spacing w:after="0" w:line="360" w:lineRule="auto"/>
        <w:ind w:left="720" w:hanging="720"/>
        <w:rPr>
          <w:rFonts w:ascii="Arial" w:hAnsi="Arial" w:cs="Arial"/>
          <w:sz w:val="22"/>
        </w:rPr>
      </w:pPr>
    </w:p>
    <w:p w14:paraId="7B4F2F9A" w14:textId="77777777" w:rsidR="00D4382C" w:rsidRDefault="005E38BA" w:rsidP="001C1A44">
      <w:pPr>
        <w:spacing w:after="0" w:line="360" w:lineRule="auto"/>
        <w:ind w:left="720" w:hanging="720"/>
        <w:rPr>
          <w:rFonts w:ascii="Arial" w:hAnsi="Arial" w:cs="Arial"/>
          <w:sz w:val="22"/>
        </w:rPr>
      </w:pPr>
      <w:r w:rsidRPr="001C1A44">
        <w:rPr>
          <w:rFonts w:ascii="Arial" w:hAnsi="Arial" w:cs="Arial"/>
          <w:sz w:val="22"/>
        </w:rPr>
        <w:t xml:space="preserve">Faisal, A., (2024). The Effect of Training, Mentoring, and Resilience on Employee Performance </w:t>
      </w:r>
    </w:p>
    <w:p w14:paraId="39F9C991" w14:textId="3EB68669" w:rsidR="00D4382C" w:rsidRDefault="005E38BA" w:rsidP="001C1A44">
      <w:pPr>
        <w:spacing w:after="0" w:line="360" w:lineRule="auto"/>
        <w:ind w:left="720" w:hanging="720"/>
        <w:rPr>
          <w:rFonts w:ascii="Arial" w:hAnsi="Arial" w:cs="Arial"/>
          <w:i/>
          <w:iCs/>
          <w:sz w:val="22"/>
        </w:rPr>
      </w:pPr>
      <w:r w:rsidRPr="001C1A44">
        <w:rPr>
          <w:rFonts w:ascii="Arial" w:hAnsi="Arial" w:cs="Arial"/>
          <w:sz w:val="22"/>
        </w:rPr>
        <w:t>is Mediated by Employee Engagement. </w:t>
      </w:r>
      <w:r w:rsidRPr="001C1A44">
        <w:rPr>
          <w:rFonts w:ascii="Arial" w:hAnsi="Arial" w:cs="Arial"/>
          <w:i/>
          <w:iCs/>
          <w:sz w:val="22"/>
        </w:rPr>
        <w:t xml:space="preserve">Dinasti International Journal of Digital Business </w:t>
      </w:r>
    </w:p>
    <w:p w14:paraId="32B4C6B4" w14:textId="164396B8" w:rsidR="005E38BA" w:rsidRDefault="005E38BA" w:rsidP="001C1A44">
      <w:pPr>
        <w:spacing w:after="0" w:line="360" w:lineRule="auto"/>
        <w:ind w:left="720" w:hanging="720"/>
        <w:rPr>
          <w:rFonts w:ascii="Arial" w:hAnsi="Arial" w:cs="Arial"/>
          <w:sz w:val="22"/>
        </w:rPr>
      </w:pPr>
      <w:r w:rsidRPr="001C1A44">
        <w:rPr>
          <w:rFonts w:ascii="Arial" w:hAnsi="Arial" w:cs="Arial"/>
          <w:i/>
          <w:iCs/>
          <w:sz w:val="22"/>
        </w:rPr>
        <w:t>Management (DIJDBM)</w:t>
      </w:r>
      <w:r w:rsidRPr="001C1A44">
        <w:rPr>
          <w:rFonts w:ascii="Arial" w:hAnsi="Arial" w:cs="Arial"/>
          <w:sz w:val="22"/>
        </w:rPr>
        <w:t>, </w:t>
      </w:r>
      <w:r w:rsidRPr="001C1A44">
        <w:rPr>
          <w:rFonts w:ascii="Arial" w:hAnsi="Arial" w:cs="Arial"/>
          <w:i/>
          <w:iCs/>
          <w:sz w:val="22"/>
        </w:rPr>
        <w:t>5</w:t>
      </w:r>
      <w:r w:rsidRPr="001C1A44">
        <w:rPr>
          <w:rFonts w:ascii="Arial" w:hAnsi="Arial" w:cs="Arial"/>
          <w:sz w:val="22"/>
        </w:rPr>
        <w:t>(3).</w:t>
      </w:r>
    </w:p>
    <w:p w14:paraId="267577A0" w14:textId="77777777" w:rsidR="00D4382C" w:rsidRPr="001C1A44" w:rsidRDefault="00D4382C" w:rsidP="001C1A44">
      <w:pPr>
        <w:spacing w:after="0" w:line="360" w:lineRule="auto"/>
        <w:ind w:left="720" w:hanging="720"/>
        <w:rPr>
          <w:rFonts w:ascii="Arial" w:hAnsi="Arial" w:cs="Arial"/>
          <w:sz w:val="22"/>
        </w:rPr>
      </w:pPr>
    </w:p>
    <w:p w14:paraId="1F8D32D9" w14:textId="77777777" w:rsidR="00D4382C" w:rsidRDefault="005E38BA" w:rsidP="001C1A44">
      <w:pPr>
        <w:spacing w:after="0" w:line="360" w:lineRule="auto"/>
        <w:ind w:left="720" w:hanging="720"/>
        <w:rPr>
          <w:rFonts w:ascii="Arial" w:hAnsi="Arial" w:cs="Arial"/>
          <w:sz w:val="22"/>
        </w:rPr>
      </w:pPr>
      <w:r w:rsidRPr="001C1A44">
        <w:rPr>
          <w:rFonts w:ascii="Arial" w:hAnsi="Arial" w:cs="Arial"/>
          <w:sz w:val="22"/>
        </w:rPr>
        <w:t xml:space="preserve">Fawzy, A., Tahir, A., Galster, M. and Liang, P., (2025). Exploring data management challenges </w:t>
      </w:r>
    </w:p>
    <w:p w14:paraId="06EEF096" w14:textId="77777777" w:rsidR="00D4382C" w:rsidRDefault="005E38BA" w:rsidP="001C1A44">
      <w:pPr>
        <w:spacing w:after="0" w:line="360" w:lineRule="auto"/>
        <w:ind w:left="720" w:hanging="720"/>
        <w:rPr>
          <w:rFonts w:ascii="Arial" w:hAnsi="Arial" w:cs="Arial"/>
          <w:sz w:val="22"/>
        </w:rPr>
      </w:pPr>
      <w:r w:rsidRPr="001C1A44">
        <w:rPr>
          <w:rFonts w:ascii="Arial" w:hAnsi="Arial" w:cs="Arial"/>
          <w:sz w:val="22"/>
        </w:rPr>
        <w:t xml:space="preserve">and solutions in agile software development: a literature review and practitioner </w:t>
      </w:r>
    </w:p>
    <w:p w14:paraId="5C37A428" w14:textId="06E47F29" w:rsidR="005E38BA" w:rsidRDefault="005E38BA" w:rsidP="001C1A44">
      <w:pPr>
        <w:spacing w:after="0" w:line="360" w:lineRule="auto"/>
        <w:ind w:left="720" w:hanging="720"/>
        <w:rPr>
          <w:rFonts w:ascii="Arial" w:hAnsi="Arial" w:cs="Arial"/>
          <w:sz w:val="22"/>
        </w:rPr>
      </w:pPr>
      <w:r w:rsidRPr="001C1A44">
        <w:rPr>
          <w:rFonts w:ascii="Arial" w:hAnsi="Arial" w:cs="Arial"/>
          <w:sz w:val="22"/>
        </w:rPr>
        <w:t>survey. </w:t>
      </w:r>
      <w:r w:rsidRPr="001C1A44">
        <w:rPr>
          <w:rFonts w:ascii="Arial" w:hAnsi="Arial" w:cs="Arial"/>
          <w:i/>
          <w:iCs/>
          <w:sz w:val="22"/>
        </w:rPr>
        <w:t>Empirical Software Engineering</w:t>
      </w:r>
      <w:r w:rsidRPr="001C1A44">
        <w:rPr>
          <w:rFonts w:ascii="Arial" w:hAnsi="Arial" w:cs="Arial"/>
          <w:sz w:val="22"/>
        </w:rPr>
        <w:t>, </w:t>
      </w:r>
      <w:r w:rsidRPr="001C1A44">
        <w:rPr>
          <w:rFonts w:ascii="Arial" w:hAnsi="Arial" w:cs="Arial"/>
          <w:i/>
          <w:iCs/>
          <w:sz w:val="22"/>
        </w:rPr>
        <w:t>30</w:t>
      </w:r>
      <w:r w:rsidRPr="001C1A44">
        <w:rPr>
          <w:rFonts w:ascii="Arial" w:hAnsi="Arial" w:cs="Arial"/>
          <w:sz w:val="22"/>
        </w:rPr>
        <w:t>(3), pp.1-61.</w:t>
      </w:r>
    </w:p>
    <w:p w14:paraId="16527D36" w14:textId="77777777" w:rsidR="00D4382C" w:rsidRPr="001C1A44" w:rsidRDefault="00D4382C" w:rsidP="001C1A44">
      <w:pPr>
        <w:spacing w:after="0" w:line="360" w:lineRule="auto"/>
        <w:ind w:left="720" w:hanging="720"/>
        <w:rPr>
          <w:rFonts w:ascii="Arial" w:hAnsi="Arial" w:cs="Arial"/>
          <w:sz w:val="22"/>
        </w:rPr>
      </w:pPr>
    </w:p>
    <w:p w14:paraId="0CCD8AB9" w14:textId="77777777" w:rsidR="00A8745B" w:rsidRDefault="005E38BA" w:rsidP="001C1A44">
      <w:pPr>
        <w:spacing w:after="0" w:line="360" w:lineRule="auto"/>
        <w:ind w:left="720" w:hanging="720"/>
        <w:rPr>
          <w:rFonts w:ascii="Arial" w:hAnsi="Arial" w:cs="Arial"/>
          <w:i/>
          <w:iCs/>
          <w:sz w:val="22"/>
        </w:rPr>
      </w:pPr>
      <w:r w:rsidRPr="001C1A44">
        <w:rPr>
          <w:rFonts w:ascii="Arial" w:hAnsi="Arial" w:cs="Arial"/>
          <w:sz w:val="22"/>
        </w:rPr>
        <w:t>Gottschalk, P., (2022). </w:t>
      </w:r>
      <w:r w:rsidRPr="001C1A44">
        <w:rPr>
          <w:rFonts w:ascii="Arial" w:hAnsi="Arial" w:cs="Arial"/>
          <w:i/>
          <w:iCs/>
          <w:sz w:val="22"/>
        </w:rPr>
        <w:t xml:space="preserve">Corporate Control of White-Collar Crime: A Bottom-Up Approach to </w:t>
      </w:r>
    </w:p>
    <w:p w14:paraId="553C88CD" w14:textId="0E233A9A" w:rsidR="008C4F66" w:rsidRDefault="005E38BA" w:rsidP="008C4F66">
      <w:pPr>
        <w:spacing w:after="0" w:line="360" w:lineRule="auto"/>
        <w:ind w:left="720" w:hanging="720"/>
        <w:rPr>
          <w:rFonts w:ascii="Arial" w:hAnsi="Arial" w:cs="Arial"/>
          <w:sz w:val="22"/>
        </w:rPr>
      </w:pPr>
      <w:r w:rsidRPr="001C1A44">
        <w:rPr>
          <w:rFonts w:ascii="Arial" w:hAnsi="Arial" w:cs="Arial"/>
          <w:i/>
          <w:iCs/>
          <w:sz w:val="22"/>
        </w:rPr>
        <w:t>Executive Deviance</w:t>
      </w:r>
      <w:r w:rsidRPr="001C1A44">
        <w:rPr>
          <w:rFonts w:ascii="Arial" w:hAnsi="Arial" w:cs="Arial"/>
          <w:sz w:val="22"/>
        </w:rPr>
        <w:t>. Walter de Gruyter GmbH &amp; Co KG.</w:t>
      </w:r>
    </w:p>
    <w:p w14:paraId="2987F70B" w14:textId="77777777" w:rsidR="00AC0C19" w:rsidRPr="001C1A44" w:rsidRDefault="00AC0C19" w:rsidP="001C1A44">
      <w:pPr>
        <w:spacing w:after="0" w:line="360" w:lineRule="auto"/>
        <w:ind w:left="720" w:hanging="720"/>
        <w:rPr>
          <w:rFonts w:ascii="Arial" w:hAnsi="Arial" w:cs="Arial"/>
          <w:sz w:val="22"/>
        </w:rPr>
      </w:pPr>
    </w:p>
    <w:p w14:paraId="59FFD117" w14:textId="77777777" w:rsidR="00AC0C19" w:rsidRDefault="005E38BA" w:rsidP="001C1A44">
      <w:pPr>
        <w:spacing w:after="0" w:line="360" w:lineRule="auto"/>
        <w:ind w:left="720" w:hanging="720"/>
        <w:rPr>
          <w:rFonts w:ascii="Arial" w:hAnsi="Arial" w:cs="Arial"/>
          <w:sz w:val="22"/>
          <w:lang w:val="en-US"/>
        </w:rPr>
      </w:pPr>
      <w:r w:rsidRPr="001C1A44">
        <w:rPr>
          <w:rFonts w:ascii="Arial" w:hAnsi="Arial" w:cs="Arial"/>
          <w:sz w:val="22"/>
          <w:lang w:val="en-US"/>
        </w:rPr>
        <w:t xml:space="preserve">GOV.UK. (2010). </w:t>
      </w:r>
      <w:r w:rsidRPr="001C1A44">
        <w:rPr>
          <w:rFonts w:ascii="Arial" w:hAnsi="Arial" w:cs="Arial"/>
          <w:i/>
          <w:iCs/>
          <w:sz w:val="22"/>
          <w:lang w:val="en-US"/>
        </w:rPr>
        <w:t>Explanatory notes to Equality Act 2010</w:t>
      </w:r>
      <w:r w:rsidRPr="001C1A44">
        <w:rPr>
          <w:rFonts w:ascii="Arial" w:hAnsi="Arial" w:cs="Arial"/>
          <w:sz w:val="22"/>
          <w:lang w:val="en-US"/>
        </w:rPr>
        <w:t xml:space="preserve">. Explanatory Notes. </w:t>
      </w:r>
    </w:p>
    <w:p w14:paraId="169055A0" w14:textId="4FB1672D" w:rsidR="005E38BA" w:rsidRDefault="00AC0C19" w:rsidP="001C1A44">
      <w:pPr>
        <w:spacing w:after="0" w:line="360" w:lineRule="auto"/>
        <w:ind w:left="720" w:hanging="720"/>
        <w:rPr>
          <w:rFonts w:ascii="Arial" w:hAnsi="Arial" w:cs="Arial"/>
          <w:sz w:val="22"/>
          <w:lang w:val="en-US"/>
        </w:rPr>
      </w:pPr>
      <w:hyperlink r:id="rId9" w:history="1">
        <w:r w:rsidRPr="00291D98">
          <w:rPr>
            <w:rStyle w:val="Hyperlink"/>
            <w:rFonts w:ascii="Arial" w:hAnsi="Arial" w:cs="Arial"/>
            <w:sz w:val="22"/>
            <w:lang w:val="en-US"/>
          </w:rPr>
          <w:t>https://www.legislation.gov.uk/ukpga/2010/15/notes/contents</w:t>
        </w:r>
      </w:hyperlink>
      <w:r w:rsidR="005E38BA" w:rsidRPr="001C1A44">
        <w:rPr>
          <w:rFonts w:ascii="Arial" w:hAnsi="Arial" w:cs="Arial"/>
          <w:sz w:val="22"/>
          <w:lang w:val="en-US"/>
        </w:rPr>
        <w:t xml:space="preserve"> </w:t>
      </w:r>
    </w:p>
    <w:p w14:paraId="0D11BCBF" w14:textId="77777777" w:rsidR="00AC0C19" w:rsidRPr="001C1A44" w:rsidRDefault="00AC0C19" w:rsidP="001C1A44">
      <w:pPr>
        <w:spacing w:after="0" w:line="360" w:lineRule="auto"/>
        <w:ind w:left="720" w:hanging="720"/>
        <w:rPr>
          <w:rFonts w:ascii="Arial" w:hAnsi="Arial" w:cs="Arial"/>
          <w:sz w:val="22"/>
          <w:lang w:val="en-US"/>
        </w:rPr>
      </w:pPr>
    </w:p>
    <w:p w14:paraId="3A0F9637" w14:textId="77777777" w:rsidR="00AC0C19" w:rsidRDefault="005E38BA" w:rsidP="001C1A44">
      <w:pPr>
        <w:spacing w:after="0" w:line="360" w:lineRule="auto"/>
        <w:ind w:left="720" w:hanging="720"/>
        <w:rPr>
          <w:rFonts w:ascii="Arial" w:hAnsi="Arial" w:cs="Arial"/>
          <w:sz w:val="22"/>
        </w:rPr>
      </w:pPr>
      <w:r w:rsidRPr="001C1A44">
        <w:rPr>
          <w:rFonts w:ascii="Arial" w:hAnsi="Arial" w:cs="Arial"/>
          <w:sz w:val="22"/>
        </w:rPr>
        <w:t xml:space="preserve">Hartfield, T.R., (2024). Overcoming Data Barriers: Strategies for New Entrants to Achieve </w:t>
      </w:r>
    </w:p>
    <w:p w14:paraId="155CE4CC" w14:textId="33DA8811" w:rsidR="00AC0C19" w:rsidRDefault="005E38BA" w:rsidP="00AC0C19">
      <w:pPr>
        <w:spacing w:after="0" w:line="360" w:lineRule="auto"/>
        <w:ind w:left="720" w:hanging="720"/>
        <w:rPr>
          <w:rFonts w:ascii="Arial" w:hAnsi="Arial" w:cs="Arial"/>
          <w:sz w:val="22"/>
        </w:rPr>
      </w:pPr>
      <w:r w:rsidRPr="001C1A44">
        <w:rPr>
          <w:rFonts w:ascii="Arial" w:hAnsi="Arial" w:cs="Arial"/>
          <w:sz w:val="22"/>
        </w:rPr>
        <w:t>Differentiation in the UK Food Retail Market. </w:t>
      </w:r>
      <w:r w:rsidRPr="001C1A44">
        <w:rPr>
          <w:rFonts w:ascii="Arial" w:hAnsi="Arial" w:cs="Arial"/>
          <w:i/>
          <w:iCs/>
          <w:sz w:val="22"/>
        </w:rPr>
        <w:t>Journal of World Economy</w:t>
      </w:r>
      <w:r w:rsidRPr="001C1A44">
        <w:rPr>
          <w:rFonts w:ascii="Arial" w:hAnsi="Arial" w:cs="Arial"/>
          <w:sz w:val="22"/>
        </w:rPr>
        <w:t>, </w:t>
      </w:r>
      <w:r w:rsidRPr="001C1A44">
        <w:rPr>
          <w:rFonts w:ascii="Arial" w:hAnsi="Arial" w:cs="Arial"/>
          <w:i/>
          <w:iCs/>
          <w:sz w:val="22"/>
        </w:rPr>
        <w:t>3</w:t>
      </w:r>
      <w:r w:rsidRPr="001C1A44">
        <w:rPr>
          <w:rFonts w:ascii="Arial" w:hAnsi="Arial" w:cs="Arial"/>
          <w:sz w:val="22"/>
        </w:rPr>
        <w:t>(3), pp.68-83.</w:t>
      </w:r>
    </w:p>
    <w:p w14:paraId="16655D84" w14:textId="77777777" w:rsidR="00AC0C19" w:rsidRPr="001C1A44" w:rsidRDefault="00AC0C19" w:rsidP="001C1A44">
      <w:pPr>
        <w:spacing w:after="0" w:line="360" w:lineRule="auto"/>
        <w:ind w:left="720" w:hanging="720"/>
        <w:rPr>
          <w:rFonts w:ascii="Arial" w:hAnsi="Arial" w:cs="Arial"/>
          <w:sz w:val="22"/>
        </w:rPr>
      </w:pPr>
    </w:p>
    <w:p w14:paraId="0CF3E91D" w14:textId="77777777" w:rsidR="009B1F1B" w:rsidRDefault="005E38BA" w:rsidP="001C1A44">
      <w:pPr>
        <w:spacing w:after="0" w:line="360" w:lineRule="auto"/>
        <w:ind w:left="720" w:hanging="720"/>
        <w:rPr>
          <w:rFonts w:ascii="Arial" w:hAnsi="Arial" w:cs="Arial"/>
          <w:i/>
          <w:iCs/>
          <w:sz w:val="22"/>
        </w:rPr>
      </w:pPr>
      <w:r w:rsidRPr="001C1A44">
        <w:rPr>
          <w:rFonts w:ascii="Arial" w:hAnsi="Arial" w:cs="Arial"/>
          <w:sz w:val="22"/>
        </w:rPr>
        <w:t>Jones, P., (2024</w:t>
      </w:r>
      <w:r w:rsidR="000D64A3">
        <w:rPr>
          <w:rFonts w:ascii="Arial" w:hAnsi="Arial" w:cs="Arial"/>
          <w:sz w:val="22"/>
        </w:rPr>
        <w:t>)</w:t>
      </w:r>
      <w:r w:rsidRPr="001C1A44">
        <w:rPr>
          <w:rFonts w:ascii="Arial" w:hAnsi="Arial" w:cs="Arial"/>
          <w:sz w:val="22"/>
        </w:rPr>
        <w:t>. Modern Slavery Statements and UK Retail Supply Chains. In </w:t>
      </w:r>
      <w:r w:rsidRPr="001C1A44">
        <w:rPr>
          <w:rFonts w:ascii="Arial" w:hAnsi="Arial" w:cs="Arial"/>
          <w:i/>
          <w:iCs/>
          <w:sz w:val="22"/>
        </w:rPr>
        <w:t xml:space="preserve">the Palgrave </w:t>
      </w:r>
    </w:p>
    <w:p w14:paraId="6BE22614" w14:textId="0F5A0EBC" w:rsidR="005E38BA" w:rsidRDefault="005E38BA" w:rsidP="001C1A44">
      <w:pPr>
        <w:spacing w:after="0" w:line="360" w:lineRule="auto"/>
        <w:ind w:left="720" w:hanging="720"/>
        <w:rPr>
          <w:rFonts w:ascii="Arial" w:hAnsi="Arial" w:cs="Arial"/>
          <w:sz w:val="22"/>
        </w:rPr>
      </w:pPr>
      <w:r w:rsidRPr="001C1A44">
        <w:rPr>
          <w:rFonts w:ascii="Arial" w:hAnsi="Arial" w:cs="Arial"/>
          <w:i/>
          <w:iCs/>
          <w:sz w:val="22"/>
        </w:rPr>
        <w:t>Handbook on Modern Slavery</w:t>
      </w:r>
      <w:r w:rsidRPr="001C1A44">
        <w:rPr>
          <w:rFonts w:ascii="Arial" w:hAnsi="Arial" w:cs="Arial"/>
          <w:sz w:val="22"/>
        </w:rPr>
        <w:t> (pp. 525-540). Cham: Springer Nature Switzerland.</w:t>
      </w:r>
    </w:p>
    <w:p w14:paraId="0E11CBD1" w14:textId="77777777" w:rsidR="009B1F1B" w:rsidRPr="001C1A44" w:rsidRDefault="009B1F1B" w:rsidP="001C1A44">
      <w:pPr>
        <w:spacing w:after="0" w:line="360" w:lineRule="auto"/>
        <w:ind w:left="720" w:hanging="720"/>
        <w:rPr>
          <w:rFonts w:ascii="Arial" w:hAnsi="Arial" w:cs="Arial"/>
          <w:sz w:val="22"/>
        </w:rPr>
      </w:pPr>
    </w:p>
    <w:p w14:paraId="26F471FD" w14:textId="77777777" w:rsidR="009B1F1B" w:rsidRDefault="005E38BA" w:rsidP="001C1A44">
      <w:pPr>
        <w:spacing w:after="0" w:line="360" w:lineRule="auto"/>
        <w:ind w:left="720" w:hanging="720"/>
        <w:rPr>
          <w:rFonts w:ascii="Arial" w:hAnsi="Arial" w:cs="Arial"/>
          <w:i/>
          <w:iCs/>
          <w:sz w:val="22"/>
        </w:rPr>
      </w:pPr>
      <w:r w:rsidRPr="001C1A44">
        <w:rPr>
          <w:rFonts w:ascii="Arial" w:hAnsi="Arial" w:cs="Arial"/>
          <w:sz w:val="22"/>
        </w:rPr>
        <w:t>Mendonça, L.B., (2025). </w:t>
      </w:r>
      <w:r w:rsidRPr="001C1A44">
        <w:rPr>
          <w:rFonts w:ascii="Arial" w:hAnsi="Arial" w:cs="Arial"/>
          <w:i/>
          <w:iCs/>
          <w:sz w:val="22"/>
        </w:rPr>
        <w:t xml:space="preserve">The Impact of Green Human Resource Management Practices on </w:t>
      </w:r>
    </w:p>
    <w:p w14:paraId="5E820E7A" w14:textId="77777777" w:rsidR="009B1F1B" w:rsidRDefault="005E38BA" w:rsidP="001C1A44">
      <w:pPr>
        <w:spacing w:after="0" w:line="360" w:lineRule="auto"/>
        <w:ind w:left="720" w:hanging="720"/>
        <w:rPr>
          <w:rFonts w:ascii="Arial" w:hAnsi="Arial" w:cs="Arial"/>
          <w:i/>
          <w:iCs/>
          <w:sz w:val="22"/>
        </w:rPr>
      </w:pPr>
      <w:r w:rsidRPr="001C1A44">
        <w:rPr>
          <w:rFonts w:ascii="Arial" w:hAnsi="Arial" w:cs="Arial"/>
          <w:i/>
          <w:iCs/>
          <w:sz w:val="22"/>
        </w:rPr>
        <w:t>Environmental and Economic Performance in the UK Retail Sector: The Human Resource</w:t>
      </w:r>
    </w:p>
    <w:p w14:paraId="06499CAC" w14:textId="0AC5BA20" w:rsidR="005E38BA" w:rsidRDefault="005E38BA" w:rsidP="001C1A44">
      <w:pPr>
        <w:spacing w:after="0" w:line="360" w:lineRule="auto"/>
        <w:ind w:left="720" w:hanging="720"/>
        <w:rPr>
          <w:rFonts w:ascii="Arial" w:hAnsi="Arial" w:cs="Arial"/>
          <w:sz w:val="22"/>
        </w:rPr>
      </w:pPr>
      <w:r w:rsidRPr="001C1A44">
        <w:rPr>
          <w:rFonts w:ascii="Arial" w:hAnsi="Arial" w:cs="Arial"/>
          <w:i/>
          <w:iCs/>
          <w:sz w:val="22"/>
        </w:rPr>
        <w:t xml:space="preserve"> Perspective</w:t>
      </w:r>
      <w:r w:rsidRPr="001C1A44">
        <w:rPr>
          <w:rFonts w:ascii="Arial" w:hAnsi="Arial" w:cs="Arial"/>
          <w:sz w:val="22"/>
        </w:rPr>
        <w:t> (Doctoral dissertation, Dublin, National College of Ireland).</w:t>
      </w:r>
    </w:p>
    <w:p w14:paraId="4159B21D" w14:textId="77777777" w:rsidR="009B1F1B" w:rsidRPr="001C1A44" w:rsidRDefault="009B1F1B" w:rsidP="001C1A44">
      <w:pPr>
        <w:spacing w:after="0" w:line="360" w:lineRule="auto"/>
        <w:ind w:left="720" w:hanging="720"/>
        <w:rPr>
          <w:rFonts w:ascii="Arial" w:hAnsi="Arial" w:cs="Arial"/>
          <w:sz w:val="22"/>
        </w:rPr>
      </w:pPr>
    </w:p>
    <w:p w14:paraId="3ECA02E9" w14:textId="77777777" w:rsidR="003B6268" w:rsidRDefault="005E38BA" w:rsidP="001C1A44">
      <w:pPr>
        <w:spacing w:after="0" w:line="360" w:lineRule="auto"/>
        <w:ind w:left="720" w:hanging="720"/>
        <w:rPr>
          <w:rFonts w:ascii="Arial" w:hAnsi="Arial" w:cs="Arial"/>
          <w:sz w:val="22"/>
        </w:rPr>
      </w:pPr>
      <w:r w:rsidRPr="001C1A44">
        <w:rPr>
          <w:rFonts w:ascii="Arial" w:hAnsi="Arial" w:cs="Arial"/>
          <w:sz w:val="22"/>
        </w:rPr>
        <w:t xml:space="preserve">Oktaviannur, M. and Kindiasari, A., (2024). Development of Human Resource Management </w:t>
      </w:r>
    </w:p>
    <w:p w14:paraId="0148257B" w14:textId="77777777" w:rsidR="003B6268" w:rsidRDefault="005E38BA" w:rsidP="001C1A44">
      <w:pPr>
        <w:spacing w:after="0" w:line="360" w:lineRule="auto"/>
        <w:ind w:left="720" w:hanging="720"/>
        <w:rPr>
          <w:rFonts w:ascii="Arial" w:hAnsi="Arial" w:cs="Arial"/>
          <w:sz w:val="22"/>
        </w:rPr>
      </w:pPr>
      <w:r w:rsidRPr="001C1A44">
        <w:rPr>
          <w:rFonts w:ascii="Arial" w:hAnsi="Arial" w:cs="Arial"/>
          <w:sz w:val="22"/>
        </w:rPr>
        <w:t xml:space="preserve">Information System to Improve Employee Performance Efficiency and </w:t>
      </w:r>
    </w:p>
    <w:p w14:paraId="5AF67614" w14:textId="66DE82AD" w:rsidR="005E38BA" w:rsidRDefault="005E38BA" w:rsidP="001C1A44">
      <w:pPr>
        <w:spacing w:after="0" w:line="360" w:lineRule="auto"/>
        <w:ind w:left="720" w:hanging="720"/>
        <w:rPr>
          <w:rFonts w:ascii="Arial" w:hAnsi="Arial" w:cs="Arial"/>
          <w:sz w:val="22"/>
        </w:rPr>
      </w:pPr>
      <w:r w:rsidRPr="001C1A44">
        <w:rPr>
          <w:rFonts w:ascii="Arial" w:hAnsi="Arial" w:cs="Arial"/>
          <w:sz w:val="22"/>
        </w:rPr>
        <w:t>Effectiveness. </w:t>
      </w:r>
      <w:r w:rsidRPr="001C1A44">
        <w:rPr>
          <w:rFonts w:ascii="Arial" w:hAnsi="Arial" w:cs="Arial"/>
          <w:i/>
          <w:iCs/>
          <w:sz w:val="22"/>
        </w:rPr>
        <w:t>International Journal of Artificial Intelligence Research</w:t>
      </w:r>
      <w:r w:rsidRPr="001C1A44">
        <w:rPr>
          <w:rFonts w:ascii="Arial" w:hAnsi="Arial" w:cs="Arial"/>
          <w:sz w:val="22"/>
        </w:rPr>
        <w:t>, </w:t>
      </w:r>
      <w:r w:rsidRPr="001C1A44">
        <w:rPr>
          <w:rFonts w:ascii="Arial" w:hAnsi="Arial" w:cs="Arial"/>
          <w:i/>
          <w:iCs/>
          <w:sz w:val="22"/>
        </w:rPr>
        <w:t>8</w:t>
      </w:r>
      <w:r w:rsidRPr="001C1A44">
        <w:rPr>
          <w:rFonts w:ascii="Arial" w:hAnsi="Arial" w:cs="Arial"/>
          <w:sz w:val="22"/>
        </w:rPr>
        <w:t>(1.1).</w:t>
      </w:r>
    </w:p>
    <w:p w14:paraId="743C1F60" w14:textId="77777777" w:rsidR="003B6268" w:rsidRPr="001C1A44" w:rsidRDefault="003B6268" w:rsidP="001C1A44">
      <w:pPr>
        <w:spacing w:after="0" w:line="360" w:lineRule="auto"/>
        <w:ind w:left="720" w:hanging="720"/>
        <w:rPr>
          <w:rFonts w:ascii="Arial" w:hAnsi="Arial" w:cs="Arial"/>
          <w:sz w:val="22"/>
        </w:rPr>
      </w:pPr>
    </w:p>
    <w:p w14:paraId="4A988CC6" w14:textId="77777777" w:rsidR="003B6268" w:rsidRDefault="005E38BA" w:rsidP="001C1A44">
      <w:pPr>
        <w:spacing w:after="0" w:line="360" w:lineRule="auto"/>
        <w:ind w:left="720" w:hanging="720"/>
        <w:rPr>
          <w:rFonts w:ascii="Arial" w:hAnsi="Arial" w:cs="Arial"/>
          <w:sz w:val="22"/>
        </w:rPr>
      </w:pPr>
      <w:r w:rsidRPr="001C1A44">
        <w:rPr>
          <w:rFonts w:ascii="Arial" w:hAnsi="Arial" w:cs="Arial"/>
          <w:sz w:val="22"/>
        </w:rPr>
        <w:t xml:space="preserve">Saidakhrarovich, G.S., Suyunova, D., Juraev, J., Xabibullaev, D., Sartaeva, S., Musaev, B. and </w:t>
      </w:r>
    </w:p>
    <w:p w14:paraId="7142944B" w14:textId="46D164F4" w:rsidR="003B6268" w:rsidRDefault="005E38BA" w:rsidP="001C1A44">
      <w:pPr>
        <w:spacing w:after="0" w:line="360" w:lineRule="auto"/>
        <w:ind w:left="720" w:hanging="720"/>
        <w:rPr>
          <w:rFonts w:ascii="Arial" w:hAnsi="Arial" w:cs="Arial"/>
          <w:sz w:val="22"/>
        </w:rPr>
      </w:pPr>
      <w:r w:rsidRPr="001C1A44">
        <w:rPr>
          <w:rFonts w:ascii="Arial" w:hAnsi="Arial" w:cs="Arial"/>
          <w:sz w:val="22"/>
        </w:rPr>
        <w:t xml:space="preserve">Ilhomov, B., (2024). Predictive Analytics for Workforce Planning in The Context </w:t>
      </w:r>
      <w:r w:rsidR="00EA1E5B" w:rsidRPr="001C1A44">
        <w:rPr>
          <w:rFonts w:ascii="Arial" w:hAnsi="Arial" w:cs="Arial"/>
          <w:sz w:val="22"/>
        </w:rPr>
        <w:t>of</w:t>
      </w:r>
      <w:r w:rsidRPr="001C1A44">
        <w:rPr>
          <w:rFonts w:ascii="Arial" w:hAnsi="Arial" w:cs="Arial"/>
          <w:sz w:val="22"/>
        </w:rPr>
        <w:t xml:space="preserve"> Digital </w:t>
      </w:r>
    </w:p>
    <w:p w14:paraId="38C84905" w14:textId="595D7446" w:rsidR="005E38BA" w:rsidRPr="001C1A44" w:rsidRDefault="005E38BA" w:rsidP="001C1A44">
      <w:pPr>
        <w:spacing w:after="0" w:line="360" w:lineRule="auto"/>
        <w:ind w:left="720" w:hanging="720"/>
        <w:rPr>
          <w:rFonts w:ascii="Arial" w:hAnsi="Arial" w:cs="Arial"/>
          <w:sz w:val="22"/>
        </w:rPr>
      </w:pPr>
      <w:r w:rsidRPr="001C1A44">
        <w:rPr>
          <w:rFonts w:ascii="Arial" w:hAnsi="Arial" w:cs="Arial"/>
          <w:sz w:val="22"/>
        </w:rPr>
        <w:lastRenderedPageBreak/>
        <w:t>Transformation Of Manufacturing.</w:t>
      </w:r>
    </w:p>
    <w:p w14:paraId="12B8F538" w14:textId="5CBD3124" w:rsidR="00085F98" w:rsidRPr="001C1A44" w:rsidRDefault="005E38BA" w:rsidP="00595039">
      <w:pPr>
        <w:spacing w:after="0" w:line="360" w:lineRule="auto"/>
        <w:ind w:left="720" w:hanging="720"/>
        <w:rPr>
          <w:rFonts w:ascii="Arial" w:hAnsi="Arial" w:cs="Arial"/>
          <w:sz w:val="22"/>
        </w:rPr>
      </w:pPr>
      <w:r w:rsidRPr="001C1A44">
        <w:rPr>
          <w:rFonts w:ascii="Arial" w:hAnsi="Arial" w:cs="Arial"/>
          <w:sz w:val="22"/>
        </w:rPr>
        <w:t>Timsina, S., (2024). Employee Turnover and Engagement Programs for Retention.</w:t>
      </w:r>
    </w:p>
    <w:sectPr w:rsidR="00085F98" w:rsidRPr="001C1A44">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EC9629" w14:textId="77777777" w:rsidR="006A7AE1" w:rsidRDefault="006A7AE1">
      <w:pPr>
        <w:spacing w:after="0" w:line="240" w:lineRule="auto"/>
      </w:pPr>
      <w:r>
        <w:separator/>
      </w:r>
    </w:p>
  </w:endnote>
  <w:endnote w:type="continuationSeparator" w:id="0">
    <w:p w14:paraId="71200923" w14:textId="77777777" w:rsidR="006A7AE1" w:rsidRDefault="006A7A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14BC79" w14:textId="77777777" w:rsidR="006A7AE1" w:rsidRDefault="006A7AE1">
      <w:pPr>
        <w:spacing w:after="0" w:line="240" w:lineRule="auto"/>
      </w:pPr>
      <w:r>
        <w:separator/>
      </w:r>
    </w:p>
  </w:footnote>
  <w:footnote w:type="continuationSeparator" w:id="0">
    <w:p w14:paraId="709C4DEE" w14:textId="77777777" w:rsidR="006A7AE1" w:rsidRDefault="006A7A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4327924"/>
      <w:docPartObj>
        <w:docPartGallery w:val="Page Numbers (Top of Page)"/>
        <w:docPartUnique/>
      </w:docPartObj>
    </w:sdtPr>
    <w:sdtEndPr>
      <w:rPr>
        <w:noProof/>
      </w:rPr>
    </w:sdtEndPr>
    <w:sdtContent>
      <w:p w14:paraId="4A3AFE00" w14:textId="2FC86290" w:rsidR="00540FF6" w:rsidRDefault="00F9247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FB6753B" w14:textId="77777777" w:rsidR="00A87576" w:rsidRDefault="00A87576" w:rsidP="007029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A11F25"/>
    <w:multiLevelType w:val="hybridMultilevel"/>
    <w:tmpl w:val="25F0AD82"/>
    <w:lvl w:ilvl="0" w:tplc="995CF514">
      <w:start w:val="1"/>
      <w:numFmt w:val="bullet"/>
      <w:lvlText w:val=""/>
      <w:lvlJc w:val="left"/>
      <w:pPr>
        <w:ind w:left="720" w:hanging="360"/>
      </w:pPr>
      <w:rPr>
        <w:rFonts w:ascii="Symbol" w:hAnsi="Symbol" w:hint="default"/>
      </w:rPr>
    </w:lvl>
    <w:lvl w:ilvl="1" w:tplc="B304351E" w:tentative="1">
      <w:start w:val="1"/>
      <w:numFmt w:val="bullet"/>
      <w:lvlText w:val="o"/>
      <w:lvlJc w:val="left"/>
      <w:pPr>
        <w:ind w:left="1440" w:hanging="360"/>
      </w:pPr>
      <w:rPr>
        <w:rFonts w:ascii="Courier New" w:hAnsi="Courier New" w:cs="Courier New" w:hint="default"/>
      </w:rPr>
    </w:lvl>
    <w:lvl w:ilvl="2" w:tplc="37A8B94E" w:tentative="1">
      <w:start w:val="1"/>
      <w:numFmt w:val="bullet"/>
      <w:lvlText w:val=""/>
      <w:lvlJc w:val="left"/>
      <w:pPr>
        <w:ind w:left="2160" w:hanging="360"/>
      </w:pPr>
      <w:rPr>
        <w:rFonts w:ascii="Wingdings" w:hAnsi="Wingdings" w:hint="default"/>
      </w:rPr>
    </w:lvl>
    <w:lvl w:ilvl="3" w:tplc="888A9C42" w:tentative="1">
      <w:start w:val="1"/>
      <w:numFmt w:val="bullet"/>
      <w:lvlText w:val=""/>
      <w:lvlJc w:val="left"/>
      <w:pPr>
        <w:ind w:left="2880" w:hanging="360"/>
      </w:pPr>
      <w:rPr>
        <w:rFonts w:ascii="Symbol" w:hAnsi="Symbol" w:hint="default"/>
      </w:rPr>
    </w:lvl>
    <w:lvl w:ilvl="4" w:tplc="1F4E3B84" w:tentative="1">
      <w:start w:val="1"/>
      <w:numFmt w:val="bullet"/>
      <w:lvlText w:val="o"/>
      <w:lvlJc w:val="left"/>
      <w:pPr>
        <w:ind w:left="3600" w:hanging="360"/>
      </w:pPr>
      <w:rPr>
        <w:rFonts w:ascii="Courier New" w:hAnsi="Courier New" w:cs="Courier New" w:hint="default"/>
      </w:rPr>
    </w:lvl>
    <w:lvl w:ilvl="5" w:tplc="7F5C6F12" w:tentative="1">
      <w:start w:val="1"/>
      <w:numFmt w:val="bullet"/>
      <w:lvlText w:val=""/>
      <w:lvlJc w:val="left"/>
      <w:pPr>
        <w:ind w:left="4320" w:hanging="360"/>
      </w:pPr>
      <w:rPr>
        <w:rFonts w:ascii="Wingdings" w:hAnsi="Wingdings" w:hint="default"/>
      </w:rPr>
    </w:lvl>
    <w:lvl w:ilvl="6" w:tplc="9C362AB0" w:tentative="1">
      <w:start w:val="1"/>
      <w:numFmt w:val="bullet"/>
      <w:lvlText w:val=""/>
      <w:lvlJc w:val="left"/>
      <w:pPr>
        <w:ind w:left="5040" w:hanging="360"/>
      </w:pPr>
      <w:rPr>
        <w:rFonts w:ascii="Symbol" w:hAnsi="Symbol" w:hint="default"/>
      </w:rPr>
    </w:lvl>
    <w:lvl w:ilvl="7" w:tplc="06B225D6" w:tentative="1">
      <w:start w:val="1"/>
      <w:numFmt w:val="bullet"/>
      <w:lvlText w:val="o"/>
      <w:lvlJc w:val="left"/>
      <w:pPr>
        <w:ind w:left="5760" w:hanging="360"/>
      </w:pPr>
      <w:rPr>
        <w:rFonts w:ascii="Courier New" w:hAnsi="Courier New" w:cs="Courier New" w:hint="default"/>
      </w:rPr>
    </w:lvl>
    <w:lvl w:ilvl="8" w:tplc="D536F8C4" w:tentative="1">
      <w:start w:val="1"/>
      <w:numFmt w:val="bullet"/>
      <w:lvlText w:val=""/>
      <w:lvlJc w:val="left"/>
      <w:pPr>
        <w:ind w:left="6480" w:hanging="360"/>
      </w:pPr>
      <w:rPr>
        <w:rFonts w:ascii="Wingdings" w:hAnsi="Wingdings" w:hint="default"/>
      </w:rPr>
    </w:lvl>
  </w:abstractNum>
  <w:abstractNum w:abstractNumId="1" w15:restartNumberingAfterBreak="0">
    <w:nsid w:val="0AD66649"/>
    <w:multiLevelType w:val="multilevel"/>
    <w:tmpl w:val="779C1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020F33"/>
    <w:multiLevelType w:val="multilevel"/>
    <w:tmpl w:val="A6BAA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D62606"/>
    <w:multiLevelType w:val="multilevel"/>
    <w:tmpl w:val="F8B4C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586BF2"/>
    <w:multiLevelType w:val="hybridMultilevel"/>
    <w:tmpl w:val="E5C8BE4E"/>
    <w:lvl w:ilvl="0" w:tplc="8720574C">
      <w:start w:val="1"/>
      <w:numFmt w:val="bullet"/>
      <w:lvlText w:val=""/>
      <w:lvlJc w:val="left"/>
      <w:pPr>
        <w:ind w:left="720" w:hanging="360"/>
      </w:pPr>
      <w:rPr>
        <w:rFonts w:ascii="Symbol" w:hAnsi="Symbol" w:hint="default"/>
      </w:rPr>
    </w:lvl>
    <w:lvl w:ilvl="1" w:tplc="81D4250A" w:tentative="1">
      <w:start w:val="1"/>
      <w:numFmt w:val="bullet"/>
      <w:lvlText w:val="o"/>
      <w:lvlJc w:val="left"/>
      <w:pPr>
        <w:ind w:left="1440" w:hanging="360"/>
      </w:pPr>
      <w:rPr>
        <w:rFonts w:ascii="Courier New" w:hAnsi="Courier New" w:cs="Courier New" w:hint="default"/>
      </w:rPr>
    </w:lvl>
    <w:lvl w:ilvl="2" w:tplc="7032C8CA" w:tentative="1">
      <w:start w:val="1"/>
      <w:numFmt w:val="bullet"/>
      <w:lvlText w:val=""/>
      <w:lvlJc w:val="left"/>
      <w:pPr>
        <w:ind w:left="2160" w:hanging="360"/>
      </w:pPr>
      <w:rPr>
        <w:rFonts w:ascii="Wingdings" w:hAnsi="Wingdings" w:hint="default"/>
      </w:rPr>
    </w:lvl>
    <w:lvl w:ilvl="3" w:tplc="6BCA9C0A" w:tentative="1">
      <w:start w:val="1"/>
      <w:numFmt w:val="bullet"/>
      <w:lvlText w:val=""/>
      <w:lvlJc w:val="left"/>
      <w:pPr>
        <w:ind w:left="2880" w:hanging="360"/>
      </w:pPr>
      <w:rPr>
        <w:rFonts w:ascii="Symbol" w:hAnsi="Symbol" w:hint="default"/>
      </w:rPr>
    </w:lvl>
    <w:lvl w:ilvl="4" w:tplc="A8CE7806" w:tentative="1">
      <w:start w:val="1"/>
      <w:numFmt w:val="bullet"/>
      <w:lvlText w:val="o"/>
      <w:lvlJc w:val="left"/>
      <w:pPr>
        <w:ind w:left="3600" w:hanging="360"/>
      </w:pPr>
      <w:rPr>
        <w:rFonts w:ascii="Courier New" w:hAnsi="Courier New" w:cs="Courier New" w:hint="default"/>
      </w:rPr>
    </w:lvl>
    <w:lvl w:ilvl="5" w:tplc="F25EAFFA" w:tentative="1">
      <w:start w:val="1"/>
      <w:numFmt w:val="bullet"/>
      <w:lvlText w:val=""/>
      <w:lvlJc w:val="left"/>
      <w:pPr>
        <w:ind w:left="4320" w:hanging="360"/>
      </w:pPr>
      <w:rPr>
        <w:rFonts w:ascii="Wingdings" w:hAnsi="Wingdings" w:hint="default"/>
      </w:rPr>
    </w:lvl>
    <w:lvl w:ilvl="6" w:tplc="7A9653F0" w:tentative="1">
      <w:start w:val="1"/>
      <w:numFmt w:val="bullet"/>
      <w:lvlText w:val=""/>
      <w:lvlJc w:val="left"/>
      <w:pPr>
        <w:ind w:left="5040" w:hanging="360"/>
      </w:pPr>
      <w:rPr>
        <w:rFonts w:ascii="Symbol" w:hAnsi="Symbol" w:hint="default"/>
      </w:rPr>
    </w:lvl>
    <w:lvl w:ilvl="7" w:tplc="B6CC2FC0" w:tentative="1">
      <w:start w:val="1"/>
      <w:numFmt w:val="bullet"/>
      <w:lvlText w:val="o"/>
      <w:lvlJc w:val="left"/>
      <w:pPr>
        <w:ind w:left="5760" w:hanging="360"/>
      </w:pPr>
      <w:rPr>
        <w:rFonts w:ascii="Courier New" w:hAnsi="Courier New" w:cs="Courier New" w:hint="default"/>
      </w:rPr>
    </w:lvl>
    <w:lvl w:ilvl="8" w:tplc="3F74CFAA" w:tentative="1">
      <w:start w:val="1"/>
      <w:numFmt w:val="bullet"/>
      <w:lvlText w:val=""/>
      <w:lvlJc w:val="left"/>
      <w:pPr>
        <w:ind w:left="6480" w:hanging="360"/>
      </w:pPr>
      <w:rPr>
        <w:rFonts w:ascii="Wingdings" w:hAnsi="Wingdings" w:hint="default"/>
      </w:rPr>
    </w:lvl>
  </w:abstractNum>
  <w:abstractNum w:abstractNumId="5" w15:restartNumberingAfterBreak="0">
    <w:nsid w:val="1D6E4624"/>
    <w:multiLevelType w:val="multilevel"/>
    <w:tmpl w:val="438006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7965176"/>
    <w:multiLevelType w:val="multilevel"/>
    <w:tmpl w:val="E3722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C671407"/>
    <w:multiLevelType w:val="hybridMultilevel"/>
    <w:tmpl w:val="274E4772"/>
    <w:lvl w:ilvl="0" w:tplc="01789FA2">
      <w:start w:val="1"/>
      <w:numFmt w:val="decimal"/>
      <w:lvlText w:val="%1."/>
      <w:lvlJc w:val="left"/>
      <w:pPr>
        <w:ind w:left="720" w:hanging="360"/>
      </w:pPr>
    </w:lvl>
    <w:lvl w:ilvl="1" w:tplc="B6F8D2C8" w:tentative="1">
      <w:start w:val="1"/>
      <w:numFmt w:val="lowerLetter"/>
      <w:lvlText w:val="%2."/>
      <w:lvlJc w:val="left"/>
      <w:pPr>
        <w:ind w:left="1440" w:hanging="360"/>
      </w:pPr>
    </w:lvl>
    <w:lvl w:ilvl="2" w:tplc="D4369AEC" w:tentative="1">
      <w:start w:val="1"/>
      <w:numFmt w:val="lowerRoman"/>
      <w:lvlText w:val="%3."/>
      <w:lvlJc w:val="right"/>
      <w:pPr>
        <w:ind w:left="2160" w:hanging="180"/>
      </w:pPr>
    </w:lvl>
    <w:lvl w:ilvl="3" w:tplc="C644A836" w:tentative="1">
      <w:start w:val="1"/>
      <w:numFmt w:val="decimal"/>
      <w:lvlText w:val="%4."/>
      <w:lvlJc w:val="left"/>
      <w:pPr>
        <w:ind w:left="2880" w:hanging="360"/>
      </w:pPr>
    </w:lvl>
    <w:lvl w:ilvl="4" w:tplc="CEC87130" w:tentative="1">
      <w:start w:val="1"/>
      <w:numFmt w:val="lowerLetter"/>
      <w:lvlText w:val="%5."/>
      <w:lvlJc w:val="left"/>
      <w:pPr>
        <w:ind w:left="3600" w:hanging="360"/>
      </w:pPr>
    </w:lvl>
    <w:lvl w:ilvl="5" w:tplc="C32E786C" w:tentative="1">
      <w:start w:val="1"/>
      <w:numFmt w:val="lowerRoman"/>
      <w:lvlText w:val="%6."/>
      <w:lvlJc w:val="right"/>
      <w:pPr>
        <w:ind w:left="4320" w:hanging="180"/>
      </w:pPr>
    </w:lvl>
    <w:lvl w:ilvl="6" w:tplc="64326076" w:tentative="1">
      <w:start w:val="1"/>
      <w:numFmt w:val="decimal"/>
      <w:lvlText w:val="%7."/>
      <w:lvlJc w:val="left"/>
      <w:pPr>
        <w:ind w:left="5040" w:hanging="360"/>
      </w:pPr>
    </w:lvl>
    <w:lvl w:ilvl="7" w:tplc="EF1EF3AA" w:tentative="1">
      <w:start w:val="1"/>
      <w:numFmt w:val="lowerLetter"/>
      <w:lvlText w:val="%8."/>
      <w:lvlJc w:val="left"/>
      <w:pPr>
        <w:ind w:left="5760" w:hanging="360"/>
      </w:pPr>
    </w:lvl>
    <w:lvl w:ilvl="8" w:tplc="6F62958E" w:tentative="1">
      <w:start w:val="1"/>
      <w:numFmt w:val="lowerRoman"/>
      <w:lvlText w:val="%9."/>
      <w:lvlJc w:val="right"/>
      <w:pPr>
        <w:ind w:left="6480" w:hanging="180"/>
      </w:pPr>
    </w:lvl>
  </w:abstractNum>
  <w:abstractNum w:abstractNumId="8" w15:restartNumberingAfterBreak="0">
    <w:nsid w:val="5CF20894"/>
    <w:multiLevelType w:val="multilevel"/>
    <w:tmpl w:val="AF781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8D454AB"/>
    <w:multiLevelType w:val="multilevel"/>
    <w:tmpl w:val="CAEEB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EE84CA0"/>
    <w:multiLevelType w:val="multilevel"/>
    <w:tmpl w:val="BC3CC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FD268B1"/>
    <w:multiLevelType w:val="multilevel"/>
    <w:tmpl w:val="528C4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33505704">
    <w:abstractNumId w:val="0"/>
  </w:num>
  <w:num w:numId="2" w16cid:durableId="312494131">
    <w:abstractNumId w:val="4"/>
  </w:num>
  <w:num w:numId="3" w16cid:durableId="755906738">
    <w:abstractNumId w:val="7"/>
  </w:num>
  <w:num w:numId="4" w16cid:durableId="408503215">
    <w:abstractNumId w:val="6"/>
  </w:num>
  <w:num w:numId="5" w16cid:durableId="1763144160">
    <w:abstractNumId w:val="10"/>
  </w:num>
  <w:num w:numId="6" w16cid:durableId="81340754">
    <w:abstractNumId w:val="8"/>
  </w:num>
  <w:num w:numId="7" w16cid:durableId="288048091">
    <w:abstractNumId w:val="1"/>
  </w:num>
  <w:num w:numId="8" w16cid:durableId="1029722267">
    <w:abstractNumId w:val="11"/>
  </w:num>
  <w:num w:numId="9" w16cid:durableId="34504322">
    <w:abstractNumId w:val="3"/>
  </w:num>
  <w:num w:numId="10" w16cid:durableId="1542589478">
    <w:abstractNumId w:val="9"/>
  </w:num>
  <w:num w:numId="11" w16cid:durableId="1738361704">
    <w:abstractNumId w:val="2"/>
  </w:num>
  <w:num w:numId="12" w16cid:durableId="72707557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1F89"/>
    <w:rsid w:val="00001AA3"/>
    <w:rsid w:val="000023DB"/>
    <w:rsid w:val="00013552"/>
    <w:rsid w:val="00013E29"/>
    <w:rsid w:val="00015D14"/>
    <w:rsid w:val="00016AAD"/>
    <w:rsid w:val="00017183"/>
    <w:rsid w:val="00022609"/>
    <w:rsid w:val="0002346E"/>
    <w:rsid w:val="00031A05"/>
    <w:rsid w:val="00034E85"/>
    <w:rsid w:val="000356D0"/>
    <w:rsid w:val="000403DC"/>
    <w:rsid w:val="00040DA7"/>
    <w:rsid w:val="00043794"/>
    <w:rsid w:val="00046939"/>
    <w:rsid w:val="000528D5"/>
    <w:rsid w:val="00054760"/>
    <w:rsid w:val="00054ECA"/>
    <w:rsid w:val="00063C46"/>
    <w:rsid w:val="0006684D"/>
    <w:rsid w:val="00070305"/>
    <w:rsid w:val="000719CC"/>
    <w:rsid w:val="00071AF1"/>
    <w:rsid w:val="00071CEB"/>
    <w:rsid w:val="000723F6"/>
    <w:rsid w:val="00072C59"/>
    <w:rsid w:val="00074A6F"/>
    <w:rsid w:val="0008149D"/>
    <w:rsid w:val="00083ACA"/>
    <w:rsid w:val="000841AB"/>
    <w:rsid w:val="00085F98"/>
    <w:rsid w:val="00087EBA"/>
    <w:rsid w:val="00093C6D"/>
    <w:rsid w:val="000947FA"/>
    <w:rsid w:val="000971EE"/>
    <w:rsid w:val="000A18E5"/>
    <w:rsid w:val="000A31C2"/>
    <w:rsid w:val="000A7319"/>
    <w:rsid w:val="000A7B62"/>
    <w:rsid w:val="000B2B02"/>
    <w:rsid w:val="000C1453"/>
    <w:rsid w:val="000C2BEF"/>
    <w:rsid w:val="000C753D"/>
    <w:rsid w:val="000D56EF"/>
    <w:rsid w:val="000D64A3"/>
    <w:rsid w:val="000D6FFD"/>
    <w:rsid w:val="000D79C6"/>
    <w:rsid w:val="000E3CD9"/>
    <w:rsid w:val="000E4057"/>
    <w:rsid w:val="000E4587"/>
    <w:rsid w:val="000E4CD7"/>
    <w:rsid w:val="000F0C31"/>
    <w:rsid w:val="00100C3E"/>
    <w:rsid w:val="00102444"/>
    <w:rsid w:val="00104C71"/>
    <w:rsid w:val="00107498"/>
    <w:rsid w:val="0011001D"/>
    <w:rsid w:val="00110A2A"/>
    <w:rsid w:val="001159CC"/>
    <w:rsid w:val="00116846"/>
    <w:rsid w:val="00117EDD"/>
    <w:rsid w:val="00124993"/>
    <w:rsid w:val="0013372E"/>
    <w:rsid w:val="00135F59"/>
    <w:rsid w:val="0013646B"/>
    <w:rsid w:val="0013730C"/>
    <w:rsid w:val="00144F69"/>
    <w:rsid w:val="00145914"/>
    <w:rsid w:val="00145C7E"/>
    <w:rsid w:val="00147447"/>
    <w:rsid w:val="00151939"/>
    <w:rsid w:val="00156015"/>
    <w:rsid w:val="001574FE"/>
    <w:rsid w:val="00160724"/>
    <w:rsid w:val="00162CAD"/>
    <w:rsid w:val="00167E4A"/>
    <w:rsid w:val="001732CE"/>
    <w:rsid w:val="001817CB"/>
    <w:rsid w:val="00181EAF"/>
    <w:rsid w:val="0018235D"/>
    <w:rsid w:val="0018545A"/>
    <w:rsid w:val="001863CD"/>
    <w:rsid w:val="0018699C"/>
    <w:rsid w:val="001869A1"/>
    <w:rsid w:val="00191971"/>
    <w:rsid w:val="00192198"/>
    <w:rsid w:val="0019265C"/>
    <w:rsid w:val="00192B0D"/>
    <w:rsid w:val="0019599E"/>
    <w:rsid w:val="001A084B"/>
    <w:rsid w:val="001A3032"/>
    <w:rsid w:val="001A477B"/>
    <w:rsid w:val="001B0942"/>
    <w:rsid w:val="001B470A"/>
    <w:rsid w:val="001B7EF9"/>
    <w:rsid w:val="001C159B"/>
    <w:rsid w:val="001C1A44"/>
    <w:rsid w:val="001C1B3D"/>
    <w:rsid w:val="001C41AA"/>
    <w:rsid w:val="001D3020"/>
    <w:rsid w:val="001D303E"/>
    <w:rsid w:val="001D35DC"/>
    <w:rsid w:val="001D38A6"/>
    <w:rsid w:val="001D7C27"/>
    <w:rsid w:val="001E79FE"/>
    <w:rsid w:val="001F32F0"/>
    <w:rsid w:val="00205FBC"/>
    <w:rsid w:val="002114EC"/>
    <w:rsid w:val="0022050C"/>
    <w:rsid w:val="00230948"/>
    <w:rsid w:val="00234F2B"/>
    <w:rsid w:val="00241A85"/>
    <w:rsid w:val="00250307"/>
    <w:rsid w:val="00250BAF"/>
    <w:rsid w:val="00252279"/>
    <w:rsid w:val="00252656"/>
    <w:rsid w:val="00255677"/>
    <w:rsid w:val="00256E5C"/>
    <w:rsid w:val="00257C58"/>
    <w:rsid w:val="00263B0B"/>
    <w:rsid w:val="0027560D"/>
    <w:rsid w:val="00280C03"/>
    <w:rsid w:val="00284601"/>
    <w:rsid w:val="00287DEB"/>
    <w:rsid w:val="002924D2"/>
    <w:rsid w:val="002A1A2B"/>
    <w:rsid w:val="002A41D7"/>
    <w:rsid w:val="002C7659"/>
    <w:rsid w:val="002D0C21"/>
    <w:rsid w:val="002D45C2"/>
    <w:rsid w:val="002D4E24"/>
    <w:rsid w:val="002D5AB1"/>
    <w:rsid w:val="002E0026"/>
    <w:rsid w:val="002E7FAA"/>
    <w:rsid w:val="002F31F6"/>
    <w:rsid w:val="002F358B"/>
    <w:rsid w:val="00300330"/>
    <w:rsid w:val="00307E34"/>
    <w:rsid w:val="00312A43"/>
    <w:rsid w:val="00312DE5"/>
    <w:rsid w:val="00314448"/>
    <w:rsid w:val="0031795F"/>
    <w:rsid w:val="00324369"/>
    <w:rsid w:val="00324C80"/>
    <w:rsid w:val="003310E3"/>
    <w:rsid w:val="00342C7E"/>
    <w:rsid w:val="003457F1"/>
    <w:rsid w:val="00350909"/>
    <w:rsid w:val="00351734"/>
    <w:rsid w:val="003543B3"/>
    <w:rsid w:val="00354E9B"/>
    <w:rsid w:val="00355F43"/>
    <w:rsid w:val="003674F5"/>
    <w:rsid w:val="00370324"/>
    <w:rsid w:val="003713D8"/>
    <w:rsid w:val="00381AFE"/>
    <w:rsid w:val="00386FF6"/>
    <w:rsid w:val="00387856"/>
    <w:rsid w:val="00392165"/>
    <w:rsid w:val="0039327E"/>
    <w:rsid w:val="00394EDE"/>
    <w:rsid w:val="00395DC5"/>
    <w:rsid w:val="003966CB"/>
    <w:rsid w:val="00397A12"/>
    <w:rsid w:val="003A26EF"/>
    <w:rsid w:val="003A3015"/>
    <w:rsid w:val="003B09E7"/>
    <w:rsid w:val="003B2E32"/>
    <w:rsid w:val="003B6220"/>
    <w:rsid w:val="003B6268"/>
    <w:rsid w:val="003B6D98"/>
    <w:rsid w:val="003C067E"/>
    <w:rsid w:val="003D270E"/>
    <w:rsid w:val="003D2D1C"/>
    <w:rsid w:val="003D3815"/>
    <w:rsid w:val="003D46CA"/>
    <w:rsid w:val="003F0F03"/>
    <w:rsid w:val="003F1E6B"/>
    <w:rsid w:val="003F2565"/>
    <w:rsid w:val="003F2886"/>
    <w:rsid w:val="003F3465"/>
    <w:rsid w:val="00401501"/>
    <w:rsid w:val="0040269D"/>
    <w:rsid w:val="00402B76"/>
    <w:rsid w:val="00404491"/>
    <w:rsid w:val="004051C9"/>
    <w:rsid w:val="0040724C"/>
    <w:rsid w:val="00407E47"/>
    <w:rsid w:val="00412D5A"/>
    <w:rsid w:val="00413461"/>
    <w:rsid w:val="004210EE"/>
    <w:rsid w:val="00421F49"/>
    <w:rsid w:val="00440CA7"/>
    <w:rsid w:val="00440D8C"/>
    <w:rsid w:val="00454DC2"/>
    <w:rsid w:val="00456208"/>
    <w:rsid w:val="004568AE"/>
    <w:rsid w:val="00456F79"/>
    <w:rsid w:val="004574B7"/>
    <w:rsid w:val="00463A29"/>
    <w:rsid w:val="0046442B"/>
    <w:rsid w:val="00466B61"/>
    <w:rsid w:val="00466B91"/>
    <w:rsid w:val="00471C83"/>
    <w:rsid w:val="00473131"/>
    <w:rsid w:val="004768E0"/>
    <w:rsid w:val="00481994"/>
    <w:rsid w:val="00486402"/>
    <w:rsid w:val="00487C5B"/>
    <w:rsid w:val="004922BE"/>
    <w:rsid w:val="00492559"/>
    <w:rsid w:val="004941EE"/>
    <w:rsid w:val="004944E9"/>
    <w:rsid w:val="004959F3"/>
    <w:rsid w:val="0049655F"/>
    <w:rsid w:val="00496A07"/>
    <w:rsid w:val="004A02E4"/>
    <w:rsid w:val="004A351B"/>
    <w:rsid w:val="004B0727"/>
    <w:rsid w:val="004B1815"/>
    <w:rsid w:val="004B2563"/>
    <w:rsid w:val="004C085F"/>
    <w:rsid w:val="004C0D17"/>
    <w:rsid w:val="004C30B1"/>
    <w:rsid w:val="004C5212"/>
    <w:rsid w:val="004D1F75"/>
    <w:rsid w:val="004D3F2E"/>
    <w:rsid w:val="004D3F3C"/>
    <w:rsid w:val="004E2749"/>
    <w:rsid w:val="004F5D27"/>
    <w:rsid w:val="004F7266"/>
    <w:rsid w:val="00501619"/>
    <w:rsid w:val="005106A1"/>
    <w:rsid w:val="00514CA6"/>
    <w:rsid w:val="00514FA4"/>
    <w:rsid w:val="00521BE3"/>
    <w:rsid w:val="00522B6F"/>
    <w:rsid w:val="005236E9"/>
    <w:rsid w:val="00524A06"/>
    <w:rsid w:val="00525AC8"/>
    <w:rsid w:val="00526250"/>
    <w:rsid w:val="005310E1"/>
    <w:rsid w:val="00532E4D"/>
    <w:rsid w:val="0054023C"/>
    <w:rsid w:val="005402A6"/>
    <w:rsid w:val="005408F0"/>
    <w:rsid w:val="00540FF6"/>
    <w:rsid w:val="00545ACA"/>
    <w:rsid w:val="0054743B"/>
    <w:rsid w:val="005475A8"/>
    <w:rsid w:val="005563FE"/>
    <w:rsid w:val="00561495"/>
    <w:rsid w:val="00571888"/>
    <w:rsid w:val="00572BED"/>
    <w:rsid w:val="0058160C"/>
    <w:rsid w:val="00583D6F"/>
    <w:rsid w:val="00585D35"/>
    <w:rsid w:val="00585E8C"/>
    <w:rsid w:val="00595039"/>
    <w:rsid w:val="005A0FCA"/>
    <w:rsid w:val="005A6D79"/>
    <w:rsid w:val="005B2755"/>
    <w:rsid w:val="005B2A8C"/>
    <w:rsid w:val="005B44F6"/>
    <w:rsid w:val="005B61EA"/>
    <w:rsid w:val="005C0391"/>
    <w:rsid w:val="005C046B"/>
    <w:rsid w:val="005C1D9B"/>
    <w:rsid w:val="005D213C"/>
    <w:rsid w:val="005D6F6E"/>
    <w:rsid w:val="005D714D"/>
    <w:rsid w:val="005E1D3B"/>
    <w:rsid w:val="005E38BA"/>
    <w:rsid w:val="005F1FBF"/>
    <w:rsid w:val="005F3454"/>
    <w:rsid w:val="005F5EA6"/>
    <w:rsid w:val="005F6C31"/>
    <w:rsid w:val="0060119E"/>
    <w:rsid w:val="006041C1"/>
    <w:rsid w:val="0060528A"/>
    <w:rsid w:val="00606C12"/>
    <w:rsid w:val="00613C08"/>
    <w:rsid w:val="00622D5E"/>
    <w:rsid w:val="006279A0"/>
    <w:rsid w:val="00632FB5"/>
    <w:rsid w:val="0063394B"/>
    <w:rsid w:val="00643777"/>
    <w:rsid w:val="006468C0"/>
    <w:rsid w:val="006475B8"/>
    <w:rsid w:val="00650C3E"/>
    <w:rsid w:val="00653F6B"/>
    <w:rsid w:val="00654299"/>
    <w:rsid w:val="0065581E"/>
    <w:rsid w:val="0065776A"/>
    <w:rsid w:val="00674D3F"/>
    <w:rsid w:val="006826A8"/>
    <w:rsid w:val="00684077"/>
    <w:rsid w:val="0068769C"/>
    <w:rsid w:val="00691918"/>
    <w:rsid w:val="00693C5D"/>
    <w:rsid w:val="00693E19"/>
    <w:rsid w:val="006A3C3F"/>
    <w:rsid w:val="006A5792"/>
    <w:rsid w:val="006A7AE1"/>
    <w:rsid w:val="006B08D9"/>
    <w:rsid w:val="006B4449"/>
    <w:rsid w:val="006B5054"/>
    <w:rsid w:val="006C2EF2"/>
    <w:rsid w:val="006D7B67"/>
    <w:rsid w:val="006D7BF8"/>
    <w:rsid w:val="006E35AD"/>
    <w:rsid w:val="006E4C6E"/>
    <w:rsid w:val="006E51DF"/>
    <w:rsid w:val="006E57ED"/>
    <w:rsid w:val="006E6917"/>
    <w:rsid w:val="006E7863"/>
    <w:rsid w:val="006E7D34"/>
    <w:rsid w:val="006F2E21"/>
    <w:rsid w:val="006F5378"/>
    <w:rsid w:val="006F789B"/>
    <w:rsid w:val="007029F9"/>
    <w:rsid w:val="00710003"/>
    <w:rsid w:val="007113AE"/>
    <w:rsid w:val="007124AB"/>
    <w:rsid w:val="00713C96"/>
    <w:rsid w:val="007141B6"/>
    <w:rsid w:val="00714397"/>
    <w:rsid w:val="00715B17"/>
    <w:rsid w:val="007167F5"/>
    <w:rsid w:val="00730027"/>
    <w:rsid w:val="0073232A"/>
    <w:rsid w:val="00740D6C"/>
    <w:rsid w:val="00742BA4"/>
    <w:rsid w:val="00745758"/>
    <w:rsid w:val="0075127F"/>
    <w:rsid w:val="007521CF"/>
    <w:rsid w:val="00752FB2"/>
    <w:rsid w:val="00764CA1"/>
    <w:rsid w:val="00775211"/>
    <w:rsid w:val="00782DCD"/>
    <w:rsid w:val="007862B0"/>
    <w:rsid w:val="007910FF"/>
    <w:rsid w:val="00791442"/>
    <w:rsid w:val="00795DFD"/>
    <w:rsid w:val="007978B8"/>
    <w:rsid w:val="007A3A32"/>
    <w:rsid w:val="007B21A0"/>
    <w:rsid w:val="007B3331"/>
    <w:rsid w:val="007B3780"/>
    <w:rsid w:val="007B3AC9"/>
    <w:rsid w:val="007B488E"/>
    <w:rsid w:val="007B789B"/>
    <w:rsid w:val="007C1D00"/>
    <w:rsid w:val="007C50CB"/>
    <w:rsid w:val="007C5313"/>
    <w:rsid w:val="007D5D6F"/>
    <w:rsid w:val="007E0559"/>
    <w:rsid w:val="007E07BB"/>
    <w:rsid w:val="007E74A7"/>
    <w:rsid w:val="007F4CE6"/>
    <w:rsid w:val="007F4FF5"/>
    <w:rsid w:val="007F54F4"/>
    <w:rsid w:val="007F7566"/>
    <w:rsid w:val="008006A9"/>
    <w:rsid w:val="008032A6"/>
    <w:rsid w:val="0081420B"/>
    <w:rsid w:val="00816207"/>
    <w:rsid w:val="008169FC"/>
    <w:rsid w:val="00821800"/>
    <w:rsid w:val="00823052"/>
    <w:rsid w:val="00823AE0"/>
    <w:rsid w:val="0082581C"/>
    <w:rsid w:val="008260E8"/>
    <w:rsid w:val="00831243"/>
    <w:rsid w:val="00832C2D"/>
    <w:rsid w:val="0083690B"/>
    <w:rsid w:val="00840E87"/>
    <w:rsid w:val="00843E71"/>
    <w:rsid w:val="00851748"/>
    <w:rsid w:val="00853131"/>
    <w:rsid w:val="00854362"/>
    <w:rsid w:val="00854AF9"/>
    <w:rsid w:val="00862C56"/>
    <w:rsid w:val="008709B0"/>
    <w:rsid w:val="008718F9"/>
    <w:rsid w:val="00875E1C"/>
    <w:rsid w:val="00877071"/>
    <w:rsid w:val="0088274F"/>
    <w:rsid w:val="00885EC6"/>
    <w:rsid w:val="00886680"/>
    <w:rsid w:val="008945FB"/>
    <w:rsid w:val="008A118E"/>
    <w:rsid w:val="008A7356"/>
    <w:rsid w:val="008B1171"/>
    <w:rsid w:val="008B3E1A"/>
    <w:rsid w:val="008C0A6A"/>
    <w:rsid w:val="008C4F66"/>
    <w:rsid w:val="008C6732"/>
    <w:rsid w:val="008D1A84"/>
    <w:rsid w:val="008D27B5"/>
    <w:rsid w:val="008D404B"/>
    <w:rsid w:val="008E4856"/>
    <w:rsid w:val="008E67C5"/>
    <w:rsid w:val="008E78C9"/>
    <w:rsid w:val="008F35F4"/>
    <w:rsid w:val="008F57A5"/>
    <w:rsid w:val="00902027"/>
    <w:rsid w:val="00911FE6"/>
    <w:rsid w:val="0091483F"/>
    <w:rsid w:val="0091704F"/>
    <w:rsid w:val="00920A15"/>
    <w:rsid w:val="00921602"/>
    <w:rsid w:val="0092632C"/>
    <w:rsid w:val="009263EB"/>
    <w:rsid w:val="00927825"/>
    <w:rsid w:val="00930600"/>
    <w:rsid w:val="0093113B"/>
    <w:rsid w:val="0093149C"/>
    <w:rsid w:val="00933380"/>
    <w:rsid w:val="00935075"/>
    <w:rsid w:val="00937C07"/>
    <w:rsid w:val="00937C4B"/>
    <w:rsid w:val="00943D2F"/>
    <w:rsid w:val="0094411A"/>
    <w:rsid w:val="009445F1"/>
    <w:rsid w:val="00953282"/>
    <w:rsid w:val="00955871"/>
    <w:rsid w:val="00963066"/>
    <w:rsid w:val="00970529"/>
    <w:rsid w:val="00971833"/>
    <w:rsid w:val="009721F0"/>
    <w:rsid w:val="00972D4A"/>
    <w:rsid w:val="0097351F"/>
    <w:rsid w:val="0098209F"/>
    <w:rsid w:val="00983947"/>
    <w:rsid w:val="00987D0C"/>
    <w:rsid w:val="00991F89"/>
    <w:rsid w:val="00992FCC"/>
    <w:rsid w:val="0099341C"/>
    <w:rsid w:val="00993733"/>
    <w:rsid w:val="00993DE1"/>
    <w:rsid w:val="00994FB8"/>
    <w:rsid w:val="009953C5"/>
    <w:rsid w:val="00996042"/>
    <w:rsid w:val="009A325F"/>
    <w:rsid w:val="009A33F3"/>
    <w:rsid w:val="009A37BB"/>
    <w:rsid w:val="009A4EAD"/>
    <w:rsid w:val="009A5B17"/>
    <w:rsid w:val="009A5C18"/>
    <w:rsid w:val="009A5F09"/>
    <w:rsid w:val="009A6100"/>
    <w:rsid w:val="009B1634"/>
    <w:rsid w:val="009B1F1B"/>
    <w:rsid w:val="009B4AD5"/>
    <w:rsid w:val="009B6724"/>
    <w:rsid w:val="009C60F1"/>
    <w:rsid w:val="009D0008"/>
    <w:rsid w:val="009D2580"/>
    <w:rsid w:val="009D5CD5"/>
    <w:rsid w:val="009E75DA"/>
    <w:rsid w:val="009F2098"/>
    <w:rsid w:val="009F3825"/>
    <w:rsid w:val="009F3C41"/>
    <w:rsid w:val="009F4502"/>
    <w:rsid w:val="009F4939"/>
    <w:rsid w:val="009F6BDF"/>
    <w:rsid w:val="00A00B92"/>
    <w:rsid w:val="00A030FF"/>
    <w:rsid w:val="00A05A71"/>
    <w:rsid w:val="00A0768B"/>
    <w:rsid w:val="00A105DC"/>
    <w:rsid w:val="00A10A0D"/>
    <w:rsid w:val="00A114B3"/>
    <w:rsid w:val="00A130D8"/>
    <w:rsid w:val="00A20182"/>
    <w:rsid w:val="00A2323B"/>
    <w:rsid w:val="00A315E4"/>
    <w:rsid w:val="00A37160"/>
    <w:rsid w:val="00A37938"/>
    <w:rsid w:val="00A463FE"/>
    <w:rsid w:val="00A478DB"/>
    <w:rsid w:val="00A53B7D"/>
    <w:rsid w:val="00A53E0A"/>
    <w:rsid w:val="00A56384"/>
    <w:rsid w:val="00A57099"/>
    <w:rsid w:val="00A610B5"/>
    <w:rsid w:val="00A623DB"/>
    <w:rsid w:val="00A67CE4"/>
    <w:rsid w:val="00A723F4"/>
    <w:rsid w:val="00A731A5"/>
    <w:rsid w:val="00A731B5"/>
    <w:rsid w:val="00A74605"/>
    <w:rsid w:val="00A81F67"/>
    <w:rsid w:val="00A85BE5"/>
    <w:rsid w:val="00A8745B"/>
    <w:rsid w:val="00A87576"/>
    <w:rsid w:val="00A87622"/>
    <w:rsid w:val="00A94AE9"/>
    <w:rsid w:val="00A96C54"/>
    <w:rsid w:val="00AA23BE"/>
    <w:rsid w:val="00AA35E4"/>
    <w:rsid w:val="00AB072A"/>
    <w:rsid w:val="00AB156D"/>
    <w:rsid w:val="00AB4980"/>
    <w:rsid w:val="00AB525F"/>
    <w:rsid w:val="00AC0C19"/>
    <w:rsid w:val="00AD09A5"/>
    <w:rsid w:val="00AD1059"/>
    <w:rsid w:val="00AD3547"/>
    <w:rsid w:val="00AD4684"/>
    <w:rsid w:val="00AD5B39"/>
    <w:rsid w:val="00AE33F3"/>
    <w:rsid w:val="00AF01F3"/>
    <w:rsid w:val="00AF1065"/>
    <w:rsid w:val="00AF259F"/>
    <w:rsid w:val="00AF7238"/>
    <w:rsid w:val="00AF7FC7"/>
    <w:rsid w:val="00B0078D"/>
    <w:rsid w:val="00B04C1E"/>
    <w:rsid w:val="00B04C54"/>
    <w:rsid w:val="00B066B9"/>
    <w:rsid w:val="00B069B9"/>
    <w:rsid w:val="00B12550"/>
    <w:rsid w:val="00B204D0"/>
    <w:rsid w:val="00B214DE"/>
    <w:rsid w:val="00B22121"/>
    <w:rsid w:val="00B32685"/>
    <w:rsid w:val="00B3794A"/>
    <w:rsid w:val="00B44CA7"/>
    <w:rsid w:val="00B45FD2"/>
    <w:rsid w:val="00B46594"/>
    <w:rsid w:val="00B47BEB"/>
    <w:rsid w:val="00B55170"/>
    <w:rsid w:val="00B572F0"/>
    <w:rsid w:val="00B626CE"/>
    <w:rsid w:val="00B63D43"/>
    <w:rsid w:val="00B64EA7"/>
    <w:rsid w:val="00B67EED"/>
    <w:rsid w:val="00B745AC"/>
    <w:rsid w:val="00B8048D"/>
    <w:rsid w:val="00B83D0E"/>
    <w:rsid w:val="00BA4BE3"/>
    <w:rsid w:val="00BA5040"/>
    <w:rsid w:val="00BB1F3F"/>
    <w:rsid w:val="00BB7F9F"/>
    <w:rsid w:val="00BC5839"/>
    <w:rsid w:val="00BC6237"/>
    <w:rsid w:val="00BD05F1"/>
    <w:rsid w:val="00BD2D6B"/>
    <w:rsid w:val="00BE061A"/>
    <w:rsid w:val="00BE17CB"/>
    <w:rsid w:val="00BE1926"/>
    <w:rsid w:val="00BE4175"/>
    <w:rsid w:val="00BE5A92"/>
    <w:rsid w:val="00BF3194"/>
    <w:rsid w:val="00BF3D91"/>
    <w:rsid w:val="00BF3DB3"/>
    <w:rsid w:val="00BF4C02"/>
    <w:rsid w:val="00BF6947"/>
    <w:rsid w:val="00BF6D49"/>
    <w:rsid w:val="00C0052C"/>
    <w:rsid w:val="00C00C49"/>
    <w:rsid w:val="00C01482"/>
    <w:rsid w:val="00C019D3"/>
    <w:rsid w:val="00C06D8E"/>
    <w:rsid w:val="00C06EBC"/>
    <w:rsid w:val="00C07098"/>
    <w:rsid w:val="00C07F65"/>
    <w:rsid w:val="00C103AA"/>
    <w:rsid w:val="00C11CBF"/>
    <w:rsid w:val="00C23CE5"/>
    <w:rsid w:val="00C326C5"/>
    <w:rsid w:val="00C33318"/>
    <w:rsid w:val="00C33DDF"/>
    <w:rsid w:val="00C404C2"/>
    <w:rsid w:val="00C40DF5"/>
    <w:rsid w:val="00C4185F"/>
    <w:rsid w:val="00C512D5"/>
    <w:rsid w:val="00C579D7"/>
    <w:rsid w:val="00C60C92"/>
    <w:rsid w:val="00C67B6F"/>
    <w:rsid w:val="00C71C6A"/>
    <w:rsid w:val="00C7339D"/>
    <w:rsid w:val="00C733A1"/>
    <w:rsid w:val="00C76260"/>
    <w:rsid w:val="00C809C2"/>
    <w:rsid w:val="00C825C7"/>
    <w:rsid w:val="00C86CDE"/>
    <w:rsid w:val="00C87318"/>
    <w:rsid w:val="00C90342"/>
    <w:rsid w:val="00C91D4B"/>
    <w:rsid w:val="00C9395F"/>
    <w:rsid w:val="00C93A96"/>
    <w:rsid w:val="00C970DB"/>
    <w:rsid w:val="00CA0925"/>
    <w:rsid w:val="00CA10F3"/>
    <w:rsid w:val="00CA4D05"/>
    <w:rsid w:val="00CB0ADA"/>
    <w:rsid w:val="00CC1A90"/>
    <w:rsid w:val="00CC1EA9"/>
    <w:rsid w:val="00CC6206"/>
    <w:rsid w:val="00CC63E8"/>
    <w:rsid w:val="00CD3C49"/>
    <w:rsid w:val="00CD67F3"/>
    <w:rsid w:val="00CD78F6"/>
    <w:rsid w:val="00CD794F"/>
    <w:rsid w:val="00CE149A"/>
    <w:rsid w:val="00CE20FE"/>
    <w:rsid w:val="00CE2997"/>
    <w:rsid w:val="00CE7B87"/>
    <w:rsid w:val="00CF40DB"/>
    <w:rsid w:val="00CF71ED"/>
    <w:rsid w:val="00D10817"/>
    <w:rsid w:val="00D1107E"/>
    <w:rsid w:val="00D150D6"/>
    <w:rsid w:val="00D15CE2"/>
    <w:rsid w:val="00D165ED"/>
    <w:rsid w:val="00D22C76"/>
    <w:rsid w:val="00D33786"/>
    <w:rsid w:val="00D33EED"/>
    <w:rsid w:val="00D35459"/>
    <w:rsid w:val="00D410CC"/>
    <w:rsid w:val="00D4382C"/>
    <w:rsid w:val="00D43A8E"/>
    <w:rsid w:val="00D45C92"/>
    <w:rsid w:val="00D51288"/>
    <w:rsid w:val="00D51FE6"/>
    <w:rsid w:val="00D54225"/>
    <w:rsid w:val="00D658BC"/>
    <w:rsid w:val="00D67BD3"/>
    <w:rsid w:val="00D67D94"/>
    <w:rsid w:val="00D713CE"/>
    <w:rsid w:val="00D72312"/>
    <w:rsid w:val="00D73C75"/>
    <w:rsid w:val="00D76D82"/>
    <w:rsid w:val="00D82749"/>
    <w:rsid w:val="00D82995"/>
    <w:rsid w:val="00D82D7D"/>
    <w:rsid w:val="00D86975"/>
    <w:rsid w:val="00D90215"/>
    <w:rsid w:val="00D91308"/>
    <w:rsid w:val="00D91BA9"/>
    <w:rsid w:val="00D97D6F"/>
    <w:rsid w:val="00DA058C"/>
    <w:rsid w:val="00DB6CEB"/>
    <w:rsid w:val="00DB79AA"/>
    <w:rsid w:val="00DC7B87"/>
    <w:rsid w:val="00DD5E48"/>
    <w:rsid w:val="00DD6690"/>
    <w:rsid w:val="00DD726E"/>
    <w:rsid w:val="00DE1E73"/>
    <w:rsid w:val="00DF21E7"/>
    <w:rsid w:val="00E014CC"/>
    <w:rsid w:val="00E05380"/>
    <w:rsid w:val="00E13095"/>
    <w:rsid w:val="00E13B0A"/>
    <w:rsid w:val="00E13BAC"/>
    <w:rsid w:val="00E16724"/>
    <w:rsid w:val="00E17A2E"/>
    <w:rsid w:val="00E2287A"/>
    <w:rsid w:val="00E30880"/>
    <w:rsid w:val="00E428A3"/>
    <w:rsid w:val="00E47C7D"/>
    <w:rsid w:val="00E5204B"/>
    <w:rsid w:val="00E56D9A"/>
    <w:rsid w:val="00E64767"/>
    <w:rsid w:val="00E6714E"/>
    <w:rsid w:val="00E7014C"/>
    <w:rsid w:val="00E716BF"/>
    <w:rsid w:val="00E723EA"/>
    <w:rsid w:val="00E742DA"/>
    <w:rsid w:val="00E8225B"/>
    <w:rsid w:val="00E87016"/>
    <w:rsid w:val="00E87474"/>
    <w:rsid w:val="00E87E77"/>
    <w:rsid w:val="00E914F9"/>
    <w:rsid w:val="00E91570"/>
    <w:rsid w:val="00E939A8"/>
    <w:rsid w:val="00E93FA0"/>
    <w:rsid w:val="00EA04DD"/>
    <w:rsid w:val="00EA1E5B"/>
    <w:rsid w:val="00EB191A"/>
    <w:rsid w:val="00EB5E21"/>
    <w:rsid w:val="00EB6749"/>
    <w:rsid w:val="00ED3991"/>
    <w:rsid w:val="00ED63A9"/>
    <w:rsid w:val="00EF6D1E"/>
    <w:rsid w:val="00EF6EFF"/>
    <w:rsid w:val="00EF7B52"/>
    <w:rsid w:val="00F01B92"/>
    <w:rsid w:val="00F01CF9"/>
    <w:rsid w:val="00F04923"/>
    <w:rsid w:val="00F1212A"/>
    <w:rsid w:val="00F13978"/>
    <w:rsid w:val="00F150A3"/>
    <w:rsid w:val="00F17510"/>
    <w:rsid w:val="00F307B6"/>
    <w:rsid w:val="00F3278E"/>
    <w:rsid w:val="00F33159"/>
    <w:rsid w:val="00F3521B"/>
    <w:rsid w:val="00F3599C"/>
    <w:rsid w:val="00F36A87"/>
    <w:rsid w:val="00F37A3A"/>
    <w:rsid w:val="00F4028F"/>
    <w:rsid w:val="00F40509"/>
    <w:rsid w:val="00F40BD5"/>
    <w:rsid w:val="00F40D4D"/>
    <w:rsid w:val="00F42366"/>
    <w:rsid w:val="00F42650"/>
    <w:rsid w:val="00F47279"/>
    <w:rsid w:val="00F47358"/>
    <w:rsid w:val="00F47FFB"/>
    <w:rsid w:val="00F5211F"/>
    <w:rsid w:val="00F53F66"/>
    <w:rsid w:val="00F5594A"/>
    <w:rsid w:val="00F62635"/>
    <w:rsid w:val="00F655EE"/>
    <w:rsid w:val="00F66F3F"/>
    <w:rsid w:val="00F720F0"/>
    <w:rsid w:val="00F7643D"/>
    <w:rsid w:val="00F76964"/>
    <w:rsid w:val="00F859EC"/>
    <w:rsid w:val="00F9239F"/>
    <w:rsid w:val="00F92474"/>
    <w:rsid w:val="00F9787E"/>
    <w:rsid w:val="00FA050E"/>
    <w:rsid w:val="00FA0C48"/>
    <w:rsid w:val="00FA55C0"/>
    <w:rsid w:val="00FC2A25"/>
    <w:rsid w:val="00FC32D4"/>
    <w:rsid w:val="00FC46A5"/>
    <w:rsid w:val="00FC501E"/>
    <w:rsid w:val="00FC52DF"/>
    <w:rsid w:val="00FE0D15"/>
    <w:rsid w:val="00FE2C1B"/>
    <w:rsid w:val="00FE5044"/>
    <w:rsid w:val="00FF2380"/>
    <w:rsid w:val="00FF2BCC"/>
    <w:rsid w:val="00FF57F5"/>
    <w:rsid w:val="00FF74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60C50"/>
  <w15:chartTrackingRefBased/>
  <w15:docId w15:val="{79099797-2882-46FF-A135-79B0BFD16C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29F9"/>
    <w:pPr>
      <w:spacing w:line="276" w:lineRule="auto"/>
    </w:pPr>
    <w:rPr>
      <w:rFonts w:ascii="Times New Roman" w:hAnsi="Times New Roman"/>
      <w:sz w:val="24"/>
      <w:lang w:val="en-GB"/>
    </w:rPr>
  </w:style>
  <w:style w:type="paragraph" w:styleId="Heading1">
    <w:name w:val="heading 1"/>
    <w:basedOn w:val="Normal"/>
    <w:next w:val="Normal"/>
    <w:link w:val="Heading1Char"/>
    <w:uiPriority w:val="9"/>
    <w:qFormat/>
    <w:rsid w:val="00991F89"/>
    <w:pPr>
      <w:keepNext/>
      <w:keepLines/>
      <w:spacing w:after="24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991F89"/>
    <w:pPr>
      <w:keepNext/>
      <w:keepLines/>
      <w:spacing w:after="24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991F89"/>
    <w:pPr>
      <w:keepNext/>
      <w:keepLines/>
      <w:spacing w:after="240"/>
      <w:jc w:val="center"/>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1F89"/>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991F89"/>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rsid w:val="00991F89"/>
    <w:rPr>
      <w:rFonts w:ascii="Times New Roman" w:eastAsiaTheme="majorEastAsia" w:hAnsi="Times New Roman" w:cstheme="majorBidi"/>
      <w:b/>
      <w:sz w:val="24"/>
      <w:szCs w:val="24"/>
    </w:rPr>
  </w:style>
  <w:style w:type="paragraph" w:styleId="Header">
    <w:name w:val="header"/>
    <w:basedOn w:val="Normal"/>
    <w:link w:val="HeaderChar"/>
    <w:uiPriority w:val="99"/>
    <w:unhideWhenUsed/>
    <w:rsid w:val="00A875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7576"/>
    <w:rPr>
      <w:rFonts w:ascii="Times New Roman" w:hAnsi="Times New Roman"/>
      <w:sz w:val="24"/>
    </w:rPr>
  </w:style>
  <w:style w:type="paragraph" w:styleId="Footer">
    <w:name w:val="footer"/>
    <w:basedOn w:val="Normal"/>
    <w:link w:val="FooterChar"/>
    <w:uiPriority w:val="99"/>
    <w:unhideWhenUsed/>
    <w:rsid w:val="00A875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7576"/>
    <w:rPr>
      <w:rFonts w:ascii="Times New Roman" w:hAnsi="Times New Roman"/>
      <w:sz w:val="24"/>
    </w:rPr>
  </w:style>
  <w:style w:type="paragraph" w:styleId="Caption">
    <w:name w:val="caption"/>
    <w:basedOn w:val="Normal"/>
    <w:next w:val="Normal"/>
    <w:uiPriority w:val="35"/>
    <w:unhideWhenUsed/>
    <w:qFormat/>
    <w:rsid w:val="001A3032"/>
    <w:pPr>
      <w:spacing w:after="200" w:line="240" w:lineRule="auto"/>
    </w:pPr>
    <w:rPr>
      <w:i/>
      <w:iCs/>
      <w:color w:val="44546A" w:themeColor="text2"/>
      <w:sz w:val="18"/>
      <w:szCs w:val="18"/>
    </w:rPr>
  </w:style>
  <w:style w:type="paragraph" w:styleId="ListParagraph">
    <w:name w:val="List Paragraph"/>
    <w:basedOn w:val="Normal"/>
    <w:uiPriority w:val="34"/>
    <w:qFormat/>
    <w:rsid w:val="00FC46A5"/>
    <w:pPr>
      <w:ind w:left="720"/>
      <w:contextualSpacing/>
    </w:pPr>
  </w:style>
  <w:style w:type="character" w:styleId="Hyperlink">
    <w:name w:val="Hyperlink"/>
    <w:basedOn w:val="DefaultParagraphFont"/>
    <w:uiPriority w:val="99"/>
    <w:unhideWhenUsed/>
    <w:rsid w:val="00F307B6"/>
    <w:rPr>
      <w:color w:val="0563C1" w:themeColor="hyperlink"/>
      <w:u w:val="single"/>
    </w:rPr>
  </w:style>
  <w:style w:type="character" w:styleId="UnresolvedMention">
    <w:name w:val="Unresolved Mention"/>
    <w:basedOn w:val="DefaultParagraphFont"/>
    <w:uiPriority w:val="99"/>
    <w:semiHidden/>
    <w:unhideWhenUsed/>
    <w:rsid w:val="00F307B6"/>
    <w:rPr>
      <w:color w:val="605E5C"/>
      <w:shd w:val="clear" w:color="auto" w:fill="E1DFDD"/>
    </w:rPr>
  </w:style>
  <w:style w:type="paragraph" w:styleId="NormalWeb">
    <w:name w:val="Normal (Web)"/>
    <w:basedOn w:val="Normal"/>
    <w:uiPriority w:val="99"/>
    <w:semiHidden/>
    <w:unhideWhenUsed/>
    <w:rsid w:val="00C33318"/>
    <w:pPr>
      <w:spacing w:before="100" w:beforeAutospacing="1" w:after="100" w:afterAutospacing="1" w:line="240" w:lineRule="auto"/>
    </w:pPr>
    <w:rPr>
      <w:rFonts w:eastAsia="Times New Roman" w:cs="Times New Roman"/>
      <w:szCs w:val="24"/>
    </w:rPr>
  </w:style>
  <w:style w:type="paragraph" w:customStyle="1" w:styleId="hhd2">
    <w:name w:val="hhd2"/>
    <w:basedOn w:val="Normal"/>
    <w:rsid w:val="00C33318"/>
    <w:pPr>
      <w:spacing w:before="100" w:beforeAutospacing="1" w:after="100" w:afterAutospacing="1" w:line="240" w:lineRule="auto"/>
    </w:pPr>
    <w:rPr>
      <w:rFonts w:eastAsia="Times New Roman" w:cs="Times New Roman"/>
      <w:szCs w:val="24"/>
    </w:rPr>
  </w:style>
  <w:style w:type="character" w:styleId="CommentReference">
    <w:name w:val="annotation reference"/>
    <w:basedOn w:val="DefaultParagraphFont"/>
    <w:uiPriority w:val="99"/>
    <w:semiHidden/>
    <w:unhideWhenUsed/>
    <w:rsid w:val="00FF74F3"/>
    <w:rPr>
      <w:sz w:val="16"/>
      <w:szCs w:val="16"/>
    </w:rPr>
  </w:style>
  <w:style w:type="paragraph" w:styleId="CommentText">
    <w:name w:val="annotation text"/>
    <w:basedOn w:val="Normal"/>
    <w:link w:val="CommentTextChar"/>
    <w:uiPriority w:val="99"/>
    <w:semiHidden/>
    <w:unhideWhenUsed/>
    <w:rsid w:val="00FF74F3"/>
    <w:pPr>
      <w:spacing w:line="240" w:lineRule="auto"/>
    </w:pPr>
    <w:rPr>
      <w:sz w:val="20"/>
      <w:szCs w:val="20"/>
    </w:rPr>
  </w:style>
  <w:style w:type="character" w:customStyle="1" w:styleId="CommentTextChar">
    <w:name w:val="Comment Text Char"/>
    <w:basedOn w:val="DefaultParagraphFont"/>
    <w:link w:val="CommentText"/>
    <w:uiPriority w:val="99"/>
    <w:semiHidden/>
    <w:rsid w:val="00FF74F3"/>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FF74F3"/>
    <w:rPr>
      <w:b/>
      <w:bCs/>
    </w:rPr>
  </w:style>
  <w:style w:type="character" w:customStyle="1" w:styleId="CommentSubjectChar">
    <w:name w:val="Comment Subject Char"/>
    <w:basedOn w:val="CommentTextChar"/>
    <w:link w:val="CommentSubject"/>
    <w:uiPriority w:val="99"/>
    <w:semiHidden/>
    <w:rsid w:val="00FF74F3"/>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FF74F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F74F3"/>
    <w:rPr>
      <w:rFonts w:ascii="Segoe UI" w:hAnsi="Segoe UI" w:cs="Segoe UI"/>
      <w:sz w:val="18"/>
      <w:szCs w:val="18"/>
      <w:lang w:val="en-GB"/>
    </w:rPr>
  </w:style>
  <w:style w:type="paragraph" w:styleId="TOCHeading">
    <w:name w:val="TOC Heading"/>
    <w:basedOn w:val="Heading1"/>
    <w:next w:val="Normal"/>
    <w:uiPriority w:val="39"/>
    <w:unhideWhenUsed/>
    <w:qFormat/>
    <w:rsid w:val="007113AE"/>
    <w:pPr>
      <w:spacing w:before="240" w:after="0" w:line="259" w:lineRule="auto"/>
      <w:outlineLvl w:val="9"/>
    </w:pPr>
    <w:rPr>
      <w:rFonts w:asciiTheme="majorHAnsi" w:hAnsiTheme="majorHAnsi"/>
      <w:b w:val="0"/>
      <w:i w:val="0"/>
      <w:color w:val="2F5496" w:themeColor="accent1" w:themeShade="BF"/>
      <w:sz w:val="32"/>
      <w:lang w:val="en-US"/>
    </w:rPr>
  </w:style>
  <w:style w:type="paragraph" w:styleId="TOC1">
    <w:name w:val="toc 1"/>
    <w:basedOn w:val="Normal"/>
    <w:next w:val="Normal"/>
    <w:autoRedefine/>
    <w:uiPriority w:val="39"/>
    <w:unhideWhenUsed/>
    <w:rsid w:val="00653F6B"/>
    <w:pPr>
      <w:tabs>
        <w:tab w:val="right" w:leader="dot" w:pos="9350"/>
      </w:tabs>
      <w:spacing w:after="100"/>
    </w:pPr>
    <w:rPr>
      <w:rFonts w:ascii="Arial" w:hAnsi="Arial" w:cs="Arial"/>
      <w:noProof/>
      <w:sz w:val="22"/>
    </w:rPr>
  </w:style>
  <w:style w:type="paragraph" w:styleId="TOC2">
    <w:name w:val="toc 2"/>
    <w:basedOn w:val="Normal"/>
    <w:next w:val="Normal"/>
    <w:autoRedefine/>
    <w:uiPriority w:val="39"/>
    <w:unhideWhenUsed/>
    <w:rsid w:val="00A37160"/>
    <w:pPr>
      <w:tabs>
        <w:tab w:val="right" w:leader="dot" w:pos="9350"/>
      </w:tabs>
      <w:spacing w:after="100"/>
      <w:ind w:left="240"/>
    </w:pPr>
    <w:rPr>
      <w:rFonts w:ascii="Arial" w:hAnsi="Arial" w:cs="Arial"/>
      <w:noProof/>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9048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legislation.gov.uk/ukpga/2010/15/notes/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27B685-ED5C-4305-BD87-147569A93C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405</TotalTime>
  <Pages>11</Pages>
  <Words>2878</Words>
  <Characters>16405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nadia qamar</cp:lastModifiedBy>
  <cp:revision>51</cp:revision>
  <dcterms:created xsi:type="dcterms:W3CDTF">2026-01-26T09:08:00Z</dcterms:created>
  <dcterms:modified xsi:type="dcterms:W3CDTF">2026-03-13T21:34:00Z</dcterms:modified>
</cp:coreProperties>
</file>