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180F4" w14:textId="77777777" w:rsidR="00465291" w:rsidRDefault="00465291" w:rsidP="00465291">
      <w:r w:rsidRPr="00465291">
        <w:t>Conducting small-scale research with young people demands a meticulous balance between methodological rigo</w:t>
      </w:r>
      <w:r>
        <w:t>u</w:t>
      </w:r>
      <w:r w:rsidRPr="00465291">
        <w:t xml:space="preserve">r, ethical sensitivity, and participatory engagement. </w:t>
      </w:r>
    </w:p>
    <w:p w14:paraId="3788ED1C" w14:textId="77777777" w:rsidR="00465291" w:rsidRDefault="00465291" w:rsidP="00465291">
      <w:r w:rsidRPr="00465291">
        <w:t>Unlike large-scale studies, which prioritize generalizability, small-scale projects thrive on their ability to address context-specific challenges while fostering meaningful collaboration with young participants. </w:t>
      </w:r>
    </w:p>
    <w:p w14:paraId="76C9D3CE" w14:textId="77777777" w:rsidR="00465291" w:rsidRDefault="00465291" w:rsidP="00465291">
      <w:r w:rsidRPr="00465291">
        <w:t>Key considerations include co-designing research questions with participants, navigating power dynamics between adult researchers and you</w:t>
      </w:r>
      <w:r>
        <w:t>ng people</w:t>
      </w:r>
      <w:r w:rsidRPr="00465291">
        <w:t xml:space="preserve">, and disseminating findings through accessible formats that empower young voices. </w:t>
      </w:r>
    </w:p>
    <w:p w14:paraId="44963EF0" w14:textId="37CF8B0F" w:rsidR="00923932" w:rsidRDefault="00465291" w:rsidP="00465291">
      <w:r w:rsidRPr="00465291">
        <w:t>Below, we explore these themes in depth, emphasizing the researcher’s role as both facilitator and advocate</w:t>
      </w:r>
      <w:r>
        <w:t>.</w:t>
      </w:r>
    </w:p>
    <w:p w14:paraId="4F82FD5F" w14:textId="59B99E06" w:rsidR="00465291" w:rsidRPr="00465291" w:rsidRDefault="00465291" w:rsidP="00465291">
      <w:r w:rsidRPr="00465291">
        <w:t>Foundational Principles of Small-Scale Research</w:t>
      </w:r>
      <w:r>
        <w:t xml:space="preserve"> with Young People</w:t>
      </w:r>
    </w:p>
    <w:p w14:paraId="6F3F0890" w14:textId="77777777" w:rsidR="00465291" w:rsidRPr="00465291" w:rsidRDefault="00465291" w:rsidP="00465291">
      <w:pPr>
        <w:rPr>
          <w:b/>
          <w:bCs/>
        </w:rPr>
      </w:pPr>
      <w:r w:rsidRPr="00465291">
        <w:rPr>
          <w:b/>
          <w:bCs/>
        </w:rPr>
        <w:t>Defining the Scope and Purpose</w:t>
      </w:r>
    </w:p>
    <w:p w14:paraId="60388175" w14:textId="166D4E03" w:rsidR="00465291" w:rsidRPr="00465291" w:rsidRDefault="00465291" w:rsidP="00465291">
      <w:r w:rsidRPr="00465291">
        <w:t>Small-scale research with young people is inherently localized, focusing on issues directly impacting their lives, such as educational equity, mental health, or community participation. </w:t>
      </w:r>
      <w:r>
        <w:t>T</w:t>
      </w:r>
      <w:r w:rsidRPr="00465291">
        <w:t>hese projects often emerge from grassroots concerns identified through dialogue with you</w:t>
      </w:r>
      <w:r>
        <w:t>ng</w:t>
      </w:r>
      <w:r w:rsidRPr="00465291">
        <w:t xml:space="preserve"> stakeholders. For example, a study investigating barriers to extracurricular participation in a rural school might originate from students’ expressed frustrations rather than predefined academic theories. This participatory ethos ensures relevance but requires flexibility in design to adapt to evolving insights.</w:t>
      </w:r>
    </w:p>
    <w:p w14:paraId="72CB5D29" w14:textId="77777777" w:rsidR="00465291" w:rsidRPr="00465291" w:rsidRDefault="00465291" w:rsidP="00465291">
      <w:pPr>
        <w:rPr>
          <w:b/>
          <w:bCs/>
        </w:rPr>
      </w:pPr>
      <w:r w:rsidRPr="00465291">
        <w:rPr>
          <w:b/>
          <w:bCs/>
        </w:rPr>
        <w:t>Participatory Approaches and Co-Design</w:t>
      </w:r>
    </w:p>
    <w:p w14:paraId="7EC1F12A" w14:textId="2D5CB6DB" w:rsidR="00465291" w:rsidRPr="00465291" w:rsidRDefault="00465291" w:rsidP="00465291">
      <w:r w:rsidRPr="00465291">
        <w:t>Central to successful small-scale research is the principle of co-design, where young people actively shape the study’s objectives and methods</w:t>
      </w:r>
      <w:r>
        <w:t>.</w:t>
      </w:r>
      <w:r w:rsidRPr="00465291">
        <w:t> Such approaches mitigate power imbalances by positioning you</w:t>
      </w:r>
      <w:r>
        <w:t>ng people</w:t>
      </w:r>
      <w:r w:rsidRPr="00465291">
        <w:t xml:space="preserve"> as co-investigators rather than passive subjects. However, this demands significant upfront investment in training and relationship-building to equip participants with the skills to contribute meaningfully.</w:t>
      </w:r>
    </w:p>
    <w:p w14:paraId="714DE173" w14:textId="77777777" w:rsidR="00465291" w:rsidRPr="00465291" w:rsidRDefault="00465291" w:rsidP="00465291">
      <w:r w:rsidRPr="00465291">
        <w:t>Ethical Frameworks for Youth-Centered Research</w:t>
      </w:r>
    </w:p>
    <w:p w14:paraId="53CEE918" w14:textId="77777777" w:rsidR="00465291" w:rsidRPr="00465291" w:rsidRDefault="00465291" w:rsidP="00465291">
      <w:pPr>
        <w:rPr>
          <w:b/>
          <w:bCs/>
        </w:rPr>
      </w:pPr>
      <w:r w:rsidRPr="00465291">
        <w:rPr>
          <w:b/>
          <w:bCs/>
        </w:rPr>
        <w:t>Informed Consent and Assent Processes</w:t>
      </w:r>
    </w:p>
    <w:p w14:paraId="43D12259" w14:textId="4C72AD5D" w:rsidR="00465291" w:rsidRPr="00465291" w:rsidRDefault="00465291" w:rsidP="00465291">
      <w:r w:rsidRPr="00465291">
        <w:t>Ethical rigo</w:t>
      </w:r>
      <w:r>
        <w:t>u</w:t>
      </w:r>
      <w:r w:rsidRPr="00465291">
        <w:t>r in youth research extends beyond obtaining parental consent; it requires age-appropriate assent procedures that ensure participants fully understand their role and rights. For adolescents aged 12–17, this might involve simplified consent forms paired with verbal explanations, while younger children may engage through interactive activities that illustrate research concepts. Crucially, researchers must continuously reaffirm participants’ right to withdraw, particularly in longitudinal studies where initial enthusiasm may wane.</w:t>
      </w:r>
    </w:p>
    <w:p w14:paraId="3126D289" w14:textId="77777777" w:rsidR="0004440E" w:rsidRDefault="0004440E" w:rsidP="00465291">
      <w:pPr>
        <w:rPr>
          <w:b/>
          <w:bCs/>
        </w:rPr>
      </w:pPr>
    </w:p>
    <w:p w14:paraId="491F87FF" w14:textId="16AACA7D" w:rsidR="00465291" w:rsidRPr="00465291" w:rsidRDefault="00465291" w:rsidP="00465291">
      <w:pPr>
        <w:rPr>
          <w:b/>
          <w:bCs/>
        </w:rPr>
      </w:pPr>
      <w:r w:rsidRPr="00465291">
        <w:rPr>
          <w:b/>
          <w:bCs/>
        </w:rPr>
        <w:lastRenderedPageBreak/>
        <w:t>Navigating Power Dynamics</w:t>
      </w:r>
    </w:p>
    <w:p w14:paraId="59B12F68" w14:textId="2A6988DE" w:rsidR="00465291" w:rsidRPr="00465291" w:rsidRDefault="00465291" w:rsidP="00465291">
      <w:r w:rsidRPr="00465291">
        <w:t>The inherent power imbalance between adult researchers and young participants necessitates deliberate strategies to flatten hierarchies. Additionally, anonymizing data collection sites-such as using community centr</w:t>
      </w:r>
      <w:r w:rsidR="0004440E">
        <w:t>e</w:t>
      </w:r>
      <w:r w:rsidRPr="00465291">
        <w:t>s instead of schools-can reduce perceived surveillance and encourage candid responses.</w:t>
      </w:r>
    </w:p>
    <w:p w14:paraId="7D748697" w14:textId="77777777" w:rsidR="00465291" w:rsidRPr="00465291" w:rsidRDefault="00465291" w:rsidP="00465291">
      <w:pPr>
        <w:rPr>
          <w:b/>
          <w:bCs/>
        </w:rPr>
      </w:pPr>
      <w:r w:rsidRPr="00465291">
        <w:rPr>
          <w:b/>
          <w:bCs/>
        </w:rPr>
        <w:t>Mitigating Harm and Maximizing Benefit</w:t>
      </w:r>
    </w:p>
    <w:p w14:paraId="7A5C3893" w14:textId="4A448C4C" w:rsidR="00465291" w:rsidRDefault="00465291" w:rsidP="00465291">
      <w:r w:rsidRPr="00465291">
        <w:t>While protecting participants from harm is paramount, ethical youth research also seeks to deliver tangible benefits. A participatory action project in Peru transformed data collection into a capacity-building opportunity by training adolescents to conduct peer interviews on mental health stigma, thereby enhancing their advocacy skills while generating actionable insights. Researchers must balance these benefits against risks, such as potential emotional distress when discussing sensitive topics, through ongoing risk assessments and access to support services.</w:t>
      </w:r>
    </w:p>
    <w:p w14:paraId="2EC01C15" w14:textId="77777777" w:rsidR="0004440E" w:rsidRPr="0004440E" w:rsidRDefault="0004440E" w:rsidP="0004440E">
      <w:r w:rsidRPr="0004440E">
        <w:t>Designing the Research Process</w:t>
      </w:r>
    </w:p>
    <w:p w14:paraId="1B02190A" w14:textId="77777777" w:rsidR="0004440E" w:rsidRPr="0004440E" w:rsidRDefault="0004440E" w:rsidP="0004440E">
      <w:pPr>
        <w:rPr>
          <w:b/>
          <w:bCs/>
        </w:rPr>
      </w:pPr>
      <w:r w:rsidRPr="0004440E">
        <w:rPr>
          <w:b/>
          <w:bCs/>
        </w:rPr>
        <w:t>Developing Context-Specific Research Questions</w:t>
      </w:r>
    </w:p>
    <w:p w14:paraId="3A874C15" w14:textId="1C6E3956" w:rsidR="0004440E" w:rsidRPr="0004440E" w:rsidRDefault="0004440E" w:rsidP="0004440E">
      <w:r w:rsidRPr="0004440E">
        <w:t>Effective small-scale research begins with questions that resonate deeply with young people’s lived experiences. In Nepal, a study on child labo</w:t>
      </w:r>
      <w:r>
        <w:t>u</w:t>
      </w:r>
      <w:r w:rsidRPr="0004440E">
        <w:t>r practices reframed its focus from economic drivers to children’s own perceptions of “work” after initial workshops revealed nuanced cultural definitions. This iterative process often involves preliminary engagements-such as focus groups or art-based activities-to identify priorities that align with both community needs and academic rigo</w:t>
      </w:r>
      <w:r>
        <w:t>u</w:t>
      </w:r>
      <w:r w:rsidRPr="0004440E">
        <w:t>r.</w:t>
      </w:r>
    </w:p>
    <w:p w14:paraId="737E84FD" w14:textId="77777777" w:rsidR="0004440E" w:rsidRPr="0004440E" w:rsidRDefault="0004440E" w:rsidP="0004440E">
      <w:pPr>
        <w:rPr>
          <w:b/>
          <w:bCs/>
        </w:rPr>
      </w:pPr>
      <w:r w:rsidRPr="0004440E">
        <w:rPr>
          <w:b/>
          <w:bCs/>
        </w:rPr>
        <w:t>Building Researcher and Participant Capacity</w:t>
      </w:r>
    </w:p>
    <w:p w14:paraId="57C0C310" w14:textId="0A133F8B" w:rsidR="0004440E" w:rsidRPr="0004440E" w:rsidRDefault="0004440E" w:rsidP="0004440E">
      <w:r w:rsidRPr="0004440E">
        <w:t>Small-scale projects frequently operate with limited resources, necessitating creative capacity-building strategies. A partnership between a local NGO and university in Ethiopia combined academic expertise in research design with community workers’ cultural fluency to train youth participants in data collection techniques. Such collaborations not only enhance data quality but also foster sustainable skills within the community, enabling future grassroots initiatives.</w:t>
      </w:r>
    </w:p>
    <w:p w14:paraId="19081F0C" w14:textId="77777777" w:rsidR="0004440E" w:rsidRPr="0004440E" w:rsidRDefault="0004440E" w:rsidP="0004440E">
      <w:r w:rsidRPr="0004440E">
        <w:t>Engagement and Data Collection Strategies</w:t>
      </w:r>
    </w:p>
    <w:p w14:paraId="679BC7DA" w14:textId="77777777" w:rsidR="0004440E" w:rsidRPr="0004440E" w:rsidRDefault="0004440E" w:rsidP="0004440E">
      <w:pPr>
        <w:rPr>
          <w:b/>
          <w:bCs/>
        </w:rPr>
      </w:pPr>
      <w:r w:rsidRPr="0004440E">
        <w:rPr>
          <w:b/>
          <w:bCs/>
        </w:rPr>
        <w:t>Establishing Trust Through Relational Methods</w:t>
      </w:r>
    </w:p>
    <w:p w14:paraId="5E4EF4BF" w14:textId="1F797251" w:rsidR="0004440E" w:rsidRPr="0004440E" w:rsidRDefault="0004440E" w:rsidP="0004440E">
      <w:r w:rsidRPr="0004440E">
        <w:t>Trust-building is a non-negotiable precursor to meaningful data collection. In Iceland, researchers studying kindergarten-to-primary transitions spent months participating in classroom activities before introducing research tools, allowing children to view them as allies rather than outsiders. For marginalized groups-such as LGBTQ+ youth-this might involve partnering with trusted community organizations to co-facilitate sessions, thereby leveraging existing relationships of trust</w:t>
      </w:r>
      <w:hyperlink r:id="rId5" w:tgtFrame="_blank" w:history="1">
        <w:r w:rsidRPr="0004440E">
          <w:rPr>
            <w:rStyle w:val="Hyperlink"/>
          </w:rPr>
          <w:t>5</w:t>
        </w:r>
      </w:hyperlink>
      <w:r w:rsidRPr="0004440E">
        <w:t>.</w:t>
      </w:r>
    </w:p>
    <w:p w14:paraId="16103B93" w14:textId="77777777" w:rsidR="0004440E" w:rsidRPr="0004440E" w:rsidRDefault="0004440E" w:rsidP="0004440E">
      <w:pPr>
        <w:rPr>
          <w:b/>
          <w:bCs/>
        </w:rPr>
      </w:pPr>
      <w:r w:rsidRPr="0004440E">
        <w:rPr>
          <w:b/>
          <w:bCs/>
        </w:rPr>
        <w:lastRenderedPageBreak/>
        <w:t>Adapting Methods to Youth Cultures</w:t>
      </w:r>
    </w:p>
    <w:p w14:paraId="07CA375E" w14:textId="77777777" w:rsidR="0004440E" w:rsidRPr="0004440E" w:rsidRDefault="0004440E" w:rsidP="0004440E">
      <w:r w:rsidRPr="0004440E">
        <w:t>Traditional methods like surveys often fail to capture young people’s perspectives authentically. Innovative alternatives include:</w:t>
      </w:r>
    </w:p>
    <w:p w14:paraId="73BAD721" w14:textId="11235775" w:rsidR="0004440E" w:rsidRPr="0004440E" w:rsidRDefault="0004440E" w:rsidP="0004440E">
      <w:pPr>
        <w:numPr>
          <w:ilvl w:val="0"/>
          <w:numId w:val="1"/>
        </w:numPr>
      </w:pPr>
      <w:r w:rsidRPr="0004440E">
        <w:rPr>
          <w:b/>
          <w:bCs/>
        </w:rPr>
        <w:t>Digital storytelling</w:t>
      </w:r>
      <w:r w:rsidRPr="0004440E">
        <w:t>: Youth in Brazil documented their experiences with urban violence using smartphone videos, blending narrative and visual data.</w:t>
      </w:r>
    </w:p>
    <w:p w14:paraId="61DBFFDA" w14:textId="13DEE8AA" w:rsidR="0004440E" w:rsidRPr="0004440E" w:rsidRDefault="0004440E" w:rsidP="0004440E">
      <w:pPr>
        <w:numPr>
          <w:ilvl w:val="0"/>
          <w:numId w:val="1"/>
        </w:numPr>
      </w:pPr>
      <w:r w:rsidRPr="0004440E">
        <w:rPr>
          <w:b/>
          <w:bCs/>
        </w:rPr>
        <w:t>Gamified interviews</w:t>
      </w:r>
      <w:r w:rsidRPr="0004440E">
        <w:t>: A UK project on climate anxiety used board games to structure discussions, reducing formality and encouraging playful dialogue.</w:t>
      </w:r>
    </w:p>
    <w:p w14:paraId="4FF33991" w14:textId="69908E55" w:rsidR="0004440E" w:rsidRPr="0004440E" w:rsidRDefault="0004440E" w:rsidP="0004440E">
      <w:pPr>
        <w:numPr>
          <w:ilvl w:val="0"/>
          <w:numId w:val="1"/>
        </w:numPr>
      </w:pPr>
      <w:r w:rsidRPr="0004440E">
        <w:rPr>
          <w:b/>
          <w:bCs/>
        </w:rPr>
        <w:t>Body mapping</w:t>
      </w:r>
      <w:r w:rsidRPr="0004440E">
        <w:t>: In South Africa, adolescents exploring sexual health rights created body maps to articulate experiences they struggled to verbalize.</w:t>
      </w:r>
    </w:p>
    <w:p w14:paraId="40F454AE" w14:textId="50B6765B" w:rsidR="0004440E" w:rsidRPr="0004440E" w:rsidRDefault="0004440E" w:rsidP="0004440E">
      <w:r w:rsidRPr="0004440E">
        <w:t>These methods prioritize accessibility and engagement but require careful calibration to avoid overwhelming participants or conflating creativity with depth.</w:t>
      </w:r>
    </w:p>
    <w:p w14:paraId="78616B5A" w14:textId="77777777" w:rsidR="0004440E" w:rsidRPr="0004440E" w:rsidRDefault="0004440E" w:rsidP="0004440E">
      <w:proofErr w:type="spellStart"/>
      <w:r w:rsidRPr="0004440E">
        <w:t>Analyzing</w:t>
      </w:r>
      <w:proofErr w:type="spellEnd"/>
      <w:r w:rsidRPr="0004440E">
        <w:t xml:space="preserve"> Data and Generating Insights</w:t>
      </w:r>
    </w:p>
    <w:p w14:paraId="4C605B39" w14:textId="77777777" w:rsidR="0004440E" w:rsidRPr="0004440E" w:rsidRDefault="0004440E" w:rsidP="0004440E">
      <w:pPr>
        <w:rPr>
          <w:b/>
          <w:bCs/>
        </w:rPr>
      </w:pPr>
      <w:r w:rsidRPr="0004440E">
        <w:rPr>
          <w:b/>
          <w:bCs/>
        </w:rPr>
        <w:t>Collaborative Sense-Making</w:t>
      </w:r>
    </w:p>
    <w:p w14:paraId="2798798B" w14:textId="02E759B4" w:rsidR="0004440E" w:rsidRPr="0004440E" w:rsidRDefault="0004440E" w:rsidP="0004440E">
      <w:r w:rsidRPr="0004440E">
        <w:t>Involving young people in data analysis counters adult-centric interpretations and surfaces overlooked nuances. A project on school nutrition in Canada hosted “data parties,” where teens reviewed survey results and co-developed recommendations using sticky notes and brainstorming sessions</w:t>
      </w:r>
      <w:hyperlink r:id="rId6" w:tgtFrame="_blank" w:history="1">
        <w:r w:rsidRPr="0004440E">
          <w:rPr>
            <w:rStyle w:val="Hyperlink"/>
          </w:rPr>
          <w:t>3</w:t>
        </w:r>
      </w:hyperlink>
      <w:r w:rsidRPr="0004440E">
        <w:t>. Such participatory analysis not only enriches findings but also empowers youth to claim ownership of the research outcomes.</w:t>
      </w:r>
    </w:p>
    <w:p w14:paraId="1F7B8930" w14:textId="0068FD4D" w:rsidR="0004440E" w:rsidRPr="0004440E" w:rsidRDefault="0004440E" w:rsidP="0004440E">
      <w:pPr>
        <w:rPr>
          <w:b/>
          <w:bCs/>
        </w:rPr>
      </w:pPr>
      <w:r w:rsidRPr="0004440E">
        <w:rPr>
          <w:b/>
          <w:bCs/>
        </w:rPr>
        <w:t>Balancing Rigo</w:t>
      </w:r>
      <w:r>
        <w:rPr>
          <w:b/>
          <w:bCs/>
        </w:rPr>
        <w:t>u</w:t>
      </w:r>
      <w:r w:rsidRPr="0004440E">
        <w:rPr>
          <w:b/>
          <w:bCs/>
        </w:rPr>
        <w:t>r and Relevance</w:t>
      </w:r>
    </w:p>
    <w:p w14:paraId="614AB90C" w14:textId="56CA1B36" w:rsidR="0004440E" w:rsidRPr="0004440E" w:rsidRDefault="0004440E" w:rsidP="0004440E">
      <w:r w:rsidRPr="0004440E">
        <w:t>Small-scale studies must navigate tensions between academic rigor and practical utility. A community health project in rural Kenya utilized rapid thematic analysis to provide timely feedback to local clinics while maintaining methodological transparency through audit trails</w:t>
      </w:r>
      <w:hyperlink r:id="rId7" w:tgtFrame="_blank" w:history="1">
        <w:r w:rsidRPr="0004440E">
          <w:rPr>
            <w:rStyle w:val="Hyperlink"/>
          </w:rPr>
          <w:t>1</w:t>
        </w:r>
      </w:hyperlink>
      <w:hyperlink r:id="rId8" w:tgtFrame="_blank" w:history="1">
        <w:r w:rsidRPr="0004440E">
          <w:rPr>
            <w:rStyle w:val="Hyperlink"/>
          </w:rPr>
          <w:t>5</w:t>
        </w:r>
      </w:hyperlink>
      <w:r w:rsidRPr="0004440E">
        <w:t>. Researchers should document iterative changes to the analysis framework, ensuring stakeholders understand how conclusions were derived without being bogged down by excessive formalism.</w:t>
      </w:r>
    </w:p>
    <w:p w14:paraId="0AA9ED8F" w14:textId="77777777" w:rsidR="0004440E" w:rsidRPr="0004440E" w:rsidRDefault="0004440E" w:rsidP="0004440E">
      <w:r w:rsidRPr="0004440E">
        <w:t>Disseminating Results and Ensuring Impact</w:t>
      </w:r>
    </w:p>
    <w:p w14:paraId="340B4584" w14:textId="77777777" w:rsidR="0004440E" w:rsidRPr="0004440E" w:rsidRDefault="0004440E" w:rsidP="0004440E">
      <w:pPr>
        <w:rPr>
          <w:b/>
          <w:bCs/>
        </w:rPr>
      </w:pPr>
      <w:r w:rsidRPr="0004440E">
        <w:rPr>
          <w:b/>
          <w:bCs/>
        </w:rPr>
        <w:t>Tailoring Dissemination to Youth Audiences</w:t>
      </w:r>
    </w:p>
    <w:p w14:paraId="2F76A621" w14:textId="77777777" w:rsidR="0004440E" w:rsidRPr="0004440E" w:rsidRDefault="0004440E" w:rsidP="0004440E">
      <w:r w:rsidRPr="0004440E">
        <w:t>Traditional academic papers often fail to engage young people. Alternative formats include:</w:t>
      </w:r>
    </w:p>
    <w:p w14:paraId="75D01D45" w14:textId="2282C5D9" w:rsidR="0004440E" w:rsidRPr="0004440E" w:rsidRDefault="0004440E" w:rsidP="0004440E">
      <w:pPr>
        <w:numPr>
          <w:ilvl w:val="0"/>
          <w:numId w:val="2"/>
        </w:numPr>
      </w:pPr>
      <w:r w:rsidRPr="0004440E">
        <w:rPr>
          <w:b/>
          <w:bCs/>
        </w:rPr>
        <w:t>Interactive workshops</w:t>
      </w:r>
      <w:r w:rsidRPr="0004440E">
        <w:t>: Presenting findings through role-play or art installations, as done in a Peruvian project on child wellbeing.</w:t>
      </w:r>
    </w:p>
    <w:p w14:paraId="4BFFE5BD" w14:textId="0DECDA3F" w:rsidR="0004440E" w:rsidRPr="0004440E" w:rsidRDefault="0004440E" w:rsidP="0004440E">
      <w:pPr>
        <w:numPr>
          <w:ilvl w:val="0"/>
          <w:numId w:val="2"/>
        </w:numPr>
      </w:pPr>
      <w:r w:rsidRPr="0004440E">
        <w:rPr>
          <w:b/>
          <w:bCs/>
        </w:rPr>
        <w:t>Social media campaigns</w:t>
      </w:r>
      <w:r w:rsidRPr="0004440E">
        <w:t>: A Swedish youth mental health initiative used TikTok summaries to reach adolescents directly.</w:t>
      </w:r>
    </w:p>
    <w:p w14:paraId="331D5F4C" w14:textId="527D5025" w:rsidR="0004440E" w:rsidRPr="0004440E" w:rsidRDefault="0004440E" w:rsidP="0004440E">
      <w:pPr>
        <w:numPr>
          <w:ilvl w:val="0"/>
          <w:numId w:val="2"/>
        </w:numPr>
      </w:pPr>
      <w:r w:rsidRPr="0004440E">
        <w:rPr>
          <w:b/>
          <w:bCs/>
        </w:rPr>
        <w:lastRenderedPageBreak/>
        <w:t>Policy comics</w:t>
      </w:r>
      <w:r w:rsidRPr="0004440E">
        <w:t>: Translating complex data into graphic narratives for advocacy, exemplified by a U.S. study on foster care experiences.</w:t>
      </w:r>
    </w:p>
    <w:p w14:paraId="08DDC612" w14:textId="77777777" w:rsidR="0004440E" w:rsidRPr="0004440E" w:rsidRDefault="0004440E" w:rsidP="0004440E">
      <w:pPr>
        <w:rPr>
          <w:b/>
          <w:bCs/>
        </w:rPr>
      </w:pPr>
      <w:r w:rsidRPr="0004440E">
        <w:rPr>
          <w:b/>
          <w:bCs/>
        </w:rPr>
        <w:t>Sustaining Engagement Beyond the Project</w:t>
      </w:r>
    </w:p>
    <w:p w14:paraId="3F0463C0" w14:textId="726167FF" w:rsidR="0004440E" w:rsidRPr="0004440E" w:rsidRDefault="0004440E" w:rsidP="0004440E">
      <w:r w:rsidRPr="0004440E">
        <w:t xml:space="preserve">To prevent research from becoming an extractive exercise, dissemination should </w:t>
      </w:r>
      <w:proofErr w:type="spellStart"/>
      <w:r w:rsidRPr="0004440E">
        <w:t>catalyze</w:t>
      </w:r>
      <w:proofErr w:type="spellEnd"/>
      <w:r w:rsidRPr="0004440E">
        <w:t xml:space="preserve"> ongoing action. In Australia, a participatory study on homelessness established a youth advisory board that continued advocating for policy changes long after the project ended</w:t>
      </w:r>
      <w:hyperlink r:id="rId9" w:tgtFrame="_blank" w:history="1">
        <w:r w:rsidRPr="0004440E">
          <w:rPr>
            <w:rStyle w:val="Hyperlink"/>
          </w:rPr>
          <w:t>3</w:t>
        </w:r>
      </w:hyperlink>
      <w:hyperlink r:id="rId10" w:tgtFrame="_blank" w:history="1">
        <w:r w:rsidRPr="0004440E">
          <w:rPr>
            <w:rStyle w:val="Hyperlink"/>
          </w:rPr>
          <w:t>5</w:t>
        </w:r>
      </w:hyperlink>
      <w:r w:rsidRPr="0004440E">
        <w:t>. Additionally, returning findings to participants through personalized reports or community events reinforces their contribution’s value and fosters a culture of reciprocal learning.</w:t>
      </w:r>
    </w:p>
    <w:p w14:paraId="267393F8" w14:textId="77777777" w:rsidR="0004440E" w:rsidRPr="0004440E" w:rsidRDefault="0004440E" w:rsidP="0004440E">
      <w:pPr>
        <w:rPr>
          <w:b/>
          <w:bCs/>
        </w:rPr>
      </w:pPr>
      <w:r w:rsidRPr="0004440E">
        <w:rPr>
          <w:b/>
          <w:bCs/>
        </w:rPr>
        <w:t>Conclusion</w:t>
      </w:r>
    </w:p>
    <w:p w14:paraId="3B00550E" w14:textId="77777777" w:rsidR="0004440E" w:rsidRPr="0004440E" w:rsidRDefault="0004440E" w:rsidP="0004440E">
      <w:r w:rsidRPr="0004440E">
        <w:t xml:space="preserve">Undertaking small-scale research with young people is both a methodological challenge and an ethical imperative. By </w:t>
      </w:r>
      <w:proofErr w:type="spellStart"/>
      <w:r w:rsidRPr="0004440E">
        <w:t>centering</w:t>
      </w:r>
      <w:proofErr w:type="spellEnd"/>
      <w:r w:rsidRPr="0004440E">
        <w:t xml:space="preserve"> youth voices in every phase-from question formulation to dissemination-researchers can produce insights that are not only academically robust but also socially transformative. Critical steps include adopting flexible, participatory designs; rigorously addressing power imbalances; and reimagining dissemination as a tool for empowerment rather than a procedural endpoint. As gatekeepers of this process, researchers must remain vigilant against tokenism, ensuring that young participants emerge from the study not merely as subjects but as partners in knowledge creation and agents of change. Future efforts should focus on developing intersectional frameworks that account for the diverse identities and vulnerabilities within youth populations, further democratizing the research landscape.</w:t>
      </w:r>
    </w:p>
    <w:p w14:paraId="69E35C86" w14:textId="77777777" w:rsidR="0004440E" w:rsidRPr="00465291" w:rsidRDefault="0004440E" w:rsidP="00465291"/>
    <w:p w14:paraId="6DA3A324" w14:textId="77777777" w:rsidR="00465291" w:rsidRDefault="00465291" w:rsidP="00465291"/>
    <w:sectPr w:rsidR="004652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E25F94"/>
    <w:multiLevelType w:val="multilevel"/>
    <w:tmpl w:val="18E4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9D23100"/>
    <w:multiLevelType w:val="multilevel"/>
    <w:tmpl w:val="091CC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22995663">
    <w:abstractNumId w:val="1"/>
  </w:num>
  <w:num w:numId="2" w16cid:durableId="1025912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291"/>
    <w:rsid w:val="0004440E"/>
    <w:rsid w:val="003F3351"/>
    <w:rsid w:val="00465291"/>
    <w:rsid w:val="00613F9C"/>
    <w:rsid w:val="009239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6DF09"/>
  <w15:chartTrackingRefBased/>
  <w15:docId w15:val="{022FE195-89DF-4A4F-90D7-115DE98C1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52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52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52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52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52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52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52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52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52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2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52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52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52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52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52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52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52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5291"/>
    <w:rPr>
      <w:rFonts w:eastAsiaTheme="majorEastAsia" w:cstheme="majorBidi"/>
      <w:color w:val="272727" w:themeColor="text1" w:themeTint="D8"/>
    </w:rPr>
  </w:style>
  <w:style w:type="paragraph" w:styleId="Title">
    <w:name w:val="Title"/>
    <w:basedOn w:val="Normal"/>
    <w:next w:val="Normal"/>
    <w:link w:val="TitleChar"/>
    <w:uiPriority w:val="10"/>
    <w:qFormat/>
    <w:rsid w:val="004652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52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52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52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5291"/>
    <w:pPr>
      <w:spacing w:before="160"/>
      <w:jc w:val="center"/>
    </w:pPr>
    <w:rPr>
      <w:i/>
      <w:iCs/>
      <w:color w:val="404040" w:themeColor="text1" w:themeTint="BF"/>
    </w:rPr>
  </w:style>
  <w:style w:type="character" w:customStyle="1" w:styleId="QuoteChar">
    <w:name w:val="Quote Char"/>
    <w:basedOn w:val="DefaultParagraphFont"/>
    <w:link w:val="Quote"/>
    <w:uiPriority w:val="29"/>
    <w:rsid w:val="00465291"/>
    <w:rPr>
      <w:i/>
      <w:iCs/>
      <w:color w:val="404040" w:themeColor="text1" w:themeTint="BF"/>
    </w:rPr>
  </w:style>
  <w:style w:type="paragraph" w:styleId="ListParagraph">
    <w:name w:val="List Paragraph"/>
    <w:basedOn w:val="Normal"/>
    <w:uiPriority w:val="34"/>
    <w:qFormat/>
    <w:rsid w:val="00465291"/>
    <w:pPr>
      <w:ind w:left="720"/>
      <w:contextualSpacing/>
    </w:pPr>
  </w:style>
  <w:style w:type="character" w:styleId="IntenseEmphasis">
    <w:name w:val="Intense Emphasis"/>
    <w:basedOn w:val="DefaultParagraphFont"/>
    <w:uiPriority w:val="21"/>
    <w:qFormat/>
    <w:rsid w:val="00465291"/>
    <w:rPr>
      <w:i/>
      <w:iCs/>
      <w:color w:val="0F4761" w:themeColor="accent1" w:themeShade="BF"/>
    </w:rPr>
  </w:style>
  <w:style w:type="paragraph" w:styleId="IntenseQuote">
    <w:name w:val="Intense Quote"/>
    <w:basedOn w:val="Normal"/>
    <w:next w:val="Normal"/>
    <w:link w:val="IntenseQuoteChar"/>
    <w:uiPriority w:val="30"/>
    <w:qFormat/>
    <w:rsid w:val="004652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5291"/>
    <w:rPr>
      <w:i/>
      <w:iCs/>
      <w:color w:val="0F4761" w:themeColor="accent1" w:themeShade="BF"/>
    </w:rPr>
  </w:style>
  <w:style w:type="character" w:styleId="IntenseReference">
    <w:name w:val="Intense Reference"/>
    <w:basedOn w:val="DefaultParagraphFont"/>
    <w:uiPriority w:val="32"/>
    <w:qFormat/>
    <w:rsid w:val="00465291"/>
    <w:rPr>
      <w:b/>
      <w:bCs/>
      <w:smallCaps/>
      <w:color w:val="0F4761" w:themeColor="accent1" w:themeShade="BF"/>
      <w:spacing w:val="5"/>
    </w:rPr>
  </w:style>
  <w:style w:type="character" w:styleId="Hyperlink">
    <w:name w:val="Hyperlink"/>
    <w:basedOn w:val="DefaultParagraphFont"/>
    <w:uiPriority w:val="99"/>
    <w:unhideWhenUsed/>
    <w:rsid w:val="00465291"/>
    <w:rPr>
      <w:color w:val="467886" w:themeColor="hyperlink"/>
      <w:u w:val="single"/>
    </w:rPr>
  </w:style>
  <w:style w:type="character" w:styleId="UnresolvedMention">
    <w:name w:val="Unresolved Mention"/>
    <w:basedOn w:val="DefaultParagraphFont"/>
    <w:uiPriority w:val="99"/>
    <w:semiHidden/>
    <w:unhideWhenUsed/>
    <w:rsid w:val="00465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70310">
      <w:bodyDiv w:val="1"/>
      <w:marLeft w:val="0"/>
      <w:marRight w:val="0"/>
      <w:marTop w:val="0"/>
      <w:marBottom w:val="0"/>
      <w:divBdr>
        <w:top w:val="none" w:sz="0" w:space="0" w:color="auto"/>
        <w:left w:val="none" w:sz="0" w:space="0" w:color="auto"/>
        <w:bottom w:val="none" w:sz="0" w:space="0" w:color="auto"/>
        <w:right w:val="none" w:sz="0" w:space="0" w:color="auto"/>
      </w:divBdr>
    </w:div>
    <w:div w:id="331222195">
      <w:bodyDiv w:val="1"/>
      <w:marLeft w:val="0"/>
      <w:marRight w:val="0"/>
      <w:marTop w:val="0"/>
      <w:marBottom w:val="0"/>
      <w:divBdr>
        <w:top w:val="none" w:sz="0" w:space="0" w:color="auto"/>
        <w:left w:val="none" w:sz="0" w:space="0" w:color="auto"/>
        <w:bottom w:val="none" w:sz="0" w:space="0" w:color="auto"/>
        <w:right w:val="none" w:sz="0" w:space="0" w:color="auto"/>
      </w:divBdr>
    </w:div>
    <w:div w:id="663049063">
      <w:bodyDiv w:val="1"/>
      <w:marLeft w:val="0"/>
      <w:marRight w:val="0"/>
      <w:marTop w:val="0"/>
      <w:marBottom w:val="0"/>
      <w:divBdr>
        <w:top w:val="none" w:sz="0" w:space="0" w:color="auto"/>
        <w:left w:val="none" w:sz="0" w:space="0" w:color="auto"/>
        <w:bottom w:val="none" w:sz="0" w:space="0" w:color="auto"/>
        <w:right w:val="none" w:sz="0" w:space="0" w:color="auto"/>
      </w:divBdr>
    </w:div>
    <w:div w:id="107238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kri.org/councils/esrc/guidance-for-applicants/research-ethics-guidance/research-with-children-and-young-people/" TargetMode="External"/><Relationship Id="rId3" Type="http://schemas.openxmlformats.org/officeDocument/2006/relationships/settings" Target="settings.xml"/><Relationship Id="rId7" Type="http://schemas.openxmlformats.org/officeDocument/2006/relationships/hyperlink" Target="https://pmc.ncbi.nlm.nih.gov/articles/PMC1006125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c-v6-static.s3.amazonaws.com/media/resources/tmp/cbpar.pdf" TargetMode="External"/><Relationship Id="rId11" Type="http://schemas.openxmlformats.org/officeDocument/2006/relationships/fontTable" Target="fontTable.xml"/><Relationship Id="rId5" Type="http://schemas.openxmlformats.org/officeDocument/2006/relationships/hyperlink" Target="https://www.ukri.org/councils/esrc/guidance-for-applicants/research-ethics-guidance/research-with-children-and-young-people/" TargetMode="External"/><Relationship Id="rId10" Type="http://schemas.openxmlformats.org/officeDocument/2006/relationships/hyperlink" Target="https://www.ukri.org/councils/esrc/guidance-for-applicants/research-ethics-guidance/research-with-children-and-young-people/" TargetMode="External"/><Relationship Id="rId4" Type="http://schemas.openxmlformats.org/officeDocument/2006/relationships/webSettings" Target="webSettings.xml"/><Relationship Id="rId9" Type="http://schemas.openxmlformats.org/officeDocument/2006/relationships/hyperlink" Target="https://hc-v6-static.s3.amazonaws.com/media/resources/tmp/cbpa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1424</Words>
  <Characters>8119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Darrel Williams</cp:lastModifiedBy>
  <cp:revision>1</cp:revision>
  <dcterms:created xsi:type="dcterms:W3CDTF">2025-05-15T12:21:00Z</dcterms:created>
  <dcterms:modified xsi:type="dcterms:W3CDTF">2025-05-15T12:37:00Z</dcterms:modified>
</cp:coreProperties>
</file>