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notes.xml" ContentType="application/vnd.openxmlformats-officedocument.wordprocessingml.footnotes+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41579106">
      <w:pPr>
        <w:pStyle w:val="2"/>
        <w:numPr>
          <w:ilvl w:val="0"/>
          <w:numId w:val="0"/>
        </w:numPr>
        <w:spacing w:before="240" w:after="120" w:line="360" w:lineRule="auto"/>
        <w:ind w:left="0" w:firstLine="0"/>
        <w:rPr>
          <w:rFonts w:ascii="Arial" w:hAnsi="Arial" w:eastAsia="Arial"/>
          <w:sz w:val="24"/>
          <w:szCs w:val="24"/>
        </w:rPr>
      </w:pPr>
      <w:r>
        <w:rPr>
          <w:rFonts w:hint="default" w:ascii="Arial" w:hAnsi="Arial" w:eastAsia="Arial"/>
          <w:sz w:val="24"/>
          <w:szCs w:val="24"/>
          <w:lang w:val="en-US"/>
        </w:rPr>
        <w:t xml:space="preserve"> </w:t>
      </w:r>
      <w:r>
        <w:rPr>
          <w:rFonts w:hint="default" w:ascii="Arial" w:hAnsi="Arial" w:eastAsia="Arial"/>
          <w:sz w:val="24"/>
          <w:szCs w:val="24"/>
          <w:lang w:val="en-US"/>
        </w:rPr>
        <w:tab/>
        <w:t/>
      </w:r>
      <w:r>
        <w:rPr>
          <w:rFonts w:hint="default" w:ascii="Arial" w:hAnsi="Arial" w:eastAsia="Arial"/>
          <w:sz w:val="24"/>
          <w:szCs w:val="24"/>
          <w:lang w:val="en-US"/>
        </w:rPr>
        <w:tab/>
        <w:t/>
      </w:r>
      <w:r>
        <w:rPr>
          <w:rFonts w:hint="default" w:ascii="Arial" w:hAnsi="Arial" w:eastAsia="Arial"/>
          <w:sz w:val="24"/>
          <w:szCs w:val="24"/>
          <w:lang w:val="en-US"/>
        </w:rPr>
        <w:tab/>
        <w:t/>
      </w:r>
      <w:r>
        <w:rPr>
          <w:rFonts w:hint="default" w:ascii="Arial" w:hAnsi="Arial" w:eastAsia="Arial"/>
          <w:sz w:val="24"/>
          <w:szCs w:val="24"/>
          <w:lang w:val="en-US"/>
        </w:rPr>
        <w:tab/>
        <w:t/>
      </w:r>
      <w:r>
        <w:rPr>
          <w:rFonts w:hint="default" w:ascii="Arial" w:hAnsi="Arial" w:eastAsia="Arial"/>
          <w:sz w:val="24"/>
          <w:szCs w:val="24"/>
          <w:lang w:val="en-US"/>
        </w:rPr>
        <w:tab/>
      </w:r>
      <w:r>
        <w:rPr>
          <w:rFonts w:ascii="Arial" w:hAnsi="Arial" w:eastAsia="Arial"/>
          <w:sz w:val="24"/>
          <w:szCs w:val="24"/>
        </w:rPr>
        <w:drawing>
          <wp:inline distT="0" distB="0" distL="0" distR="0">
            <wp:extent cx="2313305" cy="105981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8"/>
                    <a:stretch>
                      <a:fillRect/>
                    </a:stretch>
                  </pic:blipFill>
                  <pic:spPr>
                    <a:xfrm>
                      <a:off x="0" y="0"/>
                      <a:ext cx="2313305" cy="1059815"/>
                    </a:xfrm>
                    <a:prstGeom prst="rect">
                      <a:avLst/>
                    </a:prstGeom>
                    <a:noFill/>
                  </pic:spPr>
                </pic:pic>
              </a:graphicData>
            </a:graphic>
          </wp:inline>
        </w:drawing>
      </w:r>
    </w:p>
    <w:p w14:paraId="3876B858">
      <w:pPr>
        <w:spacing w:line="360" w:lineRule="auto"/>
        <w:rPr>
          <w:rFonts w:ascii="Arial" w:hAnsi="Arial" w:eastAsia="Arial"/>
          <w:sz w:val="24"/>
          <w:szCs w:val="24"/>
        </w:rPr>
      </w:pPr>
      <w:r>
        <w:rPr>
          <w:rFonts w:ascii="Arial" w:hAnsi="Arial" w:eastAsia="Arial"/>
          <w:sz w:val="24"/>
          <w:szCs w:val="24"/>
        </w:rPr>
        <w:t xml:space="preserve">                         </w:t>
      </w:r>
    </w:p>
    <w:p w14:paraId="245375A6">
      <w:pPr>
        <w:spacing w:line="360" w:lineRule="auto"/>
        <w:rPr>
          <w:rFonts w:ascii="Arial" w:hAnsi="Arial" w:eastAsia="Arial"/>
          <w:sz w:val="24"/>
          <w:szCs w:val="24"/>
        </w:rPr>
      </w:pPr>
      <w:r>
        <w:rPr>
          <w:rFonts w:ascii="Arial" w:hAnsi="Arial" w:eastAsia="Arial"/>
          <w:sz w:val="24"/>
          <w:szCs w:val="24"/>
        </w:rPr>
        <w:t xml:space="preserve">                     </w:t>
      </w:r>
      <w:r>
        <w:rPr>
          <w:rFonts w:hint="default" w:ascii="Arial" w:hAnsi="Arial" w:eastAsia="Arial"/>
          <w:sz w:val="24"/>
          <w:szCs w:val="24"/>
          <w:lang w:val="en-US"/>
        </w:rPr>
        <w:tab/>
        <w:t/>
      </w:r>
      <w:r>
        <w:rPr>
          <w:rFonts w:hint="default" w:ascii="Arial" w:hAnsi="Arial" w:eastAsia="Arial"/>
          <w:sz w:val="24"/>
          <w:szCs w:val="24"/>
          <w:lang w:val="en-US"/>
        </w:rPr>
        <w:tab/>
      </w:r>
      <w:r>
        <w:rPr>
          <w:rFonts w:ascii="Arial" w:hAnsi="Arial" w:eastAsia="Arial"/>
          <w:sz w:val="24"/>
          <w:szCs w:val="24"/>
        </w:rPr>
        <w:t xml:space="preserve">  </w:t>
      </w:r>
      <w:r>
        <w:rPr>
          <w:rFonts w:ascii="Arial" w:hAnsi="Arial" w:eastAsia="Arial"/>
          <w:b/>
          <w:bCs/>
          <w:sz w:val="24"/>
          <w:szCs w:val="24"/>
        </w:rPr>
        <w:t>Programme: Master of Business Administration</w:t>
      </w:r>
    </w:p>
    <w:p w14:paraId="334C0F59">
      <w:pPr>
        <w:spacing w:line="360" w:lineRule="auto"/>
        <w:rPr>
          <w:rFonts w:ascii="Arial" w:hAnsi="Arial" w:eastAsia="Arial"/>
          <w:b/>
          <w:bCs/>
          <w:sz w:val="24"/>
          <w:szCs w:val="24"/>
        </w:rPr>
      </w:pPr>
    </w:p>
    <w:p w14:paraId="51A3E762">
      <w:pPr>
        <w:spacing w:before="0" w:after="240" w:line="360" w:lineRule="auto"/>
        <w:jc w:val="center"/>
        <w:rPr>
          <w:rFonts w:ascii="Arial" w:hAnsi="Arial" w:eastAsia="Arial"/>
          <w:sz w:val="24"/>
          <w:szCs w:val="24"/>
        </w:rPr>
      </w:pPr>
      <w:r>
        <w:rPr>
          <w:rFonts w:ascii="Arial" w:hAnsi="Arial" w:eastAsia="Arial"/>
          <w:b/>
          <w:bCs/>
          <w:sz w:val="24"/>
          <w:szCs w:val="24"/>
        </w:rPr>
        <w:t>Module: Financial Management</w:t>
      </w:r>
    </w:p>
    <w:p w14:paraId="15A2FED2">
      <w:pPr>
        <w:spacing w:before="0" w:after="240" w:line="360" w:lineRule="auto"/>
        <w:jc w:val="center"/>
        <w:rPr>
          <w:rFonts w:ascii="Arial" w:hAnsi="Arial" w:eastAsia="Arial"/>
          <w:sz w:val="24"/>
          <w:szCs w:val="24"/>
        </w:rPr>
      </w:pPr>
      <w:r>
        <w:rPr>
          <w:rFonts w:ascii="Arial" w:hAnsi="Arial" w:eastAsia="Arial"/>
          <w:b/>
          <w:bCs/>
          <w:sz w:val="24"/>
          <w:szCs w:val="24"/>
        </w:rPr>
        <w:t>Module Code: LCMB7002</w:t>
      </w:r>
    </w:p>
    <w:p w14:paraId="77BDD98D">
      <w:pPr>
        <w:spacing w:before="0" w:after="240" w:line="360" w:lineRule="auto"/>
        <w:jc w:val="center"/>
        <w:rPr>
          <w:rFonts w:ascii="Arial" w:hAnsi="Arial" w:eastAsia="Arial"/>
          <w:sz w:val="24"/>
          <w:szCs w:val="24"/>
        </w:rPr>
      </w:pPr>
      <w:r>
        <w:rPr>
          <w:rFonts w:ascii="Arial" w:hAnsi="Arial" w:eastAsia="Arial"/>
          <w:b/>
          <w:bCs/>
          <w:i/>
          <w:sz w:val="24"/>
          <w:szCs w:val="24"/>
        </w:rPr>
        <w:t>Financial Performance Evaluation and Strategic Financial Management Analysis of whitbread plc</w:t>
      </w:r>
    </w:p>
    <w:p w14:paraId="55CE2DFB">
      <w:pPr>
        <w:spacing w:before="0" w:after="240" w:line="360" w:lineRule="auto"/>
        <w:jc w:val="center"/>
        <w:rPr>
          <w:rFonts w:hint="default" w:ascii="Arial" w:hAnsi="Arial" w:eastAsia="Arial"/>
          <w:sz w:val="24"/>
          <w:szCs w:val="24"/>
          <w:lang w:val="en-US"/>
        </w:rPr>
      </w:pPr>
      <w:r>
        <w:rPr>
          <w:rFonts w:ascii="Arial" w:hAnsi="Arial" w:eastAsia="Arial"/>
          <w:b/>
          <w:bCs/>
          <w:sz w:val="24"/>
          <w:szCs w:val="24"/>
        </w:rPr>
        <w:t>Student Name:</w:t>
      </w:r>
      <w:r>
        <w:rPr>
          <w:rFonts w:hint="default" w:ascii="Arial" w:hAnsi="Arial" w:eastAsia="Arial"/>
          <w:b/>
          <w:bCs/>
          <w:sz w:val="24"/>
          <w:szCs w:val="24"/>
          <w:lang w:val="en-US"/>
        </w:rPr>
        <w:t>Nirmal Trivedi</w:t>
      </w:r>
    </w:p>
    <w:p w14:paraId="5760C5CF">
      <w:pPr>
        <w:spacing w:before="0" w:after="240" w:line="360" w:lineRule="auto"/>
        <w:jc w:val="center"/>
        <w:rPr>
          <w:rFonts w:hint="default" w:ascii="Arial" w:hAnsi="Arial" w:eastAsia="Arial"/>
          <w:sz w:val="24"/>
          <w:szCs w:val="24"/>
          <w:lang w:val="en-US"/>
        </w:rPr>
      </w:pPr>
      <w:r>
        <w:rPr>
          <w:rFonts w:ascii="Arial" w:hAnsi="Arial" w:eastAsia="Arial"/>
          <w:b/>
          <w:bCs/>
          <w:sz w:val="24"/>
          <w:szCs w:val="24"/>
        </w:rPr>
        <w:t>Student ID:</w:t>
      </w:r>
      <w:r>
        <w:rPr>
          <w:rFonts w:hint="default" w:ascii="Arial" w:hAnsi="Arial" w:eastAsia="Arial"/>
          <w:b/>
          <w:bCs/>
          <w:sz w:val="24"/>
          <w:szCs w:val="24"/>
          <w:lang w:val="en-US"/>
        </w:rPr>
        <w:t>2534890</w:t>
      </w:r>
    </w:p>
    <w:p w14:paraId="458F2C54">
      <w:pPr>
        <w:pStyle w:val="2"/>
        <w:numPr>
          <w:ilvl w:val="0"/>
          <w:numId w:val="0"/>
        </w:numPr>
        <w:spacing w:line="360" w:lineRule="auto"/>
        <w:ind w:left="0" w:firstLine="0"/>
        <w:rPr>
          <w:rFonts w:ascii="Arial" w:hAnsi="Arial" w:eastAsia="Arial"/>
          <w:sz w:val="24"/>
          <w:szCs w:val="24"/>
        </w:rPr>
      </w:pPr>
    </w:p>
    <w:p w14:paraId="5AADA82D">
      <w:pPr>
        <w:pStyle w:val="4"/>
        <w:spacing w:line="360" w:lineRule="auto"/>
        <w:rPr>
          <w:rFonts w:hint="eastAsia" w:ascii="Arial" w:hAnsi="Arial" w:eastAsia="Arial"/>
          <w:sz w:val="24"/>
          <w:szCs w:val="24"/>
        </w:rPr>
      </w:pPr>
    </w:p>
    <w:p w14:paraId="13E1715C">
      <w:pPr>
        <w:pStyle w:val="4"/>
        <w:spacing w:line="360" w:lineRule="auto"/>
        <w:rPr>
          <w:rFonts w:hint="eastAsia" w:ascii="Arial" w:hAnsi="Arial" w:eastAsia="Arial"/>
          <w:sz w:val="24"/>
          <w:szCs w:val="24"/>
        </w:rPr>
      </w:pPr>
    </w:p>
    <w:p w14:paraId="7D1AEB22">
      <w:pPr>
        <w:pStyle w:val="4"/>
        <w:spacing w:line="360" w:lineRule="auto"/>
        <w:rPr>
          <w:rFonts w:hint="eastAsia" w:ascii="Arial" w:hAnsi="Arial" w:eastAsia="Arial"/>
          <w:sz w:val="24"/>
          <w:szCs w:val="24"/>
        </w:rPr>
      </w:pPr>
    </w:p>
    <w:p w14:paraId="390DA0C9">
      <w:pPr>
        <w:pStyle w:val="4"/>
        <w:spacing w:line="360" w:lineRule="auto"/>
        <w:rPr>
          <w:rFonts w:hint="eastAsia" w:ascii="Arial" w:hAnsi="Arial" w:eastAsia="Arial"/>
          <w:sz w:val="24"/>
          <w:szCs w:val="24"/>
        </w:rPr>
      </w:pPr>
    </w:p>
    <w:p w14:paraId="5F758F21">
      <w:pPr>
        <w:pStyle w:val="4"/>
        <w:spacing w:line="360" w:lineRule="auto"/>
        <w:rPr>
          <w:rFonts w:hint="eastAsia" w:ascii="Arial" w:hAnsi="Arial" w:eastAsia="Arial"/>
          <w:sz w:val="24"/>
          <w:szCs w:val="24"/>
        </w:rPr>
      </w:pPr>
    </w:p>
    <w:p w14:paraId="2FB22473">
      <w:pPr>
        <w:pStyle w:val="4"/>
        <w:spacing w:line="360" w:lineRule="auto"/>
        <w:rPr>
          <w:rFonts w:hint="eastAsia" w:ascii="Arial" w:hAnsi="Arial" w:eastAsia="Arial"/>
          <w:sz w:val="24"/>
          <w:szCs w:val="24"/>
        </w:rPr>
      </w:pPr>
    </w:p>
    <w:p w14:paraId="677F1134">
      <w:pPr>
        <w:pStyle w:val="4"/>
        <w:spacing w:line="360" w:lineRule="auto"/>
        <w:rPr>
          <w:rFonts w:hint="eastAsia" w:ascii="Arial" w:hAnsi="Arial" w:eastAsia="Arial"/>
          <w:sz w:val="24"/>
          <w:szCs w:val="24"/>
        </w:rPr>
      </w:pPr>
    </w:p>
    <w:p w14:paraId="520814DC">
      <w:pPr>
        <w:pStyle w:val="4"/>
        <w:spacing w:line="360" w:lineRule="auto"/>
        <w:rPr>
          <w:rFonts w:hint="eastAsia" w:ascii="Arial" w:hAnsi="Arial" w:eastAsia="Arial"/>
          <w:sz w:val="24"/>
          <w:szCs w:val="24"/>
        </w:rPr>
      </w:pPr>
    </w:p>
    <w:p w14:paraId="5DD623D7">
      <w:pPr>
        <w:pStyle w:val="4"/>
        <w:spacing w:line="360" w:lineRule="auto"/>
        <w:rPr>
          <w:rFonts w:hint="eastAsia" w:ascii="Arial" w:hAnsi="Arial" w:eastAsia="Arial"/>
          <w:sz w:val="24"/>
          <w:szCs w:val="24"/>
        </w:rPr>
      </w:pPr>
    </w:p>
    <w:p w14:paraId="2395DDEB">
      <w:pPr>
        <w:pStyle w:val="4"/>
        <w:spacing w:line="360" w:lineRule="auto"/>
        <w:rPr>
          <w:rFonts w:hint="eastAsia" w:ascii="Arial" w:hAnsi="Arial" w:eastAsia="Arial"/>
          <w:sz w:val="24"/>
          <w:szCs w:val="24"/>
        </w:rPr>
      </w:pPr>
    </w:p>
    <w:p w14:paraId="034374C2">
      <w:pPr>
        <w:pStyle w:val="4"/>
        <w:spacing w:line="360" w:lineRule="auto"/>
        <w:rPr>
          <w:rFonts w:hint="eastAsia" w:ascii="Arial" w:hAnsi="Arial" w:eastAsia="Arial"/>
          <w:sz w:val="24"/>
          <w:szCs w:val="24"/>
        </w:rPr>
      </w:pPr>
    </w:p>
    <w:p w14:paraId="793EADAF">
      <w:pPr>
        <w:spacing w:line="360" w:lineRule="auto"/>
        <w:rPr>
          <w:rFonts w:hint="eastAsia" w:ascii="Arial" w:hAnsi="Arial" w:eastAsia="Arial"/>
          <w:sz w:val="24"/>
          <w:szCs w:val="24"/>
        </w:rPr>
      </w:pPr>
    </w:p>
    <w:p w14:paraId="338C2E2A">
      <w:pPr>
        <w:spacing w:line="360" w:lineRule="auto"/>
        <w:rPr>
          <w:rFonts w:ascii="Arial" w:hAnsi="Arial" w:eastAsia="Arial"/>
          <w:sz w:val="24"/>
          <w:szCs w:val="24"/>
        </w:rPr>
      </w:pPr>
      <w:r>
        <w:rPr>
          <w:rFonts w:ascii="Arial" w:hAnsi="Arial" w:eastAsia="Arial"/>
          <w:sz w:val="24"/>
          <w:szCs w:val="24"/>
        </w:rPr>
        <w:t xml:space="preserve">       </w:t>
      </w:r>
      <w:r>
        <w:rPr>
          <w:rFonts w:ascii="Arial" w:hAnsi="Arial" w:eastAsia="Arial"/>
          <w:b/>
          <w:bCs/>
          <w:sz w:val="24"/>
          <w:szCs w:val="24"/>
          <w:lang w:val="en-IN"/>
        </w:rPr>
        <w:t>Table of Contents</w:t>
      </w:r>
    </w:p>
    <w:p w14:paraId="43417E00">
      <w:pPr>
        <w:spacing w:line="360" w:lineRule="auto"/>
        <w:rPr>
          <w:rFonts w:ascii="Arial" w:hAnsi="Arial" w:eastAsia="Arial"/>
          <w:sz w:val="24"/>
          <w:szCs w:val="24"/>
        </w:rPr>
      </w:pPr>
    </w:p>
    <w:p w14:paraId="49EE1B58">
      <w:pPr>
        <w:pStyle w:val="4"/>
        <w:numPr>
          <w:ilvl w:val="0"/>
          <w:numId w:val="2"/>
        </w:numPr>
        <w:spacing w:line="360" w:lineRule="auto"/>
        <w:rPr>
          <w:rFonts w:ascii="Arial" w:hAnsi="Arial" w:eastAsia="Arial"/>
          <w:sz w:val="24"/>
          <w:szCs w:val="24"/>
        </w:rPr>
      </w:pPr>
      <w:r>
        <w:rPr>
          <w:rFonts w:ascii="Arial" w:hAnsi="Arial" w:eastAsia="Arial"/>
          <w:b/>
          <w:bCs/>
          <w:sz w:val="24"/>
          <w:szCs w:val="24"/>
          <w:lang w:val="en-IN"/>
        </w:rPr>
        <w:t>Introduction</w:t>
      </w:r>
    </w:p>
    <w:p w14:paraId="0367D9EA">
      <w:pPr>
        <w:pStyle w:val="4"/>
        <w:spacing w:line="360" w:lineRule="auto"/>
        <w:ind w:left="720"/>
        <w:rPr>
          <w:rFonts w:ascii="Arial" w:hAnsi="Arial" w:eastAsia="Arial"/>
          <w:sz w:val="24"/>
          <w:szCs w:val="24"/>
          <w:lang w:val="en-IN"/>
        </w:rPr>
      </w:pPr>
    </w:p>
    <w:p w14:paraId="7396C62A">
      <w:pPr>
        <w:pStyle w:val="4"/>
        <w:numPr>
          <w:ilvl w:val="0"/>
          <w:numId w:val="2"/>
        </w:numPr>
        <w:spacing w:line="360" w:lineRule="auto"/>
        <w:rPr>
          <w:rFonts w:ascii="Arial" w:hAnsi="Arial" w:eastAsia="Arial"/>
          <w:sz w:val="24"/>
          <w:szCs w:val="24"/>
        </w:rPr>
      </w:pPr>
      <w:r>
        <w:rPr>
          <w:rFonts w:ascii="Arial" w:hAnsi="Arial" w:eastAsia="Arial"/>
          <w:b/>
          <w:bCs/>
          <w:sz w:val="24"/>
          <w:szCs w:val="24"/>
          <w:lang w:val="en-IN"/>
        </w:rPr>
        <w:t>Financial Health Check</w:t>
      </w:r>
    </w:p>
    <w:p w14:paraId="2871F25F">
      <w:pPr>
        <w:pStyle w:val="4"/>
        <w:numPr>
          <w:ilvl w:val="1"/>
          <w:numId w:val="2"/>
        </w:numPr>
        <w:spacing w:line="360" w:lineRule="auto"/>
        <w:rPr>
          <w:rFonts w:ascii="Arial" w:hAnsi="Arial" w:eastAsia="Arial"/>
          <w:sz w:val="24"/>
          <w:szCs w:val="24"/>
        </w:rPr>
      </w:pPr>
      <w:r>
        <w:rPr>
          <w:rFonts w:ascii="Arial" w:hAnsi="Arial" w:eastAsia="Arial"/>
          <w:sz w:val="24"/>
          <w:szCs w:val="24"/>
          <w:lang w:val="en-IN"/>
        </w:rPr>
        <w:t>2.1 Ratio Analysis</w:t>
      </w:r>
    </w:p>
    <w:p w14:paraId="1752CBAB">
      <w:pPr>
        <w:pStyle w:val="4"/>
        <w:numPr>
          <w:ilvl w:val="2"/>
          <w:numId w:val="2"/>
        </w:numPr>
        <w:spacing w:line="360" w:lineRule="auto"/>
        <w:rPr>
          <w:rFonts w:ascii="Arial" w:hAnsi="Arial" w:eastAsia="Arial"/>
          <w:sz w:val="24"/>
          <w:szCs w:val="24"/>
        </w:rPr>
      </w:pPr>
      <w:r>
        <w:rPr>
          <w:rFonts w:ascii="Arial" w:hAnsi="Arial" w:eastAsia="Arial"/>
          <w:sz w:val="24"/>
          <w:szCs w:val="24"/>
          <w:lang w:val="en-IN"/>
        </w:rPr>
        <w:t>Profitability Ratio Analysis</w:t>
      </w:r>
    </w:p>
    <w:p w14:paraId="4C6F9B8D">
      <w:pPr>
        <w:pStyle w:val="4"/>
        <w:numPr>
          <w:ilvl w:val="2"/>
          <w:numId w:val="2"/>
        </w:numPr>
        <w:spacing w:line="360" w:lineRule="auto"/>
        <w:rPr>
          <w:rFonts w:ascii="Arial" w:hAnsi="Arial" w:eastAsia="Arial"/>
          <w:sz w:val="24"/>
          <w:szCs w:val="24"/>
        </w:rPr>
      </w:pPr>
      <w:r>
        <w:rPr>
          <w:rFonts w:ascii="Arial" w:hAnsi="Arial" w:eastAsia="Arial"/>
          <w:sz w:val="24"/>
          <w:szCs w:val="24"/>
          <w:lang w:val="en-IN"/>
        </w:rPr>
        <w:t>Liquidity Ratio Analysis</w:t>
      </w:r>
    </w:p>
    <w:p w14:paraId="4A075919">
      <w:pPr>
        <w:pStyle w:val="4"/>
        <w:numPr>
          <w:ilvl w:val="2"/>
          <w:numId w:val="2"/>
        </w:numPr>
        <w:spacing w:line="360" w:lineRule="auto"/>
        <w:rPr>
          <w:rFonts w:ascii="Arial" w:hAnsi="Arial" w:eastAsia="Arial"/>
          <w:sz w:val="24"/>
          <w:szCs w:val="24"/>
        </w:rPr>
      </w:pPr>
      <w:r>
        <w:rPr>
          <w:rFonts w:ascii="Arial" w:hAnsi="Arial" w:eastAsia="Arial"/>
          <w:sz w:val="24"/>
          <w:szCs w:val="24"/>
          <w:lang w:val="en-IN"/>
        </w:rPr>
        <w:t>Efficiency Ratio Analysis</w:t>
      </w:r>
    </w:p>
    <w:p w14:paraId="3A3999E4">
      <w:pPr>
        <w:pStyle w:val="4"/>
        <w:numPr>
          <w:ilvl w:val="2"/>
          <w:numId w:val="2"/>
        </w:numPr>
        <w:spacing w:line="360" w:lineRule="auto"/>
        <w:rPr>
          <w:rFonts w:ascii="Arial" w:hAnsi="Arial" w:eastAsia="Arial"/>
          <w:sz w:val="24"/>
          <w:szCs w:val="24"/>
        </w:rPr>
      </w:pPr>
      <w:r>
        <w:rPr>
          <w:rFonts w:ascii="Arial" w:hAnsi="Arial" w:eastAsia="Arial"/>
          <w:sz w:val="24"/>
          <w:szCs w:val="24"/>
          <w:lang w:val="en-IN"/>
        </w:rPr>
        <w:t>Gearing Ratio Analysis</w:t>
      </w:r>
    </w:p>
    <w:p w14:paraId="09786196">
      <w:pPr>
        <w:pStyle w:val="4"/>
        <w:numPr>
          <w:ilvl w:val="2"/>
          <w:numId w:val="2"/>
        </w:numPr>
        <w:spacing w:line="360" w:lineRule="auto"/>
        <w:rPr>
          <w:rFonts w:ascii="Arial" w:hAnsi="Arial" w:eastAsia="Arial"/>
          <w:sz w:val="24"/>
          <w:szCs w:val="24"/>
        </w:rPr>
      </w:pPr>
      <w:r>
        <w:rPr>
          <w:rFonts w:ascii="Arial" w:hAnsi="Arial" w:eastAsia="Arial"/>
          <w:sz w:val="24"/>
          <w:szCs w:val="24"/>
          <w:lang w:val="en-IN"/>
        </w:rPr>
        <w:t>Investment Ratio Analysis</w:t>
      </w:r>
    </w:p>
    <w:p w14:paraId="2F6D4EDF">
      <w:pPr>
        <w:pStyle w:val="4"/>
        <w:numPr>
          <w:ilvl w:val="2"/>
          <w:numId w:val="2"/>
        </w:numPr>
        <w:spacing w:line="360" w:lineRule="auto"/>
        <w:rPr>
          <w:rFonts w:ascii="Arial" w:hAnsi="Arial" w:eastAsia="Arial"/>
          <w:sz w:val="24"/>
          <w:szCs w:val="24"/>
        </w:rPr>
      </w:pPr>
      <w:r>
        <w:rPr>
          <w:rFonts w:ascii="Arial" w:hAnsi="Arial" w:eastAsia="Arial"/>
          <w:sz w:val="24"/>
          <w:szCs w:val="24"/>
          <w:lang w:val="en-IN"/>
        </w:rPr>
        <w:t>Cash Flow Ratio Analysis</w:t>
      </w:r>
    </w:p>
    <w:p w14:paraId="0E6F42D9">
      <w:pPr>
        <w:pStyle w:val="4"/>
        <w:numPr>
          <w:ilvl w:val="1"/>
          <w:numId w:val="2"/>
        </w:numPr>
        <w:spacing w:line="360" w:lineRule="auto"/>
        <w:rPr>
          <w:rFonts w:ascii="Arial" w:hAnsi="Arial" w:eastAsia="Arial"/>
          <w:sz w:val="24"/>
          <w:szCs w:val="24"/>
        </w:rPr>
      </w:pPr>
      <w:r>
        <w:rPr>
          <w:rFonts w:ascii="Arial" w:hAnsi="Arial" w:eastAsia="Arial"/>
          <w:sz w:val="24"/>
          <w:szCs w:val="24"/>
          <w:lang w:val="en-IN"/>
        </w:rPr>
        <w:t>2.2 Financial Trends Analysis</w:t>
      </w:r>
    </w:p>
    <w:p w14:paraId="69616C25">
      <w:pPr>
        <w:pStyle w:val="4"/>
        <w:numPr>
          <w:ilvl w:val="1"/>
          <w:numId w:val="2"/>
        </w:numPr>
        <w:spacing w:line="360" w:lineRule="auto"/>
        <w:rPr>
          <w:rFonts w:ascii="Arial" w:hAnsi="Arial" w:eastAsia="Arial"/>
          <w:sz w:val="24"/>
          <w:szCs w:val="24"/>
        </w:rPr>
      </w:pPr>
      <w:r>
        <w:rPr>
          <w:rFonts w:ascii="Arial" w:hAnsi="Arial" w:eastAsia="Arial"/>
          <w:sz w:val="24"/>
          <w:szCs w:val="24"/>
          <w:lang w:val="en-IN"/>
        </w:rPr>
        <w:t>2.3 Industry Comparison and Liquidity Position</w:t>
      </w:r>
    </w:p>
    <w:p w14:paraId="792E6897">
      <w:pPr>
        <w:pStyle w:val="4"/>
        <w:numPr>
          <w:ilvl w:val="0"/>
          <w:numId w:val="2"/>
        </w:numPr>
        <w:spacing w:line="360" w:lineRule="auto"/>
        <w:rPr>
          <w:rFonts w:ascii="Arial" w:hAnsi="Arial" w:eastAsia="Arial"/>
          <w:sz w:val="24"/>
          <w:szCs w:val="24"/>
        </w:rPr>
      </w:pPr>
      <w:r>
        <w:rPr>
          <w:rFonts w:ascii="Arial" w:hAnsi="Arial" w:eastAsia="Arial"/>
          <w:b/>
          <w:bCs/>
          <w:sz w:val="24"/>
          <w:szCs w:val="24"/>
          <w:lang w:val="en-IN"/>
        </w:rPr>
        <w:t>Working Capital Management Analysis</w:t>
      </w:r>
    </w:p>
    <w:p w14:paraId="1D6F12E6">
      <w:pPr>
        <w:pStyle w:val="4"/>
        <w:numPr>
          <w:ilvl w:val="1"/>
          <w:numId w:val="2"/>
        </w:numPr>
        <w:spacing w:line="360" w:lineRule="auto"/>
        <w:rPr>
          <w:rFonts w:ascii="Arial" w:hAnsi="Arial" w:eastAsia="Arial"/>
          <w:sz w:val="24"/>
          <w:szCs w:val="24"/>
        </w:rPr>
      </w:pPr>
      <w:r>
        <w:rPr>
          <w:rFonts w:ascii="Arial" w:hAnsi="Arial" w:eastAsia="Arial"/>
          <w:sz w:val="24"/>
          <w:szCs w:val="24"/>
          <w:lang w:val="en-IN"/>
        </w:rPr>
        <w:t>3.1 Cash Operating Cycle</w:t>
      </w:r>
    </w:p>
    <w:p w14:paraId="2BA29FD1">
      <w:pPr>
        <w:pStyle w:val="4"/>
        <w:numPr>
          <w:ilvl w:val="1"/>
          <w:numId w:val="2"/>
        </w:numPr>
        <w:spacing w:line="360" w:lineRule="auto"/>
        <w:rPr>
          <w:rFonts w:ascii="Arial" w:hAnsi="Arial" w:eastAsia="Arial"/>
          <w:sz w:val="24"/>
          <w:szCs w:val="24"/>
        </w:rPr>
      </w:pPr>
      <w:r>
        <w:rPr>
          <w:rFonts w:ascii="Arial" w:hAnsi="Arial" w:eastAsia="Arial"/>
          <w:sz w:val="24"/>
          <w:szCs w:val="24"/>
          <w:lang w:val="en-IN"/>
        </w:rPr>
        <w:t>3.2 Working Capital Improvement Strategies</w:t>
      </w:r>
    </w:p>
    <w:p w14:paraId="04F65E97">
      <w:pPr>
        <w:pStyle w:val="4"/>
        <w:numPr>
          <w:ilvl w:val="1"/>
          <w:numId w:val="2"/>
        </w:numPr>
        <w:spacing w:line="360" w:lineRule="auto"/>
        <w:rPr>
          <w:rFonts w:ascii="Arial" w:hAnsi="Arial" w:eastAsia="Arial"/>
          <w:sz w:val="24"/>
          <w:szCs w:val="24"/>
        </w:rPr>
      </w:pPr>
      <w:r>
        <w:rPr>
          <w:rFonts w:ascii="Arial" w:hAnsi="Arial" w:eastAsia="Arial"/>
          <w:sz w:val="24"/>
          <w:szCs w:val="24"/>
          <w:lang w:val="en-IN"/>
        </w:rPr>
        <w:t>3.3 Short-Term and Long-Term Financing Methods</w:t>
      </w:r>
    </w:p>
    <w:p w14:paraId="4A8C0487">
      <w:pPr>
        <w:pStyle w:val="4"/>
        <w:numPr>
          <w:ilvl w:val="0"/>
          <w:numId w:val="2"/>
        </w:numPr>
        <w:spacing w:line="360" w:lineRule="auto"/>
        <w:rPr>
          <w:rFonts w:ascii="Arial" w:hAnsi="Arial" w:eastAsia="Arial"/>
          <w:sz w:val="24"/>
          <w:szCs w:val="24"/>
        </w:rPr>
      </w:pPr>
      <w:r>
        <w:rPr>
          <w:rFonts w:ascii="Arial" w:hAnsi="Arial" w:eastAsia="Arial"/>
          <w:b/>
          <w:bCs/>
          <w:sz w:val="24"/>
          <w:szCs w:val="24"/>
          <w:lang w:val="en-IN"/>
        </w:rPr>
        <w:t>Financial Plan for Restructuring</w:t>
      </w:r>
    </w:p>
    <w:p w14:paraId="79F3F92E">
      <w:pPr>
        <w:pStyle w:val="4"/>
        <w:numPr>
          <w:ilvl w:val="1"/>
          <w:numId w:val="2"/>
        </w:numPr>
        <w:spacing w:line="360" w:lineRule="auto"/>
        <w:rPr>
          <w:rFonts w:ascii="Arial" w:hAnsi="Arial" w:eastAsia="Arial"/>
          <w:sz w:val="24"/>
          <w:szCs w:val="24"/>
        </w:rPr>
      </w:pPr>
      <w:r>
        <w:rPr>
          <w:rFonts w:ascii="Arial" w:hAnsi="Arial" w:eastAsia="Arial"/>
          <w:sz w:val="24"/>
          <w:szCs w:val="24"/>
          <w:lang w:val="en-IN"/>
        </w:rPr>
        <w:t>4.1 Restructuring Options</w:t>
      </w:r>
    </w:p>
    <w:p w14:paraId="79AF39A6">
      <w:pPr>
        <w:pStyle w:val="4"/>
        <w:numPr>
          <w:ilvl w:val="2"/>
          <w:numId w:val="2"/>
        </w:numPr>
        <w:spacing w:line="360" w:lineRule="auto"/>
        <w:rPr>
          <w:rFonts w:ascii="Arial" w:hAnsi="Arial" w:eastAsia="Arial"/>
          <w:sz w:val="24"/>
          <w:szCs w:val="24"/>
        </w:rPr>
      </w:pPr>
      <w:r>
        <w:rPr>
          <w:rFonts w:ascii="Arial" w:hAnsi="Arial" w:eastAsia="Arial"/>
          <w:sz w:val="24"/>
          <w:szCs w:val="24"/>
          <w:lang w:val="en-IN"/>
        </w:rPr>
        <w:t>Divestiture</w:t>
      </w:r>
    </w:p>
    <w:p w14:paraId="64D1EBF8">
      <w:pPr>
        <w:pStyle w:val="4"/>
        <w:numPr>
          <w:ilvl w:val="2"/>
          <w:numId w:val="2"/>
        </w:numPr>
        <w:spacing w:line="360" w:lineRule="auto"/>
        <w:rPr>
          <w:rFonts w:ascii="Arial" w:hAnsi="Arial" w:eastAsia="Arial"/>
          <w:sz w:val="24"/>
          <w:szCs w:val="24"/>
        </w:rPr>
      </w:pPr>
      <w:r>
        <w:rPr>
          <w:rFonts w:ascii="Arial" w:hAnsi="Arial" w:eastAsia="Arial"/>
          <w:sz w:val="24"/>
          <w:szCs w:val="24"/>
          <w:lang w:val="en-IN"/>
        </w:rPr>
        <w:t>Merger &amp; Acquisition</w:t>
      </w:r>
    </w:p>
    <w:p w14:paraId="4A61316D">
      <w:pPr>
        <w:pStyle w:val="4"/>
        <w:numPr>
          <w:ilvl w:val="2"/>
          <w:numId w:val="2"/>
        </w:numPr>
        <w:spacing w:line="360" w:lineRule="auto"/>
        <w:rPr>
          <w:rFonts w:ascii="Arial" w:hAnsi="Arial" w:eastAsia="Arial"/>
          <w:sz w:val="24"/>
          <w:szCs w:val="24"/>
        </w:rPr>
      </w:pPr>
      <w:r>
        <w:rPr>
          <w:rFonts w:ascii="Arial" w:hAnsi="Arial" w:eastAsia="Arial"/>
          <w:sz w:val="24"/>
          <w:szCs w:val="24"/>
          <w:lang w:val="en-IN"/>
        </w:rPr>
        <w:t>Equity Injection</w:t>
      </w:r>
    </w:p>
    <w:p w14:paraId="52F9CE26">
      <w:pPr>
        <w:pStyle w:val="4"/>
        <w:numPr>
          <w:ilvl w:val="1"/>
          <w:numId w:val="2"/>
        </w:numPr>
        <w:spacing w:line="360" w:lineRule="auto"/>
        <w:rPr>
          <w:rFonts w:ascii="Arial" w:hAnsi="Arial" w:eastAsia="Arial"/>
          <w:sz w:val="24"/>
          <w:szCs w:val="24"/>
        </w:rPr>
      </w:pPr>
      <w:r>
        <w:rPr>
          <w:rFonts w:ascii="Arial" w:hAnsi="Arial" w:eastAsia="Arial"/>
          <w:sz w:val="24"/>
          <w:szCs w:val="24"/>
          <w:lang w:val="en-IN"/>
        </w:rPr>
        <w:t>4.2 Shareholder Value, Debt Structure, and Operational Flexibility</w:t>
      </w:r>
    </w:p>
    <w:p w14:paraId="593C05B2">
      <w:pPr>
        <w:pStyle w:val="4"/>
        <w:numPr>
          <w:ilvl w:val="1"/>
          <w:numId w:val="2"/>
        </w:numPr>
        <w:spacing w:line="360" w:lineRule="auto"/>
        <w:rPr>
          <w:rFonts w:ascii="Arial" w:hAnsi="Arial" w:eastAsia="Arial"/>
          <w:sz w:val="24"/>
          <w:szCs w:val="24"/>
        </w:rPr>
      </w:pPr>
      <w:r>
        <w:rPr>
          <w:rFonts w:ascii="Arial" w:hAnsi="Arial" w:eastAsia="Arial"/>
          <w:sz w:val="24"/>
          <w:szCs w:val="24"/>
          <w:lang w:val="en-IN"/>
        </w:rPr>
        <w:t>4.3 International and Ethical Considerations</w:t>
      </w:r>
    </w:p>
    <w:p w14:paraId="02E00F28">
      <w:pPr>
        <w:pStyle w:val="4"/>
        <w:numPr>
          <w:ilvl w:val="0"/>
          <w:numId w:val="2"/>
        </w:numPr>
        <w:spacing w:line="360" w:lineRule="auto"/>
        <w:rPr>
          <w:rFonts w:ascii="Arial" w:hAnsi="Arial" w:eastAsia="Arial"/>
          <w:sz w:val="24"/>
          <w:szCs w:val="24"/>
        </w:rPr>
      </w:pPr>
      <w:r>
        <w:rPr>
          <w:rFonts w:ascii="Arial" w:hAnsi="Arial" w:eastAsia="Arial"/>
          <w:b/>
          <w:bCs/>
          <w:sz w:val="24"/>
          <w:szCs w:val="24"/>
          <w:lang w:val="en-IN"/>
        </w:rPr>
        <w:t>Investment Appraisal and Capital Budgeting</w:t>
      </w:r>
    </w:p>
    <w:p w14:paraId="51A30462">
      <w:pPr>
        <w:pStyle w:val="4"/>
        <w:numPr>
          <w:ilvl w:val="1"/>
          <w:numId w:val="2"/>
        </w:numPr>
        <w:spacing w:line="360" w:lineRule="auto"/>
        <w:rPr>
          <w:rFonts w:ascii="Arial" w:hAnsi="Arial" w:eastAsia="Arial"/>
          <w:sz w:val="24"/>
          <w:szCs w:val="24"/>
        </w:rPr>
      </w:pPr>
      <w:r>
        <w:rPr>
          <w:rFonts w:ascii="Arial" w:hAnsi="Arial" w:eastAsia="Arial"/>
          <w:sz w:val="24"/>
          <w:szCs w:val="24"/>
          <w:lang w:val="en-IN"/>
        </w:rPr>
        <w:t>5.1 Project Description</w:t>
      </w:r>
    </w:p>
    <w:p w14:paraId="3A1DEF42">
      <w:pPr>
        <w:pStyle w:val="4"/>
        <w:numPr>
          <w:ilvl w:val="2"/>
          <w:numId w:val="2"/>
        </w:numPr>
        <w:spacing w:line="360" w:lineRule="auto"/>
        <w:rPr>
          <w:rFonts w:ascii="Arial" w:hAnsi="Arial" w:eastAsia="Arial"/>
          <w:sz w:val="24"/>
          <w:szCs w:val="24"/>
        </w:rPr>
      </w:pPr>
      <w:r>
        <w:rPr>
          <w:rFonts w:ascii="Arial" w:hAnsi="Arial" w:eastAsia="Arial"/>
          <w:sz w:val="24"/>
          <w:szCs w:val="24"/>
          <w:lang w:val="en-IN"/>
        </w:rPr>
        <w:t>Project A</w:t>
      </w:r>
    </w:p>
    <w:p w14:paraId="340B893B">
      <w:pPr>
        <w:pStyle w:val="4"/>
        <w:numPr>
          <w:ilvl w:val="2"/>
          <w:numId w:val="2"/>
        </w:numPr>
        <w:spacing w:line="360" w:lineRule="auto"/>
        <w:rPr>
          <w:rFonts w:ascii="Arial" w:hAnsi="Arial" w:eastAsia="Arial"/>
          <w:sz w:val="24"/>
          <w:szCs w:val="24"/>
        </w:rPr>
      </w:pPr>
      <w:r>
        <w:rPr>
          <w:rFonts w:ascii="Arial" w:hAnsi="Arial" w:eastAsia="Arial"/>
          <w:sz w:val="24"/>
          <w:szCs w:val="24"/>
          <w:lang w:val="en-IN"/>
        </w:rPr>
        <w:t>Project B</w:t>
      </w:r>
    </w:p>
    <w:p w14:paraId="40F9F637">
      <w:pPr>
        <w:pStyle w:val="4"/>
        <w:numPr>
          <w:ilvl w:val="2"/>
          <w:numId w:val="2"/>
        </w:numPr>
        <w:spacing w:line="360" w:lineRule="auto"/>
        <w:rPr>
          <w:rFonts w:ascii="Arial" w:hAnsi="Arial" w:eastAsia="Arial"/>
          <w:sz w:val="24"/>
          <w:szCs w:val="24"/>
        </w:rPr>
      </w:pPr>
      <w:r>
        <w:rPr>
          <w:rFonts w:ascii="Arial" w:hAnsi="Arial" w:eastAsia="Arial"/>
          <w:sz w:val="24"/>
          <w:szCs w:val="24"/>
          <w:lang w:val="en-IN"/>
        </w:rPr>
        <w:t>Project C</w:t>
      </w:r>
    </w:p>
    <w:p w14:paraId="35E4A5C4">
      <w:pPr>
        <w:pStyle w:val="4"/>
        <w:numPr>
          <w:ilvl w:val="1"/>
          <w:numId w:val="2"/>
        </w:numPr>
        <w:spacing w:line="360" w:lineRule="auto"/>
        <w:rPr>
          <w:rFonts w:ascii="Arial" w:hAnsi="Arial" w:eastAsia="Arial"/>
          <w:sz w:val="24"/>
          <w:szCs w:val="24"/>
        </w:rPr>
      </w:pPr>
      <w:r>
        <w:rPr>
          <w:rFonts w:ascii="Arial" w:hAnsi="Arial" w:eastAsia="Arial"/>
          <w:sz w:val="24"/>
          <w:szCs w:val="24"/>
          <w:lang w:val="en-IN"/>
        </w:rPr>
        <w:t>5.2 Project Recommendation</w:t>
      </w:r>
    </w:p>
    <w:p w14:paraId="1AD33125">
      <w:pPr>
        <w:pStyle w:val="4"/>
        <w:numPr>
          <w:ilvl w:val="1"/>
          <w:numId w:val="2"/>
        </w:numPr>
        <w:spacing w:line="360" w:lineRule="auto"/>
        <w:rPr>
          <w:rFonts w:ascii="Arial" w:hAnsi="Arial" w:eastAsia="Arial"/>
          <w:sz w:val="24"/>
          <w:szCs w:val="24"/>
        </w:rPr>
      </w:pPr>
      <w:r>
        <w:rPr>
          <w:rFonts w:ascii="Arial" w:hAnsi="Arial" w:eastAsia="Arial"/>
          <w:sz w:val="24"/>
          <w:szCs w:val="24"/>
          <w:lang w:val="en-IN"/>
        </w:rPr>
        <w:t>5.3 Capital Rationing Analysis</w:t>
      </w:r>
    </w:p>
    <w:p w14:paraId="4B3F247A">
      <w:pPr>
        <w:pStyle w:val="4"/>
        <w:numPr>
          <w:ilvl w:val="0"/>
          <w:numId w:val="2"/>
        </w:numPr>
        <w:spacing w:line="360" w:lineRule="auto"/>
        <w:rPr>
          <w:rFonts w:ascii="Arial" w:hAnsi="Arial" w:eastAsia="Arial"/>
          <w:sz w:val="24"/>
          <w:szCs w:val="24"/>
        </w:rPr>
      </w:pPr>
      <w:r>
        <w:rPr>
          <w:rFonts w:ascii="Arial" w:hAnsi="Arial" w:eastAsia="Arial"/>
          <w:b/>
          <w:bCs/>
          <w:sz w:val="24"/>
          <w:szCs w:val="24"/>
          <w:lang w:val="en-IN"/>
        </w:rPr>
        <w:t>Critical Reflection on AI Usage</w:t>
      </w:r>
    </w:p>
    <w:p w14:paraId="2E384AAD">
      <w:pPr>
        <w:pStyle w:val="4"/>
        <w:numPr>
          <w:ilvl w:val="1"/>
          <w:numId w:val="2"/>
        </w:numPr>
        <w:spacing w:line="360" w:lineRule="auto"/>
        <w:rPr>
          <w:rFonts w:ascii="Arial" w:hAnsi="Arial" w:eastAsia="Arial"/>
          <w:sz w:val="24"/>
          <w:szCs w:val="24"/>
        </w:rPr>
      </w:pPr>
      <w:r>
        <w:rPr>
          <w:rFonts w:ascii="Arial" w:hAnsi="Arial" w:eastAsia="Arial"/>
          <w:sz w:val="24"/>
          <w:szCs w:val="24"/>
          <w:lang w:val="en-IN"/>
        </w:rPr>
        <w:t>6.1 Tool Disclosure</w:t>
      </w:r>
    </w:p>
    <w:p w14:paraId="2076587C">
      <w:pPr>
        <w:pStyle w:val="4"/>
        <w:numPr>
          <w:ilvl w:val="1"/>
          <w:numId w:val="2"/>
        </w:numPr>
        <w:spacing w:line="360" w:lineRule="auto"/>
        <w:rPr>
          <w:rFonts w:ascii="Arial" w:hAnsi="Arial" w:eastAsia="Arial"/>
          <w:sz w:val="24"/>
          <w:szCs w:val="24"/>
        </w:rPr>
      </w:pPr>
      <w:r>
        <w:rPr>
          <w:rFonts w:ascii="Arial" w:hAnsi="Arial" w:eastAsia="Arial"/>
          <w:sz w:val="24"/>
          <w:szCs w:val="24"/>
          <w:lang w:val="en-IN"/>
        </w:rPr>
        <w:t>6.2 Critical Evaluation of AI Output</w:t>
      </w:r>
    </w:p>
    <w:p w14:paraId="5ACEA91A">
      <w:pPr>
        <w:pStyle w:val="4"/>
        <w:numPr>
          <w:ilvl w:val="1"/>
          <w:numId w:val="2"/>
        </w:numPr>
        <w:spacing w:line="360" w:lineRule="auto"/>
        <w:rPr>
          <w:rFonts w:ascii="Arial" w:hAnsi="Arial" w:eastAsia="Arial"/>
          <w:sz w:val="24"/>
          <w:szCs w:val="24"/>
        </w:rPr>
      </w:pPr>
      <w:r>
        <w:rPr>
          <w:rFonts w:ascii="Arial" w:hAnsi="Arial" w:eastAsia="Arial"/>
          <w:sz w:val="24"/>
          <w:szCs w:val="24"/>
          <w:lang w:val="en-IN"/>
        </w:rPr>
        <w:t>6.3 Contribution Analysis</w:t>
      </w:r>
    </w:p>
    <w:p w14:paraId="3C929B29">
      <w:pPr>
        <w:pStyle w:val="4"/>
        <w:numPr>
          <w:ilvl w:val="1"/>
          <w:numId w:val="2"/>
        </w:numPr>
        <w:spacing w:line="360" w:lineRule="auto"/>
        <w:rPr>
          <w:rFonts w:ascii="Arial" w:hAnsi="Arial" w:eastAsia="Arial"/>
          <w:sz w:val="24"/>
          <w:szCs w:val="24"/>
        </w:rPr>
      </w:pPr>
      <w:r>
        <w:rPr>
          <w:rFonts w:ascii="Arial" w:hAnsi="Arial" w:eastAsia="Arial"/>
          <w:sz w:val="24"/>
          <w:szCs w:val="24"/>
          <w:lang w:val="en-IN"/>
        </w:rPr>
        <w:t>6.4 Ethical and Professional Reflection</w:t>
      </w:r>
    </w:p>
    <w:p w14:paraId="2C2323A3">
      <w:pPr>
        <w:pStyle w:val="4"/>
        <w:numPr>
          <w:ilvl w:val="0"/>
          <w:numId w:val="2"/>
        </w:numPr>
        <w:spacing w:line="360" w:lineRule="auto"/>
        <w:rPr>
          <w:rFonts w:ascii="Arial" w:hAnsi="Arial" w:eastAsia="Arial"/>
          <w:sz w:val="24"/>
          <w:szCs w:val="24"/>
        </w:rPr>
      </w:pPr>
      <w:r>
        <w:rPr>
          <w:rFonts w:ascii="Arial" w:hAnsi="Arial" w:eastAsia="Arial"/>
          <w:b/>
          <w:bCs/>
          <w:sz w:val="24"/>
          <w:szCs w:val="24"/>
          <w:lang w:val="en-IN"/>
        </w:rPr>
        <w:t>Conclusion</w:t>
      </w:r>
    </w:p>
    <w:p w14:paraId="0AB26A48">
      <w:pPr>
        <w:pStyle w:val="4"/>
        <w:numPr>
          <w:ilvl w:val="0"/>
          <w:numId w:val="2"/>
        </w:numPr>
        <w:spacing w:line="360" w:lineRule="auto"/>
        <w:rPr>
          <w:rFonts w:ascii="Arial" w:hAnsi="Arial" w:eastAsia="Arial"/>
          <w:sz w:val="24"/>
          <w:szCs w:val="24"/>
        </w:rPr>
      </w:pPr>
      <w:r>
        <w:rPr>
          <w:rFonts w:ascii="Arial" w:hAnsi="Arial" w:eastAsia="Arial"/>
          <w:b/>
          <w:bCs/>
          <w:sz w:val="24"/>
          <w:szCs w:val="24"/>
          <w:lang w:val="en-IN"/>
        </w:rPr>
        <w:t>References</w:t>
      </w:r>
    </w:p>
    <w:p w14:paraId="61C87EF8">
      <w:pPr>
        <w:pStyle w:val="4"/>
        <w:numPr>
          <w:ilvl w:val="0"/>
          <w:numId w:val="2"/>
        </w:numPr>
        <w:spacing w:line="360" w:lineRule="auto"/>
        <w:rPr>
          <w:rFonts w:ascii="Arial" w:hAnsi="Arial" w:eastAsia="Arial"/>
          <w:sz w:val="24"/>
          <w:szCs w:val="24"/>
        </w:rPr>
      </w:pPr>
      <w:r>
        <w:rPr>
          <w:rFonts w:ascii="Arial" w:hAnsi="Arial" w:eastAsia="Arial"/>
          <w:b/>
          <w:bCs/>
          <w:sz w:val="24"/>
          <w:szCs w:val="24"/>
          <w:lang w:val="en-IN"/>
        </w:rPr>
        <w:t>Appendices</w:t>
      </w:r>
    </w:p>
    <w:p w14:paraId="32DB6656">
      <w:pPr>
        <w:pStyle w:val="4"/>
        <w:numPr>
          <w:ilvl w:val="1"/>
          <w:numId w:val="2"/>
        </w:numPr>
        <w:spacing w:line="360" w:lineRule="auto"/>
        <w:rPr>
          <w:rFonts w:ascii="Arial" w:hAnsi="Arial" w:eastAsia="Arial"/>
          <w:sz w:val="24"/>
          <w:szCs w:val="24"/>
        </w:rPr>
      </w:pPr>
      <w:r>
        <w:rPr>
          <w:rFonts w:ascii="Arial" w:hAnsi="Arial" w:eastAsia="Arial"/>
          <w:sz w:val="24"/>
          <w:szCs w:val="24"/>
          <w:lang w:val="en-IN"/>
        </w:rPr>
        <w:t>Appendix A: Ratio Tables and Graphs</w:t>
      </w:r>
    </w:p>
    <w:p w14:paraId="3F5DB83F">
      <w:pPr>
        <w:pStyle w:val="4"/>
        <w:numPr>
          <w:ilvl w:val="1"/>
          <w:numId w:val="2"/>
        </w:numPr>
        <w:spacing w:line="360" w:lineRule="auto"/>
        <w:rPr>
          <w:rFonts w:ascii="Arial" w:hAnsi="Arial" w:eastAsia="Arial"/>
          <w:sz w:val="24"/>
          <w:szCs w:val="24"/>
        </w:rPr>
      </w:pPr>
      <w:r>
        <w:rPr>
          <w:rFonts w:ascii="Arial" w:hAnsi="Arial" w:eastAsia="Arial"/>
          <w:sz w:val="24"/>
          <w:szCs w:val="24"/>
          <w:lang w:val="en-IN"/>
        </w:rPr>
        <w:t>Appendix B: Investment Appraisal Calculations</w:t>
      </w:r>
    </w:p>
    <w:p w14:paraId="3111D5BE">
      <w:pPr>
        <w:pStyle w:val="4"/>
        <w:numPr>
          <w:ilvl w:val="1"/>
          <w:numId w:val="2"/>
        </w:numPr>
        <w:spacing w:line="360" w:lineRule="auto"/>
        <w:rPr>
          <w:rFonts w:ascii="Arial" w:hAnsi="Arial" w:eastAsia="Arial"/>
          <w:sz w:val="24"/>
          <w:szCs w:val="24"/>
        </w:rPr>
      </w:pPr>
      <w:r>
        <w:rPr>
          <w:rFonts w:ascii="Arial" w:hAnsi="Arial" w:eastAsia="Arial"/>
          <w:sz w:val="24"/>
          <w:szCs w:val="24"/>
          <w:lang w:val="en-IN"/>
        </w:rPr>
        <w:t>Appendix C: Excel Calculation Sheets</w:t>
      </w:r>
    </w:p>
    <w:p w14:paraId="69699BA9">
      <w:pPr>
        <w:pStyle w:val="4"/>
        <w:spacing w:line="360" w:lineRule="auto"/>
        <w:rPr>
          <w:rFonts w:ascii="Arial" w:hAnsi="Arial" w:eastAsia="Arial"/>
          <w:sz w:val="24"/>
          <w:szCs w:val="24"/>
        </w:rPr>
      </w:pPr>
    </w:p>
    <w:p w14:paraId="54383EA5">
      <w:pPr>
        <w:pStyle w:val="4"/>
        <w:spacing w:line="360" w:lineRule="auto"/>
        <w:rPr>
          <w:rFonts w:ascii="Arial" w:hAnsi="Arial" w:eastAsia="Arial"/>
          <w:sz w:val="24"/>
          <w:szCs w:val="24"/>
        </w:rPr>
      </w:pPr>
    </w:p>
    <w:p w14:paraId="59CFACCE">
      <w:pPr>
        <w:pStyle w:val="4"/>
        <w:spacing w:line="360" w:lineRule="auto"/>
        <w:rPr>
          <w:rFonts w:ascii="Arial" w:hAnsi="Arial" w:eastAsia="Arial"/>
          <w:sz w:val="24"/>
          <w:szCs w:val="24"/>
        </w:rPr>
      </w:pPr>
    </w:p>
    <w:p w14:paraId="2D8F811E">
      <w:pPr>
        <w:pStyle w:val="4"/>
        <w:spacing w:line="360" w:lineRule="auto"/>
        <w:rPr>
          <w:rFonts w:ascii="Arial" w:hAnsi="Arial" w:eastAsia="Arial"/>
          <w:sz w:val="24"/>
          <w:szCs w:val="24"/>
        </w:rPr>
      </w:pPr>
    </w:p>
    <w:p w14:paraId="672F5868">
      <w:pPr>
        <w:pStyle w:val="4"/>
        <w:spacing w:line="360" w:lineRule="auto"/>
        <w:rPr>
          <w:rFonts w:hint="eastAsia" w:ascii="Arial" w:hAnsi="Arial" w:eastAsia="Arial"/>
          <w:sz w:val="24"/>
          <w:szCs w:val="24"/>
        </w:rPr>
      </w:pPr>
    </w:p>
    <w:p w14:paraId="3B7FE610">
      <w:pPr>
        <w:pStyle w:val="4"/>
        <w:spacing w:line="360" w:lineRule="auto"/>
        <w:rPr>
          <w:rFonts w:hint="eastAsia" w:ascii="Arial" w:hAnsi="Arial" w:eastAsia="Arial"/>
          <w:b/>
          <w:bCs/>
          <w:sz w:val="24"/>
          <w:szCs w:val="24"/>
        </w:rPr>
      </w:pPr>
    </w:p>
    <w:p w14:paraId="3A86EF38">
      <w:pPr>
        <w:pStyle w:val="4"/>
        <w:spacing w:line="360" w:lineRule="auto"/>
        <w:rPr>
          <w:rFonts w:ascii="Arial" w:hAnsi="Arial" w:eastAsia="Arial"/>
          <w:sz w:val="24"/>
          <w:szCs w:val="24"/>
        </w:rPr>
      </w:pPr>
      <w:r>
        <w:rPr>
          <w:rFonts w:hint="eastAsia" w:ascii="Arial" w:hAnsi="Arial" w:eastAsia="Arial"/>
          <w:b/>
          <w:bCs/>
          <w:sz w:val="24"/>
          <w:szCs w:val="24"/>
        </w:rPr>
        <w:t>Introduction</w:t>
      </w:r>
    </w:p>
    <w:p w14:paraId="165FF9AB">
      <w:pPr>
        <w:pStyle w:val="4"/>
        <w:spacing w:line="360" w:lineRule="auto"/>
        <w:rPr>
          <w:rFonts w:ascii="Arial" w:hAnsi="Arial" w:eastAsia="Arial"/>
          <w:sz w:val="24"/>
          <w:szCs w:val="24"/>
        </w:rPr>
      </w:pPr>
      <w:r>
        <w:rPr>
          <w:rFonts w:hint="eastAsia" w:ascii="Arial" w:hAnsi="Arial" w:eastAsia="Arial"/>
          <w:sz w:val="24"/>
          <w:szCs w:val="24"/>
        </w:rPr>
        <w:t xml:space="preserve">This report examines the business results of the United Kingdom's largest hotel group, </w:t>
      </w:r>
      <w:r>
        <w:rPr>
          <w:rFonts w:hint="eastAsia" w:ascii="Arial" w:hAnsi="Arial" w:eastAsia="Arial"/>
          <w:b/>
          <w:bCs/>
          <w:sz w:val="24"/>
          <w:szCs w:val="24"/>
        </w:rPr>
        <w:t>Whitbread PLC</w:t>
      </w:r>
      <w:r>
        <w:rPr>
          <w:rFonts w:ascii="Arial" w:hAnsi="Arial" w:eastAsia="Arial"/>
          <w:sz w:val="24"/>
          <w:szCs w:val="24"/>
        </w:rPr>
        <w:t>,</w:t>
      </w:r>
      <w:r>
        <w:rPr>
          <w:rFonts w:hint="eastAsia" w:ascii="Arial" w:hAnsi="Arial" w:eastAsia="Arial"/>
          <w:sz w:val="24"/>
          <w:szCs w:val="24"/>
        </w:rPr>
        <w:t xml:space="preserve"> which owns the largest hotel chain in the country, its Premier Inn brand. </w:t>
      </w:r>
      <w:r>
        <w:rPr>
          <w:rFonts w:ascii="Arial" w:hAnsi="Arial" w:eastAsia="Arial"/>
          <w:sz w:val="24"/>
          <w:szCs w:val="24"/>
        </w:rPr>
        <w:t>This report aims</w:t>
      </w:r>
      <w:r>
        <w:rPr>
          <w:rFonts w:hint="eastAsia" w:ascii="Arial" w:hAnsi="Arial" w:eastAsia="Arial"/>
          <w:sz w:val="24"/>
          <w:szCs w:val="24"/>
        </w:rPr>
        <w:t xml:space="preserve"> to analyse the company's financial standing and highlight the effectiveness of its management during recovery from the pandemic and in a period of economic uncertainty, inflation and strategic expansion. Whitbread remains one of the UK's biggest hospitality enterprises, and is committed to further expanding its market share in Germany, where the company has robust long-term prospects. The vertically integrated system delivers operational flexibility, consistency of brand and an enhanced customer experience that will help secure a competitive advantage.</w:t>
      </w:r>
    </w:p>
    <w:p w14:paraId="7A50E4B2">
      <w:pPr>
        <w:pStyle w:val="4"/>
        <w:spacing w:line="360" w:lineRule="auto"/>
        <w:rPr>
          <w:rFonts w:ascii="Arial" w:hAnsi="Arial" w:eastAsia="Arial"/>
          <w:sz w:val="24"/>
          <w:szCs w:val="24"/>
        </w:rPr>
      </w:pPr>
      <w:r>
        <w:rPr>
          <w:rFonts w:hint="eastAsia" w:ascii="Arial" w:hAnsi="Arial" w:eastAsia="Arial"/>
          <w:sz w:val="24"/>
          <w:szCs w:val="24"/>
        </w:rPr>
        <w:t xml:space="preserve">The report assesses the financial capability of Whitbread by conducting a thorough analysis and evaluation of ratios that offer insights into its profitability, liquidity, operational efficiency, gearing, investment performance and cash flow management. The analysis will highlight the major financial trends, strengths and concerns during the 5-year period. The report also </w:t>
      </w:r>
      <w:r>
        <w:rPr>
          <w:rFonts w:ascii="Arial" w:hAnsi="Arial" w:eastAsia="Arial"/>
          <w:sz w:val="24"/>
          <w:szCs w:val="24"/>
        </w:rPr>
        <w:t>analyses</w:t>
      </w:r>
      <w:r>
        <w:rPr>
          <w:rFonts w:hint="eastAsia" w:ascii="Arial" w:hAnsi="Arial" w:eastAsia="Arial"/>
          <w:sz w:val="24"/>
          <w:szCs w:val="24"/>
        </w:rPr>
        <w:t xml:space="preserve"> the company's working capital status through cash operating cycles and their influence on the company's liquidity and </w:t>
      </w:r>
      <w:r>
        <w:rPr>
          <w:rFonts w:ascii="Arial" w:hAnsi="Arial" w:eastAsia="Arial"/>
          <w:sz w:val="24"/>
          <w:szCs w:val="24"/>
        </w:rPr>
        <w:t>short-term</w:t>
      </w:r>
      <w:r>
        <w:rPr>
          <w:rFonts w:hint="eastAsia" w:ascii="Arial" w:hAnsi="Arial" w:eastAsia="Arial"/>
          <w:sz w:val="24"/>
          <w:szCs w:val="24"/>
        </w:rPr>
        <w:t xml:space="preserve"> financial security, and proposes some measures that can be taken to enhance the liquidity and short-term financial stability.</w:t>
      </w:r>
    </w:p>
    <w:p w14:paraId="105C44AD">
      <w:pPr>
        <w:pStyle w:val="4"/>
        <w:spacing w:line="360" w:lineRule="auto"/>
        <w:rPr>
          <w:rFonts w:ascii="Arial" w:hAnsi="Arial" w:eastAsia="Arial"/>
          <w:sz w:val="24"/>
          <w:szCs w:val="24"/>
        </w:rPr>
      </w:pPr>
      <w:r>
        <w:rPr>
          <w:rFonts w:hint="eastAsia" w:ascii="Arial" w:hAnsi="Arial" w:eastAsia="Arial"/>
          <w:sz w:val="24"/>
          <w:szCs w:val="24"/>
        </w:rPr>
        <w:t xml:space="preserve">The report also delves into strategic funding and restructuring methods, including equity withdrawals, combinations, and divestment, and how these could affect the shareholder value, capital structure, and financial flexibility of the business. In addition, capital rationing techniques are used to </w:t>
      </w:r>
      <w:r>
        <w:rPr>
          <w:rFonts w:ascii="Arial" w:hAnsi="Arial" w:eastAsia="Arial"/>
          <w:sz w:val="24"/>
          <w:szCs w:val="24"/>
        </w:rPr>
        <w:t>analyse</w:t>
      </w:r>
      <w:r>
        <w:rPr>
          <w:rFonts w:hint="eastAsia" w:ascii="Arial" w:hAnsi="Arial" w:eastAsia="Arial"/>
          <w:sz w:val="24"/>
          <w:szCs w:val="24"/>
        </w:rPr>
        <w:t xml:space="preserve"> alternative investment opportunities through </w:t>
      </w:r>
      <w:r>
        <w:rPr>
          <w:rFonts w:ascii="Arial" w:hAnsi="Arial" w:eastAsia="Arial"/>
          <w:sz w:val="24"/>
          <w:szCs w:val="24"/>
        </w:rPr>
        <w:t xml:space="preserve">the </w:t>
      </w:r>
      <w:r>
        <w:rPr>
          <w:rFonts w:hint="eastAsia" w:ascii="Arial" w:hAnsi="Arial" w:eastAsia="Arial"/>
          <w:sz w:val="24"/>
          <w:szCs w:val="24"/>
        </w:rPr>
        <w:t>application of significant appraisal tools: Payback Period, Accounting Rate of Return (ARR), Net Present Value (NPV), Profitability Index (PI) and Internal Rate of Return (IRR).</w:t>
      </w:r>
    </w:p>
    <w:p w14:paraId="5A6EBB67">
      <w:pPr>
        <w:pStyle w:val="4"/>
        <w:spacing w:line="360" w:lineRule="auto"/>
        <w:rPr>
          <w:rFonts w:ascii="Arial" w:hAnsi="Arial" w:eastAsia="Arial"/>
          <w:sz w:val="24"/>
          <w:szCs w:val="24"/>
        </w:rPr>
      </w:pPr>
      <w:r>
        <w:rPr>
          <w:rFonts w:hint="eastAsia" w:ascii="Arial" w:hAnsi="Arial" w:eastAsia="Arial"/>
          <w:sz w:val="24"/>
          <w:szCs w:val="24"/>
        </w:rPr>
        <w:t>Financial data gathered from the annual reports of Whitbread over the last five years (2021, 2022, 2023, 2024 and 2025) has formed the key basis for the analysis. The report closes with suggestions which should promote growth and sustainability, spur financial resilience and improve long-term value to shareholders.</w:t>
      </w:r>
    </w:p>
    <w:p w14:paraId="7D47BEC5">
      <w:pPr>
        <w:pStyle w:val="6"/>
        <w:numPr>
          <w:ilvl w:val="2"/>
          <w:numId w:val="1"/>
        </w:numPr>
        <w:spacing w:line="360" w:lineRule="auto"/>
        <w:rPr>
          <w:rFonts w:ascii="Arial" w:hAnsi="Arial" w:eastAsia="Arial"/>
          <w:sz w:val="24"/>
          <w:szCs w:val="24"/>
        </w:rPr>
      </w:pPr>
    </w:p>
    <w:p w14:paraId="54ABEE22">
      <w:pPr>
        <w:pStyle w:val="6"/>
        <w:numPr>
          <w:ilvl w:val="2"/>
          <w:numId w:val="1"/>
        </w:numPr>
        <w:spacing w:line="360" w:lineRule="auto"/>
        <w:rPr>
          <w:rFonts w:ascii="Arial" w:hAnsi="Arial" w:eastAsia="Arial"/>
          <w:sz w:val="24"/>
          <w:szCs w:val="24"/>
        </w:rPr>
      </w:pPr>
      <w:r>
        <w:rPr>
          <w:rFonts w:hint="eastAsia" w:ascii="Arial" w:hAnsi="Arial" w:eastAsia="Arial"/>
          <w:sz w:val="24"/>
          <w:szCs w:val="24"/>
        </w:rPr>
        <w:t>1. Financial Health Check</w:t>
      </w:r>
    </w:p>
    <w:p w14:paraId="3941E55F">
      <w:pPr>
        <w:pStyle w:val="6"/>
        <w:numPr>
          <w:ilvl w:val="2"/>
          <w:numId w:val="1"/>
        </w:numPr>
        <w:spacing w:line="360" w:lineRule="auto"/>
        <w:rPr>
          <w:rFonts w:ascii="Arial" w:hAnsi="Arial" w:eastAsia="Arial"/>
          <w:sz w:val="24"/>
          <w:szCs w:val="24"/>
        </w:rPr>
      </w:pPr>
      <w:r>
        <w:rPr>
          <w:rFonts w:ascii="Arial" w:hAnsi="Arial" w:eastAsia="Arial"/>
          <w:sz w:val="24"/>
          <w:szCs w:val="24"/>
        </w:rPr>
        <w:t>1.1 Ratio Analysis</w:t>
      </w:r>
    </w:p>
    <w:p w14:paraId="0F38D4DD">
      <w:pPr>
        <w:pStyle w:val="4"/>
        <w:spacing w:line="360" w:lineRule="auto"/>
        <w:rPr>
          <w:rFonts w:ascii="Arial" w:hAnsi="Arial" w:eastAsia="Arial"/>
          <w:sz w:val="24"/>
          <w:szCs w:val="24"/>
        </w:rPr>
      </w:pPr>
      <w:r>
        <w:rPr>
          <w:rFonts w:ascii="Arial" w:hAnsi="Arial" w:eastAsia="Arial"/>
          <w:sz w:val="24"/>
          <w:szCs w:val="24"/>
        </w:rPr>
        <w:t>Profitability Ratio Analysis</w:t>
      </w:r>
    </w:p>
    <w:p w14:paraId="1926267C">
      <w:pPr>
        <w:pStyle w:val="4"/>
        <w:spacing w:line="360" w:lineRule="auto"/>
        <w:rPr>
          <w:rFonts w:ascii="Arial" w:hAnsi="Arial" w:eastAsia="Arial"/>
          <w:sz w:val="24"/>
          <w:szCs w:val="24"/>
        </w:rPr>
      </w:pPr>
    </w:p>
    <w:p w14:paraId="216908D0">
      <w:pPr>
        <w:pStyle w:val="4"/>
        <w:spacing w:line="360" w:lineRule="auto"/>
        <w:rPr>
          <w:rFonts w:ascii="Arial" w:hAnsi="Arial" w:eastAsia="Arial"/>
          <w:sz w:val="24"/>
          <w:szCs w:val="24"/>
        </w:rPr>
      </w:pPr>
      <w:r>
        <w:rPr>
          <w:rFonts w:ascii="Arial" w:hAnsi="Arial" w:eastAsia="Arial"/>
          <w:sz w:val="24"/>
          <w:szCs w:val="24"/>
        </w:rPr>
        <w:t>Whitbread plc made a solid recovery in its profitability arising from Covid-19. The operating profit margin improved significantly from –82.6% in 2021 to 9.0% in 2022, increasing further to 20.7% in 2023 and reaching 22.8% in 2024, before slightly declining to 21.5% in 2025. The improvement is driven by the effective cost control, unimpeded revenue growth, and success in the battle against the pandemic. Similarly, the net profit margin improved from –91.8% in 2021 to –0.3% in 2022, turning positive at 12.5% in 2023, rising to 13.6% in 2024, and easing slightly to 11.9% in 2025. Following this healthy recovery, Whitbread's revenue in 2024 rose by over five times to £2,959.9 million, down slightly in 2025 to £2,921.9 million.</w:t>
      </w:r>
    </w:p>
    <w:p w14:paraId="500CCA9F">
      <w:pPr>
        <w:pStyle w:val="4"/>
        <w:spacing w:line="360" w:lineRule="auto"/>
        <w:rPr>
          <w:rFonts w:ascii="Arial" w:hAnsi="Arial" w:eastAsia="Arial"/>
          <w:sz w:val="24"/>
          <w:szCs w:val="24"/>
        </w:rPr>
      </w:pPr>
    </w:p>
    <w:p w14:paraId="39F2D5A2">
      <w:pPr>
        <w:pStyle w:val="4"/>
        <w:spacing w:line="360" w:lineRule="auto"/>
        <w:rPr>
          <w:rFonts w:ascii="Arial" w:hAnsi="Arial" w:eastAsia="Arial"/>
          <w:sz w:val="24"/>
          <w:szCs w:val="24"/>
        </w:rPr>
      </w:pPr>
      <w:r>
        <w:rPr>
          <w:rFonts w:ascii="Arial" w:hAnsi="Arial" w:eastAsia="Arial"/>
          <w:b/>
          <w:bCs/>
          <w:sz w:val="24"/>
          <w:szCs w:val="24"/>
        </w:rPr>
        <w:t>Liquidity Ratio Analysis</w:t>
      </w:r>
    </w:p>
    <w:p w14:paraId="490E26B5">
      <w:pPr>
        <w:pStyle w:val="4"/>
        <w:spacing w:line="360" w:lineRule="auto"/>
        <w:rPr>
          <w:rFonts w:ascii="Arial" w:hAnsi="Arial" w:eastAsia="Arial"/>
          <w:sz w:val="24"/>
          <w:szCs w:val="24"/>
        </w:rPr>
      </w:pPr>
    </w:p>
    <w:p w14:paraId="40B58BFB">
      <w:pPr>
        <w:pStyle w:val="4"/>
        <w:spacing w:line="360" w:lineRule="auto"/>
        <w:rPr>
          <w:rFonts w:ascii="Arial" w:hAnsi="Arial" w:eastAsia="Arial"/>
          <w:sz w:val="24"/>
          <w:szCs w:val="24"/>
        </w:rPr>
      </w:pPr>
      <w:r>
        <w:rPr>
          <w:rFonts w:ascii="Arial" w:hAnsi="Arial" w:eastAsia="Arial"/>
          <w:sz w:val="24"/>
          <w:szCs w:val="24"/>
        </w:rPr>
        <w:t>Fluidity was moderate five years outstanding. The current ratio was 1.74 in 2021, improving slightly to 1.76 in 2022, before gradually declining to 1.57 in 2023, 0.96 in 2024, and 0.81 in 2025. Likewise, the cash ratio declined from 1.62 in 2021 to 1.57 in 2022, 1.38 in 2023, 0.80 in 2024, and 0.69 in 2025. The downward trajectory is due to higher current liabilities and higher use of cash for strategic investment and cash generation to return to shareholders. While it has suffered from liquidity issues in recent years, Whitbread remains to generate its strong operating cash flow, and alleviates any concerns about its short term financial obligations.</w:t>
      </w:r>
    </w:p>
    <w:p w14:paraId="1DD15194">
      <w:pPr>
        <w:pStyle w:val="4"/>
        <w:spacing w:line="360" w:lineRule="auto"/>
        <w:rPr>
          <w:rFonts w:ascii="Arial" w:hAnsi="Arial" w:eastAsia="Arial"/>
          <w:b/>
          <w:bCs/>
          <w:sz w:val="24"/>
          <w:szCs w:val="24"/>
        </w:rPr>
      </w:pPr>
    </w:p>
    <w:p w14:paraId="202EE2AD">
      <w:pPr>
        <w:pStyle w:val="4"/>
        <w:spacing w:line="360" w:lineRule="auto"/>
        <w:rPr>
          <w:rFonts w:ascii="Arial" w:hAnsi="Arial" w:eastAsia="Arial"/>
          <w:b/>
          <w:bCs/>
          <w:sz w:val="24"/>
          <w:szCs w:val="24"/>
        </w:rPr>
      </w:pPr>
    </w:p>
    <w:p w14:paraId="48EF4D92">
      <w:pPr>
        <w:pStyle w:val="4"/>
        <w:spacing w:line="360" w:lineRule="auto"/>
        <w:rPr>
          <w:rFonts w:ascii="Arial" w:hAnsi="Arial" w:eastAsia="Arial"/>
          <w:b/>
          <w:bCs/>
          <w:sz w:val="24"/>
          <w:szCs w:val="24"/>
        </w:rPr>
      </w:pPr>
    </w:p>
    <w:p w14:paraId="7F1ACC97">
      <w:pPr>
        <w:pStyle w:val="4"/>
        <w:spacing w:line="360" w:lineRule="auto"/>
        <w:rPr>
          <w:rFonts w:ascii="Arial" w:hAnsi="Arial" w:eastAsia="Arial"/>
          <w:b/>
          <w:bCs/>
          <w:sz w:val="24"/>
          <w:szCs w:val="24"/>
        </w:rPr>
      </w:pPr>
    </w:p>
    <w:p w14:paraId="4F6FEA40">
      <w:pPr>
        <w:pStyle w:val="4"/>
        <w:spacing w:line="360" w:lineRule="auto"/>
        <w:rPr>
          <w:rFonts w:ascii="Arial" w:hAnsi="Arial" w:eastAsia="Arial"/>
          <w:sz w:val="24"/>
          <w:szCs w:val="24"/>
        </w:rPr>
      </w:pPr>
      <w:r>
        <w:rPr>
          <w:rFonts w:ascii="Arial" w:hAnsi="Arial" w:eastAsia="Arial"/>
          <w:b/>
          <w:bCs/>
          <w:sz w:val="24"/>
          <w:szCs w:val="24"/>
        </w:rPr>
        <w:t>Efficiency Ratio Analysis</w:t>
      </w:r>
    </w:p>
    <w:p w14:paraId="40A4295C">
      <w:pPr>
        <w:pStyle w:val="4"/>
        <w:spacing w:line="360" w:lineRule="auto"/>
        <w:rPr>
          <w:rFonts w:ascii="Arial" w:hAnsi="Arial" w:eastAsia="Arial"/>
          <w:sz w:val="24"/>
          <w:szCs w:val="24"/>
        </w:rPr>
      </w:pPr>
    </w:p>
    <w:p w14:paraId="73BD2C23">
      <w:pPr>
        <w:pStyle w:val="4"/>
        <w:spacing w:line="360" w:lineRule="auto"/>
        <w:rPr>
          <w:rFonts w:ascii="Arial" w:hAnsi="Arial" w:eastAsia="Arial"/>
          <w:sz w:val="24"/>
          <w:szCs w:val="24"/>
        </w:rPr>
      </w:pPr>
      <w:r>
        <w:rPr>
          <w:rFonts w:ascii="Arial" w:hAnsi="Arial" w:eastAsia="Arial"/>
          <w:sz w:val="24"/>
          <w:szCs w:val="24"/>
        </w:rPr>
        <w:t>During the review period, Whitbread's operation efficiency enhanced significantly. The asset turnover ratio gradually got better from 2021 (0.07) to 2022 (0.18), and further to 2023 (0.26) and 2024 (0.31) then slightly declined in 2025 (0.29), reflecting improved utilisation of assets to earn revenue. In addition, the receivable turnover in 2022 reached 37.4 times for the first time after being at 26.7 times in 2021, rising again to 57.1 times in 2023 and then decreasing slightly to 54.4 times in 2024 and 52.8 times in 2025. As a result, the number of days to collect dropped drastically from 13.7 days in 2021 to 6.9 days in 2025, reflecting good credit management and fast cash collection.</w:t>
      </w:r>
    </w:p>
    <w:p w14:paraId="67348A40">
      <w:pPr>
        <w:pStyle w:val="4"/>
        <w:spacing w:line="360" w:lineRule="auto"/>
        <w:rPr>
          <w:rFonts w:ascii="Arial" w:hAnsi="Arial" w:eastAsia="Arial"/>
          <w:sz w:val="24"/>
          <w:szCs w:val="24"/>
        </w:rPr>
      </w:pPr>
    </w:p>
    <w:p w14:paraId="1B50998E">
      <w:pPr>
        <w:pStyle w:val="4"/>
        <w:spacing w:line="360" w:lineRule="auto"/>
        <w:rPr>
          <w:rFonts w:ascii="Arial" w:hAnsi="Arial" w:eastAsia="Arial"/>
          <w:sz w:val="24"/>
          <w:szCs w:val="24"/>
        </w:rPr>
      </w:pPr>
      <w:r>
        <w:rPr>
          <w:rFonts w:ascii="Arial" w:hAnsi="Arial" w:eastAsia="Arial"/>
          <w:b/>
          <w:bCs/>
          <w:sz w:val="24"/>
          <w:szCs w:val="24"/>
        </w:rPr>
        <w:t>Gearing Ratio Analysis</w:t>
      </w:r>
    </w:p>
    <w:p w14:paraId="6582F779">
      <w:pPr>
        <w:pStyle w:val="4"/>
        <w:spacing w:line="360" w:lineRule="auto"/>
        <w:rPr>
          <w:rFonts w:ascii="Arial" w:hAnsi="Arial" w:eastAsia="Arial"/>
          <w:sz w:val="24"/>
          <w:szCs w:val="24"/>
        </w:rPr>
      </w:pPr>
    </w:p>
    <w:p w14:paraId="3F6D385B">
      <w:pPr>
        <w:pStyle w:val="4"/>
        <w:spacing w:line="360" w:lineRule="auto"/>
        <w:rPr>
          <w:rFonts w:ascii="Arial" w:hAnsi="Arial" w:eastAsia="Arial"/>
          <w:sz w:val="24"/>
          <w:szCs w:val="24"/>
        </w:rPr>
      </w:pPr>
      <w:r>
        <w:rPr>
          <w:rFonts w:ascii="Arial" w:hAnsi="Arial" w:eastAsia="Arial"/>
          <w:sz w:val="24"/>
          <w:szCs w:val="24"/>
        </w:rPr>
        <w:t>Whitbread has been in medium gearing throughout the five year period. The debt-to-equity ratio declined from 34.0% in 2021 to 24.1% in 2022 and remained relatively stable at 24.2% in 2023, before increasing to 28.3% in 2024 and 41.8% in 2025 due to higher borrowing levels. Interest coverage improved from –3.16 times in 2021 to 0.88 times in 2022, increasing further to 3.26 times in 2023, 3.76 times in 2024, and 3.34 times in 2025. The company's capacity to service its debt interest obligations was adequate in 2025 despite an increase in leverage.</w:t>
      </w:r>
    </w:p>
    <w:p w14:paraId="6BC5840B">
      <w:pPr>
        <w:pStyle w:val="4"/>
        <w:spacing w:line="360" w:lineRule="auto"/>
        <w:rPr>
          <w:rFonts w:ascii="Arial" w:hAnsi="Arial" w:eastAsia="Arial"/>
          <w:sz w:val="24"/>
          <w:szCs w:val="24"/>
        </w:rPr>
      </w:pPr>
    </w:p>
    <w:p w14:paraId="2D1C9D04">
      <w:pPr>
        <w:pStyle w:val="4"/>
        <w:spacing w:line="360" w:lineRule="auto"/>
        <w:rPr>
          <w:rFonts w:ascii="Arial" w:hAnsi="Arial" w:eastAsia="Arial"/>
          <w:sz w:val="24"/>
          <w:szCs w:val="24"/>
        </w:rPr>
      </w:pPr>
      <w:r>
        <w:rPr>
          <w:rFonts w:ascii="Arial" w:hAnsi="Arial" w:eastAsia="Arial"/>
          <w:b/>
          <w:bCs/>
          <w:sz w:val="24"/>
          <w:szCs w:val="24"/>
        </w:rPr>
        <w:t>Investment Ratio Analysis</w:t>
      </w:r>
    </w:p>
    <w:p w14:paraId="19AC61CA">
      <w:pPr>
        <w:pStyle w:val="4"/>
        <w:spacing w:line="360" w:lineRule="auto"/>
        <w:rPr>
          <w:rFonts w:ascii="Arial" w:hAnsi="Arial" w:eastAsia="Arial"/>
          <w:sz w:val="24"/>
          <w:szCs w:val="24"/>
        </w:rPr>
      </w:pPr>
    </w:p>
    <w:p w14:paraId="55FD3C33">
      <w:pPr>
        <w:pStyle w:val="4"/>
        <w:spacing w:line="360" w:lineRule="auto"/>
        <w:rPr>
          <w:rFonts w:ascii="Arial" w:hAnsi="Arial" w:eastAsia="Arial"/>
          <w:sz w:val="24"/>
          <w:szCs w:val="24"/>
        </w:rPr>
      </w:pPr>
      <w:r>
        <w:rPr>
          <w:rFonts w:ascii="Arial" w:hAnsi="Arial" w:eastAsia="Arial"/>
          <w:sz w:val="24"/>
          <w:szCs w:val="24"/>
        </w:rPr>
        <w:t>Since Whitbread's resurgence after the pandemic, their investment performance has been much more effective. Diluted earnings per share increased from –287.6 pence in 2021 to –2.5 pence in 2022, before recovering strongly to 161.8 pence in 2023, 205.5 pence in 2024, and 193.4 pence in 2025. In 2023, dividend payments have been resumed, amounting to 74.2 pence per share, and will be set to 97.0 pence per share from 2024 and 2025 onwards. Whilst the dividend policy remained fairly stable, the dividend payout also increased from 45.8% in 2023 to 47.2% in 2024 and 50.1% in 2025, indicating that Whitbread's dividend payout continuity and their expectations of their future earnings.</w:t>
      </w:r>
    </w:p>
    <w:p w14:paraId="35E34B57">
      <w:pPr>
        <w:pStyle w:val="4"/>
        <w:spacing w:line="360" w:lineRule="auto"/>
        <w:rPr>
          <w:rFonts w:ascii="Arial" w:hAnsi="Arial" w:eastAsia="Arial"/>
          <w:sz w:val="24"/>
          <w:szCs w:val="24"/>
        </w:rPr>
      </w:pPr>
    </w:p>
    <w:p w14:paraId="67FE1975">
      <w:pPr>
        <w:pStyle w:val="4"/>
        <w:spacing w:line="360" w:lineRule="auto"/>
        <w:rPr>
          <w:rFonts w:ascii="Arial" w:hAnsi="Arial" w:eastAsia="Arial"/>
          <w:sz w:val="24"/>
          <w:szCs w:val="24"/>
        </w:rPr>
      </w:pPr>
      <w:r>
        <w:rPr>
          <w:rFonts w:ascii="Arial" w:hAnsi="Arial" w:eastAsia="Arial"/>
          <w:sz w:val="24"/>
          <w:szCs w:val="24"/>
        </w:rPr>
        <w:t>This one is for Cash Flow Ratio Analysis.</w:t>
      </w:r>
    </w:p>
    <w:p w14:paraId="2BE87889">
      <w:pPr>
        <w:pStyle w:val="4"/>
        <w:spacing w:line="360" w:lineRule="auto"/>
        <w:rPr>
          <w:rFonts w:ascii="Arial" w:hAnsi="Arial" w:eastAsia="Arial"/>
          <w:sz w:val="24"/>
          <w:szCs w:val="24"/>
        </w:rPr>
      </w:pPr>
    </w:p>
    <w:p w14:paraId="7EDFB1F5">
      <w:pPr>
        <w:pStyle w:val="4"/>
        <w:spacing w:line="360" w:lineRule="auto"/>
        <w:rPr>
          <w:rFonts w:ascii="Arial" w:hAnsi="Arial" w:eastAsia="Arial"/>
          <w:sz w:val="24"/>
          <w:szCs w:val="24"/>
        </w:rPr>
      </w:pPr>
      <w:r>
        <w:rPr>
          <w:rFonts w:ascii="Arial" w:hAnsi="Arial" w:eastAsia="Arial"/>
          <w:sz w:val="24"/>
          <w:szCs w:val="24"/>
        </w:rPr>
        <w:t>During the recovery period, Whitbread had good operating free cash flows. Operating cash flow improved from a negative £227.0 million in 2021 to £693.7 million in 2022, increasing further to £996.3 million in 2023, £1,086.7 million in 2024, and £1,004.5 million in 2025. Consequently, the OCF-to-debt ratio strengthened from –17.4% in 2021 to 69.9% in 2022, 100.3% in 2023, 109.2% in 2024, before moderating to 72.1% in 2025. On the positive side, free cash flow significantly bounced back, driven by greater profits derived from store sales and a fall in the proportion of capital invested in store acquisition compared to investment in working capital. Free cash flow rose from minus £455.0 million in 2021 to plus £489.1 million in 2022, plus £510.3 million in 2023, plus £642.8 million in 2024 and then showing a higher positive figure in 2025 of £642.1 million, bringing profits from store sales up and a reduction in the percentage of funds invested in store expenditure versus working capital expenditure.</w:t>
      </w:r>
    </w:p>
    <w:p w14:paraId="045778AD">
      <w:pPr>
        <w:pStyle w:val="4"/>
        <w:spacing w:line="360" w:lineRule="auto"/>
        <w:rPr>
          <w:rFonts w:ascii="Arial" w:hAnsi="Arial" w:eastAsia="Arial"/>
          <w:sz w:val="24"/>
          <w:szCs w:val="24"/>
        </w:rPr>
      </w:pPr>
    </w:p>
    <w:p w14:paraId="2AB9423F">
      <w:pPr>
        <w:pStyle w:val="4"/>
        <w:spacing w:line="360" w:lineRule="auto"/>
        <w:rPr>
          <w:rFonts w:ascii="Arial" w:hAnsi="Arial" w:eastAsia="Arial"/>
          <w:sz w:val="24"/>
          <w:szCs w:val="24"/>
        </w:rPr>
      </w:pPr>
      <w:r>
        <w:rPr>
          <w:rFonts w:ascii="Arial" w:hAnsi="Arial" w:eastAsia="Arial"/>
          <w:b/>
          <w:bCs/>
          <w:sz w:val="24"/>
          <w:szCs w:val="24"/>
        </w:rPr>
        <w:t>1.2 Financial Trends Analysis</w:t>
      </w:r>
    </w:p>
    <w:p w14:paraId="74B6BF83">
      <w:pPr>
        <w:pStyle w:val="4"/>
        <w:spacing w:line="360" w:lineRule="auto"/>
        <w:rPr>
          <w:rFonts w:ascii="Arial" w:hAnsi="Arial" w:eastAsia="Arial"/>
          <w:sz w:val="24"/>
          <w:szCs w:val="24"/>
        </w:rPr>
      </w:pPr>
    </w:p>
    <w:p w14:paraId="21E08AE1">
      <w:pPr>
        <w:pStyle w:val="4"/>
        <w:spacing w:line="360" w:lineRule="auto"/>
        <w:rPr>
          <w:rFonts w:ascii="Arial" w:hAnsi="Arial" w:eastAsia="Arial"/>
          <w:sz w:val="24"/>
          <w:szCs w:val="24"/>
        </w:rPr>
      </w:pPr>
      <w:r>
        <w:rPr>
          <w:rFonts w:ascii="Arial" w:hAnsi="Arial" w:eastAsia="Arial"/>
          <w:sz w:val="24"/>
          <w:szCs w:val="24"/>
        </w:rPr>
        <w:t>Ever since the COVID-19 epidemic, Whitbread has shown a solid financial rebound. Revenue grew significantly from £589.4 million in 2021 to £2,959.9 million in 2024, but fell by a small amount to £2,921.9 million in 2025. Operating income is also projected to shift in net profits from a loss of £486.7 million in 2021 to a profit of £629.6 million in 2025, notably showing continued improvement in the company's operations. The asset utilisation was also enhanced as indicated by the consistent rise in asset turnover from 0.07 to 0.29 during the five year period of study. Debt levels did grow over 2025 but the debt-to-equity ratio remained at 41.8% and Whitbread's operating cash flows continued to be positive, sourcing more than £1.0 billion providing the company with financial stability to fund its investment activities.</w:t>
      </w:r>
    </w:p>
    <w:p w14:paraId="068FF6DB">
      <w:pPr>
        <w:pStyle w:val="5"/>
        <w:numPr>
          <w:ilvl w:val="1"/>
          <w:numId w:val="1"/>
        </w:numPr>
        <w:spacing w:line="360" w:lineRule="auto"/>
        <w:rPr>
          <w:rFonts w:ascii="Arial" w:hAnsi="Arial" w:eastAsia="Arial"/>
          <w:sz w:val="24"/>
          <w:szCs w:val="24"/>
        </w:rPr>
      </w:pPr>
      <w:r>
        <w:rPr>
          <w:rFonts w:hint="eastAsia" w:ascii="Arial" w:hAnsi="Arial" w:eastAsia="Arial"/>
          <w:sz w:val="24"/>
          <w:szCs w:val="24"/>
        </w:rPr>
        <w:t>Key Strengths</w:t>
      </w:r>
      <w:r>
        <w:rPr>
          <w:rFonts w:ascii="Arial" w:hAnsi="Arial" w:eastAsia="Arial"/>
          <w:sz w:val="24"/>
          <w:szCs w:val="24"/>
        </w:rPr>
        <w:t>:</w:t>
      </w:r>
    </w:p>
    <w:p w14:paraId="5E4C37AF">
      <w:pPr>
        <w:pStyle w:val="5"/>
        <w:numPr>
          <w:ilvl w:val="1"/>
          <w:numId w:val="1"/>
        </w:numPr>
        <w:spacing w:line="360" w:lineRule="auto"/>
        <w:rPr>
          <w:rFonts w:ascii="Arial" w:hAnsi="Arial" w:eastAsia="Arial"/>
          <w:sz w:val="24"/>
          <w:szCs w:val="24"/>
        </w:rPr>
      </w:pPr>
      <w:r>
        <w:rPr>
          <w:rFonts w:hint="eastAsia" w:ascii="Arial" w:hAnsi="Arial" w:eastAsia="Arial"/>
          <w:b w:val="0"/>
          <w:bCs w:val="0"/>
          <w:sz w:val="24"/>
          <w:szCs w:val="24"/>
        </w:rPr>
        <w:t xml:space="preserve">The Premier Inn brand is Whitbread's market leader, and the Premier Inn budget and midscale hotel segment is an industry market stronghold. These factors translate into </w:t>
      </w:r>
      <w:r>
        <w:rPr>
          <w:rFonts w:ascii="Arial" w:hAnsi="Arial" w:eastAsia="Arial"/>
          <w:b w:val="0"/>
          <w:bCs w:val="0"/>
          <w:sz w:val="24"/>
          <w:szCs w:val="24"/>
        </w:rPr>
        <w:t>market-leading</w:t>
      </w:r>
      <w:r>
        <w:rPr>
          <w:rFonts w:hint="eastAsia" w:ascii="Arial" w:hAnsi="Arial" w:eastAsia="Arial"/>
          <w:b w:val="0"/>
          <w:bCs w:val="0"/>
          <w:sz w:val="24"/>
          <w:szCs w:val="24"/>
        </w:rPr>
        <w:t xml:space="preserve"> customer scores, occupancy levels, and pricing power for this brand. The company's vertically integrated strategy and approach </w:t>
      </w:r>
      <w:r>
        <w:rPr>
          <w:rFonts w:ascii="Arial" w:hAnsi="Arial" w:eastAsia="Arial"/>
          <w:b w:val="0"/>
          <w:bCs w:val="0"/>
          <w:sz w:val="24"/>
          <w:szCs w:val="24"/>
        </w:rPr>
        <w:t>give</w:t>
      </w:r>
      <w:r>
        <w:rPr>
          <w:rFonts w:hint="eastAsia" w:ascii="Arial" w:hAnsi="Arial" w:eastAsia="Arial"/>
          <w:b w:val="0"/>
          <w:bCs w:val="0"/>
          <w:sz w:val="24"/>
          <w:szCs w:val="24"/>
        </w:rPr>
        <w:t xml:space="preserve"> it a significant </w:t>
      </w:r>
      <w:r>
        <w:rPr>
          <w:rFonts w:ascii="Arial" w:hAnsi="Arial" w:eastAsia="Arial"/>
          <w:b w:val="0"/>
          <w:bCs w:val="0"/>
          <w:sz w:val="24"/>
          <w:szCs w:val="24"/>
        </w:rPr>
        <w:t>first-mover</w:t>
      </w:r>
      <w:r>
        <w:rPr>
          <w:rFonts w:hint="eastAsia" w:ascii="Arial" w:hAnsi="Arial" w:eastAsia="Arial"/>
          <w:b w:val="0"/>
          <w:bCs w:val="0"/>
          <w:sz w:val="24"/>
          <w:szCs w:val="24"/>
        </w:rPr>
        <w:t xml:space="preserve"> advantage and ability to control the customer experience. Whitbread has a history of delivering strong operating and free cash flow, enabling the firm to invest in growth and return value for investors. The company has a significant freehold property footprint, offering support for its asset base and flexibility in operations (Potharla, 2025).</w:t>
      </w:r>
    </w:p>
    <w:p w14:paraId="199E8375">
      <w:pPr>
        <w:pStyle w:val="5"/>
        <w:numPr>
          <w:ilvl w:val="1"/>
          <w:numId w:val="1"/>
        </w:numPr>
        <w:spacing w:line="360" w:lineRule="auto"/>
        <w:rPr>
          <w:rFonts w:ascii="Arial" w:hAnsi="Arial" w:eastAsia="Arial"/>
          <w:sz w:val="24"/>
          <w:szCs w:val="24"/>
        </w:rPr>
      </w:pPr>
      <w:r>
        <w:rPr>
          <w:rFonts w:hint="eastAsia" w:ascii="Arial" w:hAnsi="Arial" w:eastAsia="Arial"/>
          <w:sz w:val="24"/>
          <w:szCs w:val="24"/>
        </w:rPr>
        <w:t>Potential Threats</w:t>
      </w:r>
      <w:r>
        <w:rPr>
          <w:rFonts w:ascii="Arial" w:hAnsi="Arial" w:eastAsia="Arial"/>
          <w:sz w:val="24"/>
          <w:szCs w:val="24"/>
        </w:rPr>
        <w:t>:</w:t>
      </w:r>
    </w:p>
    <w:p w14:paraId="71CE13D9">
      <w:pPr>
        <w:pStyle w:val="5"/>
        <w:numPr>
          <w:ilvl w:val="1"/>
          <w:numId w:val="1"/>
        </w:numPr>
        <w:spacing w:line="360" w:lineRule="auto"/>
        <w:rPr>
          <w:rFonts w:ascii="Arial" w:hAnsi="Arial" w:eastAsia="Arial"/>
          <w:sz w:val="24"/>
          <w:szCs w:val="24"/>
        </w:rPr>
      </w:pPr>
      <w:r>
        <w:rPr>
          <w:rFonts w:hint="eastAsia" w:ascii="Arial" w:hAnsi="Arial" w:eastAsia="Arial"/>
          <w:b w:val="0"/>
          <w:bCs w:val="0"/>
          <w:sz w:val="24"/>
          <w:szCs w:val="24"/>
        </w:rPr>
        <w:t xml:space="preserve">The significant increase in debt has increased the company's financial risk and interest expense. A major risk to margins is cost inflation, especially of energy, labour and construction materials. Uncertainty is high in the UK with the possibility of a recession as well as geopolitical challenges, and high in the German economy. The 5 Year Plan and AGP </w:t>
      </w:r>
      <w:r>
        <w:rPr>
          <w:rFonts w:ascii="Arial" w:hAnsi="Arial" w:eastAsia="Arial"/>
          <w:b w:val="0"/>
          <w:bCs w:val="0"/>
          <w:sz w:val="24"/>
          <w:szCs w:val="24"/>
        </w:rPr>
        <w:t>are</w:t>
      </w:r>
      <w:r>
        <w:rPr>
          <w:rFonts w:hint="eastAsia" w:ascii="Arial" w:hAnsi="Arial" w:eastAsia="Arial"/>
          <w:b w:val="0"/>
          <w:bCs w:val="0"/>
          <w:sz w:val="24"/>
          <w:szCs w:val="24"/>
        </w:rPr>
        <w:t xml:space="preserve"> major </w:t>
      </w:r>
      <w:r>
        <w:rPr>
          <w:rFonts w:ascii="Arial" w:hAnsi="Arial" w:eastAsia="Arial"/>
          <w:b w:val="0"/>
          <w:bCs w:val="0"/>
          <w:sz w:val="24"/>
          <w:szCs w:val="24"/>
        </w:rPr>
        <w:t>changes</w:t>
      </w:r>
      <w:r>
        <w:rPr>
          <w:rFonts w:hint="eastAsia" w:ascii="Arial" w:hAnsi="Arial" w:eastAsia="Arial"/>
          <w:b w:val="0"/>
          <w:bCs w:val="0"/>
          <w:sz w:val="24"/>
          <w:szCs w:val="24"/>
        </w:rPr>
        <w:t xml:space="preserve"> and </w:t>
      </w:r>
      <w:r>
        <w:rPr>
          <w:rFonts w:ascii="Arial" w:hAnsi="Arial" w:eastAsia="Arial"/>
          <w:b w:val="0"/>
          <w:bCs w:val="0"/>
          <w:sz w:val="24"/>
          <w:szCs w:val="24"/>
        </w:rPr>
        <w:t>investments</w:t>
      </w:r>
      <w:r>
        <w:rPr>
          <w:rFonts w:hint="eastAsia" w:ascii="Arial" w:hAnsi="Arial" w:eastAsia="Arial"/>
          <w:b w:val="0"/>
          <w:bCs w:val="0"/>
          <w:sz w:val="24"/>
          <w:szCs w:val="24"/>
        </w:rPr>
        <w:t xml:space="preserve"> on the company's side</w:t>
      </w:r>
      <w:r>
        <w:rPr>
          <w:rFonts w:ascii="Arial" w:hAnsi="Arial" w:eastAsia="Arial"/>
          <w:b w:val="0"/>
          <w:bCs w:val="0"/>
          <w:sz w:val="24"/>
          <w:szCs w:val="24"/>
        </w:rPr>
        <w:t>;</w:t>
      </w:r>
      <w:r>
        <w:rPr>
          <w:rFonts w:hint="eastAsia" w:ascii="Arial" w:hAnsi="Arial" w:eastAsia="Arial"/>
          <w:b w:val="0"/>
          <w:bCs w:val="0"/>
          <w:sz w:val="24"/>
          <w:szCs w:val="24"/>
        </w:rPr>
        <w:t xml:space="preserve"> failure to carry this out successfully may result in additional cost </w:t>
      </w:r>
      <w:r>
        <w:rPr>
          <w:rFonts w:ascii="Arial" w:hAnsi="Arial" w:eastAsia="Arial"/>
          <w:b w:val="0"/>
          <w:bCs w:val="0"/>
          <w:sz w:val="24"/>
          <w:szCs w:val="24"/>
        </w:rPr>
        <w:t>overruns</w:t>
      </w:r>
      <w:r>
        <w:rPr>
          <w:rFonts w:hint="eastAsia" w:ascii="Arial" w:hAnsi="Arial" w:eastAsia="Arial"/>
          <w:b w:val="0"/>
          <w:bCs w:val="0"/>
          <w:sz w:val="24"/>
          <w:szCs w:val="24"/>
        </w:rPr>
        <w:t xml:space="preserve"> and delays. Labour shortages in the hospitality industry are well documented and are a crucial issue for attracting and retaining talent (Tarighi et al., 2024).</w:t>
      </w:r>
    </w:p>
    <w:p w14:paraId="4EC4DEDA">
      <w:pPr>
        <w:pStyle w:val="5"/>
        <w:numPr>
          <w:ilvl w:val="1"/>
          <w:numId w:val="1"/>
        </w:numPr>
        <w:spacing w:line="360" w:lineRule="auto"/>
        <w:rPr>
          <w:rFonts w:ascii="Arial" w:hAnsi="Arial" w:eastAsia="Arial"/>
          <w:sz w:val="24"/>
          <w:szCs w:val="24"/>
        </w:rPr>
      </w:pPr>
      <w:r>
        <w:rPr>
          <w:rFonts w:hint="eastAsia" w:ascii="Arial" w:hAnsi="Arial" w:eastAsia="Arial"/>
          <w:sz w:val="24"/>
          <w:szCs w:val="24"/>
        </w:rPr>
        <w:t xml:space="preserve">1.3 </w:t>
      </w:r>
      <w:r>
        <w:rPr>
          <w:rFonts w:ascii="Arial" w:hAnsi="Arial" w:eastAsia="Arial"/>
          <w:color w:val="0F1115"/>
          <w:sz w:val="24"/>
          <w:szCs w:val="24"/>
        </w:rPr>
        <w:t>Industry Comparison and Liquidity position</w:t>
      </w:r>
      <w:r>
        <w:rPr>
          <w:rFonts w:ascii="Arial" w:hAnsi="Arial" w:eastAsia="Arial"/>
          <w:sz w:val="24"/>
          <w:szCs w:val="24"/>
        </w:rPr>
        <w:t xml:space="preserve"> </w:t>
      </w:r>
      <w:r>
        <w:rPr>
          <w:rFonts w:hint="eastAsia" w:ascii="Arial" w:hAnsi="Arial" w:eastAsia="Arial"/>
          <w:sz w:val="24"/>
          <w:szCs w:val="24"/>
        </w:rPr>
        <w:t>which involves comparing liquidity position with industry position ratios</w:t>
      </w:r>
      <w:r>
        <w:rPr>
          <w:rFonts w:ascii="Arial" w:hAnsi="Arial" w:eastAsia="Arial"/>
          <w:sz w:val="24"/>
          <w:szCs w:val="24"/>
        </w:rPr>
        <w:t>:</w:t>
      </w:r>
    </w:p>
    <w:p w14:paraId="19E841F0">
      <w:pPr>
        <w:pStyle w:val="5"/>
        <w:numPr>
          <w:ilvl w:val="0"/>
          <w:numId w:val="0"/>
        </w:numPr>
        <w:spacing w:line="360" w:lineRule="auto"/>
        <w:ind w:left="0" w:firstLine="0"/>
        <w:rPr>
          <w:rFonts w:ascii="Arial" w:hAnsi="Arial" w:eastAsia="Arial"/>
          <w:sz w:val="24"/>
          <w:szCs w:val="24"/>
        </w:rPr>
      </w:pPr>
      <w:r>
        <w:rPr>
          <w:rFonts w:hint="eastAsia" w:ascii="Arial" w:hAnsi="Arial" w:eastAsia="Arial"/>
          <w:b w:val="0"/>
          <w:bCs w:val="0"/>
          <w:sz w:val="24"/>
          <w:szCs w:val="24"/>
        </w:rPr>
        <w:t xml:space="preserve">On a liquidity basis (based on the current ratio and the cash ratio), Whitbread's position is more vulnerable than that of some of its competitors, as well as compared to the benchmark of 1.0. But this should be looked at within the framework of the company's business model and the company's financing strategy. The low current ratio is of normal proportions for an "asset light" operator such as Whitbread, where leasing is a big part of the business, and where high cash flow is needed to service the obligation. The current ratio is often at the same or even lower level for an Inter-Continental Hotels Group, as it uses the more asset-light business model.The asset-liability ratio of Inter-Continental Hotels Group is the same or even lower (Kacani et al., 2022). The current ratio illustrates weakness in the current position of the business but there is a healthy margin of safety in Whittread's OCF of £1004.5m in 2025. Also, the company's </w:t>
      </w:r>
      <w:r>
        <w:rPr>
          <w:rFonts w:ascii="Arial" w:hAnsi="Arial" w:eastAsia="Arial"/>
          <w:b w:val="0"/>
          <w:bCs w:val="0"/>
          <w:sz w:val="24"/>
          <w:szCs w:val="24"/>
        </w:rPr>
        <w:t>investment-grade</w:t>
      </w:r>
      <w:r>
        <w:rPr>
          <w:rFonts w:hint="eastAsia" w:ascii="Arial" w:hAnsi="Arial" w:eastAsia="Arial"/>
          <w:b w:val="0"/>
          <w:bCs w:val="0"/>
          <w:sz w:val="24"/>
          <w:szCs w:val="24"/>
        </w:rPr>
        <w:t xml:space="preserve"> credit rating and undrawn revolving credit facility of £775 million give the company access to further liquidity, if necessary.</w:t>
      </w:r>
      <w:r>
        <w:rPr>
          <w:rFonts w:ascii="Arial" w:hAnsi="Arial" w:eastAsia="Arial"/>
          <w:b w:val="0"/>
          <w:bCs w:val="0"/>
          <w:sz w:val="24"/>
          <w:szCs w:val="24"/>
        </w:rPr>
        <w:t>2. Working Capital Management Analysis</w:t>
      </w:r>
    </w:p>
    <w:p w14:paraId="7CCF9E23">
      <w:pPr>
        <w:pStyle w:val="6"/>
        <w:numPr>
          <w:ilvl w:val="2"/>
          <w:numId w:val="1"/>
        </w:numPr>
        <w:spacing w:line="360" w:lineRule="auto"/>
        <w:rPr>
          <w:rFonts w:ascii="Arial" w:hAnsi="Arial" w:eastAsia="Arial"/>
          <w:sz w:val="24"/>
          <w:szCs w:val="24"/>
        </w:rPr>
      </w:pPr>
      <w:r>
        <w:rPr>
          <w:rFonts w:ascii="Arial" w:hAnsi="Arial" w:eastAsia="Arial"/>
          <w:sz w:val="24"/>
          <w:szCs w:val="24"/>
        </w:rPr>
        <w:t>2.1 Cash Operating Cycle:</w:t>
      </w:r>
    </w:p>
    <w:tbl>
      <w:tblPr>
        <w:tblStyle w:val="8"/>
        <w:tblW w:w="5000" w:type="pct"/>
        <w:tblInd w:w="-5" w:type="dxa"/>
        <w:tblLayout w:type="fixed"/>
        <w:tblCellMar>
          <w:top w:w="55" w:type="dxa"/>
          <w:left w:w="55" w:type="dxa"/>
          <w:bottom w:w="55" w:type="dxa"/>
          <w:right w:w="55" w:type="dxa"/>
        </w:tblCellMar>
      </w:tblPr>
      <w:tblGrid>
        <w:gridCol w:w="2521"/>
        <w:gridCol w:w="2519"/>
        <w:gridCol w:w="2521"/>
        <w:gridCol w:w="2522"/>
      </w:tblGrid>
      <w:tr w14:paraId="535B4BE4">
        <w:tblPrEx>
          <w:tblCellMar>
            <w:top w:w="55" w:type="dxa"/>
            <w:left w:w="55" w:type="dxa"/>
            <w:bottom w:w="55" w:type="dxa"/>
            <w:right w:w="55" w:type="dxa"/>
          </w:tblCellMar>
        </w:tblPrEx>
        <w:trPr>
          <w:tblHeader/>
        </w:trPr>
        <w:tc>
          <w:tcPr>
            <w:tcW w:w="2493" w:type="dxa"/>
            <w:tcBorders>
              <w:top w:val="single" w:color="000000" w:sz="4" w:space="0"/>
              <w:left w:val="single" w:color="000000" w:sz="4" w:space="0"/>
              <w:bottom w:val="single" w:color="000000" w:sz="4" w:space="0"/>
            </w:tcBorders>
          </w:tcPr>
          <w:p w14:paraId="24E56973">
            <w:pPr>
              <w:pStyle w:val="23"/>
              <w:spacing w:line="360" w:lineRule="auto"/>
              <w:jc w:val="left"/>
              <w:rPr>
                <w:rFonts w:ascii="Arial" w:hAnsi="Arial" w:eastAsia="Arial"/>
                <w:sz w:val="24"/>
                <w:szCs w:val="24"/>
              </w:rPr>
            </w:pPr>
            <w:r>
              <w:rPr>
                <w:rFonts w:ascii="Arial" w:hAnsi="Arial" w:eastAsia="Arial"/>
                <w:sz w:val="24"/>
                <w:szCs w:val="24"/>
              </w:rPr>
              <w:t>Particulars</w:t>
            </w:r>
          </w:p>
        </w:tc>
        <w:tc>
          <w:tcPr>
            <w:tcW w:w="2492" w:type="dxa"/>
            <w:tcBorders>
              <w:top w:val="single" w:color="000000" w:sz="4" w:space="0"/>
              <w:left w:val="single" w:color="000000" w:sz="4" w:space="0"/>
              <w:bottom w:val="single" w:color="000000" w:sz="4" w:space="0"/>
            </w:tcBorders>
          </w:tcPr>
          <w:p w14:paraId="36CF71D7">
            <w:pPr>
              <w:pStyle w:val="23"/>
              <w:spacing w:line="360" w:lineRule="auto"/>
              <w:jc w:val="left"/>
              <w:rPr>
                <w:rFonts w:ascii="Arial" w:hAnsi="Arial" w:eastAsia="Arial"/>
                <w:sz w:val="24"/>
                <w:szCs w:val="24"/>
              </w:rPr>
            </w:pPr>
            <w:r>
              <w:rPr>
                <w:rFonts w:ascii="Arial" w:hAnsi="Arial" w:eastAsia="Arial"/>
                <w:sz w:val="24"/>
                <w:szCs w:val="24"/>
              </w:rPr>
              <w:t>2023 (£m)</w:t>
            </w:r>
          </w:p>
        </w:tc>
        <w:tc>
          <w:tcPr>
            <w:tcW w:w="2493" w:type="dxa"/>
            <w:tcBorders>
              <w:top w:val="single" w:color="000000" w:sz="4" w:space="0"/>
              <w:left w:val="single" w:color="000000" w:sz="4" w:space="0"/>
              <w:bottom w:val="single" w:color="000000" w:sz="4" w:space="0"/>
            </w:tcBorders>
          </w:tcPr>
          <w:p w14:paraId="151DD55D">
            <w:pPr>
              <w:pStyle w:val="23"/>
              <w:spacing w:line="360" w:lineRule="auto"/>
              <w:jc w:val="left"/>
              <w:rPr>
                <w:rFonts w:ascii="Arial" w:hAnsi="Arial" w:eastAsia="Arial"/>
                <w:sz w:val="24"/>
                <w:szCs w:val="24"/>
              </w:rPr>
            </w:pPr>
            <w:r>
              <w:rPr>
                <w:rFonts w:ascii="Arial" w:hAnsi="Arial" w:eastAsia="Arial"/>
                <w:sz w:val="24"/>
                <w:szCs w:val="24"/>
              </w:rPr>
              <w:t>2024 (£m)</w:t>
            </w:r>
          </w:p>
        </w:tc>
        <w:tc>
          <w:tcPr>
            <w:tcW w:w="2494" w:type="dxa"/>
            <w:tcBorders>
              <w:top w:val="single" w:color="000000" w:sz="4" w:space="0"/>
              <w:left w:val="single" w:color="000000" w:sz="4" w:space="0"/>
              <w:bottom w:val="single" w:color="000000" w:sz="4" w:space="0"/>
              <w:right w:val="single" w:color="000000" w:sz="4" w:space="0"/>
            </w:tcBorders>
          </w:tcPr>
          <w:p w14:paraId="3D77A915">
            <w:pPr>
              <w:pStyle w:val="23"/>
              <w:spacing w:line="360" w:lineRule="auto"/>
              <w:jc w:val="left"/>
              <w:rPr>
                <w:rFonts w:ascii="Arial" w:hAnsi="Arial" w:eastAsia="Arial"/>
                <w:sz w:val="24"/>
                <w:szCs w:val="24"/>
              </w:rPr>
            </w:pPr>
            <w:r>
              <w:rPr>
                <w:rFonts w:ascii="Arial" w:hAnsi="Arial" w:eastAsia="Arial"/>
                <w:sz w:val="24"/>
                <w:szCs w:val="24"/>
              </w:rPr>
              <w:t>2025 (£m)</w:t>
            </w:r>
          </w:p>
        </w:tc>
      </w:tr>
      <w:tr w14:paraId="1AAB0A2C">
        <w:tblPrEx>
          <w:tblCellMar>
            <w:top w:w="55" w:type="dxa"/>
            <w:left w:w="55" w:type="dxa"/>
            <w:bottom w:w="55" w:type="dxa"/>
            <w:right w:w="55" w:type="dxa"/>
          </w:tblCellMar>
        </w:tblPrEx>
        <w:tc>
          <w:tcPr>
            <w:tcW w:w="2493" w:type="dxa"/>
            <w:tcBorders>
              <w:left w:val="single" w:color="000000" w:sz="4" w:space="0"/>
              <w:bottom w:val="single" w:color="000000" w:sz="4" w:space="0"/>
            </w:tcBorders>
          </w:tcPr>
          <w:p w14:paraId="42B27394">
            <w:pPr>
              <w:pStyle w:val="22"/>
              <w:spacing w:line="360" w:lineRule="auto"/>
              <w:rPr>
                <w:rFonts w:ascii="Arial" w:hAnsi="Arial" w:eastAsia="Arial"/>
                <w:sz w:val="24"/>
                <w:szCs w:val="24"/>
              </w:rPr>
            </w:pPr>
            <w:r>
              <w:rPr>
                <w:rFonts w:ascii="Arial" w:hAnsi="Arial" w:eastAsia="Arial"/>
                <w:sz w:val="24"/>
                <w:szCs w:val="24"/>
              </w:rPr>
              <w:t>Revenue</w:t>
            </w:r>
          </w:p>
        </w:tc>
        <w:tc>
          <w:tcPr>
            <w:tcW w:w="2492" w:type="dxa"/>
            <w:tcBorders>
              <w:left w:val="single" w:color="000000" w:sz="4" w:space="0"/>
              <w:bottom w:val="single" w:color="000000" w:sz="4" w:space="0"/>
            </w:tcBorders>
          </w:tcPr>
          <w:p w14:paraId="7D1BAAAE">
            <w:pPr>
              <w:pStyle w:val="22"/>
              <w:spacing w:line="360" w:lineRule="auto"/>
              <w:rPr>
                <w:rFonts w:ascii="Arial" w:hAnsi="Arial" w:eastAsia="Arial"/>
                <w:sz w:val="24"/>
                <w:szCs w:val="24"/>
              </w:rPr>
            </w:pPr>
            <w:r>
              <w:rPr>
                <w:rFonts w:ascii="Arial" w:hAnsi="Arial" w:eastAsia="Arial"/>
                <w:sz w:val="24"/>
                <w:szCs w:val="24"/>
              </w:rPr>
              <w:t>2,625.2</w:t>
            </w:r>
          </w:p>
        </w:tc>
        <w:tc>
          <w:tcPr>
            <w:tcW w:w="2493" w:type="dxa"/>
            <w:tcBorders>
              <w:left w:val="single" w:color="000000" w:sz="4" w:space="0"/>
              <w:bottom w:val="single" w:color="000000" w:sz="4" w:space="0"/>
            </w:tcBorders>
          </w:tcPr>
          <w:p w14:paraId="67FE9AC8">
            <w:pPr>
              <w:pStyle w:val="22"/>
              <w:spacing w:line="360" w:lineRule="auto"/>
              <w:rPr>
                <w:rFonts w:ascii="Arial" w:hAnsi="Arial" w:eastAsia="Arial"/>
                <w:sz w:val="24"/>
                <w:szCs w:val="24"/>
              </w:rPr>
            </w:pPr>
            <w:r>
              <w:rPr>
                <w:rFonts w:ascii="Arial" w:hAnsi="Arial" w:eastAsia="Arial"/>
                <w:sz w:val="24"/>
                <w:szCs w:val="24"/>
              </w:rPr>
              <w:t>2,959.9</w:t>
            </w:r>
          </w:p>
        </w:tc>
        <w:tc>
          <w:tcPr>
            <w:tcW w:w="2494" w:type="dxa"/>
            <w:tcBorders>
              <w:left w:val="single" w:color="000000" w:sz="4" w:space="0"/>
              <w:bottom w:val="single" w:color="000000" w:sz="4" w:space="0"/>
              <w:right w:val="single" w:color="000000" w:sz="4" w:space="0"/>
            </w:tcBorders>
          </w:tcPr>
          <w:p w14:paraId="58BA20E8">
            <w:pPr>
              <w:pStyle w:val="22"/>
              <w:spacing w:line="360" w:lineRule="auto"/>
              <w:rPr>
                <w:rFonts w:ascii="Arial" w:hAnsi="Arial" w:eastAsia="Arial"/>
                <w:sz w:val="24"/>
                <w:szCs w:val="24"/>
              </w:rPr>
            </w:pPr>
            <w:r>
              <w:rPr>
                <w:rFonts w:ascii="Arial" w:hAnsi="Arial" w:eastAsia="Arial"/>
                <w:sz w:val="24"/>
                <w:szCs w:val="24"/>
              </w:rPr>
              <w:t>2,921.9</w:t>
            </w:r>
          </w:p>
        </w:tc>
      </w:tr>
      <w:tr w14:paraId="040E3521">
        <w:tblPrEx>
          <w:tblCellMar>
            <w:top w:w="55" w:type="dxa"/>
            <w:left w:w="55" w:type="dxa"/>
            <w:bottom w:w="55" w:type="dxa"/>
            <w:right w:w="55" w:type="dxa"/>
          </w:tblCellMar>
        </w:tblPrEx>
        <w:tc>
          <w:tcPr>
            <w:tcW w:w="2493" w:type="dxa"/>
            <w:tcBorders>
              <w:left w:val="single" w:color="000000" w:sz="4" w:space="0"/>
              <w:bottom w:val="single" w:color="000000" w:sz="4" w:space="0"/>
            </w:tcBorders>
          </w:tcPr>
          <w:p w14:paraId="6825801E">
            <w:pPr>
              <w:pStyle w:val="22"/>
              <w:spacing w:line="360" w:lineRule="auto"/>
              <w:rPr>
                <w:rFonts w:ascii="Arial" w:hAnsi="Arial" w:eastAsia="Arial"/>
                <w:sz w:val="24"/>
                <w:szCs w:val="24"/>
              </w:rPr>
            </w:pPr>
            <w:r>
              <w:rPr>
                <w:rFonts w:ascii="Arial" w:hAnsi="Arial" w:eastAsia="Arial"/>
                <w:sz w:val="24"/>
                <w:szCs w:val="24"/>
              </w:rPr>
              <w:t>Accounts Receivable (£m)</w:t>
            </w:r>
          </w:p>
        </w:tc>
        <w:tc>
          <w:tcPr>
            <w:tcW w:w="2492" w:type="dxa"/>
            <w:tcBorders>
              <w:left w:val="single" w:color="000000" w:sz="4" w:space="0"/>
              <w:bottom w:val="single" w:color="000000" w:sz="4" w:space="0"/>
            </w:tcBorders>
          </w:tcPr>
          <w:p w14:paraId="0CADCB86">
            <w:pPr>
              <w:pStyle w:val="22"/>
              <w:spacing w:line="360" w:lineRule="auto"/>
              <w:rPr>
                <w:rFonts w:ascii="Arial" w:hAnsi="Arial" w:eastAsia="Arial"/>
                <w:sz w:val="24"/>
                <w:szCs w:val="24"/>
              </w:rPr>
            </w:pPr>
            <w:r>
              <w:rPr>
                <w:rFonts w:ascii="Arial" w:hAnsi="Arial" w:eastAsia="Arial"/>
                <w:sz w:val="24"/>
                <w:szCs w:val="24"/>
              </w:rPr>
              <w:t>46.0</w:t>
            </w:r>
          </w:p>
        </w:tc>
        <w:tc>
          <w:tcPr>
            <w:tcW w:w="2493" w:type="dxa"/>
            <w:tcBorders>
              <w:left w:val="single" w:color="000000" w:sz="4" w:space="0"/>
              <w:bottom w:val="single" w:color="000000" w:sz="4" w:space="0"/>
            </w:tcBorders>
          </w:tcPr>
          <w:p w14:paraId="5BF5889C">
            <w:pPr>
              <w:pStyle w:val="22"/>
              <w:spacing w:line="360" w:lineRule="auto"/>
              <w:rPr>
                <w:rFonts w:ascii="Arial" w:hAnsi="Arial" w:eastAsia="Arial"/>
                <w:sz w:val="24"/>
                <w:szCs w:val="24"/>
              </w:rPr>
            </w:pPr>
            <w:r>
              <w:rPr>
                <w:rFonts w:ascii="Arial" w:hAnsi="Arial" w:eastAsia="Arial"/>
                <w:sz w:val="24"/>
                <w:szCs w:val="24"/>
              </w:rPr>
              <w:t>54.4</w:t>
            </w:r>
          </w:p>
        </w:tc>
        <w:tc>
          <w:tcPr>
            <w:tcW w:w="2494" w:type="dxa"/>
            <w:tcBorders>
              <w:left w:val="single" w:color="000000" w:sz="4" w:space="0"/>
              <w:bottom w:val="single" w:color="000000" w:sz="4" w:space="0"/>
              <w:right w:val="single" w:color="000000" w:sz="4" w:space="0"/>
            </w:tcBorders>
          </w:tcPr>
          <w:p w14:paraId="01D1D1C3">
            <w:pPr>
              <w:pStyle w:val="22"/>
              <w:spacing w:line="360" w:lineRule="auto"/>
              <w:rPr>
                <w:rFonts w:ascii="Arial" w:hAnsi="Arial" w:eastAsia="Arial"/>
                <w:sz w:val="24"/>
                <w:szCs w:val="24"/>
              </w:rPr>
            </w:pPr>
            <w:r>
              <w:rPr>
                <w:rFonts w:ascii="Arial" w:hAnsi="Arial" w:eastAsia="Arial"/>
                <w:sz w:val="24"/>
                <w:szCs w:val="24"/>
              </w:rPr>
              <w:t>55.3</w:t>
            </w:r>
          </w:p>
        </w:tc>
      </w:tr>
      <w:tr w14:paraId="7A5A6D46">
        <w:tblPrEx>
          <w:tblCellMar>
            <w:top w:w="55" w:type="dxa"/>
            <w:left w:w="55" w:type="dxa"/>
            <w:bottom w:w="55" w:type="dxa"/>
            <w:right w:w="55" w:type="dxa"/>
          </w:tblCellMar>
        </w:tblPrEx>
        <w:tc>
          <w:tcPr>
            <w:tcW w:w="2493" w:type="dxa"/>
            <w:tcBorders>
              <w:left w:val="single" w:color="000000" w:sz="4" w:space="0"/>
              <w:bottom w:val="single" w:color="000000" w:sz="4" w:space="0"/>
            </w:tcBorders>
          </w:tcPr>
          <w:p w14:paraId="40A35357">
            <w:pPr>
              <w:pStyle w:val="22"/>
              <w:spacing w:line="360" w:lineRule="auto"/>
              <w:rPr>
                <w:rFonts w:ascii="Arial" w:hAnsi="Arial" w:eastAsia="Arial"/>
                <w:sz w:val="24"/>
                <w:szCs w:val="24"/>
              </w:rPr>
            </w:pPr>
            <w:r>
              <w:rPr>
                <w:rFonts w:ascii="Arial" w:hAnsi="Arial" w:eastAsia="Arial"/>
                <w:sz w:val="24"/>
                <w:szCs w:val="24"/>
              </w:rPr>
              <w:t>Accounts Payable (£m)</w:t>
            </w:r>
          </w:p>
        </w:tc>
        <w:tc>
          <w:tcPr>
            <w:tcW w:w="2492" w:type="dxa"/>
            <w:tcBorders>
              <w:left w:val="single" w:color="000000" w:sz="4" w:space="0"/>
              <w:bottom w:val="single" w:color="000000" w:sz="4" w:space="0"/>
            </w:tcBorders>
          </w:tcPr>
          <w:p w14:paraId="171F9A2A">
            <w:pPr>
              <w:pStyle w:val="22"/>
              <w:spacing w:line="360" w:lineRule="auto"/>
              <w:rPr>
                <w:rFonts w:ascii="Arial" w:hAnsi="Arial" w:eastAsia="Arial"/>
                <w:sz w:val="24"/>
                <w:szCs w:val="24"/>
              </w:rPr>
            </w:pPr>
            <w:r>
              <w:rPr>
                <w:rFonts w:ascii="Arial" w:hAnsi="Arial" w:eastAsia="Arial"/>
                <w:sz w:val="24"/>
                <w:szCs w:val="24"/>
              </w:rPr>
              <w:t>95.2</w:t>
            </w:r>
          </w:p>
        </w:tc>
        <w:tc>
          <w:tcPr>
            <w:tcW w:w="2493" w:type="dxa"/>
            <w:tcBorders>
              <w:left w:val="single" w:color="000000" w:sz="4" w:space="0"/>
              <w:bottom w:val="single" w:color="000000" w:sz="4" w:space="0"/>
            </w:tcBorders>
          </w:tcPr>
          <w:p w14:paraId="656404B0">
            <w:pPr>
              <w:pStyle w:val="22"/>
              <w:spacing w:line="360" w:lineRule="auto"/>
              <w:rPr>
                <w:rFonts w:ascii="Arial" w:hAnsi="Arial" w:eastAsia="Arial"/>
                <w:sz w:val="24"/>
                <w:szCs w:val="24"/>
              </w:rPr>
            </w:pPr>
            <w:r>
              <w:rPr>
                <w:rFonts w:ascii="Arial" w:hAnsi="Arial" w:eastAsia="Arial"/>
                <w:sz w:val="24"/>
                <w:szCs w:val="24"/>
              </w:rPr>
              <w:t>91.9</w:t>
            </w:r>
          </w:p>
        </w:tc>
        <w:tc>
          <w:tcPr>
            <w:tcW w:w="2494" w:type="dxa"/>
            <w:tcBorders>
              <w:left w:val="single" w:color="000000" w:sz="4" w:space="0"/>
              <w:bottom w:val="single" w:color="000000" w:sz="4" w:space="0"/>
              <w:right w:val="single" w:color="000000" w:sz="4" w:space="0"/>
            </w:tcBorders>
          </w:tcPr>
          <w:p w14:paraId="1CBC5F8C">
            <w:pPr>
              <w:pStyle w:val="22"/>
              <w:spacing w:line="360" w:lineRule="auto"/>
              <w:rPr>
                <w:rFonts w:ascii="Arial" w:hAnsi="Arial" w:eastAsia="Arial"/>
                <w:sz w:val="24"/>
                <w:szCs w:val="24"/>
              </w:rPr>
            </w:pPr>
            <w:r>
              <w:rPr>
                <w:rFonts w:ascii="Arial" w:hAnsi="Arial" w:eastAsia="Arial"/>
                <w:sz w:val="24"/>
                <w:szCs w:val="24"/>
              </w:rPr>
              <w:t>96.1</w:t>
            </w:r>
          </w:p>
        </w:tc>
      </w:tr>
      <w:tr w14:paraId="5FD93424">
        <w:tblPrEx>
          <w:tblCellMar>
            <w:top w:w="55" w:type="dxa"/>
            <w:left w:w="55" w:type="dxa"/>
            <w:bottom w:w="55" w:type="dxa"/>
            <w:right w:w="55" w:type="dxa"/>
          </w:tblCellMar>
        </w:tblPrEx>
        <w:tc>
          <w:tcPr>
            <w:tcW w:w="2493" w:type="dxa"/>
            <w:tcBorders>
              <w:left w:val="single" w:color="000000" w:sz="4" w:space="0"/>
              <w:bottom w:val="single" w:color="000000" w:sz="4" w:space="0"/>
            </w:tcBorders>
          </w:tcPr>
          <w:p w14:paraId="63166B2C">
            <w:pPr>
              <w:pStyle w:val="22"/>
              <w:spacing w:line="360" w:lineRule="auto"/>
              <w:rPr>
                <w:rFonts w:ascii="Arial" w:hAnsi="Arial" w:eastAsia="Arial"/>
                <w:sz w:val="24"/>
                <w:szCs w:val="24"/>
              </w:rPr>
            </w:pPr>
            <w:r>
              <w:rPr>
                <w:rFonts w:ascii="Arial" w:hAnsi="Arial" w:eastAsia="Arial"/>
                <w:sz w:val="24"/>
                <w:szCs w:val="24"/>
              </w:rPr>
              <w:t>Cost of Sales (Proxy)</w:t>
            </w:r>
          </w:p>
        </w:tc>
        <w:tc>
          <w:tcPr>
            <w:tcW w:w="2492" w:type="dxa"/>
            <w:tcBorders>
              <w:left w:val="single" w:color="000000" w:sz="4" w:space="0"/>
              <w:bottom w:val="single" w:color="000000" w:sz="4" w:space="0"/>
            </w:tcBorders>
          </w:tcPr>
          <w:p w14:paraId="183F9B67">
            <w:pPr>
              <w:pStyle w:val="22"/>
              <w:spacing w:line="360" w:lineRule="auto"/>
              <w:rPr>
                <w:rFonts w:ascii="Arial" w:hAnsi="Arial" w:eastAsia="Arial"/>
                <w:sz w:val="24"/>
                <w:szCs w:val="24"/>
              </w:rPr>
            </w:pPr>
            <w:r>
              <w:rPr>
                <w:rFonts w:ascii="Arial" w:hAnsi="Arial" w:eastAsia="Arial"/>
                <w:sz w:val="24"/>
                <w:szCs w:val="24"/>
              </w:rPr>
              <w:t>1,816.4</w:t>
            </w:r>
          </w:p>
        </w:tc>
        <w:tc>
          <w:tcPr>
            <w:tcW w:w="2493" w:type="dxa"/>
            <w:tcBorders>
              <w:left w:val="single" w:color="000000" w:sz="4" w:space="0"/>
              <w:bottom w:val="single" w:color="000000" w:sz="4" w:space="0"/>
            </w:tcBorders>
          </w:tcPr>
          <w:p w14:paraId="0B056B17">
            <w:pPr>
              <w:pStyle w:val="22"/>
              <w:spacing w:line="360" w:lineRule="auto"/>
              <w:rPr>
                <w:rFonts w:ascii="Arial" w:hAnsi="Arial" w:eastAsia="Arial"/>
                <w:sz w:val="24"/>
                <w:szCs w:val="24"/>
              </w:rPr>
            </w:pPr>
            <w:r>
              <w:rPr>
                <w:rFonts w:ascii="Arial" w:hAnsi="Arial" w:eastAsia="Arial"/>
                <w:sz w:val="24"/>
                <w:szCs w:val="24"/>
              </w:rPr>
              <w:t>2,080.9</w:t>
            </w:r>
          </w:p>
        </w:tc>
        <w:tc>
          <w:tcPr>
            <w:tcW w:w="2494" w:type="dxa"/>
            <w:tcBorders>
              <w:left w:val="single" w:color="000000" w:sz="4" w:space="0"/>
              <w:bottom w:val="single" w:color="000000" w:sz="4" w:space="0"/>
              <w:right w:val="single" w:color="000000" w:sz="4" w:space="0"/>
            </w:tcBorders>
          </w:tcPr>
          <w:p w14:paraId="03161AB1">
            <w:pPr>
              <w:pStyle w:val="22"/>
              <w:spacing w:line="360" w:lineRule="auto"/>
              <w:rPr>
                <w:rFonts w:ascii="Arial" w:hAnsi="Arial" w:eastAsia="Arial"/>
                <w:sz w:val="24"/>
                <w:szCs w:val="24"/>
              </w:rPr>
            </w:pPr>
            <w:r>
              <w:rPr>
                <w:rFonts w:ascii="Arial" w:hAnsi="Arial" w:eastAsia="Arial"/>
                <w:sz w:val="24"/>
                <w:szCs w:val="24"/>
              </w:rPr>
              <w:t>2,040.2</w:t>
            </w:r>
          </w:p>
        </w:tc>
      </w:tr>
      <w:tr w14:paraId="19B89439">
        <w:tblPrEx>
          <w:tblCellMar>
            <w:top w:w="55" w:type="dxa"/>
            <w:left w:w="55" w:type="dxa"/>
            <w:bottom w:w="55" w:type="dxa"/>
            <w:right w:w="55" w:type="dxa"/>
          </w:tblCellMar>
        </w:tblPrEx>
        <w:tc>
          <w:tcPr>
            <w:tcW w:w="2493" w:type="dxa"/>
            <w:tcBorders>
              <w:left w:val="single" w:color="000000" w:sz="4" w:space="0"/>
              <w:bottom w:val="single" w:color="000000" w:sz="4" w:space="0"/>
            </w:tcBorders>
          </w:tcPr>
          <w:p w14:paraId="0740652C">
            <w:pPr>
              <w:pStyle w:val="22"/>
              <w:spacing w:line="360" w:lineRule="auto"/>
              <w:rPr>
                <w:rFonts w:ascii="Arial" w:hAnsi="Arial" w:eastAsia="Arial"/>
                <w:sz w:val="24"/>
                <w:szCs w:val="24"/>
              </w:rPr>
            </w:pPr>
            <w:r>
              <w:rPr>
                <w:rFonts w:ascii="Arial" w:hAnsi="Arial" w:eastAsia="Arial"/>
                <w:b/>
                <w:sz w:val="24"/>
                <w:szCs w:val="24"/>
              </w:rPr>
              <w:t>Receivable Turnover (Times)</w:t>
            </w:r>
          </w:p>
        </w:tc>
        <w:tc>
          <w:tcPr>
            <w:tcW w:w="2492" w:type="dxa"/>
            <w:tcBorders>
              <w:left w:val="single" w:color="000000" w:sz="4" w:space="0"/>
              <w:bottom w:val="single" w:color="000000" w:sz="4" w:space="0"/>
            </w:tcBorders>
          </w:tcPr>
          <w:p w14:paraId="4886168A">
            <w:pPr>
              <w:pStyle w:val="22"/>
              <w:spacing w:line="360" w:lineRule="auto"/>
              <w:rPr>
                <w:rFonts w:ascii="Arial" w:hAnsi="Arial" w:eastAsia="Arial"/>
                <w:sz w:val="24"/>
                <w:szCs w:val="24"/>
              </w:rPr>
            </w:pPr>
            <w:r>
              <w:rPr>
                <w:rFonts w:ascii="Arial" w:hAnsi="Arial" w:eastAsia="Arial"/>
                <w:b/>
                <w:sz w:val="24"/>
                <w:szCs w:val="24"/>
              </w:rPr>
              <w:t>57.1</w:t>
            </w:r>
          </w:p>
        </w:tc>
        <w:tc>
          <w:tcPr>
            <w:tcW w:w="2493" w:type="dxa"/>
            <w:tcBorders>
              <w:left w:val="single" w:color="000000" w:sz="4" w:space="0"/>
              <w:bottom w:val="single" w:color="000000" w:sz="4" w:space="0"/>
            </w:tcBorders>
          </w:tcPr>
          <w:p w14:paraId="681BC2E7">
            <w:pPr>
              <w:pStyle w:val="22"/>
              <w:spacing w:line="360" w:lineRule="auto"/>
              <w:rPr>
                <w:rFonts w:ascii="Arial" w:hAnsi="Arial" w:eastAsia="Arial"/>
                <w:sz w:val="24"/>
                <w:szCs w:val="24"/>
              </w:rPr>
            </w:pPr>
            <w:r>
              <w:rPr>
                <w:rFonts w:ascii="Arial" w:hAnsi="Arial" w:eastAsia="Arial"/>
                <w:b/>
                <w:sz w:val="24"/>
                <w:szCs w:val="24"/>
              </w:rPr>
              <w:t>54.4</w:t>
            </w:r>
          </w:p>
        </w:tc>
        <w:tc>
          <w:tcPr>
            <w:tcW w:w="2494" w:type="dxa"/>
            <w:tcBorders>
              <w:left w:val="single" w:color="000000" w:sz="4" w:space="0"/>
              <w:bottom w:val="single" w:color="000000" w:sz="4" w:space="0"/>
              <w:right w:val="single" w:color="000000" w:sz="4" w:space="0"/>
            </w:tcBorders>
          </w:tcPr>
          <w:p w14:paraId="110647F6">
            <w:pPr>
              <w:pStyle w:val="22"/>
              <w:spacing w:line="360" w:lineRule="auto"/>
              <w:rPr>
                <w:rFonts w:ascii="Arial" w:hAnsi="Arial" w:eastAsia="Arial"/>
                <w:sz w:val="24"/>
                <w:szCs w:val="24"/>
              </w:rPr>
            </w:pPr>
            <w:r>
              <w:rPr>
                <w:rFonts w:ascii="Arial" w:hAnsi="Arial" w:eastAsia="Arial"/>
                <w:b/>
                <w:sz w:val="24"/>
                <w:szCs w:val="24"/>
              </w:rPr>
              <w:t>52.8</w:t>
            </w:r>
          </w:p>
        </w:tc>
      </w:tr>
      <w:tr w14:paraId="6CC9C69E">
        <w:tblPrEx>
          <w:tblCellMar>
            <w:top w:w="55" w:type="dxa"/>
            <w:left w:w="55" w:type="dxa"/>
            <w:bottom w:w="55" w:type="dxa"/>
            <w:right w:w="55" w:type="dxa"/>
          </w:tblCellMar>
        </w:tblPrEx>
        <w:tc>
          <w:tcPr>
            <w:tcW w:w="2493" w:type="dxa"/>
            <w:tcBorders>
              <w:left w:val="single" w:color="000000" w:sz="4" w:space="0"/>
              <w:bottom w:val="single" w:color="000000" w:sz="4" w:space="0"/>
            </w:tcBorders>
          </w:tcPr>
          <w:p w14:paraId="24AB43C8">
            <w:pPr>
              <w:pStyle w:val="22"/>
              <w:spacing w:line="360" w:lineRule="auto"/>
              <w:rPr>
                <w:rFonts w:ascii="Arial" w:hAnsi="Arial" w:eastAsia="Arial"/>
                <w:sz w:val="24"/>
                <w:szCs w:val="24"/>
              </w:rPr>
            </w:pPr>
            <w:r>
              <w:rPr>
                <w:rFonts w:ascii="Arial" w:hAnsi="Arial" w:eastAsia="Arial"/>
                <w:b/>
                <w:sz w:val="24"/>
                <w:szCs w:val="24"/>
              </w:rPr>
              <w:t>Receivable Days</w:t>
            </w:r>
          </w:p>
        </w:tc>
        <w:tc>
          <w:tcPr>
            <w:tcW w:w="2492" w:type="dxa"/>
            <w:tcBorders>
              <w:left w:val="single" w:color="000000" w:sz="4" w:space="0"/>
              <w:bottom w:val="single" w:color="000000" w:sz="4" w:space="0"/>
            </w:tcBorders>
          </w:tcPr>
          <w:p w14:paraId="4A0455F9">
            <w:pPr>
              <w:pStyle w:val="22"/>
              <w:spacing w:line="360" w:lineRule="auto"/>
              <w:rPr>
                <w:rFonts w:ascii="Arial" w:hAnsi="Arial" w:eastAsia="Arial"/>
                <w:sz w:val="24"/>
                <w:szCs w:val="24"/>
              </w:rPr>
            </w:pPr>
            <w:r>
              <w:rPr>
                <w:rFonts w:ascii="Arial" w:hAnsi="Arial" w:eastAsia="Arial"/>
                <w:b/>
                <w:sz w:val="24"/>
                <w:szCs w:val="24"/>
              </w:rPr>
              <w:t>6.4</w:t>
            </w:r>
          </w:p>
        </w:tc>
        <w:tc>
          <w:tcPr>
            <w:tcW w:w="2493" w:type="dxa"/>
            <w:tcBorders>
              <w:left w:val="single" w:color="000000" w:sz="4" w:space="0"/>
              <w:bottom w:val="single" w:color="000000" w:sz="4" w:space="0"/>
            </w:tcBorders>
          </w:tcPr>
          <w:p w14:paraId="23055E21">
            <w:pPr>
              <w:pStyle w:val="22"/>
              <w:spacing w:line="360" w:lineRule="auto"/>
              <w:rPr>
                <w:rFonts w:ascii="Arial" w:hAnsi="Arial" w:eastAsia="Arial"/>
                <w:sz w:val="24"/>
                <w:szCs w:val="24"/>
              </w:rPr>
            </w:pPr>
            <w:r>
              <w:rPr>
                <w:rFonts w:ascii="Arial" w:hAnsi="Arial" w:eastAsia="Arial"/>
                <w:b/>
                <w:sz w:val="24"/>
                <w:szCs w:val="24"/>
              </w:rPr>
              <w:t>6.7</w:t>
            </w:r>
          </w:p>
        </w:tc>
        <w:tc>
          <w:tcPr>
            <w:tcW w:w="2494" w:type="dxa"/>
            <w:tcBorders>
              <w:left w:val="single" w:color="000000" w:sz="4" w:space="0"/>
              <w:bottom w:val="single" w:color="000000" w:sz="4" w:space="0"/>
              <w:right w:val="single" w:color="000000" w:sz="4" w:space="0"/>
            </w:tcBorders>
          </w:tcPr>
          <w:p w14:paraId="5F2C03C2">
            <w:pPr>
              <w:pStyle w:val="22"/>
              <w:spacing w:line="360" w:lineRule="auto"/>
              <w:rPr>
                <w:rFonts w:ascii="Arial" w:hAnsi="Arial" w:eastAsia="Arial"/>
                <w:sz w:val="24"/>
                <w:szCs w:val="24"/>
              </w:rPr>
            </w:pPr>
            <w:r>
              <w:rPr>
                <w:rFonts w:ascii="Arial" w:hAnsi="Arial" w:eastAsia="Arial"/>
                <w:b/>
                <w:sz w:val="24"/>
                <w:szCs w:val="24"/>
              </w:rPr>
              <w:t>6.9</w:t>
            </w:r>
          </w:p>
        </w:tc>
      </w:tr>
      <w:tr w14:paraId="112F1B25">
        <w:tblPrEx>
          <w:tblCellMar>
            <w:top w:w="55" w:type="dxa"/>
            <w:left w:w="55" w:type="dxa"/>
            <w:bottom w:w="55" w:type="dxa"/>
            <w:right w:w="55" w:type="dxa"/>
          </w:tblCellMar>
        </w:tblPrEx>
        <w:tc>
          <w:tcPr>
            <w:tcW w:w="2493" w:type="dxa"/>
            <w:tcBorders>
              <w:left w:val="single" w:color="000000" w:sz="4" w:space="0"/>
              <w:bottom w:val="single" w:color="000000" w:sz="4" w:space="0"/>
            </w:tcBorders>
          </w:tcPr>
          <w:p w14:paraId="1BECAB82">
            <w:pPr>
              <w:pStyle w:val="22"/>
              <w:spacing w:line="360" w:lineRule="auto"/>
              <w:rPr>
                <w:rFonts w:ascii="Arial" w:hAnsi="Arial" w:eastAsia="Arial"/>
                <w:sz w:val="24"/>
                <w:szCs w:val="24"/>
              </w:rPr>
            </w:pPr>
            <w:r>
              <w:rPr>
                <w:rFonts w:ascii="Arial" w:hAnsi="Arial" w:eastAsia="Arial"/>
                <w:b/>
                <w:sz w:val="24"/>
                <w:szCs w:val="24"/>
              </w:rPr>
              <w:t>Inventory Days</w:t>
            </w:r>
          </w:p>
        </w:tc>
        <w:tc>
          <w:tcPr>
            <w:tcW w:w="2492" w:type="dxa"/>
            <w:tcBorders>
              <w:left w:val="single" w:color="000000" w:sz="4" w:space="0"/>
              <w:bottom w:val="single" w:color="000000" w:sz="4" w:space="0"/>
            </w:tcBorders>
          </w:tcPr>
          <w:p w14:paraId="5FB41C8A">
            <w:pPr>
              <w:pStyle w:val="22"/>
              <w:spacing w:line="360" w:lineRule="auto"/>
              <w:rPr>
                <w:rFonts w:ascii="Arial" w:hAnsi="Arial" w:eastAsia="Arial"/>
                <w:sz w:val="24"/>
                <w:szCs w:val="24"/>
              </w:rPr>
            </w:pPr>
            <w:r>
              <w:rPr>
                <w:rFonts w:ascii="Arial" w:hAnsi="Arial" w:eastAsia="Arial"/>
                <w:b/>
                <w:sz w:val="24"/>
                <w:szCs w:val="24"/>
              </w:rPr>
              <w:t>4.4</w:t>
            </w:r>
          </w:p>
        </w:tc>
        <w:tc>
          <w:tcPr>
            <w:tcW w:w="2493" w:type="dxa"/>
            <w:tcBorders>
              <w:left w:val="single" w:color="000000" w:sz="4" w:space="0"/>
              <w:bottom w:val="single" w:color="000000" w:sz="4" w:space="0"/>
            </w:tcBorders>
          </w:tcPr>
          <w:p w14:paraId="47C05007">
            <w:pPr>
              <w:pStyle w:val="22"/>
              <w:spacing w:line="360" w:lineRule="auto"/>
              <w:rPr>
                <w:rFonts w:ascii="Arial" w:hAnsi="Arial" w:eastAsia="Arial"/>
                <w:sz w:val="24"/>
                <w:szCs w:val="24"/>
              </w:rPr>
            </w:pPr>
            <w:r>
              <w:rPr>
                <w:rFonts w:ascii="Arial" w:hAnsi="Arial" w:eastAsia="Arial"/>
                <w:b/>
                <w:sz w:val="24"/>
                <w:szCs w:val="24"/>
              </w:rPr>
              <w:t>3.7</w:t>
            </w:r>
          </w:p>
        </w:tc>
        <w:tc>
          <w:tcPr>
            <w:tcW w:w="2494" w:type="dxa"/>
            <w:tcBorders>
              <w:left w:val="single" w:color="000000" w:sz="4" w:space="0"/>
              <w:bottom w:val="single" w:color="000000" w:sz="4" w:space="0"/>
              <w:right w:val="single" w:color="000000" w:sz="4" w:space="0"/>
            </w:tcBorders>
          </w:tcPr>
          <w:p w14:paraId="5F6247B6">
            <w:pPr>
              <w:pStyle w:val="22"/>
              <w:spacing w:line="360" w:lineRule="auto"/>
              <w:rPr>
                <w:rFonts w:ascii="Arial" w:hAnsi="Arial" w:eastAsia="Arial"/>
                <w:sz w:val="24"/>
                <w:szCs w:val="24"/>
              </w:rPr>
            </w:pPr>
            <w:r>
              <w:rPr>
                <w:rFonts w:ascii="Arial" w:hAnsi="Arial" w:eastAsia="Arial"/>
                <w:b/>
                <w:sz w:val="24"/>
                <w:szCs w:val="24"/>
              </w:rPr>
              <w:t>3.1</w:t>
            </w:r>
          </w:p>
        </w:tc>
      </w:tr>
      <w:tr w14:paraId="455E34F2">
        <w:tblPrEx>
          <w:tblCellMar>
            <w:top w:w="55" w:type="dxa"/>
            <w:left w:w="55" w:type="dxa"/>
            <w:bottom w:w="55" w:type="dxa"/>
            <w:right w:w="55" w:type="dxa"/>
          </w:tblCellMar>
        </w:tblPrEx>
        <w:tc>
          <w:tcPr>
            <w:tcW w:w="2493" w:type="dxa"/>
            <w:tcBorders>
              <w:left w:val="single" w:color="000000" w:sz="4" w:space="0"/>
              <w:bottom w:val="single" w:color="000000" w:sz="4" w:space="0"/>
            </w:tcBorders>
          </w:tcPr>
          <w:p w14:paraId="25612D4E">
            <w:pPr>
              <w:pStyle w:val="22"/>
              <w:spacing w:line="360" w:lineRule="auto"/>
              <w:rPr>
                <w:rFonts w:ascii="Arial" w:hAnsi="Arial" w:eastAsia="Arial"/>
                <w:sz w:val="24"/>
                <w:szCs w:val="24"/>
              </w:rPr>
            </w:pPr>
            <w:r>
              <w:rPr>
                <w:rFonts w:ascii="Arial" w:hAnsi="Arial" w:eastAsia="Arial"/>
                <w:b/>
                <w:sz w:val="24"/>
                <w:szCs w:val="24"/>
              </w:rPr>
              <w:t>Payable Days</w:t>
            </w:r>
          </w:p>
        </w:tc>
        <w:tc>
          <w:tcPr>
            <w:tcW w:w="2492" w:type="dxa"/>
            <w:tcBorders>
              <w:left w:val="single" w:color="000000" w:sz="4" w:space="0"/>
              <w:bottom w:val="single" w:color="000000" w:sz="4" w:space="0"/>
            </w:tcBorders>
          </w:tcPr>
          <w:p w14:paraId="2EE26B53">
            <w:pPr>
              <w:pStyle w:val="22"/>
              <w:spacing w:line="360" w:lineRule="auto"/>
              <w:rPr>
                <w:rFonts w:ascii="Arial" w:hAnsi="Arial" w:eastAsia="Arial"/>
                <w:sz w:val="24"/>
                <w:szCs w:val="24"/>
              </w:rPr>
            </w:pPr>
            <w:r>
              <w:rPr>
                <w:rFonts w:ascii="Arial" w:hAnsi="Arial" w:eastAsia="Arial"/>
                <w:b/>
                <w:sz w:val="24"/>
                <w:szCs w:val="24"/>
              </w:rPr>
              <w:t>19.1</w:t>
            </w:r>
          </w:p>
        </w:tc>
        <w:tc>
          <w:tcPr>
            <w:tcW w:w="2493" w:type="dxa"/>
            <w:tcBorders>
              <w:left w:val="single" w:color="000000" w:sz="4" w:space="0"/>
              <w:bottom w:val="single" w:color="000000" w:sz="4" w:space="0"/>
            </w:tcBorders>
          </w:tcPr>
          <w:p w14:paraId="5CA137EE">
            <w:pPr>
              <w:pStyle w:val="22"/>
              <w:spacing w:line="360" w:lineRule="auto"/>
              <w:rPr>
                <w:rFonts w:ascii="Arial" w:hAnsi="Arial" w:eastAsia="Arial"/>
                <w:sz w:val="24"/>
                <w:szCs w:val="24"/>
              </w:rPr>
            </w:pPr>
            <w:r>
              <w:rPr>
                <w:rFonts w:ascii="Arial" w:hAnsi="Arial" w:eastAsia="Arial"/>
                <w:b/>
                <w:sz w:val="24"/>
                <w:szCs w:val="24"/>
              </w:rPr>
              <w:t>16.1</w:t>
            </w:r>
          </w:p>
        </w:tc>
        <w:tc>
          <w:tcPr>
            <w:tcW w:w="2494" w:type="dxa"/>
            <w:tcBorders>
              <w:left w:val="single" w:color="000000" w:sz="4" w:space="0"/>
              <w:bottom w:val="single" w:color="000000" w:sz="4" w:space="0"/>
              <w:right w:val="single" w:color="000000" w:sz="4" w:space="0"/>
            </w:tcBorders>
          </w:tcPr>
          <w:p w14:paraId="09B71292">
            <w:pPr>
              <w:pStyle w:val="22"/>
              <w:spacing w:line="360" w:lineRule="auto"/>
              <w:rPr>
                <w:rFonts w:ascii="Arial" w:hAnsi="Arial" w:eastAsia="Arial"/>
                <w:sz w:val="24"/>
                <w:szCs w:val="24"/>
              </w:rPr>
            </w:pPr>
            <w:r>
              <w:rPr>
                <w:rFonts w:ascii="Arial" w:hAnsi="Arial" w:eastAsia="Arial"/>
                <w:b/>
                <w:sz w:val="24"/>
                <w:szCs w:val="24"/>
              </w:rPr>
              <w:t>17.2</w:t>
            </w:r>
          </w:p>
        </w:tc>
      </w:tr>
      <w:tr w14:paraId="36D7DB9F">
        <w:tblPrEx>
          <w:tblCellMar>
            <w:top w:w="55" w:type="dxa"/>
            <w:left w:w="55" w:type="dxa"/>
            <w:bottom w:w="55" w:type="dxa"/>
            <w:right w:w="55" w:type="dxa"/>
          </w:tblCellMar>
        </w:tblPrEx>
        <w:tc>
          <w:tcPr>
            <w:tcW w:w="2493" w:type="dxa"/>
            <w:tcBorders>
              <w:left w:val="single" w:color="000000" w:sz="4" w:space="0"/>
              <w:bottom w:val="single" w:color="000000" w:sz="4" w:space="0"/>
            </w:tcBorders>
          </w:tcPr>
          <w:p w14:paraId="43FA1265">
            <w:pPr>
              <w:pStyle w:val="22"/>
              <w:spacing w:line="360" w:lineRule="auto"/>
              <w:rPr>
                <w:rFonts w:ascii="Arial" w:hAnsi="Arial" w:eastAsia="Arial"/>
                <w:sz w:val="24"/>
                <w:szCs w:val="24"/>
              </w:rPr>
            </w:pPr>
            <w:r>
              <w:rPr>
                <w:rFonts w:ascii="Arial" w:hAnsi="Arial" w:eastAsia="Arial"/>
                <w:b/>
                <w:sz w:val="24"/>
                <w:szCs w:val="24"/>
              </w:rPr>
              <w:t>Cash Operating Cycle (Days)</w:t>
            </w:r>
          </w:p>
        </w:tc>
        <w:tc>
          <w:tcPr>
            <w:tcW w:w="2492" w:type="dxa"/>
            <w:tcBorders>
              <w:left w:val="single" w:color="000000" w:sz="4" w:space="0"/>
              <w:bottom w:val="single" w:color="000000" w:sz="4" w:space="0"/>
            </w:tcBorders>
          </w:tcPr>
          <w:p w14:paraId="5998E514">
            <w:pPr>
              <w:pStyle w:val="22"/>
              <w:spacing w:line="360" w:lineRule="auto"/>
              <w:rPr>
                <w:rFonts w:ascii="Arial" w:hAnsi="Arial" w:eastAsia="Arial"/>
                <w:sz w:val="24"/>
                <w:szCs w:val="24"/>
              </w:rPr>
            </w:pPr>
            <w:r>
              <w:rPr>
                <w:rFonts w:ascii="Arial" w:hAnsi="Arial" w:eastAsia="Arial"/>
                <w:b/>
                <w:sz w:val="24"/>
                <w:szCs w:val="24"/>
              </w:rPr>
              <w:t>(8.3)</w:t>
            </w:r>
          </w:p>
        </w:tc>
        <w:tc>
          <w:tcPr>
            <w:tcW w:w="2493" w:type="dxa"/>
            <w:tcBorders>
              <w:left w:val="single" w:color="000000" w:sz="4" w:space="0"/>
              <w:bottom w:val="single" w:color="000000" w:sz="4" w:space="0"/>
            </w:tcBorders>
          </w:tcPr>
          <w:p w14:paraId="4F557FD2">
            <w:pPr>
              <w:pStyle w:val="22"/>
              <w:spacing w:line="360" w:lineRule="auto"/>
              <w:rPr>
                <w:rFonts w:ascii="Arial" w:hAnsi="Arial" w:eastAsia="Arial"/>
                <w:sz w:val="24"/>
                <w:szCs w:val="24"/>
              </w:rPr>
            </w:pPr>
            <w:r>
              <w:rPr>
                <w:rFonts w:ascii="Arial" w:hAnsi="Arial" w:eastAsia="Arial"/>
                <w:b/>
                <w:sz w:val="24"/>
                <w:szCs w:val="24"/>
              </w:rPr>
              <w:t>(5.7)</w:t>
            </w:r>
          </w:p>
        </w:tc>
        <w:tc>
          <w:tcPr>
            <w:tcW w:w="2494" w:type="dxa"/>
            <w:tcBorders>
              <w:left w:val="single" w:color="000000" w:sz="4" w:space="0"/>
              <w:bottom w:val="single" w:color="000000" w:sz="4" w:space="0"/>
              <w:right w:val="single" w:color="000000" w:sz="4" w:space="0"/>
            </w:tcBorders>
          </w:tcPr>
          <w:p w14:paraId="1BECAB1A">
            <w:pPr>
              <w:pStyle w:val="22"/>
              <w:spacing w:line="360" w:lineRule="auto"/>
              <w:rPr>
                <w:rFonts w:ascii="Arial" w:hAnsi="Arial" w:eastAsia="Arial"/>
                <w:sz w:val="24"/>
                <w:szCs w:val="24"/>
              </w:rPr>
            </w:pPr>
            <w:r>
              <w:rPr>
                <w:rFonts w:ascii="Arial" w:hAnsi="Arial" w:eastAsia="Arial"/>
                <w:b/>
                <w:sz w:val="24"/>
                <w:szCs w:val="24"/>
              </w:rPr>
              <w:t>(7.2)</w:t>
            </w:r>
          </w:p>
        </w:tc>
      </w:tr>
    </w:tbl>
    <w:p w14:paraId="6081751E">
      <w:pPr>
        <w:pStyle w:val="4"/>
        <w:spacing w:line="360" w:lineRule="auto"/>
        <w:rPr>
          <w:rFonts w:ascii="Arial" w:hAnsi="Arial" w:eastAsia="Arial"/>
          <w:sz w:val="24"/>
          <w:szCs w:val="24"/>
        </w:rPr>
      </w:pPr>
    </w:p>
    <w:p w14:paraId="2AAA341A">
      <w:pPr>
        <w:pStyle w:val="4"/>
        <w:spacing w:line="360" w:lineRule="auto"/>
        <w:rPr>
          <w:rFonts w:ascii="Arial" w:hAnsi="Arial" w:eastAsia="Arial"/>
          <w:sz w:val="24"/>
          <w:szCs w:val="24"/>
        </w:rPr>
      </w:pPr>
      <w:r>
        <w:rPr>
          <w:rFonts w:ascii="Arial" w:hAnsi="Arial" w:eastAsia="Arial"/>
          <w:b/>
          <w:sz w:val="24"/>
          <w:szCs w:val="24"/>
        </w:rPr>
        <w:t>Table 1: Cash Operating Cycle Calculations</w:t>
      </w:r>
    </w:p>
    <w:p w14:paraId="25594136">
      <w:pPr>
        <w:pStyle w:val="4"/>
        <w:spacing w:line="360" w:lineRule="auto"/>
        <w:rPr>
          <w:rFonts w:ascii="Arial" w:hAnsi="Arial" w:eastAsia="Arial"/>
          <w:sz w:val="24"/>
          <w:szCs w:val="24"/>
        </w:rPr>
      </w:pPr>
      <w:r>
        <w:rPr>
          <w:rFonts w:ascii="Arial" w:hAnsi="Arial" w:eastAsia="Arial"/>
          <w:i/>
          <w:sz w:val="24"/>
          <w:szCs w:val="24"/>
        </w:rPr>
        <w:t>(Source: Self-developed based on Whitbread Annual Reports)</w:t>
      </w:r>
    </w:p>
    <w:p w14:paraId="5CB5E716">
      <w:pPr>
        <w:pStyle w:val="5"/>
        <w:numPr>
          <w:ilvl w:val="1"/>
          <w:numId w:val="1"/>
        </w:numPr>
        <w:spacing w:line="360" w:lineRule="auto"/>
        <w:rPr>
          <w:rFonts w:ascii="Arial" w:hAnsi="Arial" w:eastAsia="Arial"/>
          <w:sz w:val="24"/>
          <w:szCs w:val="24"/>
        </w:rPr>
      </w:pPr>
      <w:r>
        <w:rPr>
          <w:rFonts w:hint="eastAsia" w:ascii="Arial" w:hAnsi="Arial" w:eastAsia="Arial"/>
          <w:b w:val="0"/>
          <w:bCs w:val="0"/>
          <w:sz w:val="24"/>
          <w:szCs w:val="24"/>
        </w:rPr>
        <w:t xml:space="preserve">Whitbread PLC has been operating in a </w:t>
      </w:r>
      <w:r>
        <w:rPr>
          <w:rFonts w:ascii="Arial" w:hAnsi="Arial" w:eastAsia="Arial"/>
          <w:b w:val="0"/>
          <w:bCs w:val="0"/>
          <w:sz w:val="24"/>
          <w:szCs w:val="24"/>
        </w:rPr>
        <w:t>cash-negative</w:t>
      </w:r>
      <w:r>
        <w:rPr>
          <w:rFonts w:hint="eastAsia" w:ascii="Arial" w:hAnsi="Arial" w:eastAsia="Arial"/>
          <w:b w:val="0"/>
          <w:bCs w:val="0"/>
          <w:sz w:val="24"/>
          <w:szCs w:val="24"/>
        </w:rPr>
        <w:t xml:space="preserve"> business for all the years </w:t>
      </w:r>
      <w:r>
        <w:rPr>
          <w:rFonts w:ascii="Arial" w:hAnsi="Arial" w:eastAsia="Arial"/>
          <w:b w:val="0"/>
          <w:bCs w:val="0"/>
          <w:sz w:val="24"/>
          <w:szCs w:val="24"/>
        </w:rPr>
        <w:t>analyses</w:t>
      </w:r>
      <w:r>
        <w:rPr>
          <w:rFonts w:hint="eastAsia" w:ascii="Arial" w:hAnsi="Arial" w:eastAsia="Arial"/>
          <w:b w:val="0"/>
          <w:bCs w:val="0"/>
          <w:sz w:val="24"/>
          <w:szCs w:val="24"/>
        </w:rPr>
        <w:t xml:space="preserve"> and being able to convert business into cash is extremely efficient. If the COC is less than zero, it indicates that the company is in a position to collect money from customers before paying its suppliers</w:t>
      </w:r>
      <w:r>
        <w:rPr>
          <w:rFonts w:ascii="Arial" w:hAnsi="Arial" w:eastAsia="Arial"/>
          <w:b w:val="0"/>
          <w:bCs w:val="0"/>
          <w:sz w:val="24"/>
          <w:szCs w:val="24"/>
        </w:rPr>
        <w:t>,</w:t>
      </w:r>
      <w:r>
        <w:rPr>
          <w:rFonts w:hint="eastAsia" w:ascii="Arial" w:hAnsi="Arial" w:eastAsia="Arial"/>
          <w:b w:val="0"/>
          <w:bCs w:val="0"/>
          <w:sz w:val="24"/>
          <w:szCs w:val="24"/>
        </w:rPr>
        <w:t xml:space="preserve"> which is an extremely beneficial situation for the company as it reduces the amount of external financing a company requires (KODURU, 2026). </w:t>
      </w:r>
      <w:r>
        <w:rPr>
          <w:rFonts w:ascii="Arial" w:hAnsi="Arial" w:eastAsia="Arial"/>
          <w:b w:val="0"/>
          <w:bCs w:val="0"/>
          <w:sz w:val="24"/>
          <w:szCs w:val="24"/>
        </w:rPr>
        <w:t>Receivables</w:t>
      </w:r>
      <w:r>
        <w:rPr>
          <w:rFonts w:hint="eastAsia" w:ascii="Arial" w:hAnsi="Arial" w:eastAsia="Arial"/>
          <w:b w:val="0"/>
          <w:bCs w:val="0"/>
          <w:sz w:val="24"/>
          <w:szCs w:val="24"/>
        </w:rPr>
        <w:t xml:space="preserve"> days are very low </w:t>
      </w:r>
      <w:r>
        <w:rPr>
          <w:rFonts w:ascii="Arial" w:hAnsi="Arial" w:eastAsia="Arial"/>
          <w:b w:val="0"/>
          <w:bCs w:val="0"/>
          <w:sz w:val="24"/>
          <w:szCs w:val="24"/>
        </w:rPr>
        <w:t>at</w:t>
      </w:r>
      <w:r>
        <w:rPr>
          <w:rFonts w:hint="eastAsia" w:ascii="Arial" w:hAnsi="Arial" w:eastAsia="Arial"/>
          <w:b w:val="0"/>
          <w:bCs w:val="0"/>
          <w:sz w:val="24"/>
          <w:szCs w:val="24"/>
        </w:rPr>
        <w:t xml:space="preserve"> about 6-7 days as Whitbread operates such a business model that most of their hotel bookings are done in advance. Days-on-hand are also exceptionally low, at about 3-4 days—in a good standard for a hotel company. Due to the </w:t>
      </w:r>
      <w:r>
        <w:rPr>
          <w:rFonts w:ascii="Arial" w:hAnsi="Arial" w:eastAsia="Arial"/>
          <w:b w:val="0"/>
          <w:bCs w:val="0"/>
          <w:sz w:val="24"/>
          <w:szCs w:val="24"/>
        </w:rPr>
        <w:t>company's</w:t>
      </w:r>
      <w:r>
        <w:rPr>
          <w:rFonts w:hint="eastAsia" w:ascii="Arial" w:hAnsi="Arial" w:eastAsia="Arial"/>
          <w:b w:val="0"/>
          <w:bCs w:val="0"/>
          <w:sz w:val="24"/>
          <w:szCs w:val="24"/>
        </w:rPr>
        <w:t xml:space="preserve"> strong negotiating power with suppliers, the payable days average 17 or 19 days respectively. The negative COC, i.e. the use of suppliers' capital for Whitbread to operate, is a big plus point.</w:t>
      </w:r>
    </w:p>
    <w:p w14:paraId="341358F8">
      <w:pPr>
        <w:pStyle w:val="5"/>
        <w:numPr>
          <w:ilvl w:val="1"/>
          <w:numId w:val="1"/>
        </w:numPr>
        <w:spacing w:line="360" w:lineRule="auto"/>
        <w:rPr>
          <w:rFonts w:ascii="Arial" w:hAnsi="Arial" w:eastAsia="Arial"/>
          <w:sz w:val="24"/>
          <w:szCs w:val="24"/>
        </w:rPr>
      </w:pPr>
      <w:r>
        <w:rPr>
          <w:rFonts w:hint="eastAsia" w:ascii="Arial" w:hAnsi="Arial" w:eastAsia="Arial"/>
          <w:sz w:val="24"/>
          <w:szCs w:val="24"/>
        </w:rPr>
        <w:t>2.2 Strategies Recommendations</w:t>
      </w:r>
      <w:r>
        <w:rPr>
          <w:rFonts w:ascii="Arial" w:hAnsi="Arial" w:eastAsia="Arial"/>
          <w:sz w:val="24"/>
          <w:szCs w:val="24"/>
        </w:rPr>
        <w:t>:</w:t>
      </w:r>
    </w:p>
    <w:p w14:paraId="6C59EE80">
      <w:pPr>
        <w:pStyle w:val="5"/>
        <w:numPr>
          <w:ilvl w:val="1"/>
          <w:numId w:val="1"/>
        </w:numPr>
        <w:spacing w:line="360" w:lineRule="auto"/>
        <w:rPr>
          <w:rFonts w:ascii="Arial" w:hAnsi="Arial" w:eastAsia="Arial"/>
          <w:sz w:val="24"/>
          <w:szCs w:val="24"/>
        </w:rPr>
      </w:pPr>
      <w:r>
        <w:rPr>
          <w:rFonts w:hint="eastAsia" w:ascii="Arial" w:hAnsi="Arial" w:eastAsia="Arial"/>
          <w:b w:val="0"/>
          <w:bCs w:val="0"/>
          <w:sz w:val="24"/>
          <w:szCs w:val="24"/>
        </w:rPr>
        <w:t xml:space="preserve">Whitbread could then make more </w:t>
      </w:r>
      <w:r>
        <w:rPr>
          <w:rFonts w:ascii="Arial" w:hAnsi="Arial" w:eastAsia="Arial"/>
          <w:b w:val="0"/>
          <w:bCs w:val="0"/>
          <w:sz w:val="24"/>
          <w:szCs w:val="24"/>
        </w:rPr>
        <w:t>favourable</w:t>
      </w:r>
      <w:r>
        <w:rPr>
          <w:rFonts w:hint="eastAsia" w:ascii="Arial" w:hAnsi="Arial" w:eastAsia="Arial"/>
          <w:b w:val="0"/>
          <w:bCs w:val="0"/>
          <w:sz w:val="24"/>
          <w:szCs w:val="24"/>
        </w:rPr>
        <w:t xml:space="preserve"> payment terms extendable to key suppliers to further enhance the negative COC. The company has a solid financial base, offering substantial bargaining power to them (Malikova and Abdujalilov, 2024). In addition to good management of receivables, Whitbread may further optimise its cash collection, for example through more electronic payment channels and from a central cash collection point. Further reconfiguration, under a commitment to 'asset-light' business and management operations, will see further working capital savings at Whitbread. This strategy fits the </w:t>
      </w:r>
      <w:r>
        <w:rPr>
          <w:rFonts w:ascii="Arial" w:hAnsi="Arial" w:eastAsia="Arial"/>
          <w:b w:val="0"/>
          <w:bCs w:val="0"/>
          <w:sz w:val="24"/>
          <w:szCs w:val="24"/>
        </w:rPr>
        <w:t>existing</w:t>
      </w:r>
      <w:r>
        <w:rPr>
          <w:rFonts w:hint="eastAsia" w:ascii="Arial" w:hAnsi="Arial" w:eastAsia="Arial"/>
          <w:b w:val="0"/>
          <w:bCs w:val="0"/>
          <w:sz w:val="24"/>
          <w:szCs w:val="24"/>
        </w:rPr>
        <w:t xml:space="preserve"> restaurants that are being transformed into new zones that offer higher returns, as in the case of the AGP (Mushinzimana et al., 2025). Dynamic discounting would facilitate early payment with a discount, thus </w:t>
      </w:r>
      <w:r>
        <w:rPr>
          <w:rFonts w:ascii="Arial" w:hAnsi="Arial" w:eastAsia="Arial"/>
          <w:b w:val="0"/>
          <w:bCs w:val="0"/>
          <w:sz w:val="24"/>
          <w:szCs w:val="24"/>
        </w:rPr>
        <w:t>providing</w:t>
      </w:r>
      <w:r>
        <w:rPr>
          <w:rFonts w:hint="eastAsia" w:ascii="Arial" w:hAnsi="Arial" w:eastAsia="Arial"/>
          <w:b w:val="0"/>
          <w:bCs w:val="0"/>
          <w:sz w:val="24"/>
          <w:szCs w:val="24"/>
        </w:rPr>
        <w:t xml:space="preserve"> cost-effective financing. The opportunity to further </w:t>
      </w:r>
      <w:r>
        <w:rPr>
          <w:rFonts w:ascii="Arial" w:hAnsi="Arial" w:eastAsia="Arial"/>
          <w:b w:val="0"/>
          <w:bCs w:val="0"/>
          <w:sz w:val="24"/>
          <w:szCs w:val="24"/>
        </w:rPr>
        <w:t>optimise</w:t>
      </w:r>
      <w:r>
        <w:rPr>
          <w:rFonts w:hint="eastAsia" w:ascii="Arial" w:hAnsi="Arial" w:eastAsia="Arial"/>
          <w:b w:val="0"/>
          <w:bCs w:val="0"/>
          <w:sz w:val="24"/>
          <w:szCs w:val="24"/>
        </w:rPr>
        <w:t xml:space="preserve"> inventory using data-driven forecasting and </w:t>
      </w:r>
      <w:r>
        <w:rPr>
          <w:rFonts w:ascii="Arial" w:hAnsi="Arial" w:eastAsia="Arial"/>
          <w:b w:val="0"/>
          <w:bCs w:val="0"/>
          <w:sz w:val="24"/>
          <w:szCs w:val="24"/>
        </w:rPr>
        <w:t>just-in-time</w:t>
      </w:r>
      <w:r>
        <w:rPr>
          <w:rFonts w:hint="eastAsia" w:ascii="Arial" w:hAnsi="Arial" w:eastAsia="Arial"/>
          <w:b w:val="0"/>
          <w:bCs w:val="0"/>
          <w:sz w:val="24"/>
          <w:szCs w:val="24"/>
        </w:rPr>
        <w:t xml:space="preserve"> strategies may release some more cash. There has been a successful deconstruction of the value from freehold assets through sale and leaseback transactions that have preserved operational control.</w:t>
      </w:r>
    </w:p>
    <w:p w14:paraId="5000D3A1">
      <w:pPr>
        <w:pStyle w:val="5"/>
        <w:numPr>
          <w:ilvl w:val="1"/>
          <w:numId w:val="1"/>
        </w:numPr>
        <w:spacing w:line="360" w:lineRule="auto"/>
        <w:rPr>
          <w:rFonts w:ascii="Arial" w:hAnsi="Arial" w:eastAsia="Arial"/>
          <w:sz w:val="24"/>
          <w:szCs w:val="24"/>
        </w:rPr>
      </w:pPr>
      <w:r>
        <w:rPr>
          <w:rFonts w:hint="eastAsia" w:ascii="Arial" w:hAnsi="Arial" w:eastAsia="Arial"/>
          <w:sz w:val="24"/>
          <w:szCs w:val="24"/>
        </w:rPr>
        <w:t>2.3. Differences between the different non-banking financing methods of short-term and long-term financing are examined</w:t>
      </w:r>
      <w:r>
        <w:rPr>
          <w:rFonts w:ascii="Arial" w:hAnsi="Arial" w:eastAsia="Arial"/>
          <w:sz w:val="24"/>
          <w:szCs w:val="24"/>
        </w:rPr>
        <w:t>:</w:t>
      </w:r>
    </w:p>
    <w:p w14:paraId="574DBE88">
      <w:pPr>
        <w:pStyle w:val="5"/>
        <w:numPr>
          <w:ilvl w:val="0"/>
          <w:numId w:val="0"/>
        </w:numPr>
        <w:spacing w:line="360" w:lineRule="auto"/>
        <w:ind w:left="0" w:firstLine="0"/>
        <w:rPr>
          <w:rFonts w:ascii="Arial" w:hAnsi="Arial" w:eastAsia="Arial"/>
          <w:sz w:val="24"/>
          <w:szCs w:val="24"/>
        </w:rPr>
      </w:pPr>
      <w:r>
        <w:rPr>
          <w:rFonts w:ascii="Arial" w:hAnsi="Arial" w:eastAsia="Arial"/>
          <w:b w:val="0"/>
          <w:bCs w:val="0"/>
          <w:sz w:val="24"/>
          <w:szCs w:val="24"/>
        </w:rPr>
        <w:t>Short-term</w:t>
      </w:r>
      <w:r>
        <w:rPr>
          <w:rFonts w:hint="eastAsia" w:ascii="Arial" w:hAnsi="Arial" w:eastAsia="Arial"/>
          <w:b w:val="0"/>
          <w:bCs w:val="0"/>
          <w:sz w:val="24"/>
          <w:szCs w:val="24"/>
        </w:rPr>
        <w:t xml:space="preserve"> funding - e.g. bank overdrafts, revolving credit facilities and commercial paper – is used for </w:t>
      </w:r>
      <w:r>
        <w:rPr>
          <w:rFonts w:ascii="Arial" w:hAnsi="Arial" w:eastAsia="Arial"/>
          <w:b w:val="0"/>
          <w:bCs w:val="0"/>
          <w:sz w:val="24"/>
          <w:szCs w:val="24"/>
        </w:rPr>
        <w:t>day-to-day</w:t>
      </w:r>
      <w:r>
        <w:rPr>
          <w:rFonts w:hint="eastAsia" w:ascii="Arial" w:hAnsi="Arial" w:eastAsia="Arial"/>
          <w:b w:val="0"/>
          <w:bCs w:val="0"/>
          <w:sz w:val="24"/>
          <w:szCs w:val="24"/>
        </w:rPr>
        <w:t xml:space="preserve"> working. It's more affordable, but refinancing can be a major risk and interest rates are subject to change. Long-term investments are financed through corporate bonds, term loans etc. Has higher interest costs overall, but offers </w:t>
      </w:r>
      <w:r>
        <w:rPr>
          <w:rFonts w:ascii="Arial" w:hAnsi="Arial" w:eastAsia="Arial"/>
          <w:b w:val="0"/>
          <w:bCs w:val="0"/>
          <w:sz w:val="24"/>
          <w:szCs w:val="24"/>
        </w:rPr>
        <w:t>long-term</w:t>
      </w:r>
      <w:r>
        <w:rPr>
          <w:rFonts w:hint="eastAsia" w:ascii="Arial" w:hAnsi="Arial" w:eastAsia="Arial"/>
          <w:b w:val="0"/>
          <w:bCs w:val="0"/>
          <w:sz w:val="24"/>
          <w:szCs w:val="24"/>
        </w:rPr>
        <w:t xml:space="preserve"> stability (Hempel et al., 2024). Whitbread has a balanced mix, and it provides flexible short-term funding through its £775 million undrawn RCF. The company </w:t>
      </w:r>
      <w:r>
        <w:rPr>
          <w:rFonts w:ascii="Arial" w:hAnsi="Arial" w:eastAsia="Arial"/>
          <w:b w:val="0"/>
          <w:bCs w:val="0"/>
          <w:sz w:val="24"/>
          <w:szCs w:val="24"/>
        </w:rPr>
        <w:t>also has</w:t>
      </w:r>
      <w:r>
        <w:rPr>
          <w:rFonts w:hint="eastAsia" w:ascii="Arial" w:hAnsi="Arial" w:eastAsia="Arial"/>
          <w:b w:val="0"/>
          <w:bCs w:val="0"/>
          <w:sz w:val="24"/>
          <w:szCs w:val="24"/>
        </w:rPr>
        <w:t xml:space="preserve"> a proven past record on corporate bond issuance, such as its £400m issuance in February 2025. With higher leverage, Whitbread will be more inclined to continue its march towards strategic investments, using long-term financing. The recent bond issue will have been prudent as it has ensured fixed rates of interest and lessened refinancing risk (Choudhary and Limodio, 2022).</w:t>
      </w:r>
      <w:r>
        <w:rPr>
          <w:rFonts w:ascii="Arial" w:hAnsi="Arial" w:eastAsia="Arial"/>
          <w:b w:val="0"/>
          <w:bCs w:val="0"/>
          <w:sz w:val="24"/>
          <w:szCs w:val="24"/>
        </w:rPr>
        <w:t>3. Financial Plan for Re-structure</w:t>
      </w:r>
    </w:p>
    <w:p w14:paraId="1EFAB189">
      <w:pPr>
        <w:pStyle w:val="6"/>
        <w:numPr>
          <w:ilvl w:val="2"/>
          <w:numId w:val="1"/>
        </w:numPr>
        <w:spacing w:line="360" w:lineRule="auto"/>
        <w:rPr>
          <w:rFonts w:ascii="Arial" w:hAnsi="Arial" w:eastAsia="Arial"/>
          <w:sz w:val="24"/>
          <w:szCs w:val="24"/>
        </w:rPr>
      </w:pPr>
      <w:r>
        <w:rPr>
          <w:rFonts w:ascii="Arial" w:hAnsi="Arial" w:eastAsia="Arial"/>
          <w:sz w:val="24"/>
          <w:szCs w:val="24"/>
        </w:rPr>
        <w:t>3.1 Re-structuring Options:</w:t>
      </w:r>
    </w:p>
    <w:p w14:paraId="0CC0F43A">
      <w:pPr>
        <w:pStyle w:val="4"/>
        <w:spacing w:line="360" w:lineRule="auto"/>
        <w:rPr>
          <w:rFonts w:ascii="Arial" w:hAnsi="Arial" w:eastAsia="Arial"/>
          <w:sz w:val="24"/>
          <w:szCs w:val="24"/>
        </w:rPr>
      </w:pPr>
      <w:r>
        <w:rPr>
          <w:rFonts w:ascii="Arial" w:hAnsi="Arial" w:eastAsia="Arial"/>
          <w:b/>
          <w:sz w:val="24"/>
          <w:szCs w:val="24"/>
        </w:rPr>
        <w:t>Divestiture:</w:t>
      </w:r>
      <w:r>
        <w:rPr>
          <w:rFonts w:ascii="Arial" w:hAnsi="Arial" w:eastAsia="Arial"/>
          <w:sz w:val="24"/>
          <w:szCs w:val="24"/>
        </w:rPr>
        <w:t xml:space="preserve"> Whitbread has a long track record of optimising its estate through selective divestitures. The AGP involves exiting 126 branded restaurants, aligning with the company's asset-light strategy. Selling non-core assets can generate significant cash to pay down debt and fund investment. This is a clear example of using divestiture to improve portfolio mix and drive higher returns (Potharla, 2025).</w:t>
      </w:r>
      <w:bookmarkStart w:id="0" w:name="_GoBack"/>
      <w:bookmarkEnd w:id="0"/>
    </w:p>
    <w:p w14:paraId="1FA95E0E">
      <w:pPr>
        <w:pStyle w:val="4"/>
        <w:spacing w:line="360" w:lineRule="auto"/>
        <w:rPr>
          <w:rFonts w:ascii="Arial" w:hAnsi="Arial" w:eastAsia="Arial"/>
          <w:sz w:val="24"/>
          <w:szCs w:val="24"/>
        </w:rPr>
      </w:pPr>
      <w:r>
        <w:rPr>
          <w:rFonts w:ascii="Arial" w:hAnsi="Arial" w:eastAsia="Arial"/>
          <w:b/>
          <w:sz w:val="24"/>
          <w:szCs w:val="24"/>
        </w:rPr>
        <w:t>Merger/Acquisition:</w:t>
      </w:r>
      <w:r>
        <w:rPr>
          <w:rFonts w:ascii="Arial" w:hAnsi="Arial" w:eastAsia="Arial"/>
          <w:sz w:val="24"/>
          <w:szCs w:val="24"/>
        </w:rPr>
        <w:t xml:space="preserve"> Whitbread has demonstrated successful bolt-on acquisitions, particularly in Germany. Acquisitions like Foremost Hospitality and Centro Hotel Group have allowed rapid expansion. In Germany, Whitbread has grown from 6 hotels in 2020 to 62 hotels in 2025 through organic growth and strategic acquisitions (McGrath and O'Neill, 2025).</w:t>
      </w:r>
    </w:p>
    <w:p w14:paraId="6A06FFE7">
      <w:pPr>
        <w:pStyle w:val="4"/>
        <w:spacing w:line="360" w:lineRule="auto"/>
        <w:rPr>
          <w:rFonts w:ascii="Arial" w:hAnsi="Arial" w:eastAsia="Arial"/>
          <w:sz w:val="24"/>
          <w:szCs w:val="24"/>
        </w:rPr>
      </w:pPr>
      <w:r>
        <w:rPr>
          <w:rFonts w:ascii="Arial" w:hAnsi="Arial" w:eastAsia="Arial"/>
          <w:b/>
          <w:sz w:val="24"/>
          <w:szCs w:val="24"/>
        </w:rPr>
        <w:t>Equity Injection:</w:t>
      </w:r>
      <w:r>
        <w:rPr>
          <w:rFonts w:ascii="Arial" w:hAnsi="Arial" w:eastAsia="Arial"/>
          <w:sz w:val="24"/>
          <w:szCs w:val="24"/>
        </w:rPr>
        <w:t xml:space="preserve"> Whitbread completed a £1 billion rights issue in June 2020 to strengthen its balance sheet during the pandemic. While significant, the company has since reduced its equity base through share buybacks. A future equity injection could reduce leverage and provide additional financial flexibility.</w:t>
      </w:r>
    </w:p>
    <w:p w14:paraId="47EF6E04">
      <w:pPr>
        <w:pStyle w:val="6"/>
        <w:numPr>
          <w:ilvl w:val="0"/>
          <w:numId w:val="0"/>
        </w:numPr>
        <w:spacing w:line="360" w:lineRule="auto"/>
        <w:ind w:left="0" w:firstLine="0"/>
        <w:rPr>
          <w:rFonts w:ascii="Arial" w:hAnsi="Arial" w:eastAsia="Arial"/>
          <w:sz w:val="24"/>
          <w:szCs w:val="24"/>
        </w:rPr>
      </w:pPr>
      <w:r>
        <w:rPr>
          <w:rFonts w:ascii="Arial" w:hAnsi="Arial" w:eastAsia="Arial"/>
          <w:sz w:val="24"/>
          <w:szCs w:val="24"/>
        </w:rPr>
        <w:t>3.2 Analysis of shareholder value, debt structure, and operational flexibility:</w:t>
      </w:r>
    </w:p>
    <w:p w14:paraId="70BC362C">
      <w:pPr>
        <w:pStyle w:val="4"/>
        <w:spacing w:line="360" w:lineRule="auto"/>
        <w:rPr>
          <w:rFonts w:ascii="Arial" w:hAnsi="Arial" w:eastAsia="Arial"/>
          <w:sz w:val="24"/>
          <w:szCs w:val="24"/>
        </w:rPr>
      </w:pPr>
      <w:r>
        <w:rPr>
          <w:rFonts w:ascii="Arial" w:hAnsi="Arial" w:eastAsia="Arial"/>
          <w:b/>
          <w:sz w:val="24"/>
          <w:szCs w:val="24"/>
        </w:rPr>
        <w:t>Shareholder Value:</w:t>
      </w:r>
      <w:r>
        <w:rPr>
          <w:rFonts w:ascii="Arial" w:hAnsi="Arial" w:eastAsia="Arial"/>
          <w:sz w:val="24"/>
          <w:szCs w:val="24"/>
        </w:rPr>
        <w:t xml:space="preserve"> Divestiture through the AGP can free up capital and improve returns, expected to deliver incremental adjusted PBT of at least £100 million by 2029/30. M&amp;A activity in Germany can be highly accretive by accelerating growth. Equity issuance can dilute shareholders short-term but be value-accretive if used for high-return investments (Dabboussi, 2024).</w:t>
      </w:r>
    </w:p>
    <w:p w14:paraId="49CD3631">
      <w:pPr>
        <w:pStyle w:val="4"/>
        <w:spacing w:line="360" w:lineRule="auto"/>
        <w:rPr>
          <w:rFonts w:ascii="Arial" w:hAnsi="Arial" w:eastAsia="Arial"/>
          <w:sz w:val="24"/>
          <w:szCs w:val="24"/>
        </w:rPr>
      </w:pPr>
      <w:r>
        <w:rPr>
          <w:rFonts w:ascii="Arial" w:hAnsi="Arial" w:eastAsia="Arial"/>
          <w:b/>
          <w:sz w:val="24"/>
          <w:szCs w:val="24"/>
        </w:rPr>
        <w:t>Debt Structure:</w:t>
      </w:r>
      <w:r>
        <w:rPr>
          <w:rFonts w:ascii="Arial" w:hAnsi="Arial" w:eastAsia="Arial"/>
          <w:sz w:val="24"/>
          <w:szCs w:val="24"/>
        </w:rPr>
        <w:t xml:space="preserve"> Divestiture proceeds can pay down debt, reducing leverage. Acquisitions would likely increase leverage short-term but normalise over time. Equity injection would reduce leverage and lower the cost of capital (Ikwuo et al., 2025).</w:t>
      </w:r>
    </w:p>
    <w:p w14:paraId="2E5C527B">
      <w:pPr>
        <w:pStyle w:val="4"/>
        <w:spacing w:line="360" w:lineRule="auto"/>
        <w:rPr>
          <w:rFonts w:ascii="Arial" w:hAnsi="Arial" w:eastAsia="Arial"/>
          <w:sz w:val="24"/>
          <w:szCs w:val="24"/>
        </w:rPr>
      </w:pPr>
      <w:r>
        <w:rPr>
          <w:rFonts w:ascii="Arial" w:hAnsi="Arial" w:eastAsia="Arial"/>
          <w:b/>
          <w:sz w:val="24"/>
          <w:szCs w:val="24"/>
        </w:rPr>
        <w:t>Operational Flexibility:</w:t>
      </w:r>
      <w:r>
        <w:rPr>
          <w:rFonts w:ascii="Arial" w:hAnsi="Arial" w:eastAsia="Arial"/>
          <w:sz w:val="24"/>
          <w:szCs w:val="24"/>
        </w:rPr>
        <w:t xml:space="preserve"> Divesting non-core assets increases focus on core hotel business. Acquisitions expand geographic footprint and customer base. A stronger balance sheet provides flexibility to invest in growth and weather downturns. Whitbread should continue using divestitures to recycle capital and pursue bolt-on M&amp;A in Germany.</w:t>
      </w:r>
    </w:p>
    <w:p w14:paraId="3486A2BE">
      <w:pPr>
        <w:pStyle w:val="6"/>
        <w:numPr>
          <w:ilvl w:val="0"/>
          <w:numId w:val="0"/>
        </w:numPr>
        <w:spacing w:line="360" w:lineRule="auto"/>
        <w:ind w:left="0" w:firstLine="0"/>
        <w:rPr>
          <w:rFonts w:ascii="Arial" w:hAnsi="Arial" w:eastAsia="Arial"/>
          <w:sz w:val="24"/>
          <w:szCs w:val="24"/>
        </w:rPr>
      </w:pPr>
      <w:r>
        <w:rPr>
          <w:rFonts w:ascii="Arial" w:hAnsi="Arial" w:eastAsia="Arial"/>
          <w:sz w:val="24"/>
          <w:szCs w:val="24"/>
        </w:rPr>
        <w:t>3.3 International and Ethical considerations:</w:t>
      </w:r>
    </w:p>
    <w:p w14:paraId="0B903B59">
      <w:pPr>
        <w:pStyle w:val="4"/>
        <w:spacing w:line="360" w:lineRule="auto"/>
        <w:rPr>
          <w:rFonts w:ascii="Arial" w:hAnsi="Arial" w:eastAsia="Arial"/>
          <w:sz w:val="24"/>
          <w:szCs w:val="24"/>
        </w:rPr>
      </w:pPr>
      <w:r>
        <w:rPr>
          <w:rFonts w:ascii="Arial" w:hAnsi="Arial" w:eastAsia="Arial"/>
          <w:b/>
          <w:sz w:val="24"/>
          <w:szCs w:val="24"/>
        </w:rPr>
        <w:t>Taxation:</w:t>
      </w:r>
      <w:r>
        <w:rPr>
          <w:rFonts w:ascii="Arial" w:hAnsi="Arial" w:eastAsia="Arial"/>
          <w:sz w:val="24"/>
          <w:szCs w:val="24"/>
        </w:rPr>
        <w:t xml:space="preserve"> Whitbread operates in multiple jurisdictions, with OECD's Pillar Two legislation potentially impacting the effective tax rate (OECD, 2024). </w:t>
      </w:r>
      <w:r>
        <w:rPr>
          <w:rFonts w:ascii="Arial" w:hAnsi="Arial" w:eastAsia="Arial"/>
          <w:b/>
          <w:sz w:val="24"/>
          <w:szCs w:val="24"/>
        </w:rPr>
        <w:t>Currency Risk:</w:t>
      </w:r>
      <w:r>
        <w:rPr>
          <w:rFonts w:ascii="Arial" w:hAnsi="Arial" w:eastAsia="Arial"/>
          <w:sz w:val="24"/>
          <w:szCs w:val="24"/>
        </w:rPr>
        <w:t xml:space="preserve"> Operations in Germany expose the company to GBP/EUR exchange rate risk, managed through hedging strategies (Rochmayasari, 2022).</w:t>
      </w:r>
    </w:p>
    <w:p w14:paraId="022B4467">
      <w:pPr>
        <w:pStyle w:val="4"/>
        <w:spacing w:line="360" w:lineRule="auto"/>
        <w:rPr>
          <w:rFonts w:ascii="Arial" w:hAnsi="Arial" w:eastAsia="Arial"/>
          <w:sz w:val="24"/>
          <w:szCs w:val="24"/>
        </w:rPr>
      </w:pPr>
      <w:r>
        <w:rPr>
          <w:rFonts w:ascii="Arial" w:hAnsi="Arial" w:eastAsia="Arial"/>
          <w:sz w:val="24"/>
          <w:szCs w:val="24"/>
        </w:rPr>
        <w:t xml:space="preserve"> </w:t>
      </w:r>
      <w:r>
        <w:rPr>
          <w:rFonts w:ascii="Arial" w:hAnsi="Arial" w:eastAsia="Arial"/>
          <w:b/>
          <w:sz w:val="24"/>
          <w:szCs w:val="24"/>
        </w:rPr>
        <w:t>Inflation:</w:t>
      </w:r>
      <w:r>
        <w:rPr>
          <w:rFonts w:ascii="Arial" w:hAnsi="Arial" w:eastAsia="Arial"/>
          <w:sz w:val="24"/>
          <w:szCs w:val="24"/>
        </w:rPr>
        <w:t xml:space="preserve"> Significant risk increasing costs for energy, labour, food, and construction (Domina, 2024).</w:t>
      </w:r>
    </w:p>
    <w:p w14:paraId="4BBCB344">
      <w:pPr>
        <w:pStyle w:val="4"/>
        <w:spacing w:line="360" w:lineRule="auto"/>
        <w:rPr>
          <w:rFonts w:ascii="Arial" w:hAnsi="Arial" w:eastAsia="Arial"/>
          <w:sz w:val="24"/>
          <w:szCs w:val="24"/>
        </w:rPr>
      </w:pPr>
      <w:r>
        <w:rPr>
          <w:rFonts w:ascii="Arial" w:hAnsi="Arial" w:eastAsia="Arial"/>
          <w:b/>
          <w:sz w:val="24"/>
          <w:szCs w:val="24"/>
        </w:rPr>
        <w:t>CSR/ESG:</w:t>
      </w:r>
      <w:r>
        <w:rPr>
          <w:rFonts w:ascii="Arial" w:hAnsi="Arial" w:eastAsia="Arial"/>
          <w:sz w:val="24"/>
          <w:szCs w:val="24"/>
        </w:rPr>
        <w:t xml:space="preserve"> Whitbread has an industry-leading Force for Good sustainability program across three pillars: Opportunity (team member wellbeing, diversity), Community (charity partnerships), and Responsibility (carbon, water, waste reduction). The company has SBTi-validated net zero targets (Arjunan, 2022). Whitbread should proactively manage these risks and strengthen its Force for Good program.</w:t>
      </w:r>
    </w:p>
    <w:p w14:paraId="766D4F77">
      <w:pPr>
        <w:pStyle w:val="5"/>
        <w:numPr>
          <w:ilvl w:val="0"/>
          <w:numId w:val="0"/>
        </w:numPr>
        <w:spacing w:line="360" w:lineRule="auto"/>
        <w:ind w:left="0" w:firstLine="0"/>
        <w:rPr>
          <w:rFonts w:ascii="Arial" w:hAnsi="Arial" w:eastAsia="Arial"/>
          <w:sz w:val="24"/>
          <w:szCs w:val="24"/>
        </w:rPr>
      </w:pPr>
      <w:r>
        <w:rPr>
          <w:rFonts w:ascii="Arial" w:hAnsi="Arial" w:eastAsia="Arial"/>
          <w:sz w:val="24"/>
          <w:szCs w:val="24"/>
        </w:rPr>
        <w:t>4. Investment Appraisal and Capital Budgeting</w:t>
      </w:r>
    </w:p>
    <w:p w14:paraId="4E6ADE86">
      <w:pPr>
        <w:pStyle w:val="6"/>
        <w:numPr>
          <w:ilvl w:val="2"/>
          <w:numId w:val="1"/>
        </w:numPr>
        <w:spacing w:line="360" w:lineRule="auto"/>
        <w:rPr>
          <w:rFonts w:ascii="Arial" w:hAnsi="Arial" w:eastAsia="Arial"/>
          <w:sz w:val="24"/>
          <w:szCs w:val="24"/>
        </w:rPr>
      </w:pPr>
    </w:p>
    <w:p w14:paraId="3BFDCFF0">
      <w:pPr>
        <w:pStyle w:val="6"/>
        <w:numPr>
          <w:ilvl w:val="0"/>
          <w:numId w:val="0"/>
        </w:numPr>
        <w:spacing w:line="360" w:lineRule="auto"/>
        <w:ind w:left="0" w:firstLine="0"/>
        <w:rPr>
          <w:rFonts w:ascii="Arial" w:hAnsi="Arial" w:eastAsia="Arial"/>
          <w:sz w:val="24"/>
          <w:szCs w:val="24"/>
        </w:rPr>
      </w:pPr>
      <w:r>
        <w:rPr>
          <w:rFonts w:hint="eastAsia" w:ascii="Arial" w:hAnsi="Arial" w:eastAsia="Arial"/>
          <w:sz w:val="24"/>
          <w:szCs w:val="24"/>
        </w:rPr>
        <w:t>4.1 Project Description</w:t>
      </w:r>
      <w:r>
        <w:rPr>
          <w:rFonts w:ascii="Arial" w:hAnsi="Arial" w:eastAsia="Arial"/>
          <w:sz w:val="24"/>
          <w:szCs w:val="24"/>
        </w:rPr>
        <w:t>`</w:t>
      </w:r>
    </w:p>
    <w:p w14:paraId="06FED432">
      <w:pPr>
        <w:pStyle w:val="6"/>
        <w:numPr>
          <w:ilvl w:val="2"/>
          <w:numId w:val="1"/>
        </w:numPr>
        <w:spacing w:line="360" w:lineRule="auto"/>
        <w:rPr>
          <w:rFonts w:ascii="Arial" w:hAnsi="Arial" w:eastAsia="Arial"/>
          <w:sz w:val="24"/>
          <w:szCs w:val="24"/>
        </w:rPr>
      </w:pPr>
      <w:r>
        <w:rPr>
          <w:rFonts w:hint="eastAsia" w:ascii="Arial" w:hAnsi="Arial" w:eastAsia="Arial"/>
          <w:sz w:val="24"/>
          <w:szCs w:val="24"/>
        </w:rPr>
        <w:t>Project A</w:t>
      </w:r>
    </w:p>
    <w:p w14:paraId="05BAA764">
      <w:pPr>
        <w:pStyle w:val="6"/>
        <w:numPr>
          <w:ilvl w:val="2"/>
          <w:numId w:val="1"/>
        </w:numPr>
        <w:spacing w:line="360" w:lineRule="auto"/>
        <w:rPr>
          <w:rFonts w:ascii="Arial" w:hAnsi="Arial" w:eastAsia="Arial"/>
          <w:sz w:val="24"/>
          <w:szCs w:val="24"/>
        </w:rPr>
      </w:pPr>
      <w:r>
        <w:rPr>
          <w:rFonts w:hint="eastAsia" w:ascii="Arial" w:hAnsi="Arial" w:eastAsia="Arial"/>
          <w:b w:val="0"/>
          <w:bCs w:val="0"/>
          <w:sz w:val="24"/>
          <w:szCs w:val="24"/>
        </w:rPr>
        <w:t>The investment in Project A is £50 million with projected net cash inflow of £10 million, £12 million, £14 million, £10 million and £8 million in five years. There's moderate and somewhat irregular cash flow</w:t>
      </w:r>
      <w:r>
        <w:rPr>
          <w:rFonts w:ascii="Arial" w:hAnsi="Arial" w:eastAsia="Arial"/>
          <w:b w:val="0"/>
          <w:bCs w:val="0"/>
          <w:sz w:val="24"/>
          <w:szCs w:val="24"/>
        </w:rPr>
        <w:t>,</w:t>
      </w:r>
      <w:r>
        <w:rPr>
          <w:rFonts w:hint="eastAsia" w:ascii="Arial" w:hAnsi="Arial" w:eastAsia="Arial"/>
          <w:b w:val="0"/>
          <w:bCs w:val="0"/>
          <w:sz w:val="24"/>
          <w:szCs w:val="24"/>
        </w:rPr>
        <w:t xml:space="preserve"> with total cash flow in positive inflows </w:t>
      </w:r>
      <w:r>
        <w:rPr>
          <w:rFonts w:ascii="Arial" w:hAnsi="Arial" w:eastAsia="Arial"/>
          <w:b w:val="0"/>
          <w:bCs w:val="0"/>
          <w:sz w:val="24"/>
          <w:szCs w:val="24"/>
        </w:rPr>
        <w:t xml:space="preserve">of </w:t>
      </w:r>
      <w:r>
        <w:rPr>
          <w:rFonts w:hint="eastAsia" w:ascii="Arial" w:hAnsi="Arial" w:eastAsia="Arial"/>
          <w:b w:val="0"/>
          <w:bCs w:val="0"/>
          <w:sz w:val="24"/>
          <w:szCs w:val="24"/>
        </w:rPr>
        <w:t xml:space="preserve">£54m. The payback period </w:t>
      </w:r>
      <w:r>
        <w:rPr>
          <w:rFonts w:ascii="Arial" w:hAnsi="Arial" w:eastAsia="Arial"/>
          <w:b w:val="0"/>
          <w:bCs w:val="0"/>
          <w:sz w:val="24"/>
          <w:szCs w:val="24"/>
        </w:rPr>
        <w:t xml:space="preserve">of </w:t>
      </w:r>
      <w:r>
        <w:rPr>
          <w:rFonts w:hint="eastAsia" w:ascii="Arial" w:hAnsi="Arial" w:eastAsia="Arial"/>
          <w:b w:val="0"/>
          <w:bCs w:val="0"/>
          <w:sz w:val="24"/>
          <w:szCs w:val="24"/>
        </w:rPr>
        <w:t>4.5</w:t>
      </w:r>
      <w:r>
        <w:rPr>
          <w:rFonts w:ascii="Arial" w:hAnsi="Arial" w:eastAsia="Arial"/>
          <w:b w:val="0"/>
          <w:bCs w:val="0"/>
          <w:sz w:val="24"/>
          <w:szCs w:val="24"/>
        </w:rPr>
        <w:t>0</w:t>
      </w:r>
      <w:r>
        <w:rPr>
          <w:rFonts w:hint="eastAsia" w:ascii="Arial" w:hAnsi="Arial" w:eastAsia="Arial"/>
          <w:b w:val="0"/>
          <w:bCs w:val="0"/>
          <w:sz w:val="24"/>
          <w:szCs w:val="24"/>
        </w:rPr>
        <w:t xml:space="preserve"> years </w:t>
      </w:r>
      <w:r>
        <w:rPr>
          <w:rFonts w:ascii="Arial" w:hAnsi="Arial" w:eastAsia="Arial"/>
          <w:b w:val="0"/>
          <w:bCs w:val="0"/>
          <w:sz w:val="24"/>
          <w:szCs w:val="24"/>
        </w:rPr>
        <w:t>means</w:t>
      </w:r>
      <w:r>
        <w:rPr>
          <w:rFonts w:hint="eastAsia" w:ascii="Arial" w:hAnsi="Arial" w:eastAsia="Arial"/>
          <w:b w:val="0"/>
          <w:bCs w:val="0"/>
          <w:sz w:val="24"/>
          <w:szCs w:val="24"/>
        </w:rPr>
        <w:t xml:space="preserve"> the company receive the benefits of the </w:t>
      </w:r>
      <w:r>
        <w:rPr>
          <w:rFonts w:ascii="Arial" w:hAnsi="Arial" w:eastAsia="Arial"/>
          <w:b w:val="0"/>
          <w:bCs w:val="0"/>
          <w:sz w:val="24"/>
          <w:szCs w:val="24"/>
        </w:rPr>
        <w:t>investment</w:t>
      </w:r>
      <w:r>
        <w:rPr>
          <w:rFonts w:hint="eastAsia" w:ascii="Arial" w:hAnsi="Arial" w:eastAsia="Arial"/>
          <w:b w:val="0"/>
          <w:bCs w:val="0"/>
          <w:sz w:val="24"/>
          <w:szCs w:val="24"/>
        </w:rPr>
        <w:t xml:space="preserve"> at the end of the project's life cycle. The project's internal rate of return is 2.58%, which suggests there may be only limited value creation potential as it is slightly higher than Whitbread's weighted average cost of capital. The lowest among the three projects is the accounting rate of return of 3.2%. The NPV is negative but much less than the NPV of Project C (worth £0.86m). The profitability index is £-0.13</w:t>
      </w:r>
      <w:r>
        <w:rPr>
          <w:rFonts w:ascii="Arial" w:hAnsi="Arial" w:eastAsia="Arial"/>
          <w:b w:val="0"/>
          <w:bCs w:val="0"/>
          <w:sz w:val="24"/>
          <w:szCs w:val="24"/>
        </w:rPr>
        <w:t>,</w:t>
      </w:r>
      <w:r>
        <w:rPr>
          <w:rFonts w:hint="eastAsia" w:ascii="Arial" w:hAnsi="Arial" w:eastAsia="Arial"/>
          <w:b w:val="0"/>
          <w:bCs w:val="0"/>
          <w:sz w:val="24"/>
          <w:szCs w:val="24"/>
        </w:rPr>
        <w:t xml:space="preserve"> meaning that the project produces £-0.13value of the investment. The project cash flows, however, are back-ended – the highest inflows for the project are in the 2nd and 3rd years</w:t>
      </w:r>
      <w:r>
        <w:rPr>
          <w:rFonts w:ascii="Arial" w:hAnsi="Arial" w:eastAsia="Arial"/>
          <w:b w:val="0"/>
          <w:bCs w:val="0"/>
          <w:sz w:val="24"/>
          <w:szCs w:val="24"/>
        </w:rPr>
        <w:t>,</w:t>
      </w:r>
      <w:r>
        <w:rPr>
          <w:rFonts w:hint="eastAsia" w:ascii="Arial" w:hAnsi="Arial" w:eastAsia="Arial"/>
          <w:b w:val="0"/>
          <w:bCs w:val="0"/>
          <w:sz w:val="24"/>
          <w:szCs w:val="24"/>
        </w:rPr>
        <w:t xml:space="preserve"> which increases the level of uncertainty and risk associated with the project. The project also has </w:t>
      </w:r>
      <w:r>
        <w:rPr>
          <w:rFonts w:ascii="Arial" w:hAnsi="Arial" w:eastAsia="Arial"/>
          <w:b w:val="0"/>
          <w:bCs w:val="0"/>
          <w:sz w:val="24"/>
          <w:szCs w:val="24"/>
        </w:rPr>
        <w:t xml:space="preserve">the </w:t>
      </w:r>
      <w:r>
        <w:rPr>
          <w:rFonts w:hint="eastAsia" w:ascii="Arial" w:hAnsi="Arial" w:eastAsia="Arial"/>
          <w:b w:val="0"/>
          <w:bCs w:val="0"/>
          <w:sz w:val="24"/>
          <w:szCs w:val="24"/>
        </w:rPr>
        <w:t xml:space="preserve">lowest total cash inflows, which </w:t>
      </w:r>
      <w:r>
        <w:rPr>
          <w:rFonts w:ascii="Arial" w:hAnsi="Arial" w:eastAsia="Arial"/>
          <w:b w:val="0"/>
          <w:bCs w:val="0"/>
          <w:sz w:val="24"/>
          <w:szCs w:val="24"/>
        </w:rPr>
        <w:t>makes</w:t>
      </w:r>
      <w:r>
        <w:rPr>
          <w:rFonts w:hint="eastAsia" w:ascii="Arial" w:hAnsi="Arial" w:eastAsia="Arial"/>
          <w:b w:val="0"/>
          <w:bCs w:val="0"/>
          <w:sz w:val="24"/>
          <w:szCs w:val="24"/>
        </w:rPr>
        <w:t xml:space="preserve"> it the least attractive for Whitbread based on the growth goals and requirement for strong returns.</w:t>
      </w:r>
    </w:p>
    <w:p w14:paraId="5A3DAF58">
      <w:pPr>
        <w:pStyle w:val="6"/>
        <w:numPr>
          <w:ilvl w:val="2"/>
          <w:numId w:val="1"/>
        </w:numPr>
        <w:spacing w:line="360" w:lineRule="auto"/>
        <w:rPr>
          <w:rFonts w:ascii="Arial" w:hAnsi="Arial" w:eastAsia="Arial"/>
          <w:sz w:val="24"/>
          <w:szCs w:val="24"/>
        </w:rPr>
      </w:pPr>
      <w:r>
        <w:rPr>
          <w:rFonts w:hint="eastAsia" w:ascii="Arial" w:hAnsi="Arial" w:eastAsia="Arial"/>
          <w:sz w:val="24"/>
          <w:szCs w:val="24"/>
        </w:rPr>
        <w:t>Project B</w:t>
      </w:r>
    </w:p>
    <w:p w14:paraId="0263D50A">
      <w:pPr>
        <w:pStyle w:val="6"/>
        <w:numPr>
          <w:ilvl w:val="2"/>
          <w:numId w:val="1"/>
        </w:numPr>
        <w:spacing w:line="360" w:lineRule="auto"/>
        <w:rPr>
          <w:rFonts w:ascii="Arial" w:hAnsi="Arial" w:eastAsia="Arial"/>
          <w:sz w:val="24"/>
          <w:szCs w:val="24"/>
        </w:rPr>
      </w:pPr>
      <w:r>
        <w:rPr>
          <w:rFonts w:hint="eastAsia" w:ascii="Arial" w:hAnsi="Arial" w:eastAsia="Arial"/>
          <w:b w:val="0"/>
          <w:bCs w:val="0"/>
          <w:sz w:val="24"/>
          <w:szCs w:val="24"/>
        </w:rPr>
        <w:t xml:space="preserve">The Net Cash Flow Pattern of Project B is more similar, with regular </w:t>
      </w:r>
      <w:r>
        <w:rPr>
          <w:rFonts w:ascii="Arial" w:hAnsi="Arial" w:eastAsia="Arial"/>
          <w:b w:val="0"/>
          <w:bCs w:val="0"/>
          <w:sz w:val="24"/>
          <w:szCs w:val="24"/>
        </w:rPr>
        <w:t>year-on-year</w:t>
      </w:r>
      <w:r>
        <w:rPr>
          <w:rFonts w:hint="eastAsia" w:ascii="Arial" w:hAnsi="Arial" w:eastAsia="Arial"/>
          <w:b w:val="0"/>
          <w:bCs w:val="0"/>
          <w:sz w:val="24"/>
          <w:szCs w:val="24"/>
        </w:rPr>
        <w:t xml:space="preserve"> inflows of Net cash of £11mm over </w:t>
      </w:r>
      <w:r>
        <w:rPr>
          <w:rFonts w:ascii="Arial" w:hAnsi="Arial" w:eastAsia="Arial"/>
          <w:b w:val="0"/>
          <w:bCs w:val="0"/>
          <w:sz w:val="24"/>
          <w:szCs w:val="24"/>
        </w:rPr>
        <w:t>the 5 years</w:t>
      </w:r>
      <w:r>
        <w:rPr>
          <w:rFonts w:hint="eastAsia" w:ascii="Arial" w:hAnsi="Arial" w:eastAsia="Arial"/>
          <w:b w:val="0"/>
          <w:bCs w:val="0"/>
          <w:sz w:val="24"/>
          <w:szCs w:val="24"/>
        </w:rPr>
        <w:t>. The total cash inflow is £55 million</w:t>
      </w:r>
      <w:r>
        <w:rPr>
          <w:rFonts w:ascii="Arial" w:hAnsi="Arial" w:eastAsia="Arial"/>
          <w:b w:val="0"/>
          <w:bCs w:val="0"/>
          <w:sz w:val="24"/>
          <w:szCs w:val="24"/>
        </w:rPr>
        <w:t>,</w:t>
      </w:r>
      <w:r>
        <w:rPr>
          <w:rFonts w:hint="eastAsia" w:ascii="Arial" w:hAnsi="Arial" w:eastAsia="Arial"/>
          <w:b w:val="0"/>
          <w:bCs w:val="0"/>
          <w:sz w:val="24"/>
          <w:szCs w:val="24"/>
        </w:rPr>
        <w:t xml:space="preserve"> which is just over that anticipated from Project A. The payback period is about 4.55 years as on Project A; this implies that the company expects to recover its investment fairly late at the end of the project's life. Project B is deemed a moderate-risk project because it has steady and regular cash flows. This can be helpful for financial planning and lessen forecasting risk. The IRR of </w:t>
      </w:r>
      <w:r>
        <w:rPr>
          <w:rFonts w:ascii="Arial" w:hAnsi="Arial" w:eastAsia="Arial"/>
          <w:b w:val="0"/>
          <w:bCs w:val="0"/>
          <w:sz w:val="24"/>
          <w:szCs w:val="24"/>
        </w:rPr>
        <w:t>Project</w:t>
      </w:r>
      <w:r>
        <w:rPr>
          <w:rFonts w:hint="eastAsia" w:ascii="Arial" w:hAnsi="Arial" w:eastAsia="Arial"/>
          <w:b w:val="0"/>
          <w:bCs w:val="0"/>
          <w:sz w:val="24"/>
          <w:szCs w:val="24"/>
        </w:rPr>
        <w:t xml:space="preserve"> B is 3.4%</w:t>
      </w:r>
      <w:r>
        <w:rPr>
          <w:rFonts w:ascii="Arial" w:hAnsi="Arial" w:eastAsia="Arial"/>
          <w:b w:val="0"/>
          <w:bCs w:val="0"/>
          <w:sz w:val="24"/>
          <w:szCs w:val="24"/>
        </w:rPr>
        <w:t>,</w:t>
      </w:r>
      <w:r>
        <w:rPr>
          <w:rFonts w:hint="eastAsia" w:ascii="Arial" w:hAnsi="Arial" w:eastAsia="Arial"/>
          <w:b w:val="0"/>
          <w:bCs w:val="0"/>
          <w:sz w:val="24"/>
          <w:szCs w:val="24"/>
        </w:rPr>
        <w:t xml:space="preserve"> which is less than the IRR of </w:t>
      </w:r>
      <w:r>
        <w:rPr>
          <w:rFonts w:ascii="Arial" w:hAnsi="Arial" w:eastAsia="Arial"/>
          <w:b w:val="0"/>
          <w:bCs w:val="0"/>
          <w:sz w:val="24"/>
          <w:szCs w:val="24"/>
        </w:rPr>
        <w:t>Project</w:t>
      </w:r>
      <w:r>
        <w:rPr>
          <w:rFonts w:hint="eastAsia" w:ascii="Arial" w:hAnsi="Arial" w:eastAsia="Arial"/>
          <w:b w:val="0"/>
          <w:bCs w:val="0"/>
          <w:sz w:val="24"/>
          <w:szCs w:val="24"/>
        </w:rPr>
        <w:t xml:space="preserve"> A and less than the IRR of </w:t>
      </w:r>
      <w:r>
        <w:rPr>
          <w:rFonts w:ascii="Arial" w:hAnsi="Arial" w:eastAsia="Arial"/>
          <w:b w:val="0"/>
          <w:bCs w:val="0"/>
          <w:sz w:val="24"/>
          <w:szCs w:val="24"/>
        </w:rPr>
        <w:t>Project</w:t>
      </w:r>
      <w:r>
        <w:rPr>
          <w:rFonts w:hint="eastAsia" w:ascii="Arial" w:hAnsi="Arial" w:eastAsia="Arial"/>
          <w:b w:val="0"/>
          <w:bCs w:val="0"/>
          <w:sz w:val="24"/>
          <w:szCs w:val="24"/>
        </w:rPr>
        <w:t xml:space="preserve"> C</w:t>
      </w:r>
      <w:r>
        <w:rPr>
          <w:rFonts w:ascii="Arial" w:hAnsi="Arial" w:eastAsia="Arial"/>
          <w:b w:val="0"/>
          <w:bCs w:val="0"/>
          <w:sz w:val="24"/>
          <w:szCs w:val="24"/>
        </w:rPr>
        <w:t>,</w:t>
      </w:r>
      <w:r>
        <w:rPr>
          <w:rFonts w:hint="eastAsia" w:ascii="Arial" w:hAnsi="Arial" w:eastAsia="Arial"/>
          <w:b w:val="0"/>
          <w:bCs w:val="0"/>
          <w:sz w:val="24"/>
          <w:szCs w:val="24"/>
        </w:rPr>
        <w:t xml:space="preserve"> bringing </w:t>
      </w:r>
      <w:r>
        <w:rPr>
          <w:rFonts w:ascii="Arial" w:hAnsi="Arial" w:eastAsia="Arial"/>
          <w:b w:val="0"/>
          <w:bCs w:val="0"/>
          <w:sz w:val="24"/>
          <w:szCs w:val="24"/>
        </w:rPr>
        <w:t>Project</w:t>
      </w:r>
      <w:r>
        <w:rPr>
          <w:rFonts w:hint="eastAsia" w:ascii="Arial" w:hAnsi="Arial" w:eastAsia="Arial"/>
          <w:b w:val="0"/>
          <w:bCs w:val="0"/>
          <w:sz w:val="24"/>
          <w:szCs w:val="24"/>
        </w:rPr>
        <w:t xml:space="preserve"> B to a less profitable status. The net present value of the two projects is £-6.07 million and is greater than that of Project A, but is much less than that of Project C. The accounting rate of return is reasonable</w:t>
      </w:r>
      <w:r>
        <w:rPr>
          <w:rFonts w:ascii="Arial" w:hAnsi="Arial" w:eastAsia="Arial"/>
          <w:b w:val="0"/>
          <w:bCs w:val="0"/>
          <w:sz w:val="24"/>
          <w:szCs w:val="24"/>
        </w:rPr>
        <w:t>,</w:t>
      </w:r>
      <w:r>
        <w:rPr>
          <w:rFonts w:hint="eastAsia" w:ascii="Arial" w:hAnsi="Arial" w:eastAsia="Arial"/>
          <w:b w:val="0"/>
          <w:bCs w:val="0"/>
          <w:sz w:val="24"/>
          <w:szCs w:val="24"/>
        </w:rPr>
        <w:t xml:space="preserve"> 4.0%. Profitability index  -0.12 shows value creation, but the steady cash flows from the project are good from a risk perspective but offer inadequate return for investment when compared to Project C. By making the project predictable</w:t>
      </w:r>
      <w:r>
        <w:rPr>
          <w:rFonts w:ascii="Arial" w:hAnsi="Arial" w:eastAsia="Arial"/>
          <w:b w:val="0"/>
          <w:bCs w:val="0"/>
          <w:sz w:val="24"/>
          <w:szCs w:val="24"/>
        </w:rPr>
        <w:t>,</w:t>
      </w:r>
      <w:r>
        <w:rPr>
          <w:rFonts w:hint="eastAsia" w:ascii="Arial" w:hAnsi="Arial" w:eastAsia="Arial"/>
          <w:b w:val="0"/>
          <w:bCs w:val="0"/>
          <w:sz w:val="24"/>
          <w:szCs w:val="24"/>
        </w:rPr>
        <w:t xml:space="preserve"> it becomes easier to integrate </w:t>
      </w:r>
      <w:r>
        <w:rPr>
          <w:rFonts w:ascii="Arial" w:hAnsi="Arial" w:eastAsia="Arial"/>
          <w:b w:val="0"/>
          <w:bCs w:val="0"/>
          <w:sz w:val="24"/>
          <w:szCs w:val="24"/>
        </w:rPr>
        <w:t>into</w:t>
      </w:r>
      <w:r>
        <w:rPr>
          <w:rFonts w:hint="eastAsia" w:ascii="Arial" w:hAnsi="Arial" w:eastAsia="Arial"/>
          <w:b w:val="0"/>
          <w:bCs w:val="0"/>
          <w:sz w:val="24"/>
          <w:szCs w:val="24"/>
        </w:rPr>
        <w:t xml:space="preserve"> the financial planning and projections, as the total value created is rather limited.</w:t>
      </w:r>
    </w:p>
    <w:p w14:paraId="10BEC056">
      <w:pPr>
        <w:pStyle w:val="6"/>
        <w:numPr>
          <w:ilvl w:val="2"/>
          <w:numId w:val="1"/>
        </w:numPr>
        <w:spacing w:line="360" w:lineRule="auto"/>
        <w:rPr>
          <w:rFonts w:ascii="Arial" w:hAnsi="Arial" w:eastAsia="Arial"/>
          <w:sz w:val="24"/>
          <w:szCs w:val="24"/>
        </w:rPr>
      </w:pPr>
      <w:r>
        <w:rPr>
          <w:rFonts w:hint="eastAsia" w:ascii="Arial" w:hAnsi="Arial" w:eastAsia="Arial"/>
          <w:sz w:val="24"/>
          <w:szCs w:val="24"/>
        </w:rPr>
        <w:t>Project C</w:t>
      </w:r>
    </w:p>
    <w:p w14:paraId="6FFEDCEE">
      <w:pPr>
        <w:pStyle w:val="6"/>
        <w:numPr>
          <w:ilvl w:val="0"/>
          <w:numId w:val="0"/>
        </w:numPr>
        <w:spacing w:line="360" w:lineRule="auto"/>
        <w:ind w:left="0" w:firstLine="0"/>
        <w:rPr>
          <w:rFonts w:ascii="Arial" w:hAnsi="Arial" w:eastAsia="Arial"/>
          <w:sz w:val="24"/>
          <w:szCs w:val="24"/>
        </w:rPr>
      </w:pPr>
      <w:r>
        <w:rPr>
          <w:rFonts w:hint="eastAsia" w:ascii="Arial" w:hAnsi="Arial" w:eastAsia="Arial"/>
          <w:b w:val="0"/>
          <w:bCs w:val="0"/>
          <w:sz w:val="24"/>
          <w:szCs w:val="24"/>
        </w:rPr>
        <w:t>Project C has the following cash inflows estimated at £20,000,000, £5,000,000, £20,000,000, £25,000,000 and £5,000,000, and an initial investment of £50,000,000, with the cash inflows coming in at uneven intervals. This project has considerably positive cash flows for the middle and later life years</w:t>
      </w:r>
      <w:r>
        <w:rPr>
          <w:rFonts w:ascii="Arial" w:hAnsi="Arial" w:eastAsia="Arial"/>
          <w:b w:val="0"/>
          <w:bCs w:val="0"/>
          <w:sz w:val="24"/>
          <w:szCs w:val="24"/>
        </w:rPr>
        <w:t>,</w:t>
      </w:r>
      <w:r>
        <w:rPr>
          <w:rFonts w:hint="eastAsia" w:ascii="Arial" w:hAnsi="Arial" w:eastAsia="Arial"/>
          <w:b w:val="0"/>
          <w:bCs w:val="0"/>
          <w:sz w:val="24"/>
          <w:szCs w:val="24"/>
        </w:rPr>
        <w:t xml:space="preserve"> with the maximum </w:t>
      </w:r>
      <w:r>
        <w:rPr>
          <w:rFonts w:ascii="Arial" w:hAnsi="Arial" w:eastAsia="Arial"/>
          <w:b w:val="0"/>
          <w:bCs w:val="0"/>
          <w:sz w:val="24"/>
          <w:szCs w:val="24"/>
        </w:rPr>
        <w:t>cash inflow of £ 65 M,</w:t>
      </w:r>
      <w:r>
        <w:rPr>
          <w:rFonts w:hint="eastAsia" w:ascii="Arial" w:hAnsi="Arial" w:eastAsia="Arial"/>
          <w:b w:val="0"/>
          <w:bCs w:val="0"/>
          <w:sz w:val="24"/>
          <w:szCs w:val="24"/>
        </w:rPr>
        <w:t xml:space="preserve"> which is the highest of all projects. The company sees a better increase in liquidity and reduction in risk with the shortest payback period of around 3.60 years, as compared to Projects A and B, which are around 4.50 years and 4.55 years, respectively. The highest labour of Value to the Shareholders is achieved with the project with a NPV of £0.86 m. The 1.017 profitability index means that this would be the most valuable option, with greater likelihood of seeing dollars come back from the investment. The internal rate of return (8.5%) is significantly better than the company's cost of capital, suggesting large value added opportunities. The accounting rate of return with an exceptionally high return of 12% indicates the project's profitability. The later cash flows are affected by some risks, but the project's high expected returns and a good fit with the strategy make it the best investment proposition for Whitbread.</w:t>
      </w:r>
    </w:p>
    <w:p w14:paraId="7097F8F0">
      <w:pPr>
        <w:pStyle w:val="6"/>
        <w:numPr>
          <w:ilvl w:val="0"/>
          <w:numId w:val="0"/>
        </w:numPr>
        <w:spacing w:line="360" w:lineRule="auto"/>
        <w:ind w:left="0" w:firstLine="0"/>
        <w:rPr>
          <w:rFonts w:ascii="Arial" w:hAnsi="Arial" w:eastAsia="Arial"/>
          <w:sz w:val="24"/>
          <w:szCs w:val="24"/>
        </w:rPr>
      </w:pPr>
      <w:r>
        <w:rPr>
          <w:rFonts w:ascii="Arial" w:hAnsi="Arial" w:eastAsia="Arial"/>
          <w:sz w:val="24"/>
          <w:szCs w:val="24"/>
        </w:rPr>
        <w:t>4.2 Recommendation</w:t>
      </w:r>
    </w:p>
    <w:p w14:paraId="6A0D389A">
      <w:pPr>
        <w:pStyle w:val="4"/>
        <w:spacing w:line="360" w:lineRule="auto"/>
        <w:rPr>
          <w:rFonts w:ascii="Arial" w:hAnsi="Arial" w:eastAsia="Arial"/>
          <w:sz w:val="24"/>
          <w:szCs w:val="24"/>
        </w:rPr>
      </w:pPr>
      <w:r>
        <w:rPr>
          <w:rFonts w:ascii="Arial" w:hAnsi="Arial" w:eastAsia="Arial"/>
          <w:b/>
          <w:sz w:val="24"/>
          <w:szCs w:val="24"/>
        </w:rPr>
        <w:t>Recommended Project: Project C</w:t>
      </w:r>
    </w:p>
    <w:p w14:paraId="2DBDBACF">
      <w:pPr>
        <w:pStyle w:val="4"/>
        <w:spacing w:line="360" w:lineRule="auto"/>
        <w:rPr>
          <w:rFonts w:ascii="Arial" w:hAnsi="Arial" w:eastAsia="Arial"/>
          <w:sz w:val="24"/>
          <w:szCs w:val="24"/>
        </w:rPr>
      </w:pPr>
      <w:r>
        <w:rPr>
          <w:rFonts w:ascii="Arial" w:hAnsi="Arial" w:eastAsia="Arial"/>
          <w:sz w:val="24"/>
          <w:szCs w:val="24"/>
        </w:rPr>
        <w:t>Based on the investment appraisal results and Whitbread PLC's current financial position and strategic priorities, Project C is the recommended investment option (Arjunan, 2022).</w:t>
      </w:r>
    </w:p>
    <w:tbl>
      <w:tblPr>
        <w:tblStyle w:val="8"/>
        <w:tblW w:w="5000" w:type="pct"/>
        <w:tblInd w:w="-5" w:type="dxa"/>
        <w:tblLayout w:type="fixed"/>
        <w:tblCellMar>
          <w:top w:w="55" w:type="dxa"/>
          <w:left w:w="55" w:type="dxa"/>
          <w:bottom w:w="55" w:type="dxa"/>
          <w:right w:w="55" w:type="dxa"/>
        </w:tblCellMar>
      </w:tblPr>
      <w:tblGrid>
        <w:gridCol w:w="2521"/>
        <w:gridCol w:w="2519"/>
        <w:gridCol w:w="2521"/>
        <w:gridCol w:w="2522"/>
      </w:tblGrid>
      <w:tr w14:paraId="4E3117B3">
        <w:tblPrEx>
          <w:tblCellMar>
            <w:top w:w="55" w:type="dxa"/>
            <w:left w:w="55" w:type="dxa"/>
            <w:bottom w:w="55" w:type="dxa"/>
            <w:right w:w="55" w:type="dxa"/>
          </w:tblCellMar>
        </w:tblPrEx>
        <w:trPr>
          <w:tblHeader/>
        </w:trPr>
        <w:tc>
          <w:tcPr>
            <w:tcW w:w="2493" w:type="dxa"/>
            <w:tcBorders>
              <w:top w:val="single" w:color="000000" w:sz="4" w:space="0"/>
              <w:left w:val="single" w:color="000000" w:sz="4" w:space="0"/>
              <w:bottom w:val="single" w:color="000000" w:sz="4" w:space="0"/>
            </w:tcBorders>
          </w:tcPr>
          <w:p w14:paraId="35154CA3">
            <w:pPr>
              <w:pStyle w:val="23"/>
              <w:spacing w:line="360" w:lineRule="auto"/>
              <w:jc w:val="left"/>
              <w:rPr>
                <w:rFonts w:ascii="Arial" w:hAnsi="Arial" w:eastAsia="Arial"/>
                <w:sz w:val="24"/>
                <w:szCs w:val="24"/>
              </w:rPr>
            </w:pPr>
            <w:r>
              <w:rPr>
                <w:rFonts w:ascii="Arial" w:hAnsi="Arial" w:eastAsia="Arial"/>
                <w:sz w:val="24"/>
                <w:szCs w:val="24"/>
              </w:rPr>
              <w:t>Technique</w:t>
            </w:r>
          </w:p>
        </w:tc>
        <w:tc>
          <w:tcPr>
            <w:tcW w:w="2492" w:type="dxa"/>
            <w:tcBorders>
              <w:top w:val="single" w:color="000000" w:sz="4" w:space="0"/>
              <w:left w:val="single" w:color="000000" w:sz="4" w:space="0"/>
              <w:bottom w:val="single" w:color="000000" w:sz="4" w:space="0"/>
            </w:tcBorders>
          </w:tcPr>
          <w:p w14:paraId="4ED51C61">
            <w:pPr>
              <w:pStyle w:val="23"/>
              <w:spacing w:line="360" w:lineRule="auto"/>
              <w:jc w:val="left"/>
              <w:rPr>
                <w:rFonts w:ascii="Arial" w:hAnsi="Arial" w:eastAsia="Arial"/>
                <w:sz w:val="24"/>
                <w:szCs w:val="24"/>
              </w:rPr>
            </w:pPr>
            <w:r>
              <w:rPr>
                <w:rFonts w:ascii="Arial" w:hAnsi="Arial" w:eastAsia="Arial"/>
                <w:sz w:val="24"/>
                <w:szCs w:val="24"/>
              </w:rPr>
              <w:t>Project A</w:t>
            </w:r>
          </w:p>
        </w:tc>
        <w:tc>
          <w:tcPr>
            <w:tcW w:w="2493" w:type="dxa"/>
            <w:tcBorders>
              <w:top w:val="single" w:color="000000" w:sz="4" w:space="0"/>
              <w:left w:val="single" w:color="000000" w:sz="4" w:space="0"/>
              <w:bottom w:val="single" w:color="000000" w:sz="4" w:space="0"/>
            </w:tcBorders>
          </w:tcPr>
          <w:p w14:paraId="7BD2A8A3">
            <w:pPr>
              <w:pStyle w:val="23"/>
              <w:spacing w:line="360" w:lineRule="auto"/>
              <w:jc w:val="left"/>
              <w:rPr>
                <w:rFonts w:ascii="Arial" w:hAnsi="Arial" w:eastAsia="Arial"/>
                <w:sz w:val="24"/>
                <w:szCs w:val="24"/>
              </w:rPr>
            </w:pPr>
            <w:r>
              <w:rPr>
                <w:rFonts w:ascii="Arial" w:hAnsi="Arial" w:eastAsia="Arial"/>
                <w:sz w:val="24"/>
                <w:szCs w:val="24"/>
              </w:rPr>
              <w:t>Project B</w:t>
            </w:r>
          </w:p>
        </w:tc>
        <w:tc>
          <w:tcPr>
            <w:tcW w:w="2494" w:type="dxa"/>
            <w:tcBorders>
              <w:top w:val="single" w:color="000000" w:sz="4" w:space="0"/>
              <w:left w:val="single" w:color="000000" w:sz="4" w:space="0"/>
              <w:bottom w:val="single" w:color="000000" w:sz="4" w:space="0"/>
              <w:right w:val="single" w:color="000000" w:sz="4" w:space="0"/>
            </w:tcBorders>
          </w:tcPr>
          <w:p w14:paraId="45056011">
            <w:pPr>
              <w:pStyle w:val="23"/>
              <w:spacing w:line="360" w:lineRule="auto"/>
              <w:jc w:val="left"/>
              <w:rPr>
                <w:rFonts w:ascii="Arial" w:hAnsi="Arial" w:eastAsia="Arial"/>
                <w:sz w:val="24"/>
                <w:szCs w:val="24"/>
              </w:rPr>
            </w:pPr>
            <w:r>
              <w:rPr>
                <w:rFonts w:ascii="Arial" w:hAnsi="Arial" w:eastAsia="Arial"/>
                <w:sz w:val="24"/>
                <w:szCs w:val="24"/>
              </w:rPr>
              <w:t>Project C</w:t>
            </w:r>
          </w:p>
        </w:tc>
      </w:tr>
      <w:tr w14:paraId="190D01AC">
        <w:tblPrEx>
          <w:tblCellMar>
            <w:top w:w="55" w:type="dxa"/>
            <w:left w:w="55" w:type="dxa"/>
            <w:bottom w:w="55" w:type="dxa"/>
            <w:right w:w="55" w:type="dxa"/>
          </w:tblCellMar>
        </w:tblPrEx>
        <w:tc>
          <w:tcPr>
            <w:tcW w:w="2493" w:type="dxa"/>
            <w:tcBorders>
              <w:left w:val="single" w:color="000000" w:sz="4" w:space="0"/>
              <w:bottom w:val="single" w:color="000000" w:sz="4" w:space="0"/>
            </w:tcBorders>
          </w:tcPr>
          <w:p w14:paraId="2D0863B7">
            <w:pPr>
              <w:pStyle w:val="22"/>
              <w:spacing w:line="360" w:lineRule="auto"/>
              <w:rPr>
                <w:rFonts w:ascii="Arial" w:hAnsi="Arial" w:eastAsia="Arial"/>
                <w:sz w:val="24"/>
                <w:szCs w:val="24"/>
              </w:rPr>
            </w:pPr>
            <w:r>
              <w:rPr>
                <w:rFonts w:ascii="Arial" w:hAnsi="Arial" w:eastAsia="Arial"/>
                <w:sz w:val="24"/>
                <w:szCs w:val="24"/>
              </w:rPr>
              <w:t>Payback Period (PBP)</w:t>
            </w:r>
          </w:p>
        </w:tc>
        <w:tc>
          <w:tcPr>
            <w:tcW w:w="2492" w:type="dxa"/>
            <w:tcBorders>
              <w:left w:val="single" w:color="000000" w:sz="4" w:space="0"/>
              <w:bottom w:val="single" w:color="000000" w:sz="4" w:space="0"/>
            </w:tcBorders>
          </w:tcPr>
          <w:p w14:paraId="1AABBE15">
            <w:pPr>
              <w:pStyle w:val="22"/>
              <w:spacing w:line="360" w:lineRule="auto"/>
              <w:rPr>
                <w:rFonts w:ascii="Arial" w:hAnsi="Arial" w:eastAsia="Arial"/>
                <w:sz w:val="24"/>
                <w:szCs w:val="24"/>
              </w:rPr>
            </w:pPr>
            <w:r>
              <w:rPr>
                <w:rFonts w:ascii="Arial" w:hAnsi="Arial" w:eastAsia="Arial"/>
                <w:sz w:val="24"/>
                <w:szCs w:val="24"/>
              </w:rPr>
              <w:t>4.5 Years</w:t>
            </w:r>
          </w:p>
        </w:tc>
        <w:tc>
          <w:tcPr>
            <w:tcW w:w="2493" w:type="dxa"/>
            <w:tcBorders>
              <w:left w:val="single" w:color="000000" w:sz="4" w:space="0"/>
              <w:bottom w:val="single" w:color="000000" w:sz="4" w:space="0"/>
            </w:tcBorders>
          </w:tcPr>
          <w:p w14:paraId="7986449D">
            <w:pPr>
              <w:pStyle w:val="22"/>
              <w:spacing w:line="360" w:lineRule="auto"/>
              <w:rPr>
                <w:rFonts w:ascii="Arial" w:hAnsi="Arial" w:eastAsia="Arial"/>
                <w:sz w:val="24"/>
                <w:szCs w:val="24"/>
              </w:rPr>
            </w:pPr>
            <w:r>
              <w:rPr>
                <w:rFonts w:ascii="Arial" w:hAnsi="Arial" w:eastAsia="Arial"/>
                <w:sz w:val="24"/>
                <w:szCs w:val="24"/>
              </w:rPr>
              <w:t>4.55 Years</w:t>
            </w:r>
          </w:p>
        </w:tc>
        <w:tc>
          <w:tcPr>
            <w:tcW w:w="2494" w:type="dxa"/>
            <w:tcBorders>
              <w:left w:val="single" w:color="000000" w:sz="4" w:space="0"/>
              <w:bottom w:val="single" w:color="000000" w:sz="4" w:space="0"/>
              <w:right w:val="single" w:color="000000" w:sz="4" w:space="0"/>
            </w:tcBorders>
          </w:tcPr>
          <w:p w14:paraId="718CB965">
            <w:pPr>
              <w:pStyle w:val="22"/>
              <w:spacing w:line="360" w:lineRule="auto"/>
              <w:rPr>
                <w:rFonts w:ascii="Arial" w:hAnsi="Arial" w:eastAsia="Arial"/>
                <w:sz w:val="24"/>
                <w:szCs w:val="24"/>
              </w:rPr>
            </w:pPr>
            <w:r>
              <w:rPr>
                <w:rFonts w:ascii="Arial" w:hAnsi="Arial" w:eastAsia="Arial"/>
                <w:sz w:val="24"/>
                <w:szCs w:val="24"/>
              </w:rPr>
              <w:t>3.60 Years</w:t>
            </w:r>
          </w:p>
        </w:tc>
      </w:tr>
      <w:tr w14:paraId="47E07830">
        <w:tblPrEx>
          <w:tblCellMar>
            <w:top w:w="55" w:type="dxa"/>
            <w:left w:w="55" w:type="dxa"/>
            <w:bottom w:w="55" w:type="dxa"/>
            <w:right w:w="55" w:type="dxa"/>
          </w:tblCellMar>
        </w:tblPrEx>
        <w:tc>
          <w:tcPr>
            <w:tcW w:w="2493" w:type="dxa"/>
            <w:tcBorders>
              <w:left w:val="single" w:color="000000" w:sz="4" w:space="0"/>
              <w:bottom w:val="single" w:color="000000" w:sz="4" w:space="0"/>
            </w:tcBorders>
          </w:tcPr>
          <w:p w14:paraId="44E3421C">
            <w:pPr>
              <w:pStyle w:val="22"/>
              <w:spacing w:line="360" w:lineRule="auto"/>
              <w:rPr>
                <w:rFonts w:ascii="Arial" w:hAnsi="Arial" w:eastAsia="Arial"/>
                <w:sz w:val="24"/>
                <w:szCs w:val="24"/>
              </w:rPr>
            </w:pPr>
            <w:r>
              <w:rPr>
                <w:rFonts w:ascii="Arial" w:hAnsi="Arial" w:eastAsia="Arial"/>
                <w:sz w:val="24"/>
                <w:szCs w:val="24"/>
              </w:rPr>
              <w:t>Accounting Rate of Return (ARR)</w:t>
            </w:r>
          </w:p>
        </w:tc>
        <w:tc>
          <w:tcPr>
            <w:tcW w:w="2492" w:type="dxa"/>
            <w:tcBorders>
              <w:left w:val="single" w:color="000000" w:sz="4" w:space="0"/>
              <w:bottom w:val="single" w:color="000000" w:sz="4" w:space="0"/>
            </w:tcBorders>
          </w:tcPr>
          <w:p w14:paraId="46CEC93A">
            <w:pPr>
              <w:pStyle w:val="22"/>
              <w:spacing w:line="360" w:lineRule="auto"/>
              <w:rPr>
                <w:rFonts w:ascii="Arial" w:hAnsi="Arial" w:eastAsia="Arial"/>
                <w:sz w:val="24"/>
                <w:szCs w:val="24"/>
              </w:rPr>
            </w:pPr>
            <w:r>
              <w:rPr>
                <w:rFonts w:ascii="Arial" w:hAnsi="Arial" w:eastAsia="Arial"/>
                <w:sz w:val="24"/>
                <w:szCs w:val="24"/>
              </w:rPr>
              <w:t>3.2%</w:t>
            </w:r>
          </w:p>
        </w:tc>
        <w:tc>
          <w:tcPr>
            <w:tcW w:w="2493" w:type="dxa"/>
            <w:tcBorders>
              <w:left w:val="single" w:color="000000" w:sz="4" w:space="0"/>
              <w:bottom w:val="single" w:color="000000" w:sz="4" w:space="0"/>
            </w:tcBorders>
          </w:tcPr>
          <w:p w14:paraId="252E9737">
            <w:pPr>
              <w:pStyle w:val="22"/>
              <w:spacing w:line="360" w:lineRule="auto"/>
              <w:rPr>
                <w:rFonts w:ascii="Arial" w:hAnsi="Arial" w:eastAsia="Arial"/>
                <w:sz w:val="24"/>
                <w:szCs w:val="24"/>
              </w:rPr>
            </w:pPr>
            <w:r>
              <w:rPr>
                <w:rFonts w:ascii="Arial" w:hAnsi="Arial" w:eastAsia="Arial"/>
                <w:sz w:val="24"/>
                <w:szCs w:val="24"/>
              </w:rPr>
              <w:t>4.0%</w:t>
            </w:r>
          </w:p>
        </w:tc>
        <w:tc>
          <w:tcPr>
            <w:tcW w:w="2494" w:type="dxa"/>
            <w:tcBorders>
              <w:left w:val="single" w:color="000000" w:sz="4" w:space="0"/>
              <w:bottom w:val="single" w:color="000000" w:sz="4" w:space="0"/>
              <w:right w:val="single" w:color="000000" w:sz="4" w:space="0"/>
            </w:tcBorders>
          </w:tcPr>
          <w:p w14:paraId="2E5BBD2C">
            <w:pPr>
              <w:pStyle w:val="22"/>
              <w:spacing w:line="360" w:lineRule="auto"/>
              <w:rPr>
                <w:rFonts w:ascii="Arial" w:hAnsi="Arial" w:eastAsia="Arial"/>
                <w:sz w:val="24"/>
                <w:szCs w:val="24"/>
              </w:rPr>
            </w:pPr>
            <w:r>
              <w:rPr>
                <w:rFonts w:ascii="Arial" w:hAnsi="Arial" w:eastAsia="Arial"/>
                <w:sz w:val="24"/>
                <w:szCs w:val="24"/>
              </w:rPr>
              <w:t>12.0%</w:t>
            </w:r>
          </w:p>
        </w:tc>
      </w:tr>
      <w:tr w14:paraId="2BF3A0D1">
        <w:tblPrEx>
          <w:tblCellMar>
            <w:top w:w="55" w:type="dxa"/>
            <w:left w:w="55" w:type="dxa"/>
            <w:bottom w:w="55" w:type="dxa"/>
            <w:right w:w="55" w:type="dxa"/>
          </w:tblCellMar>
        </w:tblPrEx>
        <w:tc>
          <w:tcPr>
            <w:tcW w:w="2493" w:type="dxa"/>
            <w:tcBorders>
              <w:left w:val="single" w:color="000000" w:sz="4" w:space="0"/>
              <w:bottom w:val="single" w:color="000000" w:sz="4" w:space="0"/>
            </w:tcBorders>
          </w:tcPr>
          <w:p w14:paraId="4CD35E5C">
            <w:pPr>
              <w:pStyle w:val="22"/>
              <w:spacing w:line="360" w:lineRule="auto"/>
              <w:rPr>
                <w:rFonts w:ascii="Arial" w:hAnsi="Arial" w:eastAsia="Arial"/>
                <w:sz w:val="24"/>
                <w:szCs w:val="24"/>
              </w:rPr>
            </w:pPr>
            <w:r>
              <w:rPr>
                <w:rFonts w:ascii="Arial" w:hAnsi="Arial" w:eastAsia="Arial"/>
                <w:sz w:val="24"/>
                <w:szCs w:val="24"/>
              </w:rPr>
              <w:t>Net Present Value (NPV)</w:t>
            </w:r>
          </w:p>
        </w:tc>
        <w:tc>
          <w:tcPr>
            <w:tcW w:w="2492" w:type="dxa"/>
            <w:tcBorders>
              <w:left w:val="single" w:color="000000" w:sz="4" w:space="0"/>
              <w:bottom w:val="single" w:color="000000" w:sz="4" w:space="0"/>
            </w:tcBorders>
          </w:tcPr>
          <w:p w14:paraId="0237D3CA">
            <w:pPr>
              <w:pStyle w:val="22"/>
              <w:spacing w:line="360" w:lineRule="auto"/>
              <w:rPr>
                <w:rFonts w:ascii="Arial" w:hAnsi="Arial" w:eastAsia="Arial"/>
                <w:sz w:val="24"/>
                <w:szCs w:val="24"/>
              </w:rPr>
            </w:pPr>
            <w:r>
              <w:rPr>
                <w:rFonts w:ascii="Arial" w:hAnsi="Arial" w:eastAsia="Arial"/>
                <w:sz w:val="24"/>
                <w:szCs w:val="24"/>
              </w:rPr>
              <w:t>£-6.53</w:t>
            </w:r>
          </w:p>
        </w:tc>
        <w:tc>
          <w:tcPr>
            <w:tcW w:w="2493" w:type="dxa"/>
            <w:tcBorders>
              <w:left w:val="single" w:color="000000" w:sz="4" w:space="0"/>
              <w:bottom w:val="single" w:color="000000" w:sz="4" w:space="0"/>
            </w:tcBorders>
          </w:tcPr>
          <w:p w14:paraId="7C5F4A22">
            <w:pPr>
              <w:pStyle w:val="22"/>
              <w:spacing w:line="360" w:lineRule="auto"/>
              <w:rPr>
                <w:rFonts w:ascii="Arial" w:hAnsi="Arial" w:eastAsia="Arial"/>
                <w:sz w:val="24"/>
                <w:szCs w:val="24"/>
              </w:rPr>
            </w:pPr>
            <w:r>
              <w:rPr>
                <w:rFonts w:ascii="Arial" w:hAnsi="Arial" w:eastAsia="Arial"/>
                <w:sz w:val="24"/>
                <w:szCs w:val="24"/>
              </w:rPr>
              <w:t>£-6.07</w:t>
            </w:r>
          </w:p>
        </w:tc>
        <w:tc>
          <w:tcPr>
            <w:tcW w:w="2494" w:type="dxa"/>
            <w:tcBorders>
              <w:left w:val="single" w:color="000000" w:sz="4" w:space="0"/>
              <w:bottom w:val="single" w:color="000000" w:sz="4" w:space="0"/>
              <w:right w:val="single" w:color="000000" w:sz="4" w:space="0"/>
            </w:tcBorders>
          </w:tcPr>
          <w:p w14:paraId="66910E22">
            <w:pPr>
              <w:pStyle w:val="22"/>
              <w:spacing w:line="360" w:lineRule="auto"/>
              <w:rPr>
                <w:rFonts w:ascii="Arial" w:hAnsi="Arial" w:eastAsia="Arial"/>
                <w:sz w:val="24"/>
                <w:szCs w:val="24"/>
              </w:rPr>
            </w:pPr>
            <w:r>
              <w:rPr>
                <w:rFonts w:ascii="Arial" w:hAnsi="Arial" w:eastAsia="Arial"/>
                <w:sz w:val="24"/>
                <w:szCs w:val="24"/>
              </w:rPr>
              <w:t>£0.86m</w:t>
            </w:r>
          </w:p>
        </w:tc>
      </w:tr>
      <w:tr w14:paraId="2140C94B">
        <w:tblPrEx>
          <w:tblCellMar>
            <w:top w:w="55" w:type="dxa"/>
            <w:left w:w="55" w:type="dxa"/>
            <w:bottom w:w="55" w:type="dxa"/>
            <w:right w:w="55" w:type="dxa"/>
          </w:tblCellMar>
        </w:tblPrEx>
        <w:tc>
          <w:tcPr>
            <w:tcW w:w="2493" w:type="dxa"/>
            <w:tcBorders>
              <w:left w:val="single" w:color="000000" w:sz="4" w:space="0"/>
              <w:bottom w:val="single" w:color="000000" w:sz="4" w:space="0"/>
            </w:tcBorders>
          </w:tcPr>
          <w:p w14:paraId="529B7323">
            <w:pPr>
              <w:pStyle w:val="22"/>
              <w:spacing w:line="360" w:lineRule="auto"/>
              <w:rPr>
                <w:rFonts w:ascii="Arial" w:hAnsi="Arial" w:eastAsia="Arial"/>
                <w:sz w:val="24"/>
                <w:szCs w:val="24"/>
              </w:rPr>
            </w:pPr>
            <w:r>
              <w:rPr>
                <w:rFonts w:ascii="Arial" w:hAnsi="Arial" w:eastAsia="Arial"/>
                <w:sz w:val="24"/>
                <w:szCs w:val="24"/>
              </w:rPr>
              <w:t>Profitability Index (PI)</w:t>
            </w:r>
          </w:p>
        </w:tc>
        <w:tc>
          <w:tcPr>
            <w:tcW w:w="2492" w:type="dxa"/>
            <w:tcBorders>
              <w:left w:val="single" w:color="000000" w:sz="4" w:space="0"/>
              <w:bottom w:val="single" w:color="000000" w:sz="4" w:space="0"/>
            </w:tcBorders>
          </w:tcPr>
          <w:p w14:paraId="44884F68">
            <w:pPr>
              <w:pStyle w:val="22"/>
              <w:spacing w:line="360" w:lineRule="auto"/>
              <w:rPr>
                <w:rFonts w:ascii="Arial" w:hAnsi="Arial" w:eastAsia="Arial"/>
                <w:sz w:val="24"/>
                <w:szCs w:val="24"/>
              </w:rPr>
            </w:pPr>
            <w:r>
              <w:rPr>
                <w:rFonts w:ascii="Arial" w:hAnsi="Arial" w:eastAsia="Arial"/>
                <w:sz w:val="24"/>
                <w:szCs w:val="24"/>
              </w:rPr>
              <w:t>-0.13</w:t>
            </w:r>
          </w:p>
        </w:tc>
        <w:tc>
          <w:tcPr>
            <w:tcW w:w="2493" w:type="dxa"/>
            <w:tcBorders>
              <w:left w:val="single" w:color="000000" w:sz="4" w:space="0"/>
              <w:bottom w:val="single" w:color="000000" w:sz="4" w:space="0"/>
            </w:tcBorders>
          </w:tcPr>
          <w:p w14:paraId="62572917">
            <w:pPr>
              <w:pStyle w:val="22"/>
              <w:spacing w:line="360" w:lineRule="auto"/>
              <w:rPr>
                <w:rFonts w:ascii="Arial" w:hAnsi="Arial" w:eastAsia="Arial"/>
                <w:sz w:val="24"/>
                <w:szCs w:val="24"/>
              </w:rPr>
            </w:pPr>
            <w:r>
              <w:rPr>
                <w:rFonts w:ascii="Arial" w:hAnsi="Arial" w:eastAsia="Arial"/>
                <w:sz w:val="24"/>
                <w:szCs w:val="24"/>
              </w:rPr>
              <w:t>-0.12</w:t>
            </w:r>
          </w:p>
        </w:tc>
        <w:tc>
          <w:tcPr>
            <w:tcW w:w="2494" w:type="dxa"/>
            <w:tcBorders>
              <w:left w:val="single" w:color="000000" w:sz="4" w:space="0"/>
              <w:bottom w:val="single" w:color="000000" w:sz="4" w:space="0"/>
              <w:right w:val="single" w:color="000000" w:sz="4" w:space="0"/>
            </w:tcBorders>
          </w:tcPr>
          <w:p w14:paraId="6923F279">
            <w:pPr>
              <w:pStyle w:val="22"/>
              <w:spacing w:line="360" w:lineRule="auto"/>
              <w:rPr>
                <w:rFonts w:ascii="Arial" w:hAnsi="Arial" w:eastAsia="Arial"/>
                <w:sz w:val="24"/>
                <w:szCs w:val="24"/>
              </w:rPr>
            </w:pPr>
            <w:r>
              <w:rPr>
                <w:rFonts w:ascii="Arial" w:hAnsi="Arial" w:eastAsia="Arial"/>
                <w:sz w:val="24"/>
                <w:szCs w:val="24"/>
              </w:rPr>
              <w:t>1.017</w:t>
            </w:r>
          </w:p>
        </w:tc>
      </w:tr>
      <w:tr w14:paraId="79590CB9">
        <w:tblPrEx>
          <w:tblCellMar>
            <w:top w:w="55" w:type="dxa"/>
            <w:left w:w="55" w:type="dxa"/>
            <w:bottom w:w="55" w:type="dxa"/>
            <w:right w:w="55" w:type="dxa"/>
          </w:tblCellMar>
        </w:tblPrEx>
        <w:tc>
          <w:tcPr>
            <w:tcW w:w="2493" w:type="dxa"/>
            <w:tcBorders>
              <w:left w:val="single" w:color="000000" w:sz="4" w:space="0"/>
              <w:bottom w:val="single" w:color="000000" w:sz="4" w:space="0"/>
            </w:tcBorders>
          </w:tcPr>
          <w:p w14:paraId="70A3DC8A">
            <w:pPr>
              <w:pStyle w:val="22"/>
              <w:spacing w:line="360" w:lineRule="auto"/>
              <w:rPr>
                <w:rFonts w:ascii="Arial" w:hAnsi="Arial" w:eastAsia="Arial"/>
                <w:sz w:val="24"/>
                <w:szCs w:val="24"/>
              </w:rPr>
            </w:pPr>
            <w:r>
              <w:rPr>
                <w:rFonts w:ascii="Arial" w:hAnsi="Arial" w:eastAsia="Arial"/>
                <w:sz w:val="24"/>
                <w:szCs w:val="24"/>
              </w:rPr>
              <w:t>Internal Rate of Return (IRR)</w:t>
            </w:r>
          </w:p>
        </w:tc>
        <w:tc>
          <w:tcPr>
            <w:tcW w:w="2492" w:type="dxa"/>
            <w:tcBorders>
              <w:left w:val="single" w:color="000000" w:sz="4" w:space="0"/>
              <w:bottom w:val="single" w:color="000000" w:sz="4" w:space="0"/>
            </w:tcBorders>
          </w:tcPr>
          <w:p w14:paraId="00C83F29">
            <w:pPr>
              <w:pStyle w:val="22"/>
              <w:spacing w:line="360" w:lineRule="auto"/>
              <w:rPr>
                <w:rFonts w:ascii="Arial" w:hAnsi="Arial" w:eastAsia="Arial"/>
                <w:sz w:val="24"/>
                <w:szCs w:val="24"/>
              </w:rPr>
            </w:pPr>
            <w:r>
              <w:rPr>
                <w:rFonts w:ascii="Arial" w:hAnsi="Arial" w:eastAsia="Arial"/>
                <w:sz w:val="24"/>
                <w:szCs w:val="24"/>
              </w:rPr>
              <w:t>2.58%</w:t>
            </w:r>
          </w:p>
        </w:tc>
        <w:tc>
          <w:tcPr>
            <w:tcW w:w="2493" w:type="dxa"/>
            <w:tcBorders>
              <w:left w:val="single" w:color="000000" w:sz="4" w:space="0"/>
              <w:bottom w:val="single" w:color="000000" w:sz="4" w:space="0"/>
            </w:tcBorders>
          </w:tcPr>
          <w:p w14:paraId="3657E61C">
            <w:pPr>
              <w:pStyle w:val="22"/>
              <w:spacing w:line="360" w:lineRule="auto"/>
              <w:rPr>
                <w:rFonts w:ascii="Arial" w:hAnsi="Arial" w:eastAsia="Arial"/>
                <w:sz w:val="24"/>
                <w:szCs w:val="24"/>
              </w:rPr>
            </w:pPr>
            <w:r>
              <w:rPr>
                <w:rFonts w:ascii="Arial" w:hAnsi="Arial" w:eastAsia="Arial"/>
                <w:sz w:val="24"/>
                <w:szCs w:val="24"/>
              </w:rPr>
              <w:t>3.4%</w:t>
            </w:r>
          </w:p>
        </w:tc>
        <w:tc>
          <w:tcPr>
            <w:tcW w:w="2494" w:type="dxa"/>
            <w:tcBorders>
              <w:left w:val="single" w:color="000000" w:sz="4" w:space="0"/>
              <w:bottom w:val="single" w:color="000000" w:sz="4" w:space="0"/>
              <w:right w:val="single" w:color="000000" w:sz="4" w:space="0"/>
            </w:tcBorders>
          </w:tcPr>
          <w:p w14:paraId="1C8A5C40">
            <w:pPr>
              <w:pStyle w:val="22"/>
              <w:spacing w:line="360" w:lineRule="auto"/>
              <w:rPr>
                <w:rFonts w:ascii="Arial" w:hAnsi="Arial" w:eastAsia="Arial"/>
                <w:sz w:val="24"/>
                <w:szCs w:val="24"/>
              </w:rPr>
            </w:pPr>
            <w:r>
              <w:rPr>
                <w:rFonts w:ascii="Arial" w:hAnsi="Arial" w:eastAsia="Arial"/>
                <w:sz w:val="24"/>
                <w:szCs w:val="24"/>
              </w:rPr>
              <w:t>8.5%</w:t>
            </w:r>
          </w:p>
        </w:tc>
      </w:tr>
    </w:tbl>
    <w:p w14:paraId="29D86EAD">
      <w:pPr>
        <w:pStyle w:val="4"/>
        <w:spacing w:line="360" w:lineRule="auto"/>
        <w:rPr>
          <w:rFonts w:ascii="Arial" w:hAnsi="Arial" w:eastAsia="Arial"/>
          <w:sz w:val="24"/>
          <w:szCs w:val="24"/>
        </w:rPr>
      </w:pPr>
    </w:p>
    <w:p w14:paraId="5E780BA7">
      <w:pPr>
        <w:pStyle w:val="4"/>
        <w:spacing w:line="360" w:lineRule="auto"/>
        <w:rPr>
          <w:rFonts w:ascii="Arial" w:hAnsi="Arial" w:eastAsia="Arial"/>
          <w:sz w:val="24"/>
          <w:szCs w:val="24"/>
        </w:rPr>
      </w:pPr>
      <w:r>
        <w:rPr>
          <w:rFonts w:ascii="Arial" w:hAnsi="Arial" w:eastAsia="Arial"/>
          <w:b/>
          <w:sz w:val="24"/>
          <w:szCs w:val="24"/>
        </w:rPr>
        <w:t>Justification:</w:t>
      </w:r>
    </w:p>
    <w:p w14:paraId="5D4CE64E">
      <w:pPr>
        <w:pStyle w:val="4"/>
        <w:spacing w:line="360" w:lineRule="auto"/>
        <w:rPr>
          <w:rFonts w:ascii="Arial" w:hAnsi="Arial" w:eastAsia="Arial"/>
          <w:sz w:val="24"/>
          <w:szCs w:val="24"/>
        </w:rPr>
      </w:pPr>
      <w:r>
        <w:rPr>
          <w:rFonts w:hint="eastAsia" w:ascii="Arial" w:hAnsi="Arial" w:eastAsia="Arial"/>
          <w:bCs/>
          <w:sz w:val="24"/>
          <w:szCs w:val="24"/>
        </w:rPr>
        <w:t>The project with the highest NPV (£0.86 million) and Profitability Index (1.017) is Project C, making it the most profitable investment that generates the greatest value for investors for each £1 they invest. Project C has a cash flow repayment period of 3.60 years, Project A of 4.50 years and Project B of 4.55 years, and the return of cash in project C is faster than that in projects A and B, which brings liquidity benefits, reduces or eliminates risk of capital tied up for a long time. That's especially appealing as it comes at a time the company is becoming more leveraged-up and more focused on cash generation.</w:t>
      </w:r>
    </w:p>
    <w:p w14:paraId="383A2556">
      <w:pPr>
        <w:pStyle w:val="4"/>
        <w:spacing w:line="360" w:lineRule="auto"/>
        <w:rPr>
          <w:rFonts w:ascii="Arial" w:hAnsi="Arial" w:eastAsia="Arial"/>
          <w:sz w:val="24"/>
          <w:szCs w:val="24"/>
        </w:rPr>
      </w:pPr>
      <w:r>
        <w:rPr>
          <w:rFonts w:hint="eastAsia" w:ascii="Arial" w:hAnsi="Arial" w:eastAsia="Arial"/>
          <w:bCs/>
          <w:sz w:val="24"/>
          <w:szCs w:val="24"/>
        </w:rPr>
        <w:t>Project C seems to be the most profitable as it has the highest internal rate of return (8.5%) and the greatest accounting rate of return (12%). The IRR is well above the company's cost of capital, meaning that the company is creating a lot of value. The initiative is consistent with Whitbread's growth agenda to deliver high return growth opportunities. Its success will have an impact on the company's financial performance, valuation and its long term growth goals. Given the firmness of Whitbread's balance sheet, and their solid financial performance, they have the capacity to take up this project. The company has the cash flow needed to finance and control investment exposure, given the significant operating cash flow that it generates.</w:t>
      </w:r>
    </w:p>
    <w:p w14:paraId="71435B39">
      <w:pPr>
        <w:pStyle w:val="4"/>
        <w:spacing w:line="360" w:lineRule="auto"/>
        <w:rPr>
          <w:rFonts w:ascii="Arial" w:hAnsi="Arial" w:eastAsia="Arial"/>
          <w:sz w:val="24"/>
          <w:szCs w:val="24"/>
        </w:rPr>
      </w:pPr>
      <w:r>
        <w:rPr>
          <w:rFonts w:hint="eastAsia" w:ascii="Arial" w:hAnsi="Arial" w:eastAsia="Arial"/>
          <w:bCs/>
          <w:sz w:val="24"/>
          <w:szCs w:val="24"/>
        </w:rPr>
        <w:t xml:space="preserve">Project C has the more unpredictable of the two cash flow profiles, but that is outweighed by a slightly higher potential return and its strategic suitability. The project has identified non-financial risks such as the brand proposition, customer loyalty, and the ability to operate that need to be mitigated, which are the findings of Whitbread's operations and </w:t>
      </w:r>
      <w:r>
        <w:rPr>
          <w:rFonts w:ascii="Arial" w:hAnsi="Arial" w:eastAsia="Arial"/>
          <w:bCs/>
          <w:sz w:val="24"/>
          <w:szCs w:val="24"/>
        </w:rPr>
        <w:t>branding. Mitigation</w:t>
      </w:r>
      <w:r>
        <w:rPr>
          <w:rFonts w:hint="eastAsia" w:ascii="Arial" w:hAnsi="Arial" w:eastAsia="Arial"/>
          <w:bCs/>
          <w:sz w:val="24"/>
          <w:szCs w:val="24"/>
        </w:rPr>
        <w:t xml:space="preserve"> of the non-financial risks, which are identified as part of the project, is achieved through Whitbread's ability to operate, brand proposition, and customer loyalty.</w:t>
      </w:r>
    </w:p>
    <w:p w14:paraId="792517E3">
      <w:pPr>
        <w:pStyle w:val="5"/>
        <w:numPr>
          <w:ilvl w:val="1"/>
          <w:numId w:val="1"/>
        </w:numPr>
        <w:spacing w:line="360" w:lineRule="auto"/>
        <w:rPr>
          <w:rFonts w:ascii="Arial" w:hAnsi="Arial" w:eastAsia="Arial"/>
          <w:sz w:val="24"/>
          <w:szCs w:val="24"/>
        </w:rPr>
      </w:pPr>
      <w:r>
        <w:rPr>
          <w:rFonts w:hint="eastAsia" w:ascii="Arial" w:hAnsi="Arial" w:eastAsia="Arial"/>
          <w:sz w:val="24"/>
          <w:szCs w:val="24"/>
        </w:rPr>
        <w:t>Project A and project B are not recommended because:</w:t>
      </w:r>
    </w:p>
    <w:p w14:paraId="358B3E95">
      <w:pPr>
        <w:pStyle w:val="5"/>
        <w:numPr>
          <w:ilvl w:val="1"/>
          <w:numId w:val="1"/>
        </w:numPr>
        <w:spacing w:line="360" w:lineRule="auto"/>
        <w:rPr>
          <w:rFonts w:ascii="Arial" w:hAnsi="Arial" w:eastAsia="Arial"/>
          <w:sz w:val="24"/>
          <w:szCs w:val="24"/>
        </w:rPr>
      </w:pPr>
      <w:r>
        <w:rPr>
          <w:rFonts w:hint="eastAsia" w:ascii="Arial" w:hAnsi="Arial" w:eastAsia="Arial"/>
          <w:b w:val="0"/>
          <w:bCs w:val="0"/>
          <w:sz w:val="24"/>
          <w:szCs w:val="24"/>
        </w:rPr>
        <w:t>Project A has a lower overall return, a longer payback period than Project C, and overall is less profitable than Project C, so it is not recommended. The total cash flow is slightly to the upside of what is being invested (£54 million), while the IRR was not as high as that of Whitbread's weighted average cost of capital. This is a signal that the project would not be able to create value for the shareholders, for example, if the potential return is less than the required amount (Puchakayala, 2022). Project B is not recommended because they have already known results but not as good as Project C as compared with Project C. The cash flows of the project are consistent; however, the total value created is lower in comparison to Project C. Owing to Whitbread's requirements of high returns to enjoy the growth objectives, the project is more attractive from risk standpoint = Project C (Olayinka, 2022).</w:t>
      </w:r>
    </w:p>
    <w:p w14:paraId="10283C65">
      <w:pPr>
        <w:pStyle w:val="5"/>
        <w:numPr>
          <w:ilvl w:val="1"/>
          <w:numId w:val="1"/>
        </w:numPr>
        <w:spacing w:line="360" w:lineRule="auto"/>
        <w:rPr>
          <w:rFonts w:ascii="Arial" w:hAnsi="Arial" w:eastAsia="Arial"/>
          <w:sz w:val="24"/>
          <w:szCs w:val="24"/>
        </w:rPr>
      </w:pPr>
      <w:r>
        <w:rPr>
          <w:rFonts w:hint="eastAsia" w:ascii="Arial" w:hAnsi="Arial" w:eastAsia="Arial"/>
          <w:sz w:val="24"/>
          <w:szCs w:val="24"/>
        </w:rPr>
        <w:t>4.3 Capital rationing analysis</w:t>
      </w:r>
    </w:p>
    <w:p w14:paraId="3F2D0073">
      <w:pPr>
        <w:pStyle w:val="5"/>
        <w:numPr>
          <w:ilvl w:val="1"/>
          <w:numId w:val="1"/>
        </w:numPr>
        <w:spacing w:line="360" w:lineRule="auto"/>
        <w:rPr>
          <w:rFonts w:ascii="Arial" w:hAnsi="Arial" w:eastAsia="Arial"/>
          <w:sz w:val="24"/>
          <w:szCs w:val="24"/>
        </w:rPr>
      </w:pPr>
      <w:r>
        <w:rPr>
          <w:rFonts w:hint="eastAsia" w:ascii="Arial" w:hAnsi="Arial" w:eastAsia="Arial"/>
          <w:b w:val="0"/>
          <w:bCs w:val="0"/>
          <w:sz w:val="24"/>
          <w:szCs w:val="24"/>
        </w:rPr>
        <w:t>The question involved is that for a total investment cap of £100 Million, which projects will give us the best value for money?</w:t>
      </w:r>
    </w:p>
    <w:p w14:paraId="15DD8AF6">
      <w:pPr>
        <w:pStyle w:val="5"/>
        <w:numPr>
          <w:ilvl w:val="1"/>
          <w:numId w:val="1"/>
        </w:numPr>
        <w:spacing w:line="360" w:lineRule="auto"/>
        <w:rPr>
          <w:rFonts w:ascii="Arial" w:hAnsi="Arial" w:eastAsia="Arial"/>
          <w:sz w:val="24"/>
          <w:szCs w:val="24"/>
        </w:rPr>
      </w:pPr>
      <w:r>
        <w:rPr>
          <w:rFonts w:hint="eastAsia" w:ascii="Arial" w:hAnsi="Arial" w:eastAsia="Arial"/>
          <w:b w:val="0"/>
          <w:bCs w:val="0"/>
          <w:sz w:val="24"/>
          <w:szCs w:val="24"/>
        </w:rPr>
        <w:t>If there is only £100 million (a capital rationing) to be invested in the projects</w:t>
      </w:r>
      <w:r>
        <w:rPr>
          <w:rFonts w:hint="eastAsia" w:ascii="Arial" w:hAnsi="Arial" w:eastAsia="Arial"/>
          <w:sz w:val="24"/>
          <w:szCs w:val="24"/>
        </w:rPr>
        <w:t xml:space="preserve"> </w:t>
      </w:r>
      <w:r>
        <w:rPr>
          <w:rFonts w:hint="eastAsia" w:ascii="Arial" w:hAnsi="Arial" w:eastAsia="Arial"/>
          <w:b w:val="0"/>
          <w:bCs w:val="0"/>
          <w:sz w:val="24"/>
          <w:szCs w:val="24"/>
        </w:rPr>
        <w:t>and each project needs £50 million</w:t>
      </w:r>
      <w:r>
        <w:rPr>
          <w:rFonts w:ascii="Arial" w:hAnsi="Arial" w:eastAsia="Arial"/>
          <w:b w:val="0"/>
          <w:bCs w:val="0"/>
          <w:sz w:val="24"/>
          <w:szCs w:val="24"/>
        </w:rPr>
        <w:t>,</w:t>
      </w:r>
      <w:r>
        <w:rPr>
          <w:rFonts w:hint="eastAsia" w:ascii="Arial" w:hAnsi="Arial" w:eastAsia="Arial"/>
          <w:b w:val="0"/>
          <w:bCs w:val="0"/>
          <w:sz w:val="24"/>
          <w:szCs w:val="24"/>
        </w:rPr>
        <w:t xml:space="preserve"> the optimum combination of projects is B and C.</w:t>
      </w:r>
    </w:p>
    <w:p w14:paraId="234C8186">
      <w:pPr>
        <w:pStyle w:val="5"/>
        <w:numPr>
          <w:ilvl w:val="1"/>
          <w:numId w:val="1"/>
        </w:numPr>
        <w:spacing w:line="360" w:lineRule="auto"/>
        <w:rPr>
          <w:rFonts w:ascii="Arial" w:hAnsi="Arial" w:eastAsia="Arial"/>
          <w:sz w:val="24"/>
          <w:szCs w:val="24"/>
        </w:rPr>
      </w:pPr>
      <w:r>
        <w:rPr>
          <w:rFonts w:hint="eastAsia" w:ascii="Arial" w:hAnsi="Arial" w:eastAsia="Arial"/>
          <w:sz w:val="24"/>
          <w:szCs w:val="24"/>
        </w:rPr>
        <w:t>Justification:</w:t>
      </w:r>
    </w:p>
    <w:p w14:paraId="048D256A">
      <w:pPr>
        <w:pStyle w:val="5"/>
        <w:numPr>
          <w:ilvl w:val="1"/>
          <w:numId w:val="1"/>
        </w:numPr>
        <w:spacing w:line="360" w:lineRule="auto"/>
        <w:rPr>
          <w:rFonts w:ascii="Arial" w:hAnsi="Arial" w:eastAsia="Arial"/>
          <w:sz w:val="24"/>
          <w:szCs w:val="24"/>
        </w:rPr>
      </w:pPr>
      <w:r>
        <w:rPr>
          <w:rFonts w:hint="eastAsia" w:ascii="Arial" w:hAnsi="Arial" w:eastAsia="Arial"/>
          <w:b w:val="0"/>
          <w:bCs w:val="0"/>
          <w:sz w:val="24"/>
          <w:szCs w:val="24"/>
        </w:rPr>
        <w:t xml:space="preserve">The total NPV of Projects B and C is -£5.21 million (-£6.07m + £0.86m), which is higher than the total NPV of Projects A and C (-£5.67.00m) or Projects A and B (-£12.60m). The value </w:t>
      </w:r>
      <w:r>
        <w:rPr>
          <w:rFonts w:ascii="Arial" w:hAnsi="Arial" w:eastAsia="Arial"/>
          <w:b w:val="0"/>
          <w:bCs w:val="0"/>
          <w:sz w:val="24"/>
          <w:szCs w:val="24"/>
        </w:rPr>
        <w:t>realised</w:t>
      </w:r>
      <w:r>
        <w:rPr>
          <w:rFonts w:hint="eastAsia" w:ascii="Arial" w:hAnsi="Arial" w:eastAsia="Arial"/>
          <w:b w:val="0"/>
          <w:bCs w:val="0"/>
          <w:sz w:val="24"/>
          <w:szCs w:val="24"/>
        </w:rPr>
        <w:t xml:space="preserve"> by the shareholders which is </w:t>
      </w:r>
      <w:r>
        <w:rPr>
          <w:rFonts w:ascii="Arial" w:hAnsi="Arial" w:eastAsia="Arial"/>
          <w:b w:val="0"/>
          <w:bCs w:val="0"/>
          <w:sz w:val="24"/>
          <w:szCs w:val="24"/>
        </w:rPr>
        <w:t>maximised</w:t>
      </w:r>
      <w:r>
        <w:rPr>
          <w:rFonts w:hint="eastAsia" w:ascii="Arial" w:hAnsi="Arial" w:eastAsia="Arial"/>
          <w:b w:val="0"/>
          <w:bCs w:val="0"/>
          <w:sz w:val="24"/>
          <w:szCs w:val="24"/>
        </w:rPr>
        <w:t xml:space="preserve"> for the given budget. If Project B is cash flow positive, and Project C is an excellent growth opportunity, then it provides the candidate with an attractive expected return on the risks that he assumes. Project B enjoys the security of assured returns, and Project C offers the chance to enhance returns. Under capital rationing, the aim is to get </w:t>
      </w:r>
      <w:r>
        <w:rPr>
          <w:rFonts w:ascii="Arial" w:hAnsi="Arial" w:eastAsia="Arial"/>
          <w:b w:val="0"/>
          <w:bCs w:val="0"/>
          <w:sz w:val="24"/>
          <w:szCs w:val="24"/>
        </w:rPr>
        <w:t>the</w:t>
      </w:r>
      <w:r>
        <w:rPr>
          <w:rFonts w:hint="eastAsia" w:ascii="Arial" w:hAnsi="Arial" w:eastAsia="Arial"/>
          <w:b w:val="0"/>
          <w:bCs w:val="0"/>
          <w:sz w:val="24"/>
          <w:szCs w:val="24"/>
        </w:rPr>
        <w:t xml:space="preserve"> greatest possible NPV per pound invested in a portfolio of projects. Project B and C are the best combination</w:t>
      </w:r>
      <w:r>
        <w:rPr>
          <w:rFonts w:ascii="Arial" w:hAnsi="Arial" w:eastAsia="Arial"/>
          <w:b w:val="0"/>
          <w:bCs w:val="0"/>
          <w:sz w:val="24"/>
          <w:szCs w:val="24"/>
        </w:rPr>
        <w:t>,</w:t>
      </w:r>
      <w:r>
        <w:rPr>
          <w:rFonts w:hint="eastAsia" w:ascii="Arial" w:hAnsi="Arial" w:eastAsia="Arial"/>
          <w:b w:val="0"/>
          <w:bCs w:val="0"/>
          <w:sz w:val="24"/>
          <w:szCs w:val="24"/>
        </w:rPr>
        <w:t xml:space="preserve"> as the total NPV of the £100m invested is the largest.</w:t>
      </w:r>
    </w:p>
    <w:p w14:paraId="6DB2F9F3">
      <w:pPr>
        <w:pStyle w:val="5"/>
        <w:numPr>
          <w:ilvl w:val="1"/>
          <w:numId w:val="1"/>
        </w:numPr>
        <w:spacing w:line="360" w:lineRule="auto"/>
        <w:rPr>
          <w:rFonts w:ascii="Arial" w:hAnsi="Arial" w:eastAsia="Arial"/>
          <w:sz w:val="24"/>
          <w:szCs w:val="24"/>
        </w:rPr>
      </w:pPr>
      <w:r>
        <w:rPr>
          <w:rFonts w:hint="eastAsia" w:ascii="Arial" w:hAnsi="Arial" w:eastAsia="Arial"/>
          <w:sz w:val="24"/>
          <w:szCs w:val="24"/>
        </w:rPr>
        <w:t>Capital Rationing Justification:</w:t>
      </w:r>
    </w:p>
    <w:p w14:paraId="5213F336">
      <w:pPr>
        <w:pStyle w:val="5"/>
        <w:numPr>
          <w:ilvl w:val="1"/>
          <w:numId w:val="1"/>
        </w:numPr>
        <w:spacing w:line="360" w:lineRule="auto"/>
        <w:rPr>
          <w:rFonts w:ascii="Arial" w:hAnsi="Arial" w:eastAsia="Arial"/>
          <w:sz w:val="24"/>
          <w:szCs w:val="24"/>
        </w:rPr>
      </w:pPr>
      <w:r>
        <w:rPr>
          <w:rFonts w:hint="eastAsia" w:ascii="Arial" w:hAnsi="Arial" w:eastAsia="Arial"/>
          <w:b w:val="0"/>
          <w:bCs w:val="0"/>
          <w:sz w:val="24"/>
          <w:szCs w:val="24"/>
        </w:rPr>
        <w:t>Capital Rationing is the condition where a company has limited funds to spend, and can only do a subset of the projects that are NPV positive. If the company chooses to implement the projects as commissioned by Whitbread, then the company will most likely need to pick the best mix of projects in their £100 million budget. Normal (capital rationing) ranking is to sort projects by their NPV and PI. Both projects C and B have a greater NPV</w:t>
      </w:r>
      <w:r>
        <w:rPr>
          <w:rFonts w:ascii="Arial" w:hAnsi="Arial" w:eastAsia="Arial"/>
          <w:b w:val="0"/>
          <w:bCs w:val="0"/>
          <w:sz w:val="24"/>
          <w:szCs w:val="24"/>
        </w:rPr>
        <w:t>;</w:t>
      </w:r>
      <w:r>
        <w:rPr>
          <w:rFonts w:hint="eastAsia" w:ascii="Arial" w:hAnsi="Arial" w:eastAsia="Arial"/>
          <w:b w:val="0"/>
          <w:bCs w:val="0"/>
          <w:sz w:val="24"/>
          <w:szCs w:val="24"/>
        </w:rPr>
        <w:t xml:space="preserve"> however, the data doesn't demonstrate that project B is as efficient as project C</w:t>
      </w:r>
      <w:r>
        <w:rPr>
          <w:rFonts w:ascii="Arial" w:hAnsi="Arial" w:eastAsia="Arial"/>
          <w:b w:val="0"/>
          <w:bCs w:val="0"/>
          <w:sz w:val="24"/>
          <w:szCs w:val="24"/>
        </w:rPr>
        <w:t>,</w:t>
      </w:r>
      <w:r>
        <w:rPr>
          <w:rFonts w:hint="eastAsia" w:ascii="Arial" w:hAnsi="Arial" w:eastAsia="Arial"/>
          <w:b w:val="0"/>
          <w:bCs w:val="0"/>
          <w:sz w:val="24"/>
          <w:szCs w:val="24"/>
        </w:rPr>
        <w:t xml:space="preserve"> as although it may be a cheaper project, there is not the same return for the shareholders' limited economic investment (Sandberg, Alnoor and Tiberius, 2023). The strategy is designed to enable the company </w:t>
      </w:r>
      <w:r>
        <w:rPr>
          <w:rFonts w:ascii="Arial" w:hAnsi="Arial" w:eastAsia="Arial"/>
          <w:b w:val="0"/>
          <w:bCs w:val="0"/>
          <w:sz w:val="24"/>
          <w:szCs w:val="24"/>
        </w:rPr>
        <w:t xml:space="preserve">to </w:t>
      </w:r>
      <w:r>
        <w:rPr>
          <w:rFonts w:hint="eastAsia" w:ascii="Arial" w:hAnsi="Arial" w:eastAsia="Arial"/>
          <w:b w:val="0"/>
          <w:bCs w:val="0"/>
          <w:sz w:val="24"/>
          <w:szCs w:val="24"/>
        </w:rPr>
        <w:t xml:space="preserve">select projects for funding and interest that </w:t>
      </w:r>
      <w:r>
        <w:rPr>
          <w:rFonts w:ascii="Arial" w:hAnsi="Arial" w:eastAsia="Arial"/>
          <w:b w:val="0"/>
          <w:bCs w:val="0"/>
          <w:sz w:val="24"/>
          <w:szCs w:val="24"/>
        </w:rPr>
        <w:t>maximise</w:t>
      </w:r>
      <w:r>
        <w:rPr>
          <w:rFonts w:hint="eastAsia" w:ascii="Arial" w:hAnsi="Arial" w:eastAsia="Arial"/>
          <w:b w:val="0"/>
          <w:bCs w:val="0"/>
          <w:sz w:val="24"/>
          <w:szCs w:val="24"/>
        </w:rPr>
        <w:t xml:space="preserve"> the return on capital invested.5. Reflect on AI usage with a critical perspective.</w:t>
      </w:r>
    </w:p>
    <w:p w14:paraId="346FDAFC">
      <w:pPr>
        <w:pStyle w:val="5"/>
        <w:numPr>
          <w:ilvl w:val="1"/>
          <w:numId w:val="1"/>
        </w:numPr>
        <w:spacing w:line="360" w:lineRule="auto"/>
        <w:rPr>
          <w:rFonts w:ascii="Arial" w:hAnsi="Arial" w:eastAsia="Arial"/>
          <w:sz w:val="24"/>
          <w:szCs w:val="24"/>
        </w:rPr>
      </w:pPr>
      <w:r>
        <w:rPr>
          <w:rFonts w:hint="eastAsia" w:ascii="Arial" w:hAnsi="Arial" w:eastAsia="Arial"/>
          <w:sz w:val="24"/>
          <w:szCs w:val="24"/>
        </w:rPr>
        <w:t>a. Tool Disclosure</w:t>
      </w:r>
    </w:p>
    <w:p w14:paraId="7E73F9F3">
      <w:pPr>
        <w:pStyle w:val="5"/>
        <w:numPr>
          <w:ilvl w:val="1"/>
          <w:numId w:val="1"/>
        </w:numPr>
        <w:spacing w:line="360" w:lineRule="auto"/>
        <w:rPr>
          <w:rFonts w:ascii="Arial" w:hAnsi="Arial" w:eastAsia="Arial"/>
          <w:sz w:val="24"/>
          <w:szCs w:val="24"/>
        </w:rPr>
      </w:pPr>
      <w:r>
        <w:rPr>
          <w:rFonts w:hint="eastAsia" w:ascii="Arial" w:hAnsi="Arial" w:eastAsia="Arial"/>
          <w:b w:val="0"/>
          <w:bCs w:val="0"/>
          <w:sz w:val="24"/>
          <w:szCs w:val="24"/>
        </w:rPr>
        <w:t xml:space="preserve">AI tools were used, most notably ChatGPT developed by OpenAI, to help calculate spreadsheet templates, create explanations of financial concepts, organise content, and to create initial drafts. All </w:t>
      </w:r>
      <w:r>
        <w:rPr>
          <w:rFonts w:ascii="Arial" w:hAnsi="Arial" w:eastAsia="Arial"/>
          <w:b w:val="0"/>
          <w:bCs w:val="0"/>
          <w:sz w:val="24"/>
          <w:szCs w:val="24"/>
        </w:rPr>
        <w:t>AI-generated</w:t>
      </w:r>
      <w:r>
        <w:rPr>
          <w:rFonts w:hint="eastAsia" w:ascii="Arial" w:hAnsi="Arial" w:eastAsia="Arial"/>
          <w:b w:val="0"/>
          <w:bCs w:val="0"/>
          <w:sz w:val="24"/>
          <w:szCs w:val="24"/>
        </w:rPr>
        <w:t xml:space="preserve"> content was critically assessed, checked and heavily edited (Bryant and Mukherjee, 2023).</w:t>
      </w:r>
    </w:p>
    <w:p w14:paraId="39245CE6">
      <w:pPr>
        <w:pStyle w:val="5"/>
        <w:numPr>
          <w:ilvl w:val="1"/>
          <w:numId w:val="1"/>
        </w:numPr>
        <w:spacing w:line="360" w:lineRule="auto"/>
        <w:rPr>
          <w:rFonts w:ascii="Arial" w:hAnsi="Arial" w:eastAsia="Arial"/>
          <w:sz w:val="24"/>
          <w:szCs w:val="24"/>
        </w:rPr>
      </w:pPr>
      <w:r>
        <w:rPr>
          <w:rFonts w:hint="eastAsia" w:ascii="Arial" w:hAnsi="Arial" w:eastAsia="Arial"/>
          <w:sz w:val="24"/>
          <w:szCs w:val="24"/>
        </w:rPr>
        <w:t>b. An evaluation of AI output is conducted to assess it critically.</w:t>
      </w:r>
    </w:p>
    <w:p w14:paraId="069FB0CF">
      <w:pPr>
        <w:pStyle w:val="5"/>
        <w:numPr>
          <w:ilvl w:val="1"/>
          <w:numId w:val="1"/>
        </w:numPr>
        <w:spacing w:line="360" w:lineRule="auto"/>
        <w:rPr>
          <w:rFonts w:ascii="Arial" w:hAnsi="Arial" w:eastAsia="Arial"/>
          <w:sz w:val="24"/>
          <w:szCs w:val="24"/>
        </w:rPr>
      </w:pPr>
      <w:r>
        <w:rPr>
          <w:rFonts w:hint="eastAsia" w:ascii="Arial" w:hAnsi="Arial" w:eastAsia="Arial"/>
          <w:b w:val="0"/>
          <w:bCs w:val="0"/>
          <w:sz w:val="24"/>
          <w:szCs w:val="24"/>
        </w:rPr>
        <w:t xml:space="preserve">AI sometimes provided inaccurate ratios or mixed up the formula, which needed to be corrected. Sometimes interpretations were shallow, with a lack of finesse </w:t>
      </w:r>
      <w:r>
        <w:rPr>
          <w:rFonts w:ascii="Arial" w:hAnsi="Arial" w:eastAsia="Arial"/>
          <w:b w:val="0"/>
          <w:bCs w:val="0"/>
          <w:sz w:val="24"/>
          <w:szCs w:val="24"/>
        </w:rPr>
        <w:t>in</w:t>
      </w:r>
      <w:r>
        <w:rPr>
          <w:rFonts w:hint="eastAsia" w:ascii="Arial" w:hAnsi="Arial" w:eastAsia="Arial"/>
          <w:b w:val="0"/>
          <w:bCs w:val="0"/>
          <w:sz w:val="24"/>
          <w:szCs w:val="24"/>
        </w:rPr>
        <w:t xml:space="preserve"> Whitbread's business model. A thorough hand check utilising an excel file became vital (Puchakayala, 2022). Official financial statements have been corroborated with all the numbers generated by AI.</w:t>
      </w:r>
    </w:p>
    <w:p w14:paraId="7ECBE306">
      <w:pPr>
        <w:pStyle w:val="5"/>
        <w:numPr>
          <w:ilvl w:val="1"/>
          <w:numId w:val="1"/>
        </w:numPr>
        <w:spacing w:line="360" w:lineRule="auto"/>
        <w:rPr>
          <w:rFonts w:ascii="Arial" w:hAnsi="Arial" w:eastAsia="Arial"/>
          <w:sz w:val="24"/>
          <w:szCs w:val="24"/>
        </w:rPr>
      </w:pPr>
      <w:r>
        <w:rPr>
          <w:rFonts w:hint="eastAsia" w:ascii="Arial" w:hAnsi="Arial" w:eastAsia="Arial"/>
          <w:sz w:val="24"/>
          <w:szCs w:val="24"/>
        </w:rPr>
        <w:t>c. Contribution Analysis</w:t>
      </w:r>
    </w:p>
    <w:p w14:paraId="1DD8BB36">
      <w:pPr>
        <w:pStyle w:val="5"/>
        <w:numPr>
          <w:ilvl w:val="1"/>
          <w:numId w:val="1"/>
        </w:numPr>
        <w:spacing w:line="360" w:lineRule="auto"/>
        <w:rPr>
          <w:rFonts w:ascii="Arial" w:hAnsi="Arial" w:eastAsia="Arial"/>
          <w:sz w:val="24"/>
          <w:szCs w:val="24"/>
        </w:rPr>
      </w:pPr>
      <w:r>
        <w:rPr>
          <w:rFonts w:hint="eastAsia" w:ascii="Arial" w:hAnsi="Arial" w:eastAsia="Arial"/>
          <w:b w:val="0"/>
          <w:bCs w:val="0"/>
          <w:sz w:val="24"/>
          <w:szCs w:val="24"/>
        </w:rPr>
        <w:t>Structures and calculation templates were created with the help of AI. The sourcing of Whitbread, the data collection and analysis of financial data, the trend analysis, the benchmarking and the strategic recommendations were done individually. Suggestions for strategy were made based on my own opinion, using financial information.</w:t>
      </w:r>
    </w:p>
    <w:p w14:paraId="089C55C0">
      <w:pPr>
        <w:pStyle w:val="5"/>
        <w:numPr>
          <w:ilvl w:val="1"/>
          <w:numId w:val="1"/>
        </w:numPr>
        <w:spacing w:line="360" w:lineRule="auto"/>
        <w:rPr>
          <w:rFonts w:ascii="Arial" w:hAnsi="Arial" w:eastAsia="Arial"/>
          <w:sz w:val="24"/>
          <w:szCs w:val="24"/>
        </w:rPr>
      </w:pPr>
      <w:r>
        <w:rPr>
          <w:rFonts w:hint="eastAsia" w:ascii="Arial" w:hAnsi="Arial" w:eastAsia="Arial"/>
          <w:sz w:val="24"/>
          <w:szCs w:val="24"/>
        </w:rPr>
        <w:t>d. Ethical &amp; Professional Reflection</w:t>
      </w:r>
    </w:p>
    <w:p w14:paraId="73C9154F">
      <w:pPr>
        <w:pStyle w:val="5"/>
        <w:numPr>
          <w:ilvl w:val="1"/>
          <w:numId w:val="1"/>
        </w:numPr>
        <w:spacing w:line="360" w:lineRule="auto"/>
        <w:rPr>
          <w:rFonts w:ascii="Arial" w:hAnsi="Arial" w:eastAsia="Arial"/>
          <w:sz w:val="24"/>
          <w:szCs w:val="24"/>
        </w:rPr>
      </w:pPr>
      <w:r>
        <w:rPr>
          <w:rFonts w:hint="eastAsia" w:ascii="Arial" w:hAnsi="Arial" w:eastAsia="Arial"/>
          <w:b w:val="0"/>
          <w:bCs w:val="0"/>
          <w:sz w:val="24"/>
          <w:szCs w:val="24"/>
        </w:rPr>
        <w:t xml:space="preserve">AI Transparency for Academic Integrity is essential. Protecting data privacy involves protecting any such information that does not get entered into public AI systems. Excessive use of AI technology could result in ineffective </w:t>
      </w:r>
      <w:r>
        <w:rPr>
          <w:rFonts w:ascii="Arial" w:hAnsi="Arial" w:eastAsia="Arial"/>
          <w:b w:val="0"/>
          <w:bCs w:val="0"/>
          <w:sz w:val="24"/>
          <w:szCs w:val="24"/>
        </w:rPr>
        <w:t>decision-making</w:t>
      </w:r>
      <w:r>
        <w:rPr>
          <w:rFonts w:hint="eastAsia" w:ascii="Arial" w:hAnsi="Arial" w:eastAsia="Arial"/>
          <w:b w:val="0"/>
          <w:bCs w:val="0"/>
          <w:sz w:val="24"/>
          <w:szCs w:val="24"/>
        </w:rPr>
        <w:t xml:space="preserve"> – a judgment call by the professionals is necessary (Oyasiji et al., 2023). You don't need to trust AI entirely—a tool is meant to accompany your own analysis and knowledge.</w:t>
      </w:r>
    </w:p>
    <w:p w14:paraId="16DDE6A1">
      <w:pPr>
        <w:pStyle w:val="5"/>
        <w:numPr>
          <w:ilvl w:val="1"/>
          <w:numId w:val="1"/>
        </w:numPr>
        <w:spacing w:line="360" w:lineRule="auto"/>
        <w:rPr>
          <w:rFonts w:ascii="Arial" w:hAnsi="Arial" w:eastAsia="Arial"/>
          <w:sz w:val="24"/>
          <w:szCs w:val="24"/>
        </w:rPr>
      </w:pPr>
      <w:r>
        <w:rPr>
          <w:rFonts w:hint="eastAsia" w:ascii="Arial" w:hAnsi="Arial" w:eastAsia="Arial"/>
          <w:sz w:val="24"/>
          <w:szCs w:val="24"/>
        </w:rPr>
        <w:t>Conclusion</w:t>
      </w:r>
    </w:p>
    <w:p w14:paraId="140704CC">
      <w:pPr>
        <w:pStyle w:val="5"/>
        <w:numPr>
          <w:ilvl w:val="1"/>
          <w:numId w:val="1"/>
        </w:numPr>
        <w:spacing w:line="360" w:lineRule="auto"/>
        <w:rPr>
          <w:rFonts w:ascii="Arial" w:hAnsi="Arial" w:eastAsia="Arial"/>
          <w:sz w:val="24"/>
          <w:szCs w:val="24"/>
        </w:rPr>
      </w:pPr>
      <w:r>
        <w:rPr>
          <w:rFonts w:hint="eastAsia" w:ascii="Arial" w:hAnsi="Arial" w:eastAsia="Arial"/>
          <w:b w:val="0"/>
          <w:bCs w:val="0"/>
          <w:sz w:val="24"/>
          <w:szCs w:val="24"/>
        </w:rPr>
        <w:t>The Whitbread PLC 2021 analysis extended to 2025 shows a post-COVID-19 world that is a strong and resilient company. Financial indicators such as revenue growth and profitability, cash flows, as well as investment returns etc. have picked up quickly. The company's leverage, however, has risen significantly, thereby raising the financial risks. Its liquidity is relatively low and inflation pressures and economic risks are high.</w:t>
      </w:r>
    </w:p>
    <w:p w14:paraId="687D06F7">
      <w:pPr>
        <w:pStyle w:val="5"/>
        <w:numPr>
          <w:ilvl w:val="1"/>
          <w:numId w:val="1"/>
        </w:numPr>
        <w:spacing w:line="360" w:lineRule="auto"/>
        <w:rPr>
          <w:rFonts w:ascii="Arial" w:hAnsi="Arial" w:eastAsia="Arial"/>
          <w:sz w:val="24"/>
          <w:szCs w:val="24"/>
        </w:rPr>
      </w:pPr>
      <w:r>
        <w:rPr>
          <w:rFonts w:hint="eastAsia" w:ascii="Arial" w:hAnsi="Arial" w:eastAsia="Arial"/>
          <w:b w:val="0"/>
          <w:bCs w:val="0"/>
          <w:sz w:val="24"/>
          <w:szCs w:val="24"/>
        </w:rPr>
        <w:t>Whitbread needs to take the following strategic actions to overcome these challenges: more expansion through the AGP in the UK, further consolidation by organic growth and acquisition in Germany, continue to invest in their teams and technology, improve their force for good program and have a strong balance sheet. From the investment appraisal which gave the best single investment as Project C and the best combination of investments in two projects as £100 million as Project B/C, it appears that Project C is the best option to choose. Overall coming into Whitbread, it is a strong and resilient business, with a focus and quite substantial growth opportunities. Control of the use of higher leverage and economic volatility should help Whitbread to provide long-term value to shareholders.</w:t>
      </w:r>
    </w:p>
    <w:p w14:paraId="6A51C70D">
      <w:pPr>
        <w:pStyle w:val="5"/>
        <w:numPr>
          <w:ilvl w:val="1"/>
          <w:numId w:val="1"/>
        </w:numPr>
        <w:spacing w:line="360" w:lineRule="auto"/>
        <w:rPr>
          <w:rFonts w:ascii="Arial" w:hAnsi="Arial" w:eastAsia="Arial"/>
          <w:sz w:val="24"/>
          <w:szCs w:val="24"/>
        </w:rPr>
      </w:pPr>
      <w:r>
        <w:rPr>
          <w:rFonts w:ascii="Arial" w:hAnsi="Arial" w:eastAsia="Arial"/>
          <w:sz w:val="24"/>
          <w:szCs w:val="24"/>
        </w:rPr>
        <w:t>References</w:t>
      </w:r>
    </w:p>
    <w:p w14:paraId="632C8F4C">
      <w:pPr>
        <w:pStyle w:val="4"/>
        <w:spacing w:line="360" w:lineRule="auto"/>
      </w:pPr>
      <w:r>
        <w:rPr>
          <w:rFonts w:ascii="Arial" w:hAnsi="Arial" w:eastAsia="Arial"/>
          <w:sz w:val="24"/>
          <w:szCs w:val="24"/>
        </w:rPr>
        <w:t xml:space="preserve">Abdallah, A.A., Alshehadeh, A.R. and El Qirem, I.A., 2025. </w:t>
      </w:r>
      <w:r>
        <w:rPr>
          <w:rStyle w:val="10"/>
          <w:rFonts w:ascii="Arial" w:hAnsi="Arial" w:eastAsia="Arial"/>
          <w:sz w:val="24"/>
          <w:szCs w:val="24"/>
        </w:rPr>
        <w:t>The impact of operating cash flows on IT investment and profitability in commercial banks</w:t>
      </w:r>
      <w:r>
        <w:rPr>
          <w:rFonts w:ascii="Arial" w:hAnsi="Arial" w:eastAsia="Arial"/>
          <w:sz w:val="24"/>
          <w:szCs w:val="24"/>
        </w:rPr>
        <w:t xml:space="preserve">. </w:t>
      </w:r>
      <w:r>
        <w:rPr>
          <w:rStyle w:val="15"/>
          <w:rFonts w:ascii="Arial" w:hAnsi="Arial" w:eastAsia="Arial"/>
          <w:sz w:val="24"/>
          <w:szCs w:val="24"/>
        </w:rPr>
        <w:t>Qual Access Success</w:t>
      </w:r>
      <w:r>
        <w:rPr>
          <w:rFonts w:ascii="Arial" w:hAnsi="Arial" w:eastAsia="Arial"/>
          <w:sz w:val="24"/>
          <w:szCs w:val="24"/>
        </w:rPr>
        <w:t>, 26, pp.345–354.</w:t>
      </w:r>
      <w:r>
        <w:rPr>
          <w:rFonts w:ascii="Arial" w:hAnsi="Arial" w:eastAsia="Arial"/>
          <w:sz w:val="24"/>
          <w:szCs w:val="24"/>
        </w:rPr>
        <w:br w:type="textWrapping"/>
      </w:r>
      <w:r>
        <w:rPr>
          <w:rStyle w:val="15"/>
          <w:rFonts w:ascii="Arial" w:hAnsi="Arial" w:eastAsia="Arial"/>
          <w:sz w:val="24"/>
          <w:szCs w:val="24"/>
        </w:rPr>
        <w:t>Link:</w:t>
      </w:r>
      <w:r>
        <w:rPr>
          <w:rFonts w:ascii="Arial" w:hAnsi="Arial" w:eastAsia="Arial"/>
          <w:sz w:val="24"/>
          <w:szCs w:val="24"/>
        </w:rPr>
        <w:t xml:space="preserve"> </w:t>
      </w:r>
      <w:r>
        <w:fldChar w:fldCharType="begin"/>
      </w:r>
      <w:r>
        <w:instrText xml:space="preserve"> HYPERLINK "https://www.srac.ro/calitatea/en/" \h </w:instrText>
      </w:r>
      <w:r>
        <w:fldChar w:fldCharType="separate"/>
      </w:r>
      <w:r>
        <w:rPr>
          <w:rStyle w:val="13"/>
          <w:rFonts w:ascii="Arial" w:hAnsi="Arial" w:eastAsia="Arial"/>
          <w:sz w:val="24"/>
          <w:szCs w:val="24"/>
        </w:rPr>
        <w:t>https://www.srac.ro/calitatea/en/</w:t>
      </w:r>
      <w:r>
        <w:rPr>
          <w:rStyle w:val="13"/>
          <w:rFonts w:ascii="Arial" w:hAnsi="Arial" w:eastAsia="Arial"/>
          <w:sz w:val="24"/>
          <w:szCs w:val="24"/>
        </w:rPr>
        <w:fldChar w:fldCharType="end"/>
      </w:r>
    </w:p>
    <w:p w14:paraId="60E6916E">
      <w:pPr>
        <w:pStyle w:val="4"/>
        <w:spacing w:line="360" w:lineRule="auto"/>
      </w:pPr>
      <w:r>
        <w:rPr>
          <w:rFonts w:ascii="Arial" w:hAnsi="Arial" w:eastAsia="Arial"/>
          <w:sz w:val="24"/>
          <w:szCs w:val="24"/>
        </w:rPr>
        <w:t xml:space="preserve">Arjunan, K., 2022. </w:t>
      </w:r>
      <w:r>
        <w:rPr>
          <w:rStyle w:val="10"/>
          <w:rFonts w:ascii="Arial" w:hAnsi="Arial" w:eastAsia="Arial"/>
          <w:sz w:val="24"/>
          <w:szCs w:val="24"/>
        </w:rPr>
        <w:t>A new method to estimate NPV and IRR from the capital amortization schedule and the advantages of the new method</w:t>
      </w:r>
      <w:r>
        <w:rPr>
          <w:rFonts w:ascii="Arial" w:hAnsi="Arial" w:eastAsia="Arial"/>
          <w:sz w:val="24"/>
          <w:szCs w:val="24"/>
        </w:rPr>
        <w:t xml:space="preserve">. </w:t>
      </w:r>
      <w:r>
        <w:rPr>
          <w:rStyle w:val="15"/>
          <w:rFonts w:ascii="Arial" w:hAnsi="Arial" w:eastAsia="Arial"/>
          <w:sz w:val="24"/>
          <w:szCs w:val="24"/>
        </w:rPr>
        <w:t>Australasian Accounting, Business and Finance Journal</w:t>
      </w:r>
      <w:r>
        <w:rPr>
          <w:rFonts w:ascii="Arial" w:hAnsi="Arial" w:eastAsia="Arial"/>
          <w:sz w:val="24"/>
          <w:szCs w:val="24"/>
        </w:rPr>
        <w:t>, 16(6).</w:t>
      </w:r>
      <w:r>
        <w:rPr>
          <w:rFonts w:ascii="Arial" w:hAnsi="Arial" w:eastAsia="Arial"/>
          <w:sz w:val="24"/>
          <w:szCs w:val="24"/>
        </w:rPr>
        <w:br w:type="textWrapping"/>
      </w:r>
      <w:r>
        <w:rPr>
          <w:rStyle w:val="15"/>
          <w:rFonts w:ascii="Arial" w:hAnsi="Arial" w:eastAsia="Arial"/>
          <w:sz w:val="24"/>
          <w:szCs w:val="24"/>
        </w:rPr>
        <w:t>Link:</w:t>
      </w:r>
      <w:r>
        <w:rPr>
          <w:rFonts w:ascii="Arial" w:hAnsi="Arial" w:eastAsia="Arial"/>
          <w:sz w:val="24"/>
          <w:szCs w:val="24"/>
        </w:rPr>
        <w:t xml:space="preserve"> </w:t>
      </w:r>
      <w:r>
        <w:fldChar w:fldCharType="begin"/>
      </w:r>
      <w:r>
        <w:instrText xml:space="preserve"> HYPERLINK "https://ro.uow.edu.au/aabfj/" \h </w:instrText>
      </w:r>
      <w:r>
        <w:fldChar w:fldCharType="separate"/>
      </w:r>
      <w:r>
        <w:rPr>
          <w:rStyle w:val="13"/>
          <w:rFonts w:ascii="Arial" w:hAnsi="Arial" w:eastAsia="Arial"/>
          <w:sz w:val="24"/>
          <w:szCs w:val="24"/>
        </w:rPr>
        <w:t>https://ro.uow.edu.au/aabfj/</w:t>
      </w:r>
      <w:r>
        <w:rPr>
          <w:rStyle w:val="13"/>
          <w:rFonts w:ascii="Arial" w:hAnsi="Arial" w:eastAsia="Arial"/>
          <w:sz w:val="24"/>
          <w:szCs w:val="24"/>
        </w:rPr>
        <w:fldChar w:fldCharType="end"/>
      </w:r>
    </w:p>
    <w:p w14:paraId="4A25EFF2">
      <w:pPr>
        <w:pStyle w:val="4"/>
        <w:spacing w:line="360" w:lineRule="auto"/>
      </w:pPr>
      <w:r>
        <w:rPr>
          <w:rFonts w:ascii="Arial" w:hAnsi="Arial" w:eastAsia="Arial"/>
          <w:sz w:val="24"/>
          <w:szCs w:val="24"/>
        </w:rPr>
        <w:t xml:space="preserve">Binsaddig, R., Ali, A., Al-Alkawi, T. and Ali, B.J., 2023. </w:t>
      </w:r>
      <w:r>
        <w:rPr>
          <w:rStyle w:val="10"/>
          <w:rFonts w:ascii="Arial" w:hAnsi="Arial" w:eastAsia="Arial"/>
          <w:sz w:val="24"/>
          <w:szCs w:val="24"/>
        </w:rPr>
        <w:t>Inventory turnover, accounts receivable turnover, and manufacturing profitability: An empirical study</w:t>
      </w:r>
      <w:r>
        <w:rPr>
          <w:rFonts w:ascii="Arial" w:hAnsi="Arial" w:eastAsia="Arial"/>
          <w:sz w:val="24"/>
          <w:szCs w:val="24"/>
        </w:rPr>
        <w:t xml:space="preserve">. </w:t>
      </w:r>
      <w:r>
        <w:rPr>
          <w:rStyle w:val="15"/>
          <w:rFonts w:ascii="Arial" w:hAnsi="Arial" w:eastAsia="Arial"/>
          <w:sz w:val="24"/>
          <w:szCs w:val="24"/>
        </w:rPr>
        <w:t>International Journal of Economics and Finance Studies</w:t>
      </w:r>
      <w:r>
        <w:rPr>
          <w:rFonts w:ascii="Arial" w:hAnsi="Arial" w:eastAsia="Arial"/>
          <w:sz w:val="24"/>
          <w:szCs w:val="24"/>
        </w:rPr>
        <w:t>, 15(1), pp.1–16.</w:t>
      </w:r>
      <w:r>
        <w:rPr>
          <w:rFonts w:ascii="Arial" w:hAnsi="Arial" w:eastAsia="Arial"/>
          <w:sz w:val="24"/>
          <w:szCs w:val="24"/>
        </w:rPr>
        <w:br w:type="textWrapping"/>
      </w:r>
      <w:r>
        <w:rPr>
          <w:rStyle w:val="15"/>
          <w:rFonts w:ascii="Arial" w:hAnsi="Arial" w:eastAsia="Arial"/>
          <w:sz w:val="24"/>
          <w:szCs w:val="24"/>
        </w:rPr>
        <w:t>Link:</w:t>
      </w:r>
      <w:r>
        <w:rPr>
          <w:rFonts w:ascii="Arial" w:hAnsi="Arial" w:eastAsia="Arial"/>
          <w:sz w:val="24"/>
          <w:szCs w:val="24"/>
        </w:rPr>
        <w:t xml:space="preserve"> </w:t>
      </w:r>
      <w:r>
        <w:fldChar w:fldCharType="begin"/>
      </w:r>
      <w:r>
        <w:instrText xml:space="preserve"> HYPERLINK "https://sobiad.org/eJOURNALS/journal_IJEFS/" \h </w:instrText>
      </w:r>
      <w:r>
        <w:fldChar w:fldCharType="separate"/>
      </w:r>
      <w:r>
        <w:rPr>
          <w:rStyle w:val="13"/>
          <w:rFonts w:ascii="Arial" w:hAnsi="Arial" w:eastAsia="Arial"/>
          <w:sz w:val="24"/>
          <w:szCs w:val="24"/>
        </w:rPr>
        <w:t>https://sobiad.org/eJOURNALS/journal_IJEFS/</w:t>
      </w:r>
      <w:r>
        <w:rPr>
          <w:rStyle w:val="13"/>
          <w:rFonts w:ascii="Arial" w:hAnsi="Arial" w:eastAsia="Arial"/>
          <w:sz w:val="24"/>
          <w:szCs w:val="24"/>
        </w:rPr>
        <w:fldChar w:fldCharType="end"/>
      </w:r>
    </w:p>
    <w:p w14:paraId="3B200D6F">
      <w:pPr>
        <w:pStyle w:val="4"/>
        <w:spacing w:line="360" w:lineRule="auto"/>
      </w:pPr>
      <w:r>
        <w:rPr>
          <w:rFonts w:ascii="Arial" w:hAnsi="Arial" w:eastAsia="Arial"/>
          <w:sz w:val="24"/>
          <w:szCs w:val="24"/>
        </w:rPr>
        <w:t xml:space="preserve">Bonaimé, A. and Kahle, K., 2024. </w:t>
      </w:r>
      <w:r>
        <w:rPr>
          <w:rStyle w:val="10"/>
          <w:rFonts w:ascii="Arial" w:hAnsi="Arial" w:eastAsia="Arial"/>
          <w:sz w:val="24"/>
          <w:szCs w:val="24"/>
        </w:rPr>
        <w:t>Share Repurchases</w:t>
      </w:r>
      <w:r>
        <w:rPr>
          <w:rFonts w:ascii="Arial" w:hAnsi="Arial" w:eastAsia="Arial"/>
          <w:sz w:val="24"/>
          <w:szCs w:val="24"/>
        </w:rPr>
        <w:t xml:space="preserve">. In: </w:t>
      </w:r>
      <w:r>
        <w:rPr>
          <w:rStyle w:val="15"/>
          <w:rFonts w:ascii="Arial" w:hAnsi="Arial" w:eastAsia="Arial"/>
          <w:sz w:val="24"/>
          <w:szCs w:val="24"/>
        </w:rPr>
        <w:t>Handbook of Corporate Finance</w:t>
      </w:r>
      <w:r>
        <w:rPr>
          <w:rFonts w:ascii="Arial" w:hAnsi="Arial" w:eastAsia="Arial"/>
          <w:sz w:val="24"/>
          <w:szCs w:val="24"/>
        </w:rPr>
        <w:t>, pp.176–222.</w:t>
      </w:r>
      <w:r>
        <w:rPr>
          <w:rFonts w:ascii="Arial" w:hAnsi="Arial" w:eastAsia="Arial"/>
          <w:sz w:val="24"/>
          <w:szCs w:val="24"/>
        </w:rPr>
        <w:br w:type="textWrapping"/>
      </w:r>
      <w:r>
        <w:rPr>
          <w:rStyle w:val="15"/>
          <w:rFonts w:ascii="Arial" w:hAnsi="Arial" w:eastAsia="Arial"/>
          <w:sz w:val="24"/>
          <w:szCs w:val="24"/>
        </w:rPr>
        <w:t>Link:</w:t>
      </w:r>
      <w:r>
        <w:rPr>
          <w:rFonts w:ascii="Arial" w:hAnsi="Arial" w:eastAsia="Arial"/>
          <w:sz w:val="24"/>
          <w:szCs w:val="24"/>
        </w:rPr>
        <w:t xml:space="preserve"> </w:t>
      </w:r>
      <w:r>
        <w:fldChar w:fldCharType="begin"/>
      </w:r>
      <w:r>
        <w:instrText xml:space="preserve"> HYPERLINK "https://www.sciencedirect.com/referencework/9780323856101/handbook-of-corporate-finance" \h </w:instrText>
      </w:r>
      <w:r>
        <w:fldChar w:fldCharType="separate"/>
      </w:r>
      <w:r>
        <w:rPr>
          <w:rStyle w:val="13"/>
          <w:rFonts w:ascii="Arial" w:hAnsi="Arial" w:eastAsia="Arial"/>
          <w:sz w:val="24"/>
          <w:szCs w:val="24"/>
        </w:rPr>
        <w:t>https://www.sciencedirect.com/referencework/9780323856101/handbook-of-corporate-finance</w:t>
      </w:r>
      <w:r>
        <w:rPr>
          <w:rStyle w:val="13"/>
          <w:rFonts w:ascii="Arial" w:hAnsi="Arial" w:eastAsia="Arial"/>
          <w:sz w:val="24"/>
          <w:szCs w:val="24"/>
        </w:rPr>
        <w:fldChar w:fldCharType="end"/>
      </w:r>
    </w:p>
    <w:p w14:paraId="3DA15CC8">
      <w:pPr>
        <w:pStyle w:val="4"/>
        <w:spacing w:line="360" w:lineRule="auto"/>
      </w:pPr>
      <w:r>
        <w:rPr>
          <w:rFonts w:ascii="Arial" w:hAnsi="Arial" w:eastAsia="Arial"/>
          <w:sz w:val="24"/>
          <w:szCs w:val="24"/>
        </w:rPr>
        <w:t xml:space="preserve">Bryant, J. and Mukherjee, A., 2023. </w:t>
      </w:r>
      <w:r>
        <w:rPr>
          <w:rStyle w:val="10"/>
          <w:rFonts w:ascii="Arial" w:hAnsi="Arial" w:eastAsia="Arial"/>
          <w:sz w:val="24"/>
          <w:szCs w:val="24"/>
        </w:rPr>
        <w:t>The Future of Finance with ChatGPT and Power BI</w:t>
      </w:r>
      <w:r>
        <w:rPr>
          <w:rFonts w:ascii="Arial" w:hAnsi="Arial" w:eastAsia="Arial"/>
          <w:sz w:val="24"/>
          <w:szCs w:val="24"/>
        </w:rPr>
        <w:t xml:space="preserve">. </w:t>
      </w:r>
      <w:r>
        <w:rPr>
          <w:rStyle w:val="15"/>
          <w:rFonts w:ascii="Arial" w:hAnsi="Arial" w:eastAsia="Arial"/>
          <w:sz w:val="24"/>
          <w:szCs w:val="24"/>
        </w:rPr>
        <w:t>Packt Publishing</w:t>
      </w:r>
      <w:r>
        <w:rPr>
          <w:rFonts w:ascii="Arial" w:hAnsi="Arial" w:eastAsia="Arial"/>
          <w:sz w:val="24"/>
          <w:szCs w:val="24"/>
        </w:rPr>
        <w:t>.</w:t>
      </w:r>
      <w:r>
        <w:rPr>
          <w:rFonts w:ascii="Arial" w:hAnsi="Arial" w:eastAsia="Arial"/>
          <w:sz w:val="24"/>
          <w:szCs w:val="24"/>
        </w:rPr>
        <w:br w:type="textWrapping"/>
      </w:r>
      <w:r>
        <w:rPr>
          <w:rStyle w:val="15"/>
          <w:rFonts w:ascii="Arial" w:hAnsi="Arial" w:eastAsia="Arial"/>
          <w:sz w:val="24"/>
          <w:szCs w:val="24"/>
        </w:rPr>
        <w:t>Link:</w:t>
      </w:r>
      <w:r>
        <w:rPr>
          <w:rFonts w:ascii="Arial" w:hAnsi="Arial" w:eastAsia="Arial"/>
          <w:sz w:val="24"/>
          <w:szCs w:val="24"/>
        </w:rPr>
        <w:t xml:space="preserve"> </w:t>
      </w:r>
      <w:r>
        <w:fldChar w:fldCharType="begin"/>
      </w:r>
      <w:r>
        <w:instrText xml:space="preserve"> HYPERLINK "https://www.packtpub.com/" \h </w:instrText>
      </w:r>
      <w:r>
        <w:fldChar w:fldCharType="separate"/>
      </w:r>
      <w:r>
        <w:rPr>
          <w:rStyle w:val="13"/>
          <w:rFonts w:ascii="Arial" w:hAnsi="Arial" w:eastAsia="Arial"/>
          <w:sz w:val="24"/>
          <w:szCs w:val="24"/>
        </w:rPr>
        <w:t>https://www.packtpub.com/</w:t>
      </w:r>
      <w:r>
        <w:rPr>
          <w:rStyle w:val="13"/>
          <w:rFonts w:ascii="Arial" w:hAnsi="Arial" w:eastAsia="Arial"/>
          <w:sz w:val="24"/>
          <w:szCs w:val="24"/>
        </w:rPr>
        <w:fldChar w:fldCharType="end"/>
      </w:r>
    </w:p>
    <w:p w14:paraId="7219E6C7">
      <w:pPr>
        <w:pStyle w:val="4"/>
        <w:spacing w:line="360" w:lineRule="auto"/>
      </w:pPr>
      <w:r>
        <w:rPr>
          <w:rFonts w:ascii="Arial" w:hAnsi="Arial" w:eastAsia="Arial"/>
          <w:sz w:val="24"/>
          <w:szCs w:val="24"/>
        </w:rPr>
        <w:t xml:space="preserve">Choudhary, M.A. and Limodio, N., 2022. </w:t>
      </w:r>
      <w:r>
        <w:rPr>
          <w:rStyle w:val="10"/>
          <w:rFonts w:ascii="Arial" w:hAnsi="Arial" w:eastAsia="Arial"/>
          <w:sz w:val="24"/>
          <w:szCs w:val="24"/>
        </w:rPr>
        <w:t>Liquidity risk and long-term finance: Evidence from a natural experiment</w:t>
      </w:r>
      <w:r>
        <w:rPr>
          <w:rFonts w:ascii="Arial" w:hAnsi="Arial" w:eastAsia="Arial"/>
          <w:sz w:val="24"/>
          <w:szCs w:val="24"/>
        </w:rPr>
        <w:t xml:space="preserve">. </w:t>
      </w:r>
      <w:r>
        <w:rPr>
          <w:rStyle w:val="15"/>
          <w:rFonts w:ascii="Arial" w:hAnsi="Arial" w:eastAsia="Arial"/>
          <w:sz w:val="24"/>
          <w:szCs w:val="24"/>
        </w:rPr>
        <w:t>The Review of Economic Studies</w:t>
      </w:r>
      <w:r>
        <w:rPr>
          <w:rFonts w:ascii="Arial" w:hAnsi="Arial" w:eastAsia="Arial"/>
          <w:sz w:val="24"/>
          <w:szCs w:val="24"/>
        </w:rPr>
        <w:t>, 89(3), pp.1278–1313.</w:t>
      </w:r>
      <w:r>
        <w:rPr>
          <w:rFonts w:ascii="Arial" w:hAnsi="Arial" w:eastAsia="Arial"/>
          <w:sz w:val="24"/>
          <w:szCs w:val="24"/>
        </w:rPr>
        <w:br w:type="textWrapping"/>
      </w:r>
      <w:r>
        <w:rPr>
          <w:rStyle w:val="15"/>
          <w:rFonts w:ascii="Arial" w:hAnsi="Arial" w:eastAsia="Arial"/>
          <w:sz w:val="24"/>
          <w:szCs w:val="24"/>
        </w:rPr>
        <w:t>Link:</w:t>
      </w:r>
      <w:r>
        <w:rPr>
          <w:rFonts w:ascii="Arial" w:hAnsi="Arial" w:eastAsia="Arial"/>
          <w:sz w:val="24"/>
          <w:szCs w:val="24"/>
        </w:rPr>
        <w:t xml:space="preserve"> </w:t>
      </w:r>
      <w:r>
        <w:fldChar w:fldCharType="begin"/>
      </w:r>
      <w:r>
        <w:instrText xml:space="preserve"> HYPERLINK "https://academic.oup.com/restud" \h </w:instrText>
      </w:r>
      <w:r>
        <w:fldChar w:fldCharType="separate"/>
      </w:r>
      <w:r>
        <w:rPr>
          <w:rStyle w:val="13"/>
          <w:rFonts w:ascii="Arial" w:hAnsi="Arial" w:eastAsia="Arial"/>
          <w:sz w:val="24"/>
          <w:szCs w:val="24"/>
        </w:rPr>
        <w:t>https://academic.oup.com/restud</w:t>
      </w:r>
      <w:r>
        <w:rPr>
          <w:rStyle w:val="13"/>
          <w:rFonts w:ascii="Arial" w:hAnsi="Arial" w:eastAsia="Arial"/>
          <w:sz w:val="24"/>
          <w:szCs w:val="24"/>
        </w:rPr>
        <w:fldChar w:fldCharType="end"/>
      </w:r>
    </w:p>
    <w:p w14:paraId="3E91A26F">
      <w:pPr>
        <w:pStyle w:val="4"/>
        <w:spacing w:line="360" w:lineRule="auto"/>
      </w:pPr>
      <w:r>
        <w:rPr>
          <w:rFonts w:ascii="Arial" w:hAnsi="Arial" w:eastAsia="Arial"/>
          <w:sz w:val="24"/>
          <w:szCs w:val="24"/>
        </w:rPr>
        <w:t xml:space="preserve">Dabboussi, M., 2024. </w:t>
      </w:r>
      <w:r>
        <w:rPr>
          <w:rStyle w:val="10"/>
          <w:rFonts w:ascii="Arial" w:hAnsi="Arial" w:eastAsia="Arial"/>
          <w:sz w:val="24"/>
          <w:szCs w:val="24"/>
        </w:rPr>
        <w:t>Does debt structure explain the relationship between agency cost of free cash flow and dividend payment? Evidence from Saudi Arabia</w:t>
      </w:r>
      <w:r>
        <w:rPr>
          <w:rFonts w:ascii="Arial" w:hAnsi="Arial" w:eastAsia="Arial"/>
          <w:sz w:val="24"/>
          <w:szCs w:val="24"/>
        </w:rPr>
        <w:t xml:space="preserve">. </w:t>
      </w:r>
      <w:r>
        <w:rPr>
          <w:rStyle w:val="15"/>
          <w:rFonts w:ascii="Arial" w:hAnsi="Arial" w:eastAsia="Arial"/>
          <w:sz w:val="24"/>
          <w:szCs w:val="24"/>
        </w:rPr>
        <w:t>Journal of Risk and Financial Management</w:t>
      </w:r>
      <w:r>
        <w:rPr>
          <w:rFonts w:ascii="Arial" w:hAnsi="Arial" w:eastAsia="Arial"/>
          <w:sz w:val="24"/>
          <w:szCs w:val="24"/>
        </w:rPr>
        <w:t>, 17(6), p.223.</w:t>
      </w:r>
      <w:r>
        <w:rPr>
          <w:rFonts w:ascii="Arial" w:hAnsi="Arial" w:eastAsia="Arial"/>
          <w:sz w:val="24"/>
          <w:szCs w:val="24"/>
        </w:rPr>
        <w:br w:type="textWrapping"/>
      </w:r>
      <w:r>
        <w:rPr>
          <w:rStyle w:val="15"/>
          <w:rFonts w:ascii="Arial" w:hAnsi="Arial" w:eastAsia="Arial"/>
          <w:sz w:val="24"/>
          <w:szCs w:val="24"/>
        </w:rPr>
        <w:t>Link:</w:t>
      </w:r>
      <w:r>
        <w:rPr>
          <w:rFonts w:ascii="Arial" w:hAnsi="Arial" w:eastAsia="Arial"/>
          <w:sz w:val="24"/>
          <w:szCs w:val="24"/>
        </w:rPr>
        <w:t xml:space="preserve"> </w:t>
      </w:r>
      <w:r>
        <w:fldChar w:fldCharType="begin"/>
      </w:r>
      <w:r>
        <w:instrText xml:space="preserve"> HYPERLINK "https://www.mdpi.com/journal/jrfm" \h </w:instrText>
      </w:r>
      <w:r>
        <w:fldChar w:fldCharType="separate"/>
      </w:r>
      <w:r>
        <w:rPr>
          <w:rStyle w:val="13"/>
          <w:rFonts w:ascii="Arial" w:hAnsi="Arial" w:eastAsia="Arial"/>
          <w:sz w:val="24"/>
          <w:szCs w:val="24"/>
        </w:rPr>
        <w:t>https://www.mdpi.com/journal/jrfm</w:t>
      </w:r>
      <w:r>
        <w:rPr>
          <w:rStyle w:val="13"/>
          <w:rFonts w:ascii="Arial" w:hAnsi="Arial" w:eastAsia="Arial"/>
          <w:sz w:val="24"/>
          <w:szCs w:val="24"/>
        </w:rPr>
        <w:fldChar w:fldCharType="end"/>
      </w:r>
    </w:p>
    <w:p w14:paraId="5029C222">
      <w:pPr>
        <w:pStyle w:val="4"/>
        <w:spacing w:line="360" w:lineRule="auto"/>
      </w:pPr>
      <w:r>
        <w:rPr>
          <w:rFonts w:ascii="Arial" w:hAnsi="Arial" w:eastAsia="Arial"/>
          <w:sz w:val="24"/>
          <w:szCs w:val="24"/>
        </w:rPr>
        <w:t xml:space="preserve">Domina, M., 2024. </w:t>
      </w:r>
      <w:r>
        <w:rPr>
          <w:rStyle w:val="10"/>
          <w:rFonts w:ascii="Arial" w:hAnsi="Arial" w:eastAsia="Arial"/>
          <w:sz w:val="24"/>
          <w:szCs w:val="24"/>
        </w:rPr>
        <w:t>Corporate Social Responsibility in Times of Geopolitical Uncertainty: A Critical Analysis of the European Approach</w:t>
      </w:r>
      <w:r>
        <w:rPr>
          <w:rFonts w:ascii="Arial" w:hAnsi="Arial" w:eastAsia="Arial"/>
          <w:sz w:val="24"/>
          <w:szCs w:val="24"/>
        </w:rPr>
        <w:t xml:space="preserve">. </w:t>
      </w:r>
      <w:r>
        <w:rPr>
          <w:rStyle w:val="15"/>
          <w:rFonts w:ascii="Arial" w:hAnsi="Arial" w:eastAsia="Arial"/>
          <w:sz w:val="24"/>
          <w:szCs w:val="24"/>
        </w:rPr>
        <w:t>Ethics International Press</w:t>
      </w:r>
      <w:r>
        <w:rPr>
          <w:rFonts w:ascii="Arial" w:hAnsi="Arial" w:eastAsia="Arial"/>
          <w:sz w:val="24"/>
          <w:szCs w:val="24"/>
        </w:rPr>
        <w:t>.</w:t>
      </w:r>
      <w:r>
        <w:rPr>
          <w:rFonts w:ascii="Arial" w:hAnsi="Arial" w:eastAsia="Arial"/>
          <w:sz w:val="24"/>
          <w:szCs w:val="24"/>
        </w:rPr>
        <w:br w:type="textWrapping"/>
      </w:r>
      <w:r>
        <w:rPr>
          <w:rStyle w:val="15"/>
          <w:rFonts w:ascii="Arial" w:hAnsi="Arial" w:eastAsia="Arial"/>
          <w:sz w:val="24"/>
          <w:szCs w:val="24"/>
        </w:rPr>
        <w:t>Link:</w:t>
      </w:r>
      <w:r>
        <w:rPr>
          <w:rFonts w:ascii="Arial" w:hAnsi="Arial" w:eastAsia="Arial"/>
          <w:sz w:val="24"/>
          <w:szCs w:val="24"/>
        </w:rPr>
        <w:t xml:space="preserve"> </w:t>
      </w:r>
      <w:r>
        <w:fldChar w:fldCharType="begin"/>
      </w:r>
      <w:r>
        <w:instrText xml:space="preserve"> HYPERLINK "https://ethicspress.com/" \h </w:instrText>
      </w:r>
      <w:r>
        <w:fldChar w:fldCharType="separate"/>
      </w:r>
      <w:r>
        <w:rPr>
          <w:rStyle w:val="13"/>
          <w:rFonts w:ascii="Arial" w:hAnsi="Arial" w:eastAsia="Arial"/>
          <w:sz w:val="24"/>
          <w:szCs w:val="24"/>
        </w:rPr>
        <w:t>https://ethicspress.com/</w:t>
      </w:r>
      <w:r>
        <w:rPr>
          <w:rStyle w:val="13"/>
          <w:rFonts w:ascii="Arial" w:hAnsi="Arial" w:eastAsia="Arial"/>
          <w:sz w:val="24"/>
          <w:szCs w:val="24"/>
        </w:rPr>
        <w:fldChar w:fldCharType="end"/>
      </w:r>
    </w:p>
    <w:p w14:paraId="396FDCB4">
      <w:pPr>
        <w:pStyle w:val="4"/>
        <w:spacing w:line="360" w:lineRule="auto"/>
      </w:pPr>
      <w:r>
        <w:rPr>
          <w:rFonts w:ascii="Arial" w:hAnsi="Arial" w:eastAsia="Arial"/>
          <w:sz w:val="24"/>
          <w:szCs w:val="24"/>
        </w:rPr>
        <w:t xml:space="preserve">Hempel, S., Li, Y. and Tibay, S., 2024. </w:t>
      </w:r>
      <w:r>
        <w:rPr>
          <w:rStyle w:val="10"/>
          <w:rFonts w:ascii="Arial" w:hAnsi="Arial" w:eastAsia="Arial"/>
          <w:sz w:val="24"/>
          <w:szCs w:val="24"/>
        </w:rPr>
        <w:t>Firms' financing choice between short-term and long-term debts: Are they substitutes?</w:t>
      </w:r>
      <w:r>
        <w:rPr>
          <w:rFonts w:ascii="Arial" w:hAnsi="Arial" w:eastAsia="Arial"/>
          <w:sz w:val="24"/>
          <w:szCs w:val="24"/>
        </w:rPr>
        <w:br w:type="textWrapping"/>
      </w:r>
      <w:r>
        <w:rPr>
          <w:rStyle w:val="15"/>
          <w:rFonts w:ascii="Arial" w:hAnsi="Arial" w:eastAsia="Arial"/>
          <w:sz w:val="24"/>
          <w:szCs w:val="24"/>
        </w:rPr>
        <w:t>Link:</w:t>
      </w:r>
      <w:r>
        <w:rPr>
          <w:rFonts w:ascii="Arial" w:hAnsi="Arial" w:eastAsia="Arial"/>
          <w:sz w:val="24"/>
          <w:szCs w:val="24"/>
        </w:rPr>
        <w:t xml:space="preserve"> </w:t>
      </w:r>
      <w:r>
        <w:fldChar w:fldCharType="begin"/>
      </w:r>
      <w:r>
        <w:instrText xml:space="preserve"> HYPERLINK "https://papers.ssrn.com/" \h </w:instrText>
      </w:r>
      <w:r>
        <w:fldChar w:fldCharType="separate"/>
      </w:r>
      <w:r>
        <w:rPr>
          <w:rStyle w:val="13"/>
          <w:rFonts w:ascii="Arial" w:hAnsi="Arial" w:eastAsia="Arial"/>
          <w:sz w:val="24"/>
          <w:szCs w:val="24"/>
        </w:rPr>
        <w:t>https://papers.ssrn.com/</w:t>
      </w:r>
      <w:r>
        <w:rPr>
          <w:rStyle w:val="13"/>
          <w:rFonts w:ascii="Arial" w:hAnsi="Arial" w:eastAsia="Arial"/>
          <w:sz w:val="24"/>
          <w:szCs w:val="24"/>
        </w:rPr>
        <w:fldChar w:fldCharType="end"/>
      </w:r>
    </w:p>
    <w:p w14:paraId="54D3DC6E">
      <w:pPr>
        <w:pStyle w:val="4"/>
        <w:spacing w:line="360" w:lineRule="auto"/>
      </w:pPr>
      <w:r>
        <w:rPr>
          <w:rFonts w:ascii="Arial" w:hAnsi="Arial" w:eastAsia="Arial"/>
          <w:sz w:val="24"/>
          <w:szCs w:val="24"/>
        </w:rPr>
        <w:t xml:space="preserve">Kacani, J., Mukli, L. and Hysa, E., 2022. </w:t>
      </w:r>
      <w:r>
        <w:rPr>
          <w:rStyle w:val="10"/>
          <w:rFonts w:ascii="Arial" w:hAnsi="Arial" w:eastAsia="Arial"/>
          <w:sz w:val="24"/>
          <w:szCs w:val="24"/>
        </w:rPr>
        <w:t>A framework for short-vs. long-term risk indicators for outsourcing potential for enterprises participating in global value chains</w:t>
      </w:r>
      <w:r>
        <w:rPr>
          <w:rFonts w:ascii="Arial" w:hAnsi="Arial" w:eastAsia="Arial"/>
          <w:sz w:val="24"/>
          <w:szCs w:val="24"/>
        </w:rPr>
        <w:t xml:space="preserve">. </w:t>
      </w:r>
      <w:r>
        <w:rPr>
          <w:rStyle w:val="15"/>
          <w:rFonts w:ascii="Arial" w:hAnsi="Arial" w:eastAsia="Arial"/>
          <w:sz w:val="24"/>
          <w:szCs w:val="24"/>
        </w:rPr>
        <w:t>Journal of Risk and Financial Management</w:t>
      </w:r>
      <w:r>
        <w:rPr>
          <w:rFonts w:ascii="Arial" w:hAnsi="Arial" w:eastAsia="Arial"/>
          <w:sz w:val="24"/>
          <w:szCs w:val="24"/>
        </w:rPr>
        <w:t>, 15(9), p.401.</w:t>
      </w:r>
      <w:r>
        <w:rPr>
          <w:rFonts w:ascii="Arial" w:hAnsi="Arial" w:eastAsia="Arial"/>
          <w:sz w:val="24"/>
          <w:szCs w:val="24"/>
        </w:rPr>
        <w:br w:type="textWrapping"/>
      </w:r>
      <w:r>
        <w:rPr>
          <w:rStyle w:val="15"/>
          <w:rFonts w:ascii="Arial" w:hAnsi="Arial" w:eastAsia="Arial"/>
          <w:sz w:val="24"/>
          <w:szCs w:val="24"/>
        </w:rPr>
        <w:t>Link:</w:t>
      </w:r>
      <w:r>
        <w:rPr>
          <w:rFonts w:ascii="Arial" w:hAnsi="Arial" w:eastAsia="Arial"/>
          <w:sz w:val="24"/>
          <w:szCs w:val="24"/>
        </w:rPr>
        <w:t xml:space="preserve"> </w:t>
      </w:r>
      <w:r>
        <w:fldChar w:fldCharType="begin"/>
      </w:r>
      <w:r>
        <w:instrText xml:space="preserve"> HYPERLINK "https://www.mdpi.com/journal/jrfm" \h </w:instrText>
      </w:r>
      <w:r>
        <w:fldChar w:fldCharType="separate"/>
      </w:r>
      <w:r>
        <w:rPr>
          <w:rStyle w:val="13"/>
          <w:rFonts w:ascii="Arial" w:hAnsi="Arial" w:eastAsia="Arial"/>
          <w:sz w:val="24"/>
          <w:szCs w:val="24"/>
        </w:rPr>
        <w:t>https://www.mdpi.com/journal/jrfm</w:t>
      </w:r>
      <w:r>
        <w:rPr>
          <w:rStyle w:val="13"/>
          <w:rFonts w:ascii="Arial" w:hAnsi="Arial" w:eastAsia="Arial"/>
          <w:sz w:val="24"/>
          <w:szCs w:val="24"/>
        </w:rPr>
        <w:fldChar w:fldCharType="end"/>
      </w:r>
    </w:p>
    <w:p w14:paraId="788BB80D">
      <w:pPr>
        <w:pStyle w:val="4"/>
        <w:spacing w:line="360" w:lineRule="auto"/>
      </w:pPr>
      <w:r>
        <w:rPr>
          <w:rFonts w:ascii="Arial" w:hAnsi="Arial" w:eastAsia="Arial"/>
          <w:sz w:val="24"/>
          <w:szCs w:val="24"/>
        </w:rPr>
        <w:t xml:space="preserve">Oyasiji, O., Okesiji, A., Imediegwu, C.C., Elebe, O. and Filani, O.M., 2023. </w:t>
      </w:r>
      <w:r>
        <w:rPr>
          <w:rStyle w:val="10"/>
          <w:rFonts w:ascii="Arial" w:hAnsi="Arial" w:eastAsia="Arial"/>
          <w:sz w:val="24"/>
          <w:szCs w:val="24"/>
        </w:rPr>
        <w:t>Ethical AI in financial decision-making: Transparency, bias, and regulation</w:t>
      </w:r>
      <w:r>
        <w:rPr>
          <w:rFonts w:ascii="Arial" w:hAnsi="Arial" w:eastAsia="Arial"/>
          <w:sz w:val="24"/>
          <w:szCs w:val="24"/>
        </w:rPr>
        <w:t xml:space="preserve">. </w:t>
      </w:r>
      <w:r>
        <w:rPr>
          <w:rStyle w:val="15"/>
          <w:rFonts w:ascii="Arial" w:hAnsi="Arial" w:eastAsia="Arial"/>
          <w:sz w:val="24"/>
          <w:szCs w:val="24"/>
        </w:rPr>
        <w:t>International Journal of Scientific Research in Computer Science, Engineering and Information Technology</w:t>
      </w:r>
      <w:r>
        <w:rPr>
          <w:rFonts w:ascii="Arial" w:hAnsi="Arial" w:eastAsia="Arial"/>
          <w:sz w:val="24"/>
          <w:szCs w:val="24"/>
        </w:rPr>
        <w:t>, 9(5), pp.453–471.</w:t>
      </w:r>
      <w:r>
        <w:rPr>
          <w:rFonts w:ascii="Arial" w:hAnsi="Arial" w:eastAsia="Arial"/>
          <w:sz w:val="24"/>
          <w:szCs w:val="24"/>
        </w:rPr>
        <w:br w:type="textWrapping"/>
      </w:r>
      <w:r>
        <w:rPr>
          <w:rStyle w:val="15"/>
          <w:rFonts w:ascii="Arial" w:hAnsi="Arial" w:eastAsia="Arial"/>
          <w:sz w:val="24"/>
          <w:szCs w:val="24"/>
        </w:rPr>
        <w:t>Link:</w:t>
      </w:r>
      <w:r>
        <w:rPr>
          <w:rFonts w:ascii="Arial" w:hAnsi="Arial" w:eastAsia="Arial"/>
          <w:sz w:val="24"/>
          <w:szCs w:val="24"/>
        </w:rPr>
        <w:t xml:space="preserve"> </w:t>
      </w:r>
      <w:r>
        <w:fldChar w:fldCharType="begin"/>
      </w:r>
      <w:r>
        <w:instrText xml:space="preserve"> HYPERLINK "https://ijsrcseit.com/" \h </w:instrText>
      </w:r>
      <w:r>
        <w:fldChar w:fldCharType="separate"/>
      </w:r>
      <w:r>
        <w:rPr>
          <w:rStyle w:val="13"/>
          <w:rFonts w:ascii="Arial" w:hAnsi="Arial" w:eastAsia="Arial"/>
          <w:sz w:val="24"/>
          <w:szCs w:val="24"/>
        </w:rPr>
        <w:t>https://ijsrcseit.com/</w:t>
      </w:r>
      <w:r>
        <w:rPr>
          <w:rStyle w:val="13"/>
          <w:rFonts w:ascii="Arial" w:hAnsi="Arial" w:eastAsia="Arial"/>
          <w:sz w:val="24"/>
          <w:szCs w:val="24"/>
        </w:rPr>
        <w:fldChar w:fldCharType="end"/>
      </w:r>
    </w:p>
    <w:p w14:paraId="63DDD29E">
      <w:pPr>
        <w:pStyle w:val="4"/>
        <w:spacing w:line="360" w:lineRule="auto"/>
      </w:pPr>
      <w:r>
        <w:rPr>
          <w:rFonts w:ascii="Arial" w:hAnsi="Arial" w:eastAsia="Arial"/>
          <w:sz w:val="24"/>
          <w:szCs w:val="24"/>
        </w:rPr>
        <w:t xml:space="preserve">Puchakayala, P.R., 2022. </w:t>
      </w:r>
      <w:r>
        <w:rPr>
          <w:rStyle w:val="10"/>
          <w:rFonts w:ascii="Arial" w:hAnsi="Arial" w:eastAsia="Arial"/>
          <w:sz w:val="24"/>
          <w:szCs w:val="24"/>
        </w:rPr>
        <w:t>Responsible AI: Ensuring Ethical, Transparent, and Accountable Artificial Intelligence Systems</w:t>
      </w:r>
      <w:r>
        <w:rPr>
          <w:rFonts w:ascii="Arial" w:hAnsi="Arial" w:eastAsia="Arial"/>
          <w:sz w:val="24"/>
          <w:szCs w:val="24"/>
        </w:rPr>
        <w:t xml:space="preserve">. </w:t>
      </w:r>
      <w:r>
        <w:rPr>
          <w:rStyle w:val="15"/>
          <w:rFonts w:ascii="Arial" w:hAnsi="Arial" w:eastAsia="Arial"/>
          <w:sz w:val="24"/>
          <w:szCs w:val="24"/>
        </w:rPr>
        <w:t>Journal of Computational Analysis and Applications</w:t>
      </w:r>
      <w:r>
        <w:rPr>
          <w:rFonts w:ascii="Arial" w:hAnsi="Arial" w:eastAsia="Arial"/>
          <w:sz w:val="24"/>
          <w:szCs w:val="24"/>
        </w:rPr>
        <w:t>, 30(1), pp.208–221.</w:t>
      </w:r>
      <w:r>
        <w:rPr>
          <w:rFonts w:ascii="Arial" w:hAnsi="Arial" w:eastAsia="Arial"/>
          <w:sz w:val="24"/>
          <w:szCs w:val="24"/>
        </w:rPr>
        <w:br w:type="textWrapping"/>
      </w:r>
      <w:r>
        <w:rPr>
          <w:rStyle w:val="15"/>
          <w:rFonts w:ascii="Arial" w:hAnsi="Arial" w:eastAsia="Arial"/>
          <w:sz w:val="24"/>
          <w:szCs w:val="24"/>
        </w:rPr>
        <w:t>Link:</w:t>
      </w:r>
      <w:r>
        <w:rPr>
          <w:rFonts w:ascii="Arial" w:hAnsi="Arial" w:eastAsia="Arial"/>
          <w:sz w:val="24"/>
          <w:szCs w:val="24"/>
        </w:rPr>
        <w:t xml:space="preserve"> </w:t>
      </w:r>
      <w:r>
        <w:fldChar w:fldCharType="begin"/>
      </w:r>
      <w:r>
        <w:instrText xml:space="preserve"> HYPERLINK "https://www.eudoxuspress.com/index.php/pub" \h </w:instrText>
      </w:r>
      <w:r>
        <w:fldChar w:fldCharType="separate"/>
      </w:r>
      <w:r>
        <w:rPr>
          <w:rStyle w:val="13"/>
          <w:rFonts w:ascii="Arial" w:hAnsi="Arial" w:eastAsia="Arial"/>
          <w:sz w:val="24"/>
          <w:szCs w:val="24"/>
        </w:rPr>
        <w:t>https://www.eudoxuspress.com/index.php/pub</w:t>
      </w:r>
      <w:r>
        <w:rPr>
          <w:rStyle w:val="13"/>
          <w:rFonts w:ascii="Arial" w:hAnsi="Arial" w:eastAsia="Arial"/>
          <w:sz w:val="24"/>
          <w:szCs w:val="24"/>
        </w:rPr>
        <w:fldChar w:fldCharType="end"/>
      </w:r>
    </w:p>
    <w:p w14:paraId="2003F6CD">
      <w:pPr>
        <w:pStyle w:val="4"/>
        <w:spacing w:line="360" w:lineRule="auto"/>
      </w:pPr>
      <w:r>
        <w:rPr>
          <w:rStyle w:val="15"/>
          <w:rFonts w:ascii="Arial" w:hAnsi="Arial" w:eastAsia="Arial"/>
          <w:sz w:val="24"/>
          <w:szCs w:val="24"/>
        </w:rPr>
        <w:t>Whitbread PLC</w:t>
      </w:r>
      <w:r>
        <w:rPr>
          <w:rFonts w:ascii="Arial" w:hAnsi="Arial" w:eastAsia="Arial"/>
          <w:sz w:val="24"/>
          <w:szCs w:val="24"/>
        </w:rPr>
        <w:t xml:space="preserve">, 2021. </w:t>
      </w:r>
      <w:r>
        <w:rPr>
          <w:rStyle w:val="10"/>
          <w:rFonts w:ascii="Arial" w:hAnsi="Arial" w:eastAsia="Arial"/>
          <w:sz w:val="24"/>
          <w:szCs w:val="24"/>
        </w:rPr>
        <w:t>Annual Report and Accounts 2020/21</w:t>
      </w:r>
      <w:r>
        <w:rPr>
          <w:rFonts w:ascii="Arial" w:hAnsi="Arial" w:eastAsia="Arial"/>
          <w:sz w:val="24"/>
          <w:szCs w:val="24"/>
        </w:rPr>
        <w:t>.</w:t>
      </w:r>
      <w:r>
        <w:rPr>
          <w:rFonts w:ascii="Arial" w:hAnsi="Arial" w:eastAsia="Arial"/>
          <w:sz w:val="24"/>
          <w:szCs w:val="24"/>
        </w:rPr>
        <w:br w:type="textWrapping"/>
      </w:r>
      <w:r>
        <w:rPr>
          <w:rStyle w:val="15"/>
          <w:rFonts w:ascii="Arial" w:hAnsi="Arial" w:eastAsia="Arial"/>
          <w:sz w:val="24"/>
          <w:szCs w:val="24"/>
        </w:rPr>
        <w:t>Link:</w:t>
      </w:r>
      <w:r>
        <w:rPr>
          <w:rFonts w:ascii="Arial" w:hAnsi="Arial" w:eastAsia="Arial"/>
          <w:sz w:val="24"/>
          <w:szCs w:val="24"/>
        </w:rPr>
        <w:t xml:space="preserve"> </w:t>
      </w:r>
      <w:r>
        <w:fldChar w:fldCharType="begin"/>
      </w:r>
      <w:r>
        <w:instrText xml:space="preserve"> HYPERLINK "https://www.whitbread.co.uk/investors/reports-and-presentations" \h </w:instrText>
      </w:r>
      <w:r>
        <w:fldChar w:fldCharType="separate"/>
      </w:r>
      <w:r>
        <w:rPr>
          <w:rStyle w:val="13"/>
          <w:rFonts w:ascii="Arial" w:hAnsi="Arial" w:eastAsia="Arial"/>
          <w:sz w:val="24"/>
          <w:szCs w:val="24"/>
        </w:rPr>
        <w:t>https://www.whitbread.co.uk/investors/reports-and-presentations</w:t>
      </w:r>
      <w:r>
        <w:rPr>
          <w:rStyle w:val="13"/>
          <w:rFonts w:ascii="Arial" w:hAnsi="Arial" w:eastAsia="Arial"/>
          <w:sz w:val="24"/>
          <w:szCs w:val="24"/>
        </w:rPr>
        <w:fldChar w:fldCharType="end"/>
      </w:r>
    </w:p>
    <w:p w14:paraId="7C0175FF">
      <w:pPr>
        <w:pStyle w:val="4"/>
        <w:spacing w:line="360" w:lineRule="auto"/>
      </w:pPr>
      <w:r>
        <w:rPr>
          <w:rStyle w:val="15"/>
          <w:rFonts w:ascii="Arial" w:hAnsi="Arial" w:eastAsia="Arial"/>
          <w:sz w:val="24"/>
          <w:szCs w:val="24"/>
        </w:rPr>
        <w:t>Whitbread PLC</w:t>
      </w:r>
      <w:r>
        <w:rPr>
          <w:rFonts w:ascii="Arial" w:hAnsi="Arial" w:eastAsia="Arial"/>
          <w:sz w:val="24"/>
          <w:szCs w:val="24"/>
        </w:rPr>
        <w:t xml:space="preserve">, 2022. </w:t>
      </w:r>
      <w:r>
        <w:rPr>
          <w:rStyle w:val="10"/>
          <w:rFonts w:ascii="Arial" w:hAnsi="Arial" w:eastAsia="Arial"/>
          <w:sz w:val="24"/>
          <w:szCs w:val="24"/>
        </w:rPr>
        <w:t>Annual Report and Accounts 2021/22</w:t>
      </w:r>
      <w:r>
        <w:rPr>
          <w:rFonts w:ascii="Arial" w:hAnsi="Arial" w:eastAsia="Arial"/>
          <w:sz w:val="24"/>
          <w:szCs w:val="24"/>
        </w:rPr>
        <w:t>.</w:t>
      </w:r>
      <w:r>
        <w:rPr>
          <w:rFonts w:ascii="Arial" w:hAnsi="Arial" w:eastAsia="Arial"/>
          <w:sz w:val="24"/>
          <w:szCs w:val="24"/>
        </w:rPr>
        <w:br w:type="textWrapping"/>
      </w:r>
      <w:r>
        <w:rPr>
          <w:rStyle w:val="15"/>
          <w:rFonts w:ascii="Arial" w:hAnsi="Arial" w:eastAsia="Arial"/>
          <w:sz w:val="24"/>
          <w:szCs w:val="24"/>
        </w:rPr>
        <w:t>Link:</w:t>
      </w:r>
      <w:r>
        <w:rPr>
          <w:rFonts w:ascii="Arial" w:hAnsi="Arial" w:eastAsia="Arial"/>
          <w:sz w:val="24"/>
          <w:szCs w:val="24"/>
        </w:rPr>
        <w:t xml:space="preserve"> </w:t>
      </w:r>
      <w:r>
        <w:fldChar w:fldCharType="begin"/>
      </w:r>
      <w:r>
        <w:instrText xml:space="preserve"> HYPERLINK "https://www.whitbread.co.uk/investors/reports-and-presentations" \h </w:instrText>
      </w:r>
      <w:r>
        <w:fldChar w:fldCharType="separate"/>
      </w:r>
      <w:r>
        <w:rPr>
          <w:rStyle w:val="13"/>
          <w:rFonts w:ascii="Arial" w:hAnsi="Arial" w:eastAsia="Arial"/>
          <w:sz w:val="24"/>
          <w:szCs w:val="24"/>
        </w:rPr>
        <w:t>https://www.whitbread.co.uk/investors/reports-and-presentations</w:t>
      </w:r>
      <w:r>
        <w:rPr>
          <w:rStyle w:val="13"/>
          <w:rFonts w:ascii="Arial" w:hAnsi="Arial" w:eastAsia="Arial"/>
          <w:sz w:val="24"/>
          <w:szCs w:val="24"/>
        </w:rPr>
        <w:fldChar w:fldCharType="end"/>
      </w:r>
    </w:p>
    <w:p w14:paraId="0343A94D">
      <w:pPr>
        <w:pStyle w:val="4"/>
        <w:spacing w:line="360" w:lineRule="auto"/>
      </w:pPr>
      <w:r>
        <w:rPr>
          <w:rStyle w:val="15"/>
          <w:rFonts w:ascii="Arial" w:hAnsi="Arial" w:eastAsia="Arial"/>
          <w:sz w:val="24"/>
          <w:szCs w:val="24"/>
        </w:rPr>
        <w:t>Whitbread PLC</w:t>
      </w:r>
      <w:r>
        <w:rPr>
          <w:rFonts w:ascii="Arial" w:hAnsi="Arial" w:eastAsia="Arial"/>
          <w:sz w:val="24"/>
          <w:szCs w:val="24"/>
        </w:rPr>
        <w:t xml:space="preserve">, 2023. </w:t>
      </w:r>
      <w:r>
        <w:rPr>
          <w:rStyle w:val="10"/>
          <w:rFonts w:ascii="Arial" w:hAnsi="Arial" w:eastAsia="Arial"/>
          <w:sz w:val="24"/>
          <w:szCs w:val="24"/>
        </w:rPr>
        <w:t>Annual Report and Accounts 2022/23</w:t>
      </w:r>
      <w:r>
        <w:rPr>
          <w:rFonts w:ascii="Arial" w:hAnsi="Arial" w:eastAsia="Arial"/>
          <w:sz w:val="24"/>
          <w:szCs w:val="24"/>
        </w:rPr>
        <w:t>.</w:t>
      </w:r>
      <w:r>
        <w:rPr>
          <w:rFonts w:ascii="Arial" w:hAnsi="Arial" w:eastAsia="Arial"/>
          <w:sz w:val="24"/>
          <w:szCs w:val="24"/>
        </w:rPr>
        <w:br w:type="textWrapping"/>
      </w:r>
      <w:r>
        <w:rPr>
          <w:rStyle w:val="15"/>
          <w:rFonts w:ascii="Arial" w:hAnsi="Arial" w:eastAsia="Arial"/>
          <w:sz w:val="24"/>
          <w:szCs w:val="24"/>
        </w:rPr>
        <w:t>Link:</w:t>
      </w:r>
      <w:r>
        <w:rPr>
          <w:rFonts w:ascii="Arial" w:hAnsi="Arial" w:eastAsia="Arial"/>
          <w:sz w:val="24"/>
          <w:szCs w:val="24"/>
        </w:rPr>
        <w:t xml:space="preserve"> </w:t>
      </w:r>
      <w:r>
        <w:fldChar w:fldCharType="begin"/>
      </w:r>
      <w:r>
        <w:instrText xml:space="preserve"> HYPERLINK "https://www.whitbread.co.uk/investors/reports-and-presentations" \h </w:instrText>
      </w:r>
      <w:r>
        <w:fldChar w:fldCharType="separate"/>
      </w:r>
      <w:r>
        <w:rPr>
          <w:rStyle w:val="13"/>
          <w:rFonts w:ascii="Arial" w:hAnsi="Arial" w:eastAsia="Arial"/>
          <w:sz w:val="24"/>
          <w:szCs w:val="24"/>
        </w:rPr>
        <w:t>https://www.whitbread.co.uk/investors/reports-and-presentations</w:t>
      </w:r>
      <w:r>
        <w:rPr>
          <w:rStyle w:val="13"/>
          <w:rFonts w:ascii="Arial" w:hAnsi="Arial" w:eastAsia="Arial"/>
          <w:sz w:val="24"/>
          <w:szCs w:val="24"/>
        </w:rPr>
        <w:fldChar w:fldCharType="end"/>
      </w:r>
    </w:p>
    <w:p w14:paraId="21DCB6BB">
      <w:pPr>
        <w:pStyle w:val="4"/>
        <w:spacing w:line="360" w:lineRule="auto"/>
      </w:pPr>
      <w:r>
        <w:rPr>
          <w:rStyle w:val="15"/>
          <w:rFonts w:ascii="Arial" w:hAnsi="Arial" w:eastAsia="Arial"/>
          <w:sz w:val="24"/>
          <w:szCs w:val="24"/>
        </w:rPr>
        <w:t>Whitbread PLC</w:t>
      </w:r>
      <w:r>
        <w:rPr>
          <w:rFonts w:ascii="Arial" w:hAnsi="Arial" w:eastAsia="Arial"/>
          <w:sz w:val="24"/>
          <w:szCs w:val="24"/>
        </w:rPr>
        <w:t xml:space="preserve">, 2024. </w:t>
      </w:r>
      <w:r>
        <w:rPr>
          <w:rStyle w:val="10"/>
          <w:rFonts w:ascii="Arial" w:hAnsi="Arial" w:eastAsia="Arial"/>
          <w:sz w:val="24"/>
          <w:szCs w:val="24"/>
        </w:rPr>
        <w:t>Annual Report and Accounts 2023/24</w:t>
      </w:r>
      <w:r>
        <w:rPr>
          <w:rFonts w:ascii="Arial" w:hAnsi="Arial" w:eastAsia="Arial"/>
          <w:sz w:val="24"/>
          <w:szCs w:val="24"/>
        </w:rPr>
        <w:t>.</w:t>
      </w:r>
      <w:r>
        <w:rPr>
          <w:rFonts w:ascii="Arial" w:hAnsi="Arial" w:eastAsia="Arial"/>
          <w:sz w:val="24"/>
          <w:szCs w:val="24"/>
        </w:rPr>
        <w:br w:type="textWrapping"/>
      </w:r>
      <w:r>
        <w:rPr>
          <w:rStyle w:val="15"/>
          <w:rFonts w:ascii="Arial" w:hAnsi="Arial" w:eastAsia="Arial"/>
          <w:sz w:val="24"/>
          <w:szCs w:val="24"/>
        </w:rPr>
        <w:t>Link:</w:t>
      </w:r>
      <w:r>
        <w:rPr>
          <w:rFonts w:ascii="Arial" w:hAnsi="Arial" w:eastAsia="Arial"/>
          <w:sz w:val="24"/>
          <w:szCs w:val="24"/>
        </w:rPr>
        <w:t xml:space="preserve"> </w:t>
      </w:r>
      <w:r>
        <w:fldChar w:fldCharType="begin"/>
      </w:r>
      <w:r>
        <w:instrText xml:space="preserve"> HYPERLINK "https://www.whitbread.co.uk/investors/reports-and-presentations" \h </w:instrText>
      </w:r>
      <w:r>
        <w:fldChar w:fldCharType="separate"/>
      </w:r>
      <w:r>
        <w:rPr>
          <w:rStyle w:val="13"/>
          <w:rFonts w:ascii="Arial" w:hAnsi="Arial" w:eastAsia="Arial"/>
          <w:sz w:val="24"/>
          <w:szCs w:val="24"/>
        </w:rPr>
        <w:t>https://www.whitbread.co.uk/investors/reports-and-presentations</w:t>
      </w:r>
      <w:r>
        <w:rPr>
          <w:rStyle w:val="13"/>
          <w:rFonts w:ascii="Arial" w:hAnsi="Arial" w:eastAsia="Arial"/>
          <w:sz w:val="24"/>
          <w:szCs w:val="24"/>
        </w:rPr>
        <w:fldChar w:fldCharType="end"/>
      </w:r>
    </w:p>
    <w:p w14:paraId="64F5236C">
      <w:pPr>
        <w:pStyle w:val="4"/>
        <w:spacing w:line="360" w:lineRule="auto"/>
      </w:pPr>
      <w:r>
        <w:rPr>
          <w:rStyle w:val="15"/>
          <w:rFonts w:ascii="Arial" w:hAnsi="Arial" w:eastAsia="Arial"/>
          <w:sz w:val="24"/>
          <w:szCs w:val="24"/>
        </w:rPr>
        <w:t>Whitbread PLC</w:t>
      </w:r>
      <w:r>
        <w:rPr>
          <w:rFonts w:ascii="Arial" w:hAnsi="Arial" w:eastAsia="Arial"/>
          <w:sz w:val="24"/>
          <w:szCs w:val="24"/>
        </w:rPr>
        <w:t xml:space="preserve">, 2025. </w:t>
      </w:r>
      <w:r>
        <w:rPr>
          <w:rStyle w:val="10"/>
          <w:rFonts w:ascii="Arial" w:hAnsi="Arial" w:eastAsia="Arial"/>
          <w:sz w:val="24"/>
          <w:szCs w:val="24"/>
        </w:rPr>
        <w:t>Annual Report and Accounts 2024/25</w:t>
      </w:r>
      <w:r>
        <w:rPr>
          <w:rFonts w:ascii="Arial" w:hAnsi="Arial" w:eastAsia="Arial"/>
          <w:sz w:val="24"/>
          <w:szCs w:val="24"/>
        </w:rPr>
        <w:t>.</w:t>
      </w:r>
      <w:r>
        <w:rPr>
          <w:rFonts w:ascii="Arial" w:hAnsi="Arial" w:eastAsia="Arial"/>
          <w:sz w:val="24"/>
          <w:szCs w:val="24"/>
        </w:rPr>
        <w:br w:type="textWrapping"/>
      </w:r>
      <w:r>
        <w:rPr>
          <w:rStyle w:val="15"/>
          <w:rFonts w:ascii="Arial" w:hAnsi="Arial" w:eastAsia="Arial"/>
          <w:sz w:val="24"/>
          <w:szCs w:val="24"/>
        </w:rPr>
        <w:t>Link:</w:t>
      </w:r>
      <w:r>
        <w:rPr>
          <w:rFonts w:ascii="Arial" w:hAnsi="Arial" w:eastAsia="Arial"/>
          <w:sz w:val="24"/>
          <w:szCs w:val="24"/>
        </w:rPr>
        <w:t xml:space="preserve"> </w:t>
      </w:r>
      <w:r>
        <w:fldChar w:fldCharType="begin"/>
      </w:r>
      <w:r>
        <w:instrText xml:space="preserve"> HYPERLINK "https://www.whitbread.co.uk/investors/reports-and-presentations" \h </w:instrText>
      </w:r>
      <w:r>
        <w:fldChar w:fldCharType="separate"/>
      </w:r>
      <w:r>
        <w:rPr>
          <w:rStyle w:val="13"/>
          <w:rFonts w:ascii="Arial" w:hAnsi="Arial" w:eastAsia="Arial"/>
          <w:sz w:val="24"/>
          <w:szCs w:val="24"/>
        </w:rPr>
        <w:t>https://www.whitbread.co.uk/investors/reports-and-presentations</w:t>
      </w:r>
      <w:r>
        <w:rPr>
          <w:rStyle w:val="13"/>
          <w:rFonts w:ascii="Arial" w:hAnsi="Arial" w:eastAsia="Arial"/>
          <w:sz w:val="24"/>
          <w:szCs w:val="24"/>
        </w:rPr>
        <w:fldChar w:fldCharType="end"/>
      </w:r>
    </w:p>
    <w:p w14:paraId="7EE73102">
      <w:pPr>
        <w:pStyle w:val="4"/>
        <w:spacing w:line="360" w:lineRule="auto"/>
        <w:rPr>
          <w:rFonts w:ascii="Arial" w:hAnsi="Arial" w:eastAsia="Arial"/>
          <w:sz w:val="24"/>
          <w:szCs w:val="24"/>
        </w:rPr>
      </w:pPr>
    </w:p>
    <w:p w14:paraId="790AD19D">
      <w:pPr>
        <w:pStyle w:val="5"/>
        <w:numPr>
          <w:ilvl w:val="1"/>
          <w:numId w:val="1"/>
        </w:numPr>
        <w:spacing w:line="360" w:lineRule="auto"/>
        <w:rPr>
          <w:rFonts w:ascii="Arial" w:hAnsi="Arial" w:eastAsia="Arial"/>
          <w:sz w:val="24"/>
          <w:szCs w:val="24"/>
        </w:rPr>
      </w:pPr>
      <w:r>
        <w:rPr>
          <w:rFonts w:ascii="Arial" w:hAnsi="Arial" w:eastAsia="Arial"/>
          <w:sz w:val="24"/>
          <w:szCs w:val="24"/>
        </w:rPr>
        <w:t>6. Appendices</w:t>
      </w:r>
    </w:p>
    <w:p w14:paraId="4EC71AF1">
      <w:pPr>
        <w:pStyle w:val="6"/>
        <w:numPr>
          <w:ilvl w:val="2"/>
          <w:numId w:val="1"/>
        </w:numPr>
        <w:spacing w:line="360" w:lineRule="auto"/>
        <w:rPr>
          <w:rFonts w:ascii="Arial" w:hAnsi="Arial" w:eastAsia="Arial"/>
          <w:sz w:val="24"/>
          <w:szCs w:val="24"/>
        </w:rPr>
      </w:pPr>
      <w:r>
        <w:rPr>
          <w:rFonts w:ascii="Arial" w:hAnsi="Arial" w:eastAsia="Arial"/>
          <w:sz w:val="24"/>
          <w:szCs w:val="24"/>
        </w:rPr>
        <w:t>Appendix A: Ratio tables and Graphs</w:t>
      </w:r>
    </w:p>
    <w:p w14:paraId="3F3C879C">
      <w:pPr>
        <w:pStyle w:val="4"/>
        <w:spacing w:line="360" w:lineRule="auto"/>
        <w:rPr>
          <w:rFonts w:ascii="Arial" w:hAnsi="Arial" w:eastAsia="Arial"/>
          <w:sz w:val="24"/>
          <w:szCs w:val="24"/>
        </w:rPr>
      </w:pPr>
      <w:r>
        <w:rPr>
          <w:rFonts w:ascii="Arial" w:hAnsi="Arial" w:eastAsia="Arial"/>
          <w:b/>
          <w:sz w:val="24"/>
          <w:szCs w:val="24"/>
        </w:rPr>
        <w:t>Profitability Ratios</w:t>
      </w:r>
    </w:p>
    <w:tbl>
      <w:tblPr>
        <w:tblStyle w:val="8"/>
        <w:tblW w:w="5000" w:type="pct"/>
        <w:tblInd w:w="-5" w:type="dxa"/>
        <w:tblLayout w:type="fixed"/>
        <w:tblCellMar>
          <w:top w:w="55" w:type="dxa"/>
          <w:left w:w="55" w:type="dxa"/>
          <w:bottom w:w="55" w:type="dxa"/>
          <w:right w:w="55" w:type="dxa"/>
        </w:tblCellMar>
      </w:tblPr>
      <w:tblGrid>
        <w:gridCol w:w="1680"/>
        <w:gridCol w:w="1681"/>
        <w:gridCol w:w="1678"/>
        <w:gridCol w:w="1681"/>
        <w:gridCol w:w="1679"/>
        <w:gridCol w:w="1681"/>
      </w:tblGrid>
      <w:tr w14:paraId="123B0AB7">
        <w:tblPrEx>
          <w:tblCellMar>
            <w:top w:w="55" w:type="dxa"/>
            <w:left w:w="55" w:type="dxa"/>
            <w:bottom w:w="55" w:type="dxa"/>
            <w:right w:w="55" w:type="dxa"/>
          </w:tblCellMar>
        </w:tblPrEx>
        <w:trPr>
          <w:tblHeader/>
        </w:trPr>
        <w:tc>
          <w:tcPr>
            <w:tcW w:w="1662" w:type="dxa"/>
            <w:tcBorders>
              <w:top w:val="single" w:color="000000" w:sz="4" w:space="0"/>
              <w:left w:val="single" w:color="000000" w:sz="4" w:space="0"/>
              <w:bottom w:val="single" w:color="000000" w:sz="4" w:space="0"/>
            </w:tcBorders>
          </w:tcPr>
          <w:p w14:paraId="2F369881">
            <w:pPr>
              <w:pStyle w:val="23"/>
              <w:spacing w:line="360" w:lineRule="auto"/>
              <w:jc w:val="left"/>
              <w:rPr>
                <w:rFonts w:ascii="Arial" w:hAnsi="Arial" w:eastAsia="Arial"/>
                <w:sz w:val="24"/>
                <w:szCs w:val="24"/>
              </w:rPr>
            </w:pPr>
            <w:r>
              <w:rPr>
                <w:rFonts w:ascii="Arial" w:hAnsi="Arial" w:eastAsia="Arial"/>
                <w:sz w:val="24"/>
                <w:szCs w:val="24"/>
              </w:rPr>
              <w:t>Particulars (£m)</w:t>
            </w:r>
          </w:p>
        </w:tc>
        <w:tc>
          <w:tcPr>
            <w:tcW w:w="1663" w:type="dxa"/>
            <w:tcBorders>
              <w:top w:val="single" w:color="000000" w:sz="4" w:space="0"/>
              <w:left w:val="single" w:color="000000" w:sz="4" w:space="0"/>
              <w:bottom w:val="single" w:color="000000" w:sz="4" w:space="0"/>
            </w:tcBorders>
          </w:tcPr>
          <w:p w14:paraId="27009ACE">
            <w:pPr>
              <w:pStyle w:val="23"/>
              <w:spacing w:line="360" w:lineRule="auto"/>
              <w:jc w:val="left"/>
              <w:rPr>
                <w:rFonts w:ascii="Arial" w:hAnsi="Arial" w:eastAsia="Arial"/>
                <w:sz w:val="24"/>
                <w:szCs w:val="24"/>
              </w:rPr>
            </w:pPr>
            <w:r>
              <w:rPr>
                <w:rFonts w:ascii="Arial" w:hAnsi="Arial" w:eastAsia="Arial"/>
                <w:sz w:val="24"/>
                <w:szCs w:val="24"/>
              </w:rPr>
              <w:t>2021</w:t>
            </w:r>
          </w:p>
        </w:tc>
        <w:tc>
          <w:tcPr>
            <w:tcW w:w="1660" w:type="dxa"/>
            <w:tcBorders>
              <w:top w:val="single" w:color="000000" w:sz="4" w:space="0"/>
              <w:left w:val="single" w:color="000000" w:sz="4" w:space="0"/>
              <w:bottom w:val="single" w:color="000000" w:sz="4" w:space="0"/>
            </w:tcBorders>
          </w:tcPr>
          <w:p w14:paraId="6A0C7BAC">
            <w:pPr>
              <w:pStyle w:val="23"/>
              <w:spacing w:line="360" w:lineRule="auto"/>
              <w:jc w:val="left"/>
              <w:rPr>
                <w:rFonts w:ascii="Arial" w:hAnsi="Arial" w:eastAsia="Arial"/>
                <w:sz w:val="24"/>
                <w:szCs w:val="24"/>
              </w:rPr>
            </w:pPr>
            <w:r>
              <w:rPr>
                <w:rFonts w:ascii="Arial" w:hAnsi="Arial" w:eastAsia="Arial"/>
                <w:sz w:val="24"/>
                <w:szCs w:val="24"/>
              </w:rPr>
              <w:t>2022</w:t>
            </w:r>
          </w:p>
        </w:tc>
        <w:tc>
          <w:tcPr>
            <w:tcW w:w="1663" w:type="dxa"/>
            <w:tcBorders>
              <w:top w:val="single" w:color="000000" w:sz="4" w:space="0"/>
              <w:left w:val="single" w:color="000000" w:sz="4" w:space="0"/>
              <w:bottom w:val="single" w:color="000000" w:sz="4" w:space="0"/>
            </w:tcBorders>
          </w:tcPr>
          <w:p w14:paraId="7C173987">
            <w:pPr>
              <w:pStyle w:val="23"/>
              <w:spacing w:line="360" w:lineRule="auto"/>
              <w:jc w:val="left"/>
              <w:rPr>
                <w:rFonts w:ascii="Arial" w:hAnsi="Arial" w:eastAsia="Arial"/>
                <w:sz w:val="24"/>
                <w:szCs w:val="24"/>
              </w:rPr>
            </w:pPr>
            <w:r>
              <w:rPr>
                <w:rFonts w:ascii="Arial" w:hAnsi="Arial" w:eastAsia="Arial"/>
                <w:sz w:val="24"/>
                <w:szCs w:val="24"/>
              </w:rPr>
              <w:t>2023</w:t>
            </w:r>
          </w:p>
        </w:tc>
        <w:tc>
          <w:tcPr>
            <w:tcW w:w="1661" w:type="dxa"/>
            <w:tcBorders>
              <w:top w:val="single" w:color="000000" w:sz="4" w:space="0"/>
              <w:left w:val="single" w:color="000000" w:sz="4" w:space="0"/>
              <w:bottom w:val="single" w:color="000000" w:sz="4" w:space="0"/>
            </w:tcBorders>
          </w:tcPr>
          <w:p w14:paraId="1E8537CB">
            <w:pPr>
              <w:pStyle w:val="23"/>
              <w:spacing w:line="360" w:lineRule="auto"/>
              <w:jc w:val="left"/>
              <w:rPr>
                <w:rFonts w:ascii="Arial" w:hAnsi="Arial" w:eastAsia="Arial"/>
                <w:sz w:val="24"/>
                <w:szCs w:val="24"/>
              </w:rPr>
            </w:pPr>
            <w:r>
              <w:rPr>
                <w:rFonts w:ascii="Arial" w:hAnsi="Arial" w:eastAsia="Arial"/>
                <w:sz w:val="24"/>
                <w:szCs w:val="24"/>
              </w:rPr>
              <w:t>2024</w:t>
            </w:r>
          </w:p>
        </w:tc>
        <w:tc>
          <w:tcPr>
            <w:tcW w:w="1663" w:type="dxa"/>
            <w:tcBorders>
              <w:top w:val="single" w:color="000000" w:sz="4" w:space="0"/>
              <w:left w:val="single" w:color="000000" w:sz="4" w:space="0"/>
              <w:bottom w:val="single" w:color="000000" w:sz="4" w:space="0"/>
              <w:right w:val="single" w:color="000000" w:sz="4" w:space="0"/>
            </w:tcBorders>
          </w:tcPr>
          <w:p w14:paraId="390AB385">
            <w:pPr>
              <w:pStyle w:val="23"/>
              <w:spacing w:line="360" w:lineRule="auto"/>
              <w:jc w:val="left"/>
              <w:rPr>
                <w:rFonts w:ascii="Arial" w:hAnsi="Arial" w:eastAsia="Arial"/>
                <w:sz w:val="24"/>
                <w:szCs w:val="24"/>
              </w:rPr>
            </w:pPr>
            <w:r>
              <w:rPr>
                <w:rFonts w:ascii="Arial" w:hAnsi="Arial" w:eastAsia="Arial"/>
                <w:sz w:val="24"/>
                <w:szCs w:val="24"/>
              </w:rPr>
              <w:t>2025</w:t>
            </w:r>
          </w:p>
        </w:tc>
      </w:tr>
      <w:tr w14:paraId="184A9216">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083900C7">
            <w:pPr>
              <w:pStyle w:val="22"/>
              <w:spacing w:line="360" w:lineRule="auto"/>
              <w:rPr>
                <w:rFonts w:ascii="Arial" w:hAnsi="Arial" w:eastAsia="Arial"/>
                <w:sz w:val="24"/>
                <w:szCs w:val="24"/>
              </w:rPr>
            </w:pPr>
            <w:r>
              <w:rPr>
                <w:rFonts w:ascii="Arial" w:hAnsi="Arial" w:eastAsia="Arial"/>
                <w:sz w:val="24"/>
                <w:szCs w:val="24"/>
              </w:rPr>
              <w:t>Revenue</w:t>
            </w:r>
          </w:p>
        </w:tc>
        <w:tc>
          <w:tcPr>
            <w:tcW w:w="1663" w:type="dxa"/>
            <w:tcBorders>
              <w:left w:val="single" w:color="000000" w:sz="4" w:space="0"/>
              <w:bottom w:val="single" w:color="000000" w:sz="4" w:space="0"/>
            </w:tcBorders>
          </w:tcPr>
          <w:p w14:paraId="7636B3E8">
            <w:pPr>
              <w:pStyle w:val="22"/>
              <w:spacing w:line="360" w:lineRule="auto"/>
              <w:rPr>
                <w:rFonts w:ascii="Arial" w:hAnsi="Arial" w:eastAsia="Arial"/>
                <w:sz w:val="24"/>
                <w:szCs w:val="24"/>
              </w:rPr>
            </w:pPr>
            <w:r>
              <w:rPr>
                <w:rFonts w:ascii="Arial" w:hAnsi="Arial" w:eastAsia="Arial"/>
                <w:sz w:val="24"/>
                <w:szCs w:val="24"/>
              </w:rPr>
              <w:t>589.4</w:t>
            </w:r>
          </w:p>
        </w:tc>
        <w:tc>
          <w:tcPr>
            <w:tcW w:w="1660" w:type="dxa"/>
            <w:tcBorders>
              <w:left w:val="single" w:color="000000" w:sz="4" w:space="0"/>
              <w:bottom w:val="single" w:color="000000" w:sz="4" w:space="0"/>
            </w:tcBorders>
          </w:tcPr>
          <w:p w14:paraId="1A15F45D">
            <w:pPr>
              <w:pStyle w:val="22"/>
              <w:spacing w:line="360" w:lineRule="auto"/>
              <w:rPr>
                <w:rFonts w:ascii="Arial" w:hAnsi="Arial" w:eastAsia="Arial"/>
                <w:sz w:val="24"/>
                <w:szCs w:val="24"/>
              </w:rPr>
            </w:pPr>
            <w:r>
              <w:rPr>
                <w:rFonts w:ascii="Arial" w:hAnsi="Arial" w:eastAsia="Arial"/>
                <w:sz w:val="24"/>
                <w:szCs w:val="24"/>
              </w:rPr>
              <w:t>1,703.4</w:t>
            </w:r>
          </w:p>
        </w:tc>
        <w:tc>
          <w:tcPr>
            <w:tcW w:w="1663" w:type="dxa"/>
            <w:tcBorders>
              <w:left w:val="single" w:color="000000" w:sz="4" w:space="0"/>
              <w:bottom w:val="single" w:color="000000" w:sz="4" w:space="0"/>
            </w:tcBorders>
          </w:tcPr>
          <w:p w14:paraId="72D61A62">
            <w:pPr>
              <w:pStyle w:val="22"/>
              <w:spacing w:line="360" w:lineRule="auto"/>
              <w:rPr>
                <w:rFonts w:ascii="Arial" w:hAnsi="Arial" w:eastAsia="Arial"/>
                <w:sz w:val="24"/>
                <w:szCs w:val="24"/>
              </w:rPr>
            </w:pPr>
            <w:r>
              <w:rPr>
                <w:rFonts w:ascii="Arial" w:hAnsi="Arial" w:eastAsia="Arial"/>
                <w:sz w:val="24"/>
                <w:szCs w:val="24"/>
              </w:rPr>
              <w:t>2,625.2</w:t>
            </w:r>
          </w:p>
        </w:tc>
        <w:tc>
          <w:tcPr>
            <w:tcW w:w="1661" w:type="dxa"/>
            <w:tcBorders>
              <w:left w:val="single" w:color="000000" w:sz="4" w:space="0"/>
              <w:bottom w:val="single" w:color="000000" w:sz="4" w:space="0"/>
            </w:tcBorders>
          </w:tcPr>
          <w:p w14:paraId="2A16E095">
            <w:pPr>
              <w:pStyle w:val="22"/>
              <w:spacing w:line="360" w:lineRule="auto"/>
              <w:rPr>
                <w:rFonts w:ascii="Arial" w:hAnsi="Arial" w:eastAsia="Arial"/>
                <w:sz w:val="24"/>
                <w:szCs w:val="24"/>
              </w:rPr>
            </w:pPr>
            <w:r>
              <w:rPr>
                <w:rFonts w:ascii="Arial" w:hAnsi="Arial" w:eastAsia="Arial"/>
                <w:sz w:val="24"/>
                <w:szCs w:val="24"/>
              </w:rPr>
              <w:t>2,959.9</w:t>
            </w:r>
          </w:p>
        </w:tc>
        <w:tc>
          <w:tcPr>
            <w:tcW w:w="1663" w:type="dxa"/>
            <w:tcBorders>
              <w:left w:val="single" w:color="000000" w:sz="4" w:space="0"/>
              <w:bottom w:val="single" w:color="000000" w:sz="4" w:space="0"/>
              <w:right w:val="single" w:color="000000" w:sz="4" w:space="0"/>
            </w:tcBorders>
          </w:tcPr>
          <w:p w14:paraId="46AA15FD">
            <w:pPr>
              <w:pStyle w:val="22"/>
              <w:spacing w:line="360" w:lineRule="auto"/>
              <w:rPr>
                <w:rFonts w:ascii="Arial" w:hAnsi="Arial" w:eastAsia="Arial"/>
                <w:sz w:val="24"/>
                <w:szCs w:val="24"/>
              </w:rPr>
            </w:pPr>
            <w:r>
              <w:rPr>
                <w:rFonts w:ascii="Arial" w:hAnsi="Arial" w:eastAsia="Arial"/>
                <w:sz w:val="24"/>
                <w:szCs w:val="24"/>
              </w:rPr>
              <w:t>2,921.9</w:t>
            </w:r>
          </w:p>
        </w:tc>
      </w:tr>
      <w:tr w14:paraId="75B047A0">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0AC26748">
            <w:pPr>
              <w:pStyle w:val="22"/>
              <w:spacing w:line="360" w:lineRule="auto"/>
              <w:rPr>
                <w:rFonts w:ascii="Arial" w:hAnsi="Arial" w:eastAsia="Arial"/>
                <w:sz w:val="24"/>
                <w:szCs w:val="24"/>
              </w:rPr>
            </w:pPr>
            <w:r>
              <w:rPr>
                <w:rFonts w:ascii="Arial" w:hAnsi="Arial" w:eastAsia="Arial"/>
                <w:sz w:val="24"/>
                <w:szCs w:val="24"/>
              </w:rPr>
              <w:t>Operating Income</w:t>
            </w:r>
          </w:p>
        </w:tc>
        <w:tc>
          <w:tcPr>
            <w:tcW w:w="1663" w:type="dxa"/>
            <w:tcBorders>
              <w:left w:val="single" w:color="000000" w:sz="4" w:space="0"/>
              <w:bottom w:val="single" w:color="000000" w:sz="4" w:space="0"/>
            </w:tcBorders>
          </w:tcPr>
          <w:p w14:paraId="1A87BE42">
            <w:pPr>
              <w:pStyle w:val="22"/>
              <w:spacing w:line="360" w:lineRule="auto"/>
              <w:rPr>
                <w:rFonts w:ascii="Arial" w:hAnsi="Arial" w:eastAsia="Arial"/>
                <w:sz w:val="24"/>
                <w:szCs w:val="24"/>
              </w:rPr>
            </w:pPr>
            <w:r>
              <w:rPr>
                <w:rFonts w:ascii="Arial" w:hAnsi="Arial" w:eastAsia="Arial"/>
                <w:sz w:val="24"/>
                <w:szCs w:val="24"/>
              </w:rPr>
              <w:t>(486.7)</w:t>
            </w:r>
          </w:p>
        </w:tc>
        <w:tc>
          <w:tcPr>
            <w:tcW w:w="1660" w:type="dxa"/>
            <w:tcBorders>
              <w:left w:val="single" w:color="000000" w:sz="4" w:space="0"/>
              <w:bottom w:val="single" w:color="000000" w:sz="4" w:space="0"/>
            </w:tcBorders>
          </w:tcPr>
          <w:p w14:paraId="79420F03">
            <w:pPr>
              <w:pStyle w:val="22"/>
              <w:spacing w:line="360" w:lineRule="auto"/>
              <w:rPr>
                <w:rFonts w:ascii="Arial" w:hAnsi="Arial" w:eastAsia="Arial"/>
                <w:sz w:val="24"/>
                <w:szCs w:val="24"/>
              </w:rPr>
            </w:pPr>
            <w:r>
              <w:rPr>
                <w:rFonts w:ascii="Arial" w:hAnsi="Arial" w:eastAsia="Arial"/>
                <w:sz w:val="24"/>
                <w:szCs w:val="24"/>
              </w:rPr>
              <w:t>153.3</w:t>
            </w:r>
          </w:p>
        </w:tc>
        <w:tc>
          <w:tcPr>
            <w:tcW w:w="1663" w:type="dxa"/>
            <w:tcBorders>
              <w:left w:val="single" w:color="000000" w:sz="4" w:space="0"/>
              <w:bottom w:val="single" w:color="000000" w:sz="4" w:space="0"/>
            </w:tcBorders>
          </w:tcPr>
          <w:p w14:paraId="78983FF7">
            <w:pPr>
              <w:pStyle w:val="22"/>
              <w:spacing w:line="360" w:lineRule="auto"/>
              <w:rPr>
                <w:rFonts w:ascii="Arial" w:hAnsi="Arial" w:eastAsia="Arial"/>
                <w:sz w:val="24"/>
                <w:szCs w:val="24"/>
              </w:rPr>
            </w:pPr>
            <w:r>
              <w:rPr>
                <w:rFonts w:ascii="Arial" w:hAnsi="Arial" w:eastAsia="Arial"/>
                <w:sz w:val="24"/>
                <w:szCs w:val="24"/>
              </w:rPr>
              <w:t>543.5</w:t>
            </w:r>
          </w:p>
        </w:tc>
        <w:tc>
          <w:tcPr>
            <w:tcW w:w="1661" w:type="dxa"/>
            <w:tcBorders>
              <w:left w:val="single" w:color="000000" w:sz="4" w:space="0"/>
              <w:bottom w:val="single" w:color="000000" w:sz="4" w:space="0"/>
            </w:tcBorders>
          </w:tcPr>
          <w:p w14:paraId="5F3D8881">
            <w:pPr>
              <w:pStyle w:val="22"/>
              <w:spacing w:line="360" w:lineRule="auto"/>
              <w:rPr>
                <w:rFonts w:ascii="Arial" w:hAnsi="Arial" w:eastAsia="Arial"/>
                <w:sz w:val="24"/>
                <w:szCs w:val="24"/>
              </w:rPr>
            </w:pPr>
            <w:r>
              <w:rPr>
                <w:rFonts w:ascii="Arial" w:hAnsi="Arial" w:eastAsia="Arial"/>
                <w:sz w:val="24"/>
                <w:szCs w:val="24"/>
              </w:rPr>
              <w:t>674.2</w:t>
            </w:r>
          </w:p>
        </w:tc>
        <w:tc>
          <w:tcPr>
            <w:tcW w:w="1663" w:type="dxa"/>
            <w:tcBorders>
              <w:left w:val="single" w:color="000000" w:sz="4" w:space="0"/>
              <w:bottom w:val="single" w:color="000000" w:sz="4" w:space="0"/>
              <w:right w:val="single" w:color="000000" w:sz="4" w:space="0"/>
            </w:tcBorders>
          </w:tcPr>
          <w:p w14:paraId="79CCBB76">
            <w:pPr>
              <w:pStyle w:val="22"/>
              <w:spacing w:line="360" w:lineRule="auto"/>
              <w:rPr>
                <w:rFonts w:ascii="Arial" w:hAnsi="Arial" w:eastAsia="Arial"/>
                <w:sz w:val="24"/>
                <w:szCs w:val="24"/>
              </w:rPr>
            </w:pPr>
            <w:r>
              <w:rPr>
                <w:rFonts w:ascii="Arial" w:hAnsi="Arial" w:eastAsia="Arial"/>
                <w:sz w:val="24"/>
                <w:szCs w:val="24"/>
              </w:rPr>
              <w:t>629.6</w:t>
            </w:r>
          </w:p>
        </w:tc>
      </w:tr>
      <w:tr w14:paraId="63ABBB16">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24661AD3">
            <w:pPr>
              <w:pStyle w:val="22"/>
              <w:spacing w:line="360" w:lineRule="auto"/>
              <w:rPr>
                <w:rFonts w:ascii="Arial" w:hAnsi="Arial" w:eastAsia="Arial"/>
                <w:sz w:val="24"/>
                <w:szCs w:val="24"/>
              </w:rPr>
            </w:pPr>
            <w:r>
              <w:rPr>
                <w:rFonts w:ascii="Arial" w:hAnsi="Arial" w:eastAsia="Arial"/>
                <w:sz w:val="24"/>
                <w:szCs w:val="24"/>
              </w:rPr>
              <w:t>Net Income</w:t>
            </w:r>
          </w:p>
        </w:tc>
        <w:tc>
          <w:tcPr>
            <w:tcW w:w="1663" w:type="dxa"/>
            <w:tcBorders>
              <w:left w:val="single" w:color="000000" w:sz="4" w:space="0"/>
              <w:bottom w:val="single" w:color="000000" w:sz="4" w:space="0"/>
            </w:tcBorders>
          </w:tcPr>
          <w:p w14:paraId="5B53894C">
            <w:pPr>
              <w:pStyle w:val="22"/>
              <w:spacing w:line="360" w:lineRule="auto"/>
              <w:rPr>
                <w:rFonts w:ascii="Arial" w:hAnsi="Arial" w:eastAsia="Arial"/>
                <w:sz w:val="24"/>
                <w:szCs w:val="24"/>
              </w:rPr>
            </w:pPr>
            <w:r>
              <w:rPr>
                <w:rFonts w:ascii="Arial" w:hAnsi="Arial" w:eastAsia="Arial"/>
                <w:sz w:val="24"/>
                <w:szCs w:val="24"/>
              </w:rPr>
              <w:t>(541.0)</w:t>
            </w:r>
          </w:p>
        </w:tc>
        <w:tc>
          <w:tcPr>
            <w:tcW w:w="1660" w:type="dxa"/>
            <w:tcBorders>
              <w:left w:val="single" w:color="000000" w:sz="4" w:space="0"/>
              <w:bottom w:val="single" w:color="000000" w:sz="4" w:space="0"/>
            </w:tcBorders>
          </w:tcPr>
          <w:p w14:paraId="70BA3143">
            <w:pPr>
              <w:pStyle w:val="22"/>
              <w:spacing w:line="360" w:lineRule="auto"/>
              <w:rPr>
                <w:rFonts w:ascii="Arial" w:hAnsi="Arial" w:eastAsia="Arial"/>
                <w:sz w:val="24"/>
                <w:szCs w:val="24"/>
              </w:rPr>
            </w:pPr>
            <w:r>
              <w:rPr>
                <w:rFonts w:ascii="Arial" w:hAnsi="Arial" w:eastAsia="Arial"/>
                <w:sz w:val="24"/>
                <w:szCs w:val="24"/>
              </w:rPr>
              <w:t>(5.1)</w:t>
            </w:r>
          </w:p>
        </w:tc>
        <w:tc>
          <w:tcPr>
            <w:tcW w:w="1663" w:type="dxa"/>
            <w:tcBorders>
              <w:left w:val="single" w:color="000000" w:sz="4" w:space="0"/>
              <w:bottom w:val="single" w:color="000000" w:sz="4" w:space="0"/>
            </w:tcBorders>
          </w:tcPr>
          <w:p w14:paraId="790E9F45">
            <w:pPr>
              <w:pStyle w:val="22"/>
              <w:spacing w:line="360" w:lineRule="auto"/>
              <w:rPr>
                <w:rFonts w:ascii="Arial" w:hAnsi="Arial" w:eastAsia="Arial"/>
                <w:sz w:val="24"/>
                <w:szCs w:val="24"/>
              </w:rPr>
            </w:pPr>
            <w:r>
              <w:rPr>
                <w:rFonts w:ascii="Arial" w:hAnsi="Arial" w:eastAsia="Arial"/>
                <w:sz w:val="24"/>
                <w:szCs w:val="24"/>
              </w:rPr>
              <w:t>328.2</w:t>
            </w:r>
          </w:p>
        </w:tc>
        <w:tc>
          <w:tcPr>
            <w:tcW w:w="1661" w:type="dxa"/>
            <w:tcBorders>
              <w:left w:val="single" w:color="000000" w:sz="4" w:space="0"/>
              <w:bottom w:val="single" w:color="000000" w:sz="4" w:space="0"/>
            </w:tcBorders>
          </w:tcPr>
          <w:p w14:paraId="3C1C5F31">
            <w:pPr>
              <w:pStyle w:val="22"/>
              <w:spacing w:line="360" w:lineRule="auto"/>
              <w:rPr>
                <w:rFonts w:ascii="Arial" w:hAnsi="Arial" w:eastAsia="Arial"/>
                <w:sz w:val="24"/>
                <w:szCs w:val="24"/>
              </w:rPr>
            </w:pPr>
            <w:r>
              <w:rPr>
                <w:rFonts w:ascii="Arial" w:hAnsi="Arial" w:eastAsia="Arial"/>
                <w:sz w:val="24"/>
                <w:szCs w:val="24"/>
              </w:rPr>
              <w:t>401.2</w:t>
            </w:r>
          </w:p>
        </w:tc>
        <w:tc>
          <w:tcPr>
            <w:tcW w:w="1663" w:type="dxa"/>
            <w:tcBorders>
              <w:left w:val="single" w:color="000000" w:sz="4" w:space="0"/>
              <w:bottom w:val="single" w:color="000000" w:sz="4" w:space="0"/>
              <w:right w:val="single" w:color="000000" w:sz="4" w:space="0"/>
            </w:tcBorders>
          </w:tcPr>
          <w:p w14:paraId="1336CB29">
            <w:pPr>
              <w:pStyle w:val="22"/>
              <w:spacing w:line="360" w:lineRule="auto"/>
              <w:rPr>
                <w:rFonts w:ascii="Arial" w:hAnsi="Arial" w:eastAsia="Arial"/>
                <w:sz w:val="24"/>
                <w:szCs w:val="24"/>
              </w:rPr>
            </w:pPr>
            <w:r>
              <w:rPr>
                <w:rFonts w:ascii="Arial" w:hAnsi="Arial" w:eastAsia="Arial"/>
                <w:sz w:val="24"/>
                <w:szCs w:val="24"/>
              </w:rPr>
              <w:t>349.0</w:t>
            </w:r>
          </w:p>
        </w:tc>
      </w:tr>
      <w:tr w14:paraId="775590EE">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7A1C9B08">
            <w:pPr>
              <w:pStyle w:val="22"/>
              <w:spacing w:line="360" w:lineRule="auto"/>
              <w:rPr>
                <w:rFonts w:ascii="Arial" w:hAnsi="Arial" w:eastAsia="Arial"/>
                <w:sz w:val="24"/>
                <w:szCs w:val="24"/>
              </w:rPr>
            </w:pPr>
            <w:r>
              <w:rPr>
                <w:rFonts w:ascii="Arial" w:hAnsi="Arial" w:eastAsia="Arial"/>
                <w:sz w:val="24"/>
                <w:szCs w:val="24"/>
              </w:rPr>
              <w:t>Total Assets</w:t>
            </w:r>
          </w:p>
        </w:tc>
        <w:tc>
          <w:tcPr>
            <w:tcW w:w="1663" w:type="dxa"/>
            <w:tcBorders>
              <w:left w:val="single" w:color="000000" w:sz="4" w:space="0"/>
              <w:bottom w:val="single" w:color="000000" w:sz="4" w:space="0"/>
            </w:tcBorders>
          </w:tcPr>
          <w:p w14:paraId="74C06993">
            <w:pPr>
              <w:pStyle w:val="22"/>
              <w:spacing w:line="360" w:lineRule="auto"/>
              <w:rPr>
                <w:rFonts w:ascii="Arial" w:hAnsi="Arial" w:eastAsia="Arial"/>
                <w:sz w:val="24"/>
                <w:szCs w:val="24"/>
              </w:rPr>
            </w:pPr>
            <w:r>
              <w:rPr>
                <w:rFonts w:ascii="Arial" w:hAnsi="Arial" w:eastAsia="Arial"/>
                <w:sz w:val="24"/>
                <w:szCs w:val="24"/>
              </w:rPr>
              <w:t>8,798.6</w:t>
            </w:r>
          </w:p>
        </w:tc>
        <w:tc>
          <w:tcPr>
            <w:tcW w:w="1660" w:type="dxa"/>
            <w:tcBorders>
              <w:left w:val="single" w:color="000000" w:sz="4" w:space="0"/>
              <w:bottom w:val="single" w:color="000000" w:sz="4" w:space="0"/>
            </w:tcBorders>
          </w:tcPr>
          <w:p w14:paraId="111C4456">
            <w:pPr>
              <w:pStyle w:val="22"/>
              <w:spacing w:line="360" w:lineRule="auto"/>
              <w:rPr>
                <w:rFonts w:ascii="Arial" w:hAnsi="Arial" w:eastAsia="Arial"/>
                <w:sz w:val="24"/>
                <w:szCs w:val="24"/>
              </w:rPr>
            </w:pPr>
            <w:r>
              <w:rPr>
                <w:rFonts w:ascii="Arial" w:hAnsi="Arial" w:eastAsia="Arial"/>
                <w:sz w:val="24"/>
                <w:szCs w:val="24"/>
              </w:rPr>
              <w:t>9,566.5</w:t>
            </w:r>
          </w:p>
        </w:tc>
        <w:tc>
          <w:tcPr>
            <w:tcW w:w="1663" w:type="dxa"/>
            <w:tcBorders>
              <w:left w:val="single" w:color="000000" w:sz="4" w:space="0"/>
              <w:bottom w:val="single" w:color="000000" w:sz="4" w:space="0"/>
            </w:tcBorders>
          </w:tcPr>
          <w:p w14:paraId="2F3460C8">
            <w:pPr>
              <w:pStyle w:val="22"/>
              <w:spacing w:line="360" w:lineRule="auto"/>
              <w:rPr>
                <w:rFonts w:ascii="Arial" w:hAnsi="Arial" w:eastAsia="Arial"/>
                <w:sz w:val="24"/>
                <w:szCs w:val="24"/>
              </w:rPr>
            </w:pPr>
            <w:r>
              <w:rPr>
                <w:rFonts w:ascii="Arial" w:hAnsi="Arial" w:eastAsia="Arial"/>
                <w:sz w:val="24"/>
                <w:szCs w:val="24"/>
              </w:rPr>
              <w:t>9,942.8</w:t>
            </w:r>
          </w:p>
        </w:tc>
        <w:tc>
          <w:tcPr>
            <w:tcW w:w="1661" w:type="dxa"/>
            <w:tcBorders>
              <w:left w:val="single" w:color="000000" w:sz="4" w:space="0"/>
              <w:bottom w:val="single" w:color="000000" w:sz="4" w:space="0"/>
            </w:tcBorders>
          </w:tcPr>
          <w:p w14:paraId="02B40710">
            <w:pPr>
              <w:pStyle w:val="22"/>
              <w:spacing w:line="360" w:lineRule="auto"/>
              <w:rPr>
                <w:rFonts w:ascii="Arial" w:hAnsi="Arial" w:eastAsia="Arial"/>
                <w:sz w:val="24"/>
                <w:szCs w:val="24"/>
              </w:rPr>
            </w:pPr>
            <w:r>
              <w:rPr>
                <w:rFonts w:ascii="Arial" w:hAnsi="Arial" w:eastAsia="Arial"/>
                <w:sz w:val="24"/>
                <w:szCs w:val="24"/>
              </w:rPr>
              <w:t>9,521.3</w:t>
            </w:r>
          </w:p>
        </w:tc>
        <w:tc>
          <w:tcPr>
            <w:tcW w:w="1663" w:type="dxa"/>
            <w:tcBorders>
              <w:left w:val="single" w:color="000000" w:sz="4" w:space="0"/>
              <w:bottom w:val="single" w:color="000000" w:sz="4" w:space="0"/>
              <w:right w:val="single" w:color="000000" w:sz="4" w:space="0"/>
            </w:tcBorders>
          </w:tcPr>
          <w:p w14:paraId="2E1C3CB3">
            <w:pPr>
              <w:pStyle w:val="22"/>
              <w:spacing w:line="360" w:lineRule="auto"/>
              <w:rPr>
                <w:rFonts w:ascii="Arial" w:hAnsi="Arial" w:eastAsia="Arial"/>
                <w:sz w:val="24"/>
                <w:szCs w:val="24"/>
              </w:rPr>
            </w:pPr>
            <w:r>
              <w:rPr>
                <w:rFonts w:ascii="Arial" w:hAnsi="Arial" w:eastAsia="Arial"/>
                <w:sz w:val="24"/>
                <w:szCs w:val="24"/>
              </w:rPr>
              <w:t>9,904.7</w:t>
            </w:r>
          </w:p>
        </w:tc>
      </w:tr>
      <w:tr w14:paraId="243D3803">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472F8D89">
            <w:pPr>
              <w:pStyle w:val="22"/>
              <w:spacing w:line="360" w:lineRule="auto"/>
              <w:rPr>
                <w:rFonts w:ascii="Arial" w:hAnsi="Arial" w:eastAsia="Arial"/>
                <w:sz w:val="24"/>
                <w:szCs w:val="24"/>
              </w:rPr>
            </w:pPr>
            <w:r>
              <w:rPr>
                <w:rFonts w:ascii="Arial" w:hAnsi="Arial" w:eastAsia="Arial"/>
                <w:b/>
                <w:sz w:val="24"/>
                <w:szCs w:val="24"/>
              </w:rPr>
              <w:t>Operating Profit Margin</w:t>
            </w:r>
          </w:p>
        </w:tc>
        <w:tc>
          <w:tcPr>
            <w:tcW w:w="1663" w:type="dxa"/>
            <w:tcBorders>
              <w:left w:val="single" w:color="000000" w:sz="4" w:space="0"/>
              <w:bottom w:val="single" w:color="000000" w:sz="4" w:space="0"/>
            </w:tcBorders>
          </w:tcPr>
          <w:p w14:paraId="17AA3C74">
            <w:pPr>
              <w:pStyle w:val="22"/>
              <w:spacing w:line="360" w:lineRule="auto"/>
              <w:rPr>
                <w:rFonts w:ascii="Arial" w:hAnsi="Arial" w:eastAsia="Arial"/>
                <w:sz w:val="24"/>
                <w:szCs w:val="24"/>
              </w:rPr>
            </w:pPr>
            <w:r>
              <w:rPr>
                <w:rFonts w:ascii="Arial" w:hAnsi="Arial" w:eastAsia="Arial"/>
                <w:b/>
                <w:sz w:val="24"/>
                <w:szCs w:val="24"/>
              </w:rPr>
              <w:t>(82.6%)</w:t>
            </w:r>
          </w:p>
        </w:tc>
        <w:tc>
          <w:tcPr>
            <w:tcW w:w="1660" w:type="dxa"/>
            <w:tcBorders>
              <w:left w:val="single" w:color="000000" w:sz="4" w:space="0"/>
              <w:bottom w:val="single" w:color="000000" w:sz="4" w:space="0"/>
            </w:tcBorders>
          </w:tcPr>
          <w:p w14:paraId="5C996AF1">
            <w:pPr>
              <w:pStyle w:val="22"/>
              <w:spacing w:line="360" w:lineRule="auto"/>
              <w:rPr>
                <w:rFonts w:ascii="Arial" w:hAnsi="Arial" w:eastAsia="Arial"/>
                <w:sz w:val="24"/>
                <w:szCs w:val="24"/>
              </w:rPr>
            </w:pPr>
            <w:r>
              <w:rPr>
                <w:rFonts w:ascii="Arial" w:hAnsi="Arial" w:eastAsia="Arial"/>
                <w:b/>
                <w:sz w:val="24"/>
                <w:szCs w:val="24"/>
              </w:rPr>
              <w:t>9.0%</w:t>
            </w:r>
          </w:p>
        </w:tc>
        <w:tc>
          <w:tcPr>
            <w:tcW w:w="1663" w:type="dxa"/>
            <w:tcBorders>
              <w:left w:val="single" w:color="000000" w:sz="4" w:space="0"/>
              <w:bottom w:val="single" w:color="000000" w:sz="4" w:space="0"/>
            </w:tcBorders>
          </w:tcPr>
          <w:p w14:paraId="2064FACB">
            <w:pPr>
              <w:pStyle w:val="22"/>
              <w:spacing w:line="360" w:lineRule="auto"/>
              <w:rPr>
                <w:rFonts w:ascii="Arial" w:hAnsi="Arial" w:eastAsia="Arial"/>
                <w:sz w:val="24"/>
                <w:szCs w:val="24"/>
              </w:rPr>
            </w:pPr>
            <w:r>
              <w:rPr>
                <w:rFonts w:ascii="Arial" w:hAnsi="Arial" w:eastAsia="Arial"/>
                <w:b/>
                <w:sz w:val="24"/>
                <w:szCs w:val="24"/>
              </w:rPr>
              <w:t>20.7%</w:t>
            </w:r>
          </w:p>
        </w:tc>
        <w:tc>
          <w:tcPr>
            <w:tcW w:w="1661" w:type="dxa"/>
            <w:tcBorders>
              <w:left w:val="single" w:color="000000" w:sz="4" w:space="0"/>
              <w:bottom w:val="single" w:color="000000" w:sz="4" w:space="0"/>
            </w:tcBorders>
          </w:tcPr>
          <w:p w14:paraId="43594727">
            <w:pPr>
              <w:pStyle w:val="22"/>
              <w:spacing w:line="360" w:lineRule="auto"/>
              <w:rPr>
                <w:rFonts w:ascii="Arial" w:hAnsi="Arial" w:eastAsia="Arial"/>
                <w:sz w:val="24"/>
                <w:szCs w:val="24"/>
              </w:rPr>
            </w:pPr>
            <w:r>
              <w:rPr>
                <w:rFonts w:ascii="Arial" w:hAnsi="Arial" w:eastAsia="Arial"/>
                <w:b/>
                <w:sz w:val="24"/>
                <w:szCs w:val="24"/>
              </w:rPr>
              <w:t>22.8%</w:t>
            </w:r>
          </w:p>
        </w:tc>
        <w:tc>
          <w:tcPr>
            <w:tcW w:w="1663" w:type="dxa"/>
            <w:tcBorders>
              <w:left w:val="single" w:color="000000" w:sz="4" w:space="0"/>
              <w:bottom w:val="single" w:color="000000" w:sz="4" w:space="0"/>
              <w:right w:val="single" w:color="000000" w:sz="4" w:space="0"/>
            </w:tcBorders>
          </w:tcPr>
          <w:p w14:paraId="0A1A9253">
            <w:pPr>
              <w:pStyle w:val="22"/>
              <w:spacing w:line="360" w:lineRule="auto"/>
              <w:rPr>
                <w:rFonts w:ascii="Arial" w:hAnsi="Arial" w:eastAsia="Arial"/>
                <w:sz w:val="24"/>
                <w:szCs w:val="24"/>
              </w:rPr>
            </w:pPr>
            <w:r>
              <w:rPr>
                <w:rFonts w:ascii="Arial" w:hAnsi="Arial" w:eastAsia="Arial"/>
                <w:b/>
                <w:sz w:val="24"/>
                <w:szCs w:val="24"/>
              </w:rPr>
              <w:t>21.5%</w:t>
            </w:r>
          </w:p>
        </w:tc>
      </w:tr>
      <w:tr w14:paraId="6216ADBA">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388DB7BD">
            <w:pPr>
              <w:pStyle w:val="22"/>
              <w:spacing w:line="360" w:lineRule="auto"/>
              <w:rPr>
                <w:rFonts w:ascii="Arial" w:hAnsi="Arial" w:eastAsia="Arial"/>
                <w:sz w:val="24"/>
                <w:szCs w:val="24"/>
              </w:rPr>
            </w:pPr>
            <w:r>
              <w:rPr>
                <w:rFonts w:ascii="Arial" w:hAnsi="Arial" w:eastAsia="Arial"/>
                <w:b/>
                <w:sz w:val="24"/>
                <w:szCs w:val="24"/>
              </w:rPr>
              <w:t>Net Profit Margin</w:t>
            </w:r>
          </w:p>
        </w:tc>
        <w:tc>
          <w:tcPr>
            <w:tcW w:w="1663" w:type="dxa"/>
            <w:tcBorders>
              <w:left w:val="single" w:color="000000" w:sz="4" w:space="0"/>
              <w:bottom w:val="single" w:color="000000" w:sz="4" w:space="0"/>
            </w:tcBorders>
          </w:tcPr>
          <w:p w14:paraId="12E284F8">
            <w:pPr>
              <w:pStyle w:val="22"/>
              <w:spacing w:line="360" w:lineRule="auto"/>
              <w:rPr>
                <w:rFonts w:ascii="Arial" w:hAnsi="Arial" w:eastAsia="Arial"/>
                <w:sz w:val="24"/>
                <w:szCs w:val="24"/>
              </w:rPr>
            </w:pPr>
            <w:r>
              <w:rPr>
                <w:rFonts w:ascii="Arial" w:hAnsi="Arial" w:eastAsia="Arial"/>
                <w:b/>
                <w:sz w:val="24"/>
                <w:szCs w:val="24"/>
              </w:rPr>
              <w:t>(91.8%)</w:t>
            </w:r>
          </w:p>
        </w:tc>
        <w:tc>
          <w:tcPr>
            <w:tcW w:w="1660" w:type="dxa"/>
            <w:tcBorders>
              <w:left w:val="single" w:color="000000" w:sz="4" w:space="0"/>
              <w:bottom w:val="single" w:color="000000" w:sz="4" w:space="0"/>
            </w:tcBorders>
          </w:tcPr>
          <w:p w14:paraId="75F5C308">
            <w:pPr>
              <w:pStyle w:val="22"/>
              <w:spacing w:line="360" w:lineRule="auto"/>
              <w:rPr>
                <w:rFonts w:ascii="Arial" w:hAnsi="Arial" w:eastAsia="Arial"/>
                <w:sz w:val="24"/>
                <w:szCs w:val="24"/>
              </w:rPr>
            </w:pPr>
            <w:r>
              <w:rPr>
                <w:rFonts w:ascii="Arial" w:hAnsi="Arial" w:eastAsia="Arial"/>
                <w:b/>
                <w:sz w:val="24"/>
                <w:szCs w:val="24"/>
              </w:rPr>
              <w:t>(0.3%)</w:t>
            </w:r>
          </w:p>
        </w:tc>
        <w:tc>
          <w:tcPr>
            <w:tcW w:w="1663" w:type="dxa"/>
            <w:tcBorders>
              <w:left w:val="single" w:color="000000" w:sz="4" w:space="0"/>
              <w:bottom w:val="single" w:color="000000" w:sz="4" w:space="0"/>
            </w:tcBorders>
          </w:tcPr>
          <w:p w14:paraId="3EAB9F75">
            <w:pPr>
              <w:pStyle w:val="22"/>
              <w:spacing w:line="360" w:lineRule="auto"/>
              <w:rPr>
                <w:rFonts w:ascii="Arial" w:hAnsi="Arial" w:eastAsia="Arial"/>
                <w:sz w:val="24"/>
                <w:szCs w:val="24"/>
              </w:rPr>
            </w:pPr>
            <w:r>
              <w:rPr>
                <w:rFonts w:ascii="Arial" w:hAnsi="Arial" w:eastAsia="Arial"/>
                <w:b/>
                <w:sz w:val="24"/>
                <w:szCs w:val="24"/>
              </w:rPr>
              <w:t>12.5%</w:t>
            </w:r>
          </w:p>
        </w:tc>
        <w:tc>
          <w:tcPr>
            <w:tcW w:w="1661" w:type="dxa"/>
            <w:tcBorders>
              <w:left w:val="single" w:color="000000" w:sz="4" w:space="0"/>
              <w:bottom w:val="single" w:color="000000" w:sz="4" w:space="0"/>
            </w:tcBorders>
          </w:tcPr>
          <w:p w14:paraId="320451A8">
            <w:pPr>
              <w:pStyle w:val="22"/>
              <w:spacing w:line="360" w:lineRule="auto"/>
              <w:rPr>
                <w:rFonts w:ascii="Arial" w:hAnsi="Arial" w:eastAsia="Arial"/>
                <w:sz w:val="24"/>
                <w:szCs w:val="24"/>
              </w:rPr>
            </w:pPr>
            <w:r>
              <w:rPr>
                <w:rFonts w:ascii="Arial" w:hAnsi="Arial" w:eastAsia="Arial"/>
                <w:b/>
                <w:sz w:val="24"/>
                <w:szCs w:val="24"/>
              </w:rPr>
              <w:t>13.6%</w:t>
            </w:r>
          </w:p>
        </w:tc>
        <w:tc>
          <w:tcPr>
            <w:tcW w:w="1663" w:type="dxa"/>
            <w:tcBorders>
              <w:left w:val="single" w:color="000000" w:sz="4" w:space="0"/>
              <w:bottom w:val="single" w:color="000000" w:sz="4" w:space="0"/>
              <w:right w:val="single" w:color="000000" w:sz="4" w:space="0"/>
            </w:tcBorders>
          </w:tcPr>
          <w:p w14:paraId="7CF7A9AF">
            <w:pPr>
              <w:pStyle w:val="22"/>
              <w:spacing w:line="360" w:lineRule="auto"/>
              <w:rPr>
                <w:rFonts w:ascii="Arial" w:hAnsi="Arial" w:eastAsia="Arial"/>
                <w:sz w:val="24"/>
                <w:szCs w:val="24"/>
              </w:rPr>
            </w:pPr>
            <w:r>
              <w:rPr>
                <w:rFonts w:ascii="Arial" w:hAnsi="Arial" w:eastAsia="Arial"/>
                <w:b/>
                <w:sz w:val="24"/>
                <w:szCs w:val="24"/>
              </w:rPr>
              <w:t>11.9%</w:t>
            </w:r>
          </w:p>
        </w:tc>
      </w:tr>
      <w:tr w14:paraId="52793B07">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190D68D5">
            <w:pPr>
              <w:pStyle w:val="22"/>
              <w:spacing w:line="360" w:lineRule="auto"/>
              <w:rPr>
                <w:rFonts w:ascii="Arial" w:hAnsi="Arial" w:eastAsia="Arial"/>
                <w:sz w:val="24"/>
                <w:szCs w:val="24"/>
              </w:rPr>
            </w:pPr>
            <w:r>
              <w:rPr>
                <w:rFonts w:ascii="Arial" w:hAnsi="Arial" w:eastAsia="Arial"/>
                <w:b/>
                <w:sz w:val="24"/>
                <w:szCs w:val="24"/>
              </w:rPr>
              <w:t>ROA</w:t>
            </w:r>
          </w:p>
        </w:tc>
        <w:tc>
          <w:tcPr>
            <w:tcW w:w="1663" w:type="dxa"/>
            <w:tcBorders>
              <w:left w:val="single" w:color="000000" w:sz="4" w:space="0"/>
              <w:bottom w:val="single" w:color="000000" w:sz="4" w:space="0"/>
            </w:tcBorders>
          </w:tcPr>
          <w:p w14:paraId="58B17905">
            <w:pPr>
              <w:pStyle w:val="22"/>
              <w:spacing w:line="360" w:lineRule="auto"/>
              <w:rPr>
                <w:rFonts w:ascii="Arial" w:hAnsi="Arial" w:eastAsia="Arial"/>
                <w:sz w:val="24"/>
                <w:szCs w:val="24"/>
              </w:rPr>
            </w:pPr>
            <w:r>
              <w:rPr>
                <w:rFonts w:ascii="Arial" w:hAnsi="Arial" w:eastAsia="Arial"/>
                <w:b/>
                <w:sz w:val="24"/>
                <w:szCs w:val="24"/>
              </w:rPr>
              <w:t>(6.1%)</w:t>
            </w:r>
          </w:p>
        </w:tc>
        <w:tc>
          <w:tcPr>
            <w:tcW w:w="1660" w:type="dxa"/>
            <w:tcBorders>
              <w:left w:val="single" w:color="000000" w:sz="4" w:space="0"/>
              <w:bottom w:val="single" w:color="000000" w:sz="4" w:space="0"/>
            </w:tcBorders>
          </w:tcPr>
          <w:p w14:paraId="7476A6D3">
            <w:pPr>
              <w:pStyle w:val="22"/>
              <w:spacing w:line="360" w:lineRule="auto"/>
              <w:rPr>
                <w:rFonts w:ascii="Arial" w:hAnsi="Arial" w:eastAsia="Arial"/>
                <w:sz w:val="24"/>
                <w:szCs w:val="24"/>
              </w:rPr>
            </w:pPr>
            <w:r>
              <w:rPr>
                <w:rFonts w:ascii="Arial" w:hAnsi="Arial" w:eastAsia="Arial"/>
                <w:b/>
                <w:sz w:val="24"/>
                <w:szCs w:val="24"/>
              </w:rPr>
              <w:t>(0.1%)</w:t>
            </w:r>
          </w:p>
        </w:tc>
        <w:tc>
          <w:tcPr>
            <w:tcW w:w="1663" w:type="dxa"/>
            <w:tcBorders>
              <w:left w:val="single" w:color="000000" w:sz="4" w:space="0"/>
              <w:bottom w:val="single" w:color="000000" w:sz="4" w:space="0"/>
            </w:tcBorders>
          </w:tcPr>
          <w:p w14:paraId="1E2EC8F8">
            <w:pPr>
              <w:pStyle w:val="22"/>
              <w:spacing w:line="360" w:lineRule="auto"/>
              <w:rPr>
                <w:rFonts w:ascii="Arial" w:hAnsi="Arial" w:eastAsia="Arial"/>
                <w:sz w:val="24"/>
                <w:szCs w:val="24"/>
              </w:rPr>
            </w:pPr>
            <w:r>
              <w:rPr>
                <w:rFonts w:ascii="Arial" w:hAnsi="Arial" w:eastAsia="Arial"/>
                <w:b/>
                <w:sz w:val="24"/>
                <w:szCs w:val="24"/>
              </w:rPr>
              <w:t>3.3%</w:t>
            </w:r>
          </w:p>
        </w:tc>
        <w:tc>
          <w:tcPr>
            <w:tcW w:w="1661" w:type="dxa"/>
            <w:tcBorders>
              <w:left w:val="single" w:color="000000" w:sz="4" w:space="0"/>
              <w:bottom w:val="single" w:color="000000" w:sz="4" w:space="0"/>
            </w:tcBorders>
          </w:tcPr>
          <w:p w14:paraId="12DC5785">
            <w:pPr>
              <w:pStyle w:val="22"/>
              <w:spacing w:line="360" w:lineRule="auto"/>
              <w:rPr>
                <w:rFonts w:ascii="Arial" w:hAnsi="Arial" w:eastAsia="Arial"/>
                <w:sz w:val="24"/>
                <w:szCs w:val="24"/>
              </w:rPr>
            </w:pPr>
            <w:r>
              <w:rPr>
                <w:rFonts w:ascii="Arial" w:hAnsi="Arial" w:eastAsia="Arial"/>
                <w:b/>
                <w:sz w:val="24"/>
                <w:szCs w:val="24"/>
              </w:rPr>
              <w:t>4.2%</w:t>
            </w:r>
          </w:p>
        </w:tc>
        <w:tc>
          <w:tcPr>
            <w:tcW w:w="1663" w:type="dxa"/>
            <w:tcBorders>
              <w:left w:val="single" w:color="000000" w:sz="4" w:space="0"/>
              <w:bottom w:val="single" w:color="000000" w:sz="4" w:space="0"/>
              <w:right w:val="single" w:color="000000" w:sz="4" w:space="0"/>
            </w:tcBorders>
          </w:tcPr>
          <w:p w14:paraId="3B53DC4F">
            <w:pPr>
              <w:pStyle w:val="22"/>
              <w:spacing w:line="360" w:lineRule="auto"/>
              <w:rPr>
                <w:rFonts w:ascii="Arial" w:hAnsi="Arial" w:eastAsia="Arial"/>
                <w:sz w:val="24"/>
                <w:szCs w:val="24"/>
              </w:rPr>
            </w:pPr>
            <w:r>
              <w:rPr>
                <w:rFonts w:ascii="Arial" w:hAnsi="Arial" w:eastAsia="Arial"/>
                <w:b/>
                <w:sz w:val="24"/>
                <w:szCs w:val="24"/>
              </w:rPr>
              <w:t>3.5%</w:t>
            </w:r>
          </w:p>
        </w:tc>
      </w:tr>
    </w:tbl>
    <w:p w14:paraId="2062EC9D">
      <w:pPr>
        <w:pStyle w:val="4"/>
        <w:spacing w:line="360" w:lineRule="auto"/>
        <w:rPr>
          <w:rFonts w:ascii="Arial" w:hAnsi="Arial" w:eastAsia="Arial"/>
          <w:sz w:val="24"/>
          <w:szCs w:val="24"/>
        </w:rPr>
      </w:pPr>
    </w:p>
    <w:p w14:paraId="37AB7DBE">
      <w:pPr>
        <w:pStyle w:val="4"/>
        <w:spacing w:line="360" w:lineRule="auto"/>
        <w:rPr>
          <w:rFonts w:ascii="Arial" w:hAnsi="Arial" w:eastAsia="Arial"/>
          <w:sz w:val="24"/>
          <w:szCs w:val="24"/>
        </w:rPr>
      </w:pPr>
      <w:r>
        <w:rPr>
          <w:rFonts w:ascii="Arial" w:hAnsi="Arial" w:eastAsia="Arial"/>
          <w:b/>
          <w:sz w:val="24"/>
          <w:szCs w:val="24"/>
        </w:rPr>
        <w:t>Liquidity Ratios</w:t>
      </w:r>
    </w:p>
    <w:tbl>
      <w:tblPr>
        <w:tblStyle w:val="8"/>
        <w:tblW w:w="5000" w:type="pct"/>
        <w:tblInd w:w="-5" w:type="dxa"/>
        <w:tblLayout w:type="fixed"/>
        <w:tblCellMar>
          <w:top w:w="55" w:type="dxa"/>
          <w:left w:w="55" w:type="dxa"/>
          <w:bottom w:w="55" w:type="dxa"/>
          <w:right w:w="55" w:type="dxa"/>
        </w:tblCellMar>
      </w:tblPr>
      <w:tblGrid>
        <w:gridCol w:w="1680"/>
        <w:gridCol w:w="1681"/>
        <w:gridCol w:w="1678"/>
        <w:gridCol w:w="1681"/>
        <w:gridCol w:w="1679"/>
        <w:gridCol w:w="1681"/>
      </w:tblGrid>
      <w:tr w14:paraId="7F311088">
        <w:tblPrEx>
          <w:tblCellMar>
            <w:top w:w="55" w:type="dxa"/>
            <w:left w:w="55" w:type="dxa"/>
            <w:bottom w:w="55" w:type="dxa"/>
            <w:right w:w="55" w:type="dxa"/>
          </w:tblCellMar>
        </w:tblPrEx>
        <w:trPr>
          <w:tblHeader/>
        </w:trPr>
        <w:tc>
          <w:tcPr>
            <w:tcW w:w="1662" w:type="dxa"/>
            <w:tcBorders>
              <w:top w:val="single" w:color="000000" w:sz="4" w:space="0"/>
              <w:left w:val="single" w:color="000000" w:sz="4" w:space="0"/>
              <w:bottom w:val="single" w:color="000000" w:sz="4" w:space="0"/>
            </w:tcBorders>
          </w:tcPr>
          <w:p w14:paraId="00F60183">
            <w:pPr>
              <w:pStyle w:val="23"/>
              <w:spacing w:line="360" w:lineRule="auto"/>
              <w:jc w:val="left"/>
              <w:rPr>
                <w:rFonts w:ascii="Arial" w:hAnsi="Arial" w:eastAsia="Arial"/>
                <w:sz w:val="24"/>
                <w:szCs w:val="24"/>
              </w:rPr>
            </w:pPr>
            <w:r>
              <w:rPr>
                <w:rFonts w:ascii="Arial" w:hAnsi="Arial" w:eastAsia="Arial"/>
                <w:sz w:val="24"/>
                <w:szCs w:val="24"/>
              </w:rPr>
              <w:t>Particulars (£m)</w:t>
            </w:r>
          </w:p>
        </w:tc>
        <w:tc>
          <w:tcPr>
            <w:tcW w:w="1663" w:type="dxa"/>
            <w:tcBorders>
              <w:top w:val="single" w:color="000000" w:sz="4" w:space="0"/>
              <w:left w:val="single" w:color="000000" w:sz="4" w:space="0"/>
              <w:bottom w:val="single" w:color="000000" w:sz="4" w:space="0"/>
            </w:tcBorders>
          </w:tcPr>
          <w:p w14:paraId="4AF48BF7">
            <w:pPr>
              <w:pStyle w:val="23"/>
              <w:spacing w:line="360" w:lineRule="auto"/>
              <w:jc w:val="left"/>
              <w:rPr>
                <w:rFonts w:ascii="Arial" w:hAnsi="Arial" w:eastAsia="Arial"/>
                <w:sz w:val="24"/>
                <w:szCs w:val="24"/>
              </w:rPr>
            </w:pPr>
            <w:r>
              <w:rPr>
                <w:rFonts w:ascii="Arial" w:hAnsi="Arial" w:eastAsia="Arial"/>
                <w:sz w:val="24"/>
                <w:szCs w:val="24"/>
              </w:rPr>
              <w:t>2021</w:t>
            </w:r>
          </w:p>
        </w:tc>
        <w:tc>
          <w:tcPr>
            <w:tcW w:w="1660" w:type="dxa"/>
            <w:tcBorders>
              <w:top w:val="single" w:color="000000" w:sz="4" w:space="0"/>
              <w:left w:val="single" w:color="000000" w:sz="4" w:space="0"/>
              <w:bottom w:val="single" w:color="000000" w:sz="4" w:space="0"/>
            </w:tcBorders>
          </w:tcPr>
          <w:p w14:paraId="05BC8230">
            <w:pPr>
              <w:pStyle w:val="23"/>
              <w:spacing w:line="360" w:lineRule="auto"/>
              <w:jc w:val="left"/>
              <w:rPr>
                <w:rFonts w:ascii="Arial" w:hAnsi="Arial" w:eastAsia="Arial"/>
                <w:sz w:val="24"/>
                <w:szCs w:val="24"/>
              </w:rPr>
            </w:pPr>
            <w:r>
              <w:rPr>
                <w:rFonts w:ascii="Arial" w:hAnsi="Arial" w:eastAsia="Arial"/>
                <w:sz w:val="24"/>
                <w:szCs w:val="24"/>
              </w:rPr>
              <w:t>2022</w:t>
            </w:r>
          </w:p>
        </w:tc>
        <w:tc>
          <w:tcPr>
            <w:tcW w:w="1663" w:type="dxa"/>
            <w:tcBorders>
              <w:top w:val="single" w:color="000000" w:sz="4" w:space="0"/>
              <w:left w:val="single" w:color="000000" w:sz="4" w:space="0"/>
              <w:bottom w:val="single" w:color="000000" w:sz="4" w:space="0"/>
            </w:tcBorders>
          </w:tcPr>
          <w:p w14:paraId="382595F2">
            <w:pPr>
              <w:pStyle w:val="23"/>
              <w:spacing w:line="360" w:lineRule="auto"/>
              <w:jc w:val="left"/>
              <w:rPr>
                <w:rFonts w:ascii="Arial" w:hAnsi="Arial" w:eastAsia="Arial"/>
                <w:sz w:val="24"/>
                <w:szCs w:val="24"/>
              </w:rPr>
            </w:pPr>
            <w:r>
              <w:rPr>
                <w:rFonts w:ascii="Arial" w:hAnsi="Arial" w:eastAsia="Arial"/>
                <w:sz w:val="24"/>
                <w:szCs w:val="24"/>
              </w:rPr>
              <w:t>2023</w:t>
            </w:r>
          </w:p>
        </w:tc>
        <w:tc>
          <w:tcPr>
            <w:tcW w:w="1661" w:type="dxa"/>
            <w:tcBorders>
              <w:top w:val="single" w:color="000000" w:sz="4" w:space="0"/>
              <w:left w:val="single" w:color="000000" w:sz="4" w:space="0"/>
              <w:bottom w:val="single" w:color="000000" w:sz="4" w:space="0"/>
            </w:tcBorders>
          </w:tcPr>
          <w:p w14:paraId="70F45227">
            <w:pPr>
              <w:pStyle w:val="23"/>
              <w:spacing w:line="360" w:lineRule="auto"/>
              <w:jc w:val="left"/>
              <w:rPr>
                <w:rFonts w:ascii="Arial" w:hAnsi="Arial" w:eastAsia="Arial"/>
                <w:sz w:val="24"/>
                <w:szCs w:val="24"/>
              </w:rPr>
            </w:pPr>
            <w:r>
              <w:rPr>
                <w:rFonts w:ascii="Arial" w:hAnsi="Arial" w:eastAsia="Arial"/>
                <w:sz w:val="24"/>
                <w:szCs w:val="24"/>
              </w:rPr>
              <w:t>2024</w:t>
            </w:r>
          </w:p>
        </w:tc>
        <w:tc>
          <w:tcPr>
            <w:tcW w:w="1663" w:type="dxa"/>
            <w:tcBorders>
              <w:top w:val="single" w:color="000000" w:sz="4" w:space="0"/>
              <w:left w:val="single" w:color="000000" w:sz="4" w:space="0"/>
              <w:bottom w:val="single" w:color="000000" w:sz="4" w:space="0"/>
              <w:right w:val="single" w:color="000000" w:sz="4" w:space="0"/>
            </w:tcBorders>
          </w:tcPr>
          <w:p w14:paraId="18DA2BF7">
            <w:pPr>
              <w:pStyle w:val="23"/>
              <w:spacing w:line="360" w:lineRule="auto"/>
              <w:jc w:val="left"/>
              <w:rPr>
                <w:rFonts w:ascii="Arial" w:hAnsi="Arial" w:eastAsia="Arial"/>
                <w:sz w:val="24"/>
                <w:szCs w:val="24"/>
              </w:rPr>
            </w:pPr>
            <w:r>
              <w:rPr>
                <w:rFonts w:ascii="Arial" w:hAnsi="Arial" w:eastAsia="Arial"/>
                <w:sz w:val="24"/>
                <w:szCs w:val="24"/>
              </w:rPr>
              <w:t>2025</w:t>
            </w:r>
          </w:p>
        </w:tc>
      </w:tr>
      <w:tr w14:paraId="7D12A797">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4F7E4E9F">
            <w:pPr>
              <w:pStyle w:val="22"/>
              <w:spacing w:line="360" w:lineRule="auto"/>
              <w:rPr>
                <w:rFonts w:ascii="Arial" w:hAnsi="Arial" w:eastAsia="Arial"/>
                <w:sz w:val="24"/>
                <w:szCs w:val="24"/>
              </w:rPr>
            </w:pPr>
            <w:r>
              <w:rPr>
                <w:rFonts w:ascii="Arial" w:hAnsi="Arial" w:eastAsia="Arial"/>
                <w:sz w:val="24"/>
                <w:szCs w:val="24"/>
              </w:rPr>
              <w:t>Current Assets</w:t>
            </w:r>
          </w:p>
        </w:tc>
        <w:tc>
          <w:tcPr>
            <w:tcW w:w="1663" w:type="dxa"/>
            <w:tcBorders>
              <w:left w:val="single" w:color="000000" w:sz="4" w:space="0"/>
              <w:bottom w:val="single" w:color="000000" w:sz="4" w:space="0"/>
            </w:tcBorders>
          </w:tcPr>
          <w:p w14:paraId="3186148C">
            <w:pPr>
              <w:pStyle w:val="22"/>
              <w:spacing w:line="360" w:lineRule="auto"/>
              <w:rPr>
                <w:rFonts w:ascii="Arial" w:hAnsi="Arial" w:eastAsia="Arial"/>
                <w:sz w:val="24"/>
                <w:szCs w:val="24"/>
              </w:rPr>
            </w:pPr>
            <w:r>
              <w:rPr>
                <w:rFonts w:ascii="Arial" w:hAnsi="Arial" w:eastAsia="Arial"/>
                <w:sz w:val="24"/>
                <w:szCs w:val="24"/>
              </w:rPr>
              <w:t>1,350.5</w:t>
            </w:r>
          </w:p>
        </w:tc>
        <w:tc>
          <w:tcPr>
            <w:tcW w:w="1660" w:type="dxa"/>
            <w:tcBorders>
              <w:left w:val="single" w:color="000000" w:sz="4" w:space="0"/>
              <w:bottom w:val="single" w:color="000000" w:sz="4" w:space="0"/>
            </w:tcBorders>
          </w:tcPr>
          <w:p w14:paraId="1EC380F5">
            <w:pPr>
              <w:pStyle w:val="22"/>
              <w:spacing w:line="360" w:lineRule="auto"/>
              <w:rPr>
                <w:rFonts w:ascii="Arial" w:hAnsi="Arial" w:eastAsia="Arial"/>
                <w:sz w:val="24"/>
                <w:szCs w:val="24"/>
              </w:rPr>
            </w:pPr>
            <w:r>
              <w:rPr>
                <w:rFonts w:ascii="Arial" w:hAnsi="Arial" w:eastAsia="Arial"/>
                <w:sz w:val="24"/>
                <w:szCs w:val="24"/>
              </w:rPr>
              <w:t>1,268.2</w:t>
            </w:r>
          </w:p>
        </w:tc>
        <w:tc>
          <w:tcPr>
            <w:tcW w:w="1663" w:type="dxa"/>
            <w:tcBorders>
              <w:left w:val="single" w:color="000000" w:sz="4" w:space="0"/>
              <w:bottom w:val="single" w:color="000000" w:sz="4" w:space="0"/>
            </w:tcBorders>
          </w:tcPr>
          <w:p w14:paraId="14CF1911">
            <w:pPr>
              <w:pStyle w:val="22"/>
              <w:spacing w:line="360" w:lineRule="auto"/>
              <w:rPr>
                <w:rFonts w:ascii="Arial" w:hAnsi="Arial" w:eastAsia="Arial"/>
                <w:sz w:val="24"/>
                <w:szCs w:val="24"/>
              </w:rPr>
            </w:pPr>
            <w:r>
              <w:rPr>
                <w:rFonts w:ascii="Arial" w:hAnsi="Arial" w:eastAsia="Arial"/>
                <w:sz w:val="24"/>
                <w:szCs w:val="24"/>
              </w:rPr>
              <w:t>1,328.3</w:t>
            </w:r>
          </w:p>
        </w:tc>
        <w:tc>
          <w:tcPr>
            <w:tcW w:w="1661" w:type="dxa"/>
            <w:tcBorders>
              <w:left w:val="single" w:color="000000" w:sz="4" w:space="0"/>
              <w:bottom w:val="single" w:color="000000" w:sz="4" w:space="0"/>
            </w:tcBorders>
          </w:tcPr>
          <w:p w14:paraId="5113E1AF">
            <w:pPr>
              <w:pStyle w:val="22"/>
              <w:spacing w:line="360" w:lineRule="auto"/>
              <w:rPr>
                <w:rFonts w:ascii="Arial" w:hAnsi="Arial" w:eastAsia="Arial"/>
                <w:sz w:val="24"/>
                <w:szCs w:val="24"/>
              </w:rPr>
            </w:pPr>
            <w:r>
              <w:rPr>
                <w:rFonts w:ascii="Arial" w:hAnsi="Arial" w:eastAsia="Arial"/>
                <w:sz w:val="24"/>
                <w:szCs w:val="24"/>
              </w:rPr>
              <w:t>837.2</w:t>
            </w:r>
          </w:p>
        </w:tc>
        <w:tc>
          <w:tcPr>
            <w:tcW w:w="1663" w:type="dxa"/>
            <w:tcBorders>
              <w:left w:val="single" w:color="000000" w:sz="4" w:space="0"/>
              <w:bottom w:val="single" w:color="000000" w:sz="4" w:space="0"/>
              <w:right w:val="single" w:color="000000" w:sz="4" w:space="0"/>
            </w:tcBorders>
          </w:tcPr>
          <w:p w14:paraId="7B3B8DB4">
            <w:pPr>
              <w:pStyle w:val="22"/>
              <w:spacing w:line="360" w:lineRule="auto"/>
              <w:rPr>
                <w:rFonts w:ascii="Arial" w:hAnsi="Arial" w:eastAsia="Arial"/>
                <w:sz w:val="24"/>
                <w:szCs w:val="24"/>
              </w:rPr>
            </w:pPr>
            <w:r>
              <w:rPr>
                <w:rFonts w:ascii="Arial" w:hAnsi="Arial" w:eastAsia="Arial"/>
                <w:sz w:val="24"/>
                <w:szCs w:val="24"/>
              </w:rPr>
              <w:t>1,073.1</w:t>
            </w:r>
          </w:p>
        </w:tc>
      </w:tr>
      <w:tr w14:paraId="32F6FF1A">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0014BB6F">
            <w:pPr>
              <w:pStyle w:val="22"/>
              <w:spacing w:line="360" w:lineRule="auto"/>
              <w:rPr>
                <w:rFonts w:ascii="Arial" w:hAnsi="Arial" w:eastAsia="Arial"/>
                <w:sz w:val="24"/>
                <w:szCs w:val="24"/>
              </w:rPr>
            </w:pPr>
            <w:r>
              <w:rPr>
                <w:rFonts w:ascii="Arial" w:hAnsi="Arial" w:eastAsia="Arial"/>
                <w:sz w:val="24"/>
                <w:szCs w:val="24"/>
              </w:rPr>
              <w:t>Current Liabilities</w:t>
            </w:r>
          </w:p>
        </w:tc>
        <w:tc>
          <w:tcPr>
            <w:tcW w:w="1663" w:type="dxa"/>
            <w:tcBorders>
              <w:left w:val="single" w:color="000000" w:sz="4" w:space="0"/>
              <w:bottom w:val="single" w:color="000000" w:sz="4" w:space="0"/>
            </w:tcBorders>
          </w:tcPr>
          <w:p w14:paraId="1E7D252F">
            <w:pPr>
              <w:pStyle w:val="22"/>
              <w:spacing w:line="360" w:lineRule="auto"/>
              <w:rPr>
                <w:rFonts w:ascii="Arial" w:hAnsi="Arial" w:eastAsia="Arial"/>
                <w:sz w:val="24"/>
                <w:szCs w:val="24"/>
              </w:rPr>
            </w:pPr>
            <w:r>
              <w:rPr>
                <w:rFonts w:ascii="Arial" w:hAnsi="Arial" w:eastAsia="Arial"/>
                <w:sz w:val="24"/>
                <w:szCs w:val="24"/>
              </w:rPr>
              <w:t>775.3</w:t>
            </w:r>
          </w:p>
        </w:tc>
        <w:tc>
          <w:tcPr>
            <w:tcW w:w="1660" w:type="dxa"/>
            <w:tcBorders>
              <w:left w:val="single" w:color="000000" w:sz="4" w:space="0"/>
              <w:bottom w:val="single" w:color="000000" w:sz="4" w:space="0"/>
            </w:tcBorders>
          </w:tcPr>
          <w:p w14:paraId="0E465FEB">
            <w:pPr>
              <w:pStyle w:val="22"/>
              <w:spacing w:line="360" w:lineRule="auto"/>
              <w:rPr>
                <w:rFonts w:ascii="Arial" w:hAnsi="Arial" w:eastAsia="Arial"/>
                <w:sz w:val="24"/>
                <w:szCs w:val="24"/>
              </w:rPr>
            </w:pPr>
            <w:r>
              <w:rPr>
                <w:rFonts w:ascii="Arial" w:hAnsi="Arial" w:eastAsia="Arial"/>
                <w:sz w:val="24"/>
                <w:szCs w:val="24"/>
              </w:rPr>
              <w:t>719.6</w:t>
            </w:r>
          </w:p>
        </w:tc>
        <w:tc>
          <w:tcPr>
            <w:tcW w:w="1663" w:type="dxa"/>
            <w:tcBorders>
              <w:left w:val="single" w:color="000000" w:sz="4" w:space="0"/>
              <w:bottom w:val="single" w:color="000000" w:sz="4" w:space="0"/>
            </w:tcBorders>
          </w:tcPr>
          <w:p w14:paraId="0603E132">
            <w:pPr>
              <w:pStyle w:val="22"/>
              <w:spacing w:line="360" w:lineRule="auto"/>
              <w:rPr>
                <w:rFonts w:ascii="Arial" w:hAnsi="Arial" w:eastAsia="Arial"/>
                <w:sz w:val="24"/>
                <w:szCs w:val="24"/>
              </w:rPr>
            </w:pPr>
            <w:r>
              <w:rPr>
                <w:rFonts w:ascii="Arial" w:hAnsi="Arial" w:eastAsia="Arial"/>
                <w:sz w:val="24"/>
                <w:szCs w:val="24"/>
              </w:rPr>
              <w:t>845.6</w:t>
            </w:r>
          </w:p>
        </w:tc>
        <w:tc>
          <w:tcPr>
            <w:tcW w:w="1661" w:type="dxa"/>
            <w:tcBorders>
              <w:left w:val="single" w:color="000000" w:sz="4" w:space="0"/>
              <w:bottom w:val="single" w:color="000000" w:sz="4" w:space="0"/>
            </w:tcBorders>
          </w:tcPr>
          <w:p w14:paraId="00EF0CF4">
            <w:pPr>
              <w:pStyle w:val="22"/>
              <w:spacing w:line="360" w:lineRule="auto"/>
              <w:rPr>
                <w:rFonts w:ascii="Arial" w:hAnsi="Arial" w:eastAsia="Arial"/>
                <w:sz w:val="24"/>
                <w:szCs w:val="24"/>
              </w:rPr>
            </w:pPr>
            <w:r>
              <w:rPr>
                <w:rFonts w:ascii="Arial" w:hAnsi="Arial" w:eastAsia="Arial"/>
                <w:sz w:val="24"/>
                <w:szCs w:val="24"/>
              </w:rPr>
              <w:t>870.4</w:t>
            </w:r>
          </w:p>
        </w:tc>
        <w:tc>
          <w:tcPr>
            <w:tcW w:w="1663" w:type="dxa"/>
            <w:tcBorders>
              <w:left w:val="single" w:color="000000" w:sz="4" w:space="0"/>
              <w:bottom w:val="single" w:color="000000" w:sz="4" w:space="0"/>
              <w:right w:val="single" w:color="000000" w:sz="4" w:space="0"/>
            </w:tcBorders>
          </w:tcPr>
          <w:p w14:paraId="56617561">
            <w:pPr>
              <w:pStyle w:val="22"/>
              <w:spacing w:line="360" w:lineRule="auto"/>
              <w:rPr>
                <w:rFonts w:ascii="Arial" w:hAnsi="Arial" w:eastAsia="Arial"/>
                <w:sz w:val="24"/>
                <w:szCs w:val="24"/>
              </w:rPr>
            </w:pPr>
            <w:r>
              <w:rPr>
                <w:rFonts w:ascii="Arial" w:hAnsi="Arial" w:eastAsia="Arial"/>
                <w:sz w:val="24"/>
                <w:szCs w:val="24"/>
              </w:rPr>
              <w:t>1,319.0</w:t>
            </w:r>
          </w:p>
        </w:tc>
      </w:tr>
      <w:tr w14:paraId="4B5AC2E9">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275848AE">
            <w:pPr>
              <w:pStyle w:val="22"/>
              <w:spacing w:line="360" w:lineRule="auto"/>
              <w:rPr>
                <w:rFonts w:ascii="Arial" w:hAnsi="Arial" w:eastAsia="Arial"/>
                <w:sz w:val="24"/>
                <w:szCs w:val="24"/>
              </w:rPr>
            </w:pPr>
            <w:r>
              <w:rPr>
                <w:rFonts w:ascii="Arial" w:hAnsi="Arial" w:eastAsia="Arial"/>
                <w:sz w:val="24"/>
                <w:szCs w:val="24"/>
              </w:rPr>
              <w:t>Cash &amp; Equivalents</w:t>
            </w:r>
          </w:p>
        </w:tc>
        <w:tc>
          <w:tcPr>
            <w:tcW w:w="1663" w:type="dxa"/>
            <w:tcBorders>
              <w:left w:val="single" w:color="000000" w:sz="4" w:space="0"/>
              <w:bottom w:val="single" w:color="000000" w:sz="4" w:space="0"/>
            </w:tcBorders>
          </w:tcPr>
          <w:p w14:paraId="335AF9BE">
            <w:pPr>
              <w:pStyle w:val="22"/>
              <w:spacing w:line="360" w:lineRule="auto"/>
              <w:rPr>
                <w:rFonts w:ascii="Arial" w:hAnsi="Arial" w:eastAsia="Arial"/>
                <w:sz w:val="24"/>
                <w:szCs w:val="24"/>
              </w:rPr>
            </w:pPr>
            <w:r>
              <w:rPr>
                <w:rFonts w:ascii="Arial" w:hAnsi="Arial" w:eastAsia="Arial"/>
                <w:sz w:val="24"/>
                <w:szCs w:val="24"/>
              </w:rPr>
              <w:t>1,256.0</w:t>
            </w:r>
          </w:p>
        </w:tc>
        <w:tc>
          <w:tcPr>
            <w:tcW w:w="1660" w:type="dxa"/>
            <w:tcBorders>
              <w:left w:val="single" w:color="000000" w:sz="4" w:space="0"/>
              <w:bottom w:val="single" w:color="000000" w:sz="4" w:space="0"/>
            </w:tcBorders>
          </w:tcPr>
          <w:p w14:paraId="7770B6B0">
            <w:pPr>
              <w:pStyle w:val="22"/>
              <w:spacing w:line="360" w:lineRule="auto"/>
              <w:rPr>
                <w:rFonts w:ascii="Arial" w:hAnsi="Arial" w:eastAsia="Arial"/>
                <w:sz w:val="24"/>
                <w:szCs w:val="24"/>
              </w:rPr>
            </w:pPr>
            <w:r>
              <w:rPr>
                <w:rFonts w:ascii="Arial" w:hAnsi="Arial" w:eastAsia="Arial"/>
                <w:sz w:val="24"/>
                <w:szCs w:val="24"/>
              </w:rPr>
              <w:t>1,132.4</w:t>
            </w:r>
          </w:p>
        </w:tc>
        <w:tc>
          <w:tcPr>
            <w:tcW w:w="1663" w:type="dxa"/>
            <w:tcBorders>
              <w:left w:val="single" w:color="000000" w:sz="4" w:space="0"/>
              <w:bottom w:val="single" w:color="000000" w:sz="4" w:space="0"/>
            </w:tcBorders>
          </w:tcPr>
          <w:p w14:paraId="38D29537">
            <w:pPr>
              <w:pStyle w:val="22"/>
              <w:spacing w:line="360" w:lineRule="auto"/>
              <w:rPr>
                <w:rFonts w:ascii="Arial" w:hAnsi="Arial" w:eastAsia="Arial"/>
                <w:sz w:val="24"/>
                <w:szCs w:val="24"/>
              </w:rPr>
            </w:pPr>
            <w:r>
              <w:rPr>
                <w:rFonts w:ascii="Arial" w:hAnsi="Arial" w:eastAsia="Arial"/>
                <w:sz w:val="24"/>
                <w:szCs w:val="24"/>
              </w:rPr>
              <w:t>1,164.8</w:t>
            </w:r>
          </w:p>
        </w:tc>
        <w:tc>
          <w:tcPr>
            <w:tcW w:w="1661" w:type="dxa"/>
            <w:tcBorders>
              <w:left w:val="single" w:color="000000" w:sz="4" w:space="0"/>
              <w:bottom w:val="single" w:color="000000" w:sz="4" w:space="0"/>
            </w:tcBorders>
          </w:tcPr>
          <w:p w14:paraId="71A9958B">
            <w:pPr>
              <w:pStyle w:val="22"/>
              <w:spacing w:line="360" w:lineRule="auto"/>
              <w:rPr>
                <w:rFonts w:ascii="Arial" w:hAnsi="Arial" w:eastAsia="Arial"/>
                <w:sz w:val="24"/>
                <w:szCs w:val="24"/>
              </w:rPr>
            </w:pPr>
            <w:r>
              <w:rPr>
                <w:rFonts w:ascii="Arial" w:hAnsi="Arial" w:eastAsia="Arial"/>
                <w:sz w:val="24"/>
                <w:szCs w:val="24"/>
              </w:rPr>
              <w:t>696.7</w:t>
            </w:r>
          </w:p>
        </w:tc>
        <w:tc>
          <w:tcPr>
            <w:tcW w:w="1663" w:type="dxa"/>
            <w:tcBorders>
              <w:left w:val="single" w:color="000000" w:sz="4" w:space="0"/>
              <w:bottom w:val="single" w:color="000000" w:sz="4" w:space="0"/>
              <w:right w:val="single" w:color="000000" w:sz="4" w:space="0"/>
            </w:tcBorders>
          </w:tcPr>
          <w:p w14:paraId="4ED479F1">
            <w:pPr>
              <w:pStyle w:val="22"/>
              <w:spacing w:line="360" w:lineRule="auto"/>
              <w:rPr>
                <w:rFonts w:ascii="Arial" w:hAnsi="Arial" w:eastAsia="Arial"/>
                <w:sz w:val="24"/>
                <w:szCs w:val="24"/>
              </w:rPr>
            </w:pPr>
            <w:r>
              <w:rPr>
                <w:rFonts w:ascii="Arial" w:hAnsi="Arial" w:eastAsia="Arial"/>
                <w:sz w:val="24"/>
                <w:szCs w:val="24"/>
              </w:rPr>
              <w:t>909.0</w:t>
            </w:r>
          </w:p>
        </w:tc>
      </w:tr>
      <w:tr w14:paraId="7DBF60CA">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4683A0A7">
            <w:pPr>
              <w:pStyle w:val="22"/>
              <w:spacing w:line="360" w:lineRule="auto"/>
              <w:rPr>
                <w:rFonts w:ascii="Arial" w:hAnsi="Arial" w:eastAsia="Arial"/>
                <w:sz w:val="24"/>
                <w:szCs w:val="24"/>
              </w:rPr>
            </w:pPr>
            <w:r>
              <w:rPr>
                <w:rFonts w:ascii="Arial" w:hAnsi="Arial" w:eastAsia="Arial"/>
                <w:b/>
                <w:sz w:val="24"/>
                <w:szCs w:val="24"/>
              </w:rPr>
              <w:t>Current Ratio</w:t>
            </w:r>
          </w:p>
        </w:tc>
        <w:tc>
          <w:tcPr>
            <w:tcW w:w="1663" w:type="dxa"/>
            <w:tcBorders>
              <w:left w:val="single" w:color="000000" w:sz="4" w:space="0"/>
              <w:bottom w:val="single" w:color="000000" w:sz="4" w:space="0"/>
            </w:tcBorders>
          </w:tcPr>
          <w:p w14:paraId="75B6BFB9">
            <w:pPr>
              <w:pStyle w:val="22"/>
              <w:spacing w:line="360" w:lineRule="auto"/>
              <w:rPr>
                <w:rFonts w:ascii="Arial" w:hAnsi="Arial" w:eastAsia="Arial"/>
                <w:sz w:val="24"/>
                <w:szCs w:val="24"/>
              </w:rPr>
            </w:pPr>
            <w:r>
              <w:rPr>
                <w:rFonts w:ascii="Arial" w:hAnsi="Arial" w:eastAsia="Arial"/>
                <w:b/>
                <w:sz w:val="24"/>
                <w:szCs w:val="24"/>
              </w:rPr>
              <w:t>1.74</w:t>
            </w:r>
          </w:p>
        </w:tc>
        <w:tc>
          <w:tcPr>
            <w:tcW w:w="1660" w:type="dxa"/>
            <w:tcBorders>
              <w:left w:val="single" w:color="000000" w:sz="4" w:space="0"/>
              <w:bottom w:val="single" w:color="000000" w:sz="4" w:space="0"/>
            </w:tcBorders>
          </w:tcPr>
          <w:p w14:paraId="765AD9DD">
            <w:pPr>
              <w:pStyle w:val="22"/>
              <w:spacing w:line="360" w:lineRule="auto"/>
              <w:rPr>
                <w:rFonts w:ascii="Arial" w:hAnsi="Arial" w:eastAsia="Arial"/>
                <w:sz w:val="24"/>
                <w:szCs w:val="24"/>
              </w:rPr>
            </w:pPr>
            <w:r>
              <w:rPr>
                <w:rFonts w:ascii="Arial" w:hAnsi="Arial" w:eastAsia="Arial"/>
                <w:b/>
                <w:sz w:val="24"/>
                <w:szCs w:val="24"/>
              </w:rPr>
              <w:t>1.76</w:t>
            </w:r>
          </w:p>
        </w:tc>
        <w:tc>
          <w:tcPr>
            <w:tcW w:w="1663" w:type="dxa"/>
            <w:tcBorders>
              <w:left w:val="single" w:color="000000" w:sz="4" w:space="0"/>
              <w:bottom w:val="single" w:color="000000" w:sz="4" w:space="0"/>
            </w:tcBorders>
          </w:tcPr>
          <w:p w14:paraId="1B45E77A">
            <w:pPr>
              <w:pStyle w:val="22"/>
              <w:spacing w:line="360" w:lineRule="auto"/>
              <w:rPr>
                <w:rFonts w:ascii="Arial" w:hAnsi="Arial" w:eastAsia="Arial"/>
                <w:sz w:val="24"/>
                <w:szCs w:val="24"/>
              </w:rPr>
            </w:pPr>
            <w:r>
              <w:rPr>
                <w:rFonts w:ascii="Arial" w:hAnsi="Arial" w:eastAsia="Arial"/>
                <w:b/>
                <w:sz w:val="24"/>
                <w:szCs w:val="24"/>
              </w:rPr>
              <w:t>1.57</w:t>
            </w:r>
          </w:p>
        </w:tc>
        <w:tc>
          <w:tcPr>
            <w:tcW w:w="1661" w:type="dxa"/>
            <w:tcBorders>
              <w:left w:val="single" w:color="000000" w:sz="4" w:space="0"/>
              <w:bottom w:val="single" w:color="000000" w:sz="4" w:space="0"/>
            </w:tcBorders>
          </w:tcPr>
          <w:p w14:paraId="5A12C450">
            <w:pPr>
              <w:pStyle w:val="22"/>
              <w:spacing w:line="360" w:lineRule="auto"/>
              <w:rPr>
                <w:rFonts w:ascii="Arial" w:hAnsi="Arial" w:eastAsia="Arial"/>
                <w:sz w:val="24"/>
                <w:szCs w:val="24"/>
              </w:rPr>
            </w:pPr>
            <w:r>
              <w:rPr>
                <w:rFonts w:ascii="Arial" w:hAnsi="Arial" w:eastAsia="Arial"/>
                <w:b/>
                <w:sz w:val="24"/>
                <w:szCs w:val="24"/>
              </w:rPr>
              <w:t>0.96</w:t>
            </w:r>
          </w:p>
        </w:tc>
        <w:tc>
          <w:tcPr>
            <w:tcW w:w="1663" w:type="dxa"/>
            <w:tcBorders>
              <w:left w:val="single" w:color="000000" w:sz="4" w:space="0"/>
              <w:bottom w:val="single" w:color="000000" w:sz="4" w:space="0"/>
              <w:right w:val="single" w:color="000000" w:sz="4" w:space="0"/>
            </w:tcBorders>
          </w:tcPr>
          <w:p w14:paraId="2241DCCB">
            <w:pPr>
              <w:pStyle w:val="22"/>
              <w:spacing w:line="360" w:lineRule="auto"/>
              <w:rPr>
                <w:rFonts w:ascii="Arial" w:hAnsi="Arial" w:eastAsia="Arial"/>
                <w:sz w:val="24"/>
                <w:szCs w:val="24"/>
              </w:rPr>
            </w:pPr>
            <w:r>
              <w:rPr>
                <w:rFonts w:ascii="Arial" w:hAnsi="Arial" w:eastAsia="Arial"/>
                <w:b/>
                <w:sz w:val="24"/>
                <w:szCs w:val="24"/>
              </w:rPr>
              <w:t>0.81</w:t>
            </w:r>
          </w:p>
        </w:tc>
      </w:tr>
      <w:tr w14:paraId="0C2A7F2E">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7666147E">
            <w:pPr>
              <w:pStyle w:val="22"/>
              <w:spacing w:line="360" w:lineRule="auto"/>
              <w:rPr>
                <w:rFonts w:ascii="Arial" w:hAnsi="Arial" w:eastAsia="Arial"/>
                <w:sz w:val="24"/>
                <w:szCs w:val="24"/>
              </w:rPr>
            </w:pPr>
            <w:r>
              <w:rPr>
                <w:rFonts w:ascii="Arial" w:hAnsi="Arial" w:eastAsia="Arial"/>
                <w:b/>
                <w:sz w:val="24"/>
                <w:szCs w:val="24"/>
              </w:rPr>
              <w:t>Cash Ratio</w:t>
            </w:r>
          </w:p>
        </w:tc>
        <w:tc>
          <w:tcPr>
            <w:tcW w:w="1663" w:type="dxa"/>
            <w:tcBorders>
              <w:left w:val="single" w:color="000000" w:sz="4" w:space="0"/>
              <w:bottom w:val="single" w:color="000000" w:sz="4" w:space="0"/>
            </w:tcBorders>
          </w:tcPr>
          <w:p w14:paraId="1617DA28">
            <w:pPr>
              <w:pStyle w:val="22"/>
              <w:spacing w:line="360" w:lineRule="auto"/>
              <w:rPr>
                <w:rFonts w:ascii="Arial" w:hAnsi="Arial" w:eastAsia="Arial"/>
                <w:sz w:val="24"/>
                <w:szCs w:val="24"/>
              </w:rPr>
            </w:pPr>
            <w:r>
              <w:rPr>
                <w:rFonts w:ascii="Arial" w:hAnsi="Arial" w:eastAsia="Arial"/>
                <w:b/>
                <w:sz w:val="24"/>
                <w:szCs w:val="24"/>
              </w:rPr>
              <w:t>1.62</w:t>
            </w:r>
          </w:p>
        </w:tc>
        <w:tc>
          <w:tcPr>
            <w:tcW w:w="1660" w:type="dxa"/>
            <w:tcBorders>
              <w:left w:val="single" w:color="000000" w:sz="4" w:space="0"/>
              <w:bottom w:val="single" w:color="000000" w:sz="4" w:space="0"/>
            </w:tcBorders>
          </w:tcPr>
          <w:p w14:paraId="31BE8287">
            <w:pPr>
              <w:pStyle w:val="22"/>
              <w:spacing w:line="360" w:lineRule="auto"/>
              <w:rPr>
                <w:rFonts w:ascii="Arial" w:hAnsi="Arial" w:eastAsia="Arial"/>
                <w:sz w:val="24"/>
                <w:szCs w:val="24"/>
              </w:rPr>
            </w:pPr>
            <w:r>
              <w:rPr>
                <w:rFonts w:ascii="Arial" w:hAnsi="Arial" w:eastAsia="Arial"/>
                <w:b/>
                <w:sz w:val="24"/>
                <w:szCs w:val="24"/>
              </w:rPr>
              <w:t>1.57</w:t>
            </w:r>
          </w:p>
        </w:tc>
        <w:tc>
          <w:tcPr>
            <w:tcW w:w="1663" w:type="dxa"/>
            <w:tcBorders>
              <w:left w:val="single" w:color="000000" w:sz="4" w:space="0"/>
              <w:bottom w:val="single" w:color="000000" w:sz="4" w:space="0"/>
            </w:tcBorders>
          </w:tcPr>
          <w:p w14:paraId="3A6C5CF9">
            <w:pPr>
              <w:pStyle w:val="22"/>
              <w:spacing w:line="360" w:lineRule="auto"/>
              <w:rPr>
                <w:rFonts w:ascii="Arial" w:hAnsi="Arial" w:eastAsia="Arial"/>
                <w:sz w:val="24"/>
                <w:szCs w:val="24"/>
              </w:rPr>
            </w:pPr>
            <w:r>
              <w:rPr>
                <w:rFonts w:ascii="Arial" w:hAnsi="Arial" w:eastAsia="Arial"/>
                <w:b/>
                <w:sz w:val="24"/>
                <w:szCs w:val="24"/>
              </w:rPr>
              <w:t>1.38</w:t>
            </w:r>
          </w:p>
        </w:tc>
        <w:tc>
          <w:tcPr>
            <w:tcW w:w="1661" w:type="dxa"/>
            <w:tcBorders>
              <w:left w:val="single" w:color="000000" w:sz="4" w:space="0"/>
              <w:bottom w:val="single" w:color="000000" w:sz="4" w:space="0"/>
            </w:tcBorders>
          </w:tcPr>
          <w:p w14:paraId="058B71AC">
            <w:pPr>
              <w:pStyle w:val="22"/>
              <w:spacing w:line="360" w:lineRule="auto"/>
              <w:rPr>
                <w:rFonts w:ascii="Arial" w:hAnsi="Arial" w:eastAsia="Arial"/>
                <w:sz w:val="24"/>
                <w:szCs w:val="24"/>
              </w:rPr>
            </w:pPr>
            <w:r>
              <w:rPr>
                <w:rFonts w:ascii="Arial" w:hAnsi="Arial" w:eastAsia="Arial"/>
                <w:b/>
                <w:sz w:val="24"/>
                <w:szCs w:val="24"/>
              </w:rPr>
              <w:t>0.80</w:t>
            </w:r>
          </w:p>
        </w:tc>
        <w:tc>
          <w:tcPr>
            <w:tcW w:w="1663" w:type="dxa"/>
            <w:tcBorders>
              <w:left w:val="single" w:color="000000" w:sz="4" w:space="0"/>
              <w:bottom w:val="single" w:color="000000" w:sz="4" w:space="0"/>
              <w:right w:val="single" w:color="000000" w:sz="4" w:space="0"/>
            </w:tcBorders>
          </w:tcPr>
          <w:p w14:paraId="269E9869">
            <w:pPr>
              <w:pStyle w:val="22"/>
              <w:spacing w:line="360" w:lineRule="auto"/>
              <w:rPr>
                <w:rFonts w:ascii="Arial" w:hAnsi="Arial" w:eastAsia="Arial"/>
                <w:sz w:val="24"/>
                <w:szCs w:val="24"/>
              </w:rPr>
            </w:pPr>
            <w:r>
              <w:rPr>
                <w:rFonts w:ascii="Arial" w:hAnsi="Arial" w:eastAsia="Arial"/>
                <w:b/>
                <w:sz w:val="24"/>
                <w:szCs w:val="24"/>
              </w:rPr>
              <w:t>0.69</w:t>
            </w:r>
          </w:p>
        </w:tc>
      </w:tr>
    </w:tbl>
    <w:p w14:paraId="30A76210">
      <w:pPr>
        <w:pStyle w:val="4"/>
        <w:spacing w:line="360" w:lineRule="auto"/>
        <w:rPr>
          <w:rFonts w:ascii="Arial" w:hAnsi="Arial" w:eastAsia="Arial"/>
          <w:sz w:val="24"/>
          <w:szCs w:val="24"/>
        </w:rPr>
      </w:pPr>
    </w:p>
    <w:p w14:paraId="137B20D5">
      <w:pPr>
        <w:pStyle w:val="4"/>
        <w:spacing w:line="360" w:lineRule="auto"/>
        <w:rPr>
          <w:rFonts w:ascii="Arial" w:hAnsi="Arial" w:eastAsia="Arial"/>
          <w:sz w:val="24"/>
          <w:szCs w:val="24"/>
        </w:rPr>
      </w:pPr>
      <w:r>
        <w:rPr>
          <w:rFonts w:ascii="Arial" w:hAnsi="Arial" w:eastAsia="Arial"/>
          <w:b/>
          <w:sz w:val="24"/>
          <w:szCs w:val="24"/>
        </w:rPr>
        <w:t>Efficiency Ratios</w:t>
      </w:r>
    </w:p>
    <w:tbl>
      <w:tblPr>
        <w:tblStyle w:val="8"/>
        <w:tblW w:w="5000" w:type="pct"/>
        <w:tblInd w:w="-5" w:type="dxa"/>
        <w:tblLayout w:type="fixed"/>
        <w:tblCellMar>
          <w:top w:w="55" w:type="dxa"/>
          <w:left w:w="55" w:type="dxa"/>
          <w:bottom w:w="55" w:type="dxa"/>
          <w:right w:w="55" w:type="dxa"/>
        </w:tblCellMar>
      </w:tblPr>
      <w:tblGrid>
        <w:gridCol w:w="1680"/>
        <w:gridCol w:w="1681"/>
        <w:gridCol w:w="1678"/>
        <w:gridCol w:w="1681"/>
        <w:gridCol w:w="1679"/>
        <w:gridCol w:w="1681"/>
      </w:tblGrid>
      <w:tr w14:paraId="66FCB77F">
        <w:tblPrEx>
          <w:tblCellMar>
            <w:top w:w="55" w:type="dxa"/>
            <w:left w:w="55" w:type="dxa"/>
            <w:bottom w:w="55" w:type="dxa"/>
            <w:right w:w="55" w:type="dxa"/>
          </w:tblCellMar>
        </w:tblPrEx>
        <w:trPr>
          <w:tblHeader/>
        </w:trPr>
        <w:tc>
          <w:tcPr>
            <w:tcW w:w="1662" w:type="dxa"/>
            <w:tcBorders>
              <w:top w:val="single" w:color="000000" w:sz="4" w:space="0"/>
              <w:left w:val="single" w:color="000000" w:sz="4" w:space="0"/>
              <w:bottom w:val="single" w:color="000000" w:sz="4" w:space="0"/>
            </w:tcBorders>
          </w:tcPr>
          <w:p w14:paraId="3AF47EB9">
            <w:pPr>
              <w:pStyle w:val="23"/>
              <w:spacing w:line="360" w:lineRule="auto"/>
              <w:jc w:val="left"/>
              <w:rPr>
                <w:rFonts w:ascii="Arial" w:hAnsi="Arial" w:eastAsia="Arial"/>
                <w:sz w:val="24"/>
                <w:szCs w:val="24"/>
              </w:rPr>
            </w:pPr>
            <w:r>
              <w:rPr>
                <w:rFonts w:ascii="Arial" w:hAnsi="Arial" w:eastAsia="Arial"/>
                <w:sz w:val="24"/>
                <w:szCs w:val="24"/>
              </w:rPr>
              <w:t>Particulars (£m)</w:t>
            </w:r>
          </w:p>
        </w:tc>
        <w:tc>
          <w:tcPr>
            <w:tcW w:w="1663" w:type="dxa"/>
            <w:tcBorders>
              <w:top w:val="single" w:color="000000" w:sz="4" w:space="0"/>
              <w:left w:val="single" w:color="000000" w:sz="4" w:space="0"/>
              <w:bottom w:val="single" w:color="000000" w:sz="4" w:space="0"/>
            </w:tcBorders>
          </w:tcPr>
          <w:p w14:paraId="3B6D6EDC">
            <w:pPr>
              <w:pStyle w:val="23"/>
              <w:spacing w:line="360" w:lineRule="auto"/>
              <w:jc w:val="left"/>
              <w:rPr>
                <w:rFonts w:ascii="Arial" w:hAnsi="Arial" w:eastAsia="Arial"/>
                <w:sz w:val="24"/>
                <w:szCs w:val="24"/>
              </w:rPr>
            </w:pPr>
            <w:r>
              <w:rPr>
                <w:rFonts w:ascii="Arial" w:hAnsi="Arial" w:eastAsia="Arial"/>
                <w:sz w:val="24"/>
                <w:szCs w:val="24"/>
              </w:rPr>
              <w:t>2021</w:t>
            </w:r>
          </w:p>
        </w:tc>
        <w:tc>
          <w:tcPr>
            <w:tcW w:w="1660" w:type="dxa"/>
            <w:tcBorders>
              <w:top w:val="single" w:color="000000" w:sz="4" w:space="0"/>
              <w:left w:val="single" w:color="000000" w:sz="4" w:space="0"/>
              <w:bottom w:val="single" w:color="000000" w:sz="4" w:space="0"/>
            </w:tcBorders>
          </w:tcPr>
          <w:p w14:paraId="11D6720F">
            <w:pPr>
              <w:pStyle w:val="23"/>
              <w:spacing w:line="360" w:lineRule="auto"/>
              <w:jc w:val="left"/>
              <w:rPr>
                <w:rFonts w:ascii="Arial" w:hAnsi="Arial" w:eastAsia="Arial"/>
                <w:sz w:val="24"/>
                <w:szCs w:val="24"/>
              </w:rPr>
            </w:pPr>
            <w:r>
              <w:rPr>
                <w:rFonts w:ascii="Arial" w:hAnsi="Arial" w:eastAsia="Arial"/>
                <w:sz w:val="24"/>
                <w:szCs w:val="24"/>
              </w:rPr>
              <w:t>2022</w:t>
            </w:r>
          </w:p>
        </w:tc>
        <w:tc>
          <w:tcPr>
            <w:tcW w:w="1663" w:type="dxa"/>
            <w:tcBorders>
              <w:top w:val="single" w:color="000000" w:sz="4" w:space="0"/>
              <w:left w:val="single" w:color="000000" w:sz="4" w:space="0"/>
              <w:bottom w:val="single" w:color="000000" w:sz="4" w:space="0"/>
            </w:tcBorders>
          </w:tcPr>
          <w:p w14:paraId="0C39967A">
            <w:pPr>
              <w:pStyle w:val="23"/>
              <w:spacing w:line="360" w:lineRule="auto"/>
              <w:jc w:val="left"/>
              <w:rPr>
                <w:rFonts w:ascii="Arial" w:hAnsi="Arial" w:eastAsia="Arial"/>
                <w:sz w:val="24"/>
                <w:szCs w:val="24"/>
              </w:rPr>
            </w:pPr>
            <w:r>
              <w:rPr>
                <w:rFonts w:ascii="Arial" w:hAnsi="Arial" w:eastAsia="Arial"/>
                <w:sz w:val="24"/>
                <w:szCs w:val="24"/>
              </w:rPr>
              <w:t>2023</w:t>
            </w:r>
          </w:p>
        </w:tc>
        <w:tc>
          <w:tcPr>
            <w:tcW w:w="1661" w:type="dxa"/>
            <w:tcBorders>
              <w:top w:val="single" w:color="000000" w:sz="4" w:space="0"/>
              <w:left w:val="single" w:color="000000" w:sz="4" w:space="0"/>
              <w:bottom w:val="single" w:color="000000" w:sz="4" w:space="0"/>
            </w:tcBorders>
          </w:tcPr>
          <w:p w14:paraId="19768412">
            <w:pPr>
              <w:pStyle w:val="23"/>
              <w:spacing w:line="360" w:lineRule="auto"/>
              <w:jc w:val="left"/>
              <w:rPr>
                <w:rFonts w:ascii="Arial" w:hAnsi="Arial" w:eastAsia="Arial"/>
                <w:sz w:val="24"/>
                <w:szCs w:val="24"/>
              </w:rPr>
            </w:pPr>
            <w:r>
              <w:rPr>
                <w:rFonts w:ascii="Arial" w:hAnsi="Arial" w:eastAsia="Arial"/>
                <w:sz w:val="24"/>
                <w:szCs w:val="24"/>
              </w:rPr>
              <w:t>2024</w:t>
            </w:r>
          </w:p>
        </w:tc>
        <w:tc>
          <w:tcPr>
            <w:tcW w:w="1663" w:type="dxa"/>
            <w:tcBorders>
              <w:top w:val="single" w:color="000000" w:sz="4" w:space="0"/>
              <w:left w:val="single" w:color="000000" w:sz="4" w:space="0"/>
              <w:bottom w:val="single" w:color="000000" w:sz="4" w:space="0"/>
              <w:right w:val="single" w:color="000000" w:sz="4" w:space="0"/>
            </w:tcBorders>
          </w:tcPr>
          <w:p w14:paraId="12505E40">
            <w:pPr>
              <w:pStyle w:val="23"/>
              <w:spacing w:line="360" w:lineRule="auto"/>
              <w:jc w:val="left"/>
              <w:rPr>
                <w:rFonts w:ascii="Arial" w:hAnsi="Arial" w:eastAsia="Arial"/>
                <w:sz w:val="24"/>
                <w:szCs w:val="24"/>
              </w:rPr>
            </w:pPr>
            <w:r>
              <w:rPr>
                <w:rFonts w:ascii="Arial" w:hAnsi="Arial" w:eastAsia="Arial"/>
                <w:sz w:val="24"/>
                <w:szCs w:val="24"/>
              </w:rPr>
              <w:t>2025</w:t>
            </w:r>
          </w:p>
        </w:tc>
      </w:tr>
      <w:tr w14:paraId="33459E73">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4072291D">
            <w:pPr>
              <w:pStyle w:val="22"/>
              <w:spacing w:line="360" w:lineRule="auto"/>
              <w:rPr>
                <w:rFonts w:ascii="Arial" w:hAnsi="Arial" w:eastAsia="Arial"/>
                <w:sz w:val="24"/>
                <w:szCs w:val="24"/>
              </w:rPr>
            </w:pPr>
            <w:r>
              <w:rPr>
                <w:rFonts w:ascii="Arial" w:hAnsi="Arial" w:eastAsia="Arial"/>
                <w:sz w:val="24"/>
                <w:szCs w:val="24"/>
              </w:rPr>
              <w:t>Revenue</w:t>
            </w:r>
          </w:p>
        </w:tc>
        <w:tc>
          <w:tcPr>
            <w:tcW w:w="1663" w:type="dxa"/>
            <w:tcBorders>
              <w:left w:val="single" w:color="000000" w:sz="4" w:space="0"/>
              <w:bottom w:val="single" w:color="000000" w:sz="4" w:space="0"/>
            </w:tcBorders>
          </w:tcPr>
          <w:p w14:paraId="39AC4CEB">
            <w:pPr>
              <w:pStyle w:val="22"/>
              <w:spacing w:line="360" w:lineRule="auto"/>
              <w:rPr>
                <w:rFonts w:ascii="Arial" w:hAnsi="Arial" w:eastAsia="Arial"/>
                <w:sz w:val="24"/>
                <w:szCs w:val="24"/>
              </w:rPr>
            </w:pPr>
            <w:r>
              <w:rPr>
                <w:rFonts w:ascii="Arial" w:hAnsi="Arial" w:eastAsia="Arial"/>
                <w:sz w:val="24"/>
                <w:szCs w:val="24"/>
              </w:rPr>
              <w:t>589.4</w:t>
            </w:r>
          </w:p>
        </w:tc>
        <w:tc>
          <w:tcPr>
            <w:tcW w:w="1660" w:type="dxa"/>
            <w:tcBorders>
              <w:left w:val="single" w:color="000000" w:sz="4" w:space="0"/>
              <w:bottom w:val="single" w:color="000000" w:sz="4" w:space="0"/>
            </w:tcBorders>
          </w:tcPr>
          <w:p w14:paraId="72239C8E">
            <w:pPr>
              <w:pStyle w:val="22"/>
              <w:spacing w:line="360" w:lineRule="auto"/>
              <w:rPr>
                <w:rFonts w:ascii="Arial" w:hAnsi="Arial" w:eastAsia="Arial"/>
                <w:sz w:val="24"/>
                <w:szCs w:val="24"/>
              </w:rPr>
            </w:pPr>
            <w:r>
              <w:rPr>
                <w:rFonts w:ascii="Arial" w:hAnsi="Arial" w:eastAsia="Arial"/>
                <w:sz w:val="24"/>
                <w:szCs w:val="24"/>
              </w:rPr>
              <w:t>1,703.4</w:t>
            </w:r>
          </w:p>
        </w:tc>
        <w:tc>
          <w:tcPr>
            <w:tcW w:w="1663" w:type="dxa"/>
            <w:tcBorders>
              <w:left w:val="single" w:color="000000" w:sz="4" w:space="0"/>
              <w:bottom w:val="single" w:color="000000" w:sz="4" w:space="0"/>
            </w:tcBorders>
          </w:tcPr>
          <w:p w14:paraId="7CB70232">
            <w:pPr>
              <w:pStyle w:val="22"/>
              <w:spacing w:line="360" w:lineRule="auto"/>
              <w:rPr>
                <w:rFonts w:ascii="Arial" w:hAnsi="Arial" w:eastAsia="Arial"/>
                <w:sz w:val="24"/>
                <w:szCs w:val="24"/>
              </w:rPr>
            </w:pPr>
            <w:r>
              <w:rPr>
                <w:rFonts w:ascii="Arial" w:hAnsi="Arial" w:eastAsia="Arial"/>
                <w:sz w:val="24"/>
                <w:szCs w:val="24"/>
              </w:rPr>
              <w:t>2,625.2</w:t>
            </w:r>
          </w:p>
        </w:tc>
        <w:tc>
          <w:tcPr>
            <w:tcW w:w="1661" w:type="dxa"/>
            <w:tcBorders>
              <w:left w:val="single" w:color="000000" w:sz="4" w:space="0"/>
              <w:bottom w:val="single" w:color="000000" w:sz="4" w:space="0"/>
            </w:tcBorders>
          </w:tcPr>
          <w:p w14:paraId="00784BE1">
            <w:pPr>
              <w:pStyle w:val="22"/>
              <w:spacing w:line="360" w:lineRule="auto"/>
              <w:rPr>
                <w:rFonts w:ascii="Arial" w:hAnsi="Arial" w:eastAsia="Arial"/>
                <w:sz w:val="24"/>
                <w:szCs w:val="24"/>
              </w:rPr>
            </w:pPr>
            <w:r>
              <w:rPr>
                <w:rFonts w:ascii="Arial" w:hAnsi="Arial" w:eastAsia="Arial"/>
                <w:sz w:val="24"/>
                <w:szCs w:val="24"/>
              </w:rPr>
              <w:t>2,959.9</w:t>
            </w:r>
          </w:p>
        </w:tc>
        <w:tc>
          <w:tcPr>
            <w:tcW w:w="1663" w:type="dxa"/>
            <w:tcBorders>
              <w:left w:val="single" w:color="000000" w:sz="4" w:space="0"/>
              <w:bottom w:val="single" w:color="000000" w:sz="4" w:space="0"/>
              <w:right w:val="single" w:color="000000" w:sz="4" w:space="0"/>
            </w:tcBorders>
          </w:tcPr>
          <w:p w14:paraId="1F0441E5">
            <w:pPr>
              <w:pStyle w:val="22"/>
              <w:spacing w:line="360" w:lineRule="auto"/>
              <w:rPr>
                <w:rFonts w:ascii="Arial" w:hAnsi="Arial" w:eastAsia="Arial"/>
                <w:sz w:val="24"/>
                <w:szCs w:val="24"/>
              </w:rPr>
            </w:pPr>
            <w:r>
              <w:rPr>
                <w:rFonts w:ascii="Arial" w:hAnsi="Arial" w:eastAsia="Arial"/>
                <w:sz w:val="24"/>
                <w:szCs w:val="24"/>
              </w:rPr>
              <w:t>2,921.9</w:t>
            </w:r>
          </w:p>
        </w:tc>
      </w:tr>
      <w:tr w14:paraId="1D008272">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77936FBB">
            <w:pPr>
              <w:pStyle w:val="22"/>
              <w:spacing w:line="360" w:lineRule="auto"/>
              <w:rPr>
                <w:rFonts w:ascii="Arial" w:hAnsi="Arial" w:eastAsia="Arial"/>
                <w:sz w:val="24"/>
                <w:szCs w:val="24"/>
              </w:rPr>
            </w:pPr>
            <w:r>
              <w:rPr>
                <w:rFonts w:ascii="Arial" w:hAnsi="Arial" w:eastAsia="Arial"/>
                <w:sz w:val="24"/>
                <w:szCs w:val="24"/>
              </w:rPr>
              <w:t>Total Assets</w:t>
            </w:r>
          </w:p>
        </w:tc>
        <w:tc>
          <w:tcPr>
            <w:tcW w:w="1663" w:type="dxa"/>
            <w:tcBorders>
              <w:left w:val="single" w:color="000000" w:sz="4" w:space="0"/>
              <w:bottom w:val="single" w:color="000000" w:sz="4" w:space="0"/>
            </w:tcBorders>
          </w:tcPr>
          <w:p w14:paraId="0F6E0E84">
            <w:pPr>
              <w:pStyle w:val="22"/>
              <w:spacing w:line="360" w:lineRule="auto"/>
              <w:rPr>
                <w:rFonts w:ascii="Arial" w:hAnsi="Arial" w:eastAsia="Arial"/>
                <w:sz w:val="24"/>
                <w:szCs w:val="24"/>
              </w:rPr>
            </w:pPr>
            <w:r>
              <w:rPr>
                <w:rFonts w:ascii="Arial" w:hAnsi="Arial" w:eastAsia="Arial"/>
                <w:sz w:val="24"/>
                <w:szCs w:val="24"/>
              </w:rPr>
              <w:t>8,798.6</w:t>
            </w:r>
          </w:p>
        </w:tc>
        <w:tc>
          <w:tcPr>
            <w:tcW w:w="1660" w:type="dxa"/>
            <w:tcBorders>
              <w:left w:val="single" w:color="000000" w:sz="4" w:space="0"/>
              <w:bottom w:val="single" w:color="000000" w:sz="4" w:space="0"/>
            </w:tcBorders>
          </w:tcPr>
          <w:p w14:paraId="0346F3C1">
            <w:pPr>
              <w:pStyle w:val="22"/>
              <w:spacing w:line="360" w:lineRule="auto"/>
              <w:rPr>
                <w:rFonts w:ascii="Arial" w:hAnsi="Arial" w:eastAsia="Arial"/>
                <w:sz w:val="24"/>
                <w:szCs w:val="24"/>
              </w:rPr>
            </w:pPr>
            <w:r>
              <w:rPr>
                <w:rFonts w:ascii="Arial" w:hAnsi="Arial" w:eastAsia="Arial"/>
                <w:sz w:val="24"/>
                <w:szCs w:val="24"/>
              </w:rPr>
              <w:t>9,566.5</w:t>
            </w:r>
          </w:p>
        </w:tc>
        <w:tc>
          <w:tcPr>
            <w:tcW w:w="1663" w:type="dxa"/>
            <w:tcBorders>
              <w:left w:val="single" w:color="000000" w:sz="4" w:space="0"/>
              <w:bottom w:val="single" w:color="000000" w:sz="4" w:space="0"/>
            </w:tcBorders>
          </w:tcPr>
          <w:p w14:paraId="5FD9894A">
            <w:pPr>
              <w:pStyle w:val="22"/>
              <w:spacing w:line="360" w:lineRule="auto"/>
              <w:rPr>
                <w:rFonts w:ascii="Arial" w:hAnsi="Arial" w:eastAsia="Arial"/>
                <w:sz w:val="24"/>
                <w:szCs w:val="24"/>
              </w:rPr>
            </w:pPr>
            <w:r>
              <w:rPr>
                <w:rFonts w:ascii="Arial" w:hAnsi="Arial" w:eastAsia="Arial"/>
                <w:sz w:val="24"/>
                <w:szCs w:val="24"/>
              </w:rPr>
              <w:t>9,942.8</w:t>
            </w:r>
          </w:p>
        </w:tc>
        <w:tc>
          <w:tcPr>
            <w:tcW w:w="1661" w:type="dxa"/>
            <w:tcBorders>
              <w:left w:val="single" w:color="000000" w:sz="4" w:space="0"/>
              <w:bottom w:val="single" w:color="000000" w:sz="4" w:space="0"/>
            </w:tcBorders>
          </w:tcPr>
          <w:p w14:paraId="1B4E3C11">
            <w:pPr>
              <w:pStyle w:val="22"/>
              <w:spacing w:line="360" w:lineRule="auto"/>
              <w:rPr>
                <w:rFonts w:ascii="Arial" w:hAnsi="Arial" w:eastAsia="Arial"/>
                <w:sz w:val="24"/>
                <w:szCs w:val="24"/>
              </w:rPr>
            </w:pPr>
            <w:r>
              <w:rPr>
                <w:rFonts w:ascii="Arial" w:hAnsi="Arial" w:eastAsia="Arial"/>
                <w:sz w:val="24"/>
                <w:szCs w:val="24"/>
              </w:rPr>
              <w:t>9,521.3</w:t>
            </w:r>
          </w:p>
        </w:tc>
        <w:tc>
          <w:tcPr>
            <w:tcW w:w="1663" w:type="dxa"/>
            <w:tcBorders>
              <w:left w:val="single" w:color="000000" w:sz="4" w:space="0"/>
              <w:bottom w:val="single" w:color="000000" w:sz="4" w:space="0"/>
              <w:right w:val="single" w:color="000000" w:sz="4" w:space="0"/>
            </w:tcBorders>
          </w:tcPr>
          <w:p w14:paraId="6EF5D830">
            <w:pPr>
              <w:pStyle w:val="22"/>
              <w:spacing w:line="360" w:lineRule="auto"/>
              <w:rPr>
                <w:rFonts w:ascii="Arial" w:hAnsi="Arial" w:eastAsia="Arial"/>
                <w:sz w:val="24"/>
                <w:szCs w:val="24"/>
              </w:rPr>
            </w:pPr>
            <w:r>
              <w:rPr>
                <w:rFonts w:ascii="Arial" w:hAnsi="Arial" w:eastAsia="Arial"/>
                <w:sz w:val="24"/>
                <w:szCs w:val="24"/>
              </w:rPr>
              <w:t>9,904.7</w:t>
            </w:r>
          </w:p>
        </w:tc>
      </w:tr>
      <w:tr w14:paraId="6CBF9CC0">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0728D125">
            <w:pPr>
              <w:pStyle w:val="22"/>
              <w:spacing w:line="360" w:lineRule="auto"/>
              <w:rPr>
                <w:rFonts w:ascii="Arial" w:hAnsi="Arial" w:eastAsia="Arial"/>
                <w:sz w:val="24"/>
                <w:szCs w:val="24"/>
              </w:rPr>
            </w:pPr>
            <w:r>
              <w:rPr>
                <w:rFonts w:ascii="Arial" w:hAnsi="Arial" w:eastAsia="Arial"/>
                <w:sz w:val="24"/>
                <w:szCs w:val="24"/>
              </w:rPr>
              <w:t>Accounts Receivable</w:t>
            </w:r>
          </w:p>
        </w:tc>
        <w:tc>
          <w:tcPr>
            <w:tcW w:w="1663" w:type="dxa"/>
            <w:tcBorders>
              <w:left w:val="single" w:color="000000" w:sz="4" w:space="0"/>
              <w:bottom w:val="single" w:color="000000" w:sz="4" w:space="0"/>
            </w:tcBorders>
          </w:tcPr>
          <w:p w14:paraId="3029D8D0">
            <w:pPr>
              <w:pStyle w:val="22"/>
              <w:spacing w:line="360" w:lineRule="auto"/>
              <w:rPr>
                <w:rFonts w:ascii="Arial" w:hAnsi="Arial" w:eastAsia="Arial"/>
                <w:sz w:val="24"/>
                <w:szCs w:val="24"/>
              </w:rPr>
            </w:pPr>
            <w:r>
              <w:rPr>
                <w:rFonts w:ascii="Arial" w:hAnsi="Arial" w:eastAsia="Arial"/>
                <w:sz w:val="24"/>
                <w:szCs w:val="24"/>
              </w:rPr>
              <w:t>22.1</w:t>
            </w:r>
          </w:p>
        </w:tc>
        <w:tc>
          <w:tcPr>
            <w:tcW w:w="1660" w:type="dxa"/>
            <w:tcBorders>
              <w:left w:val="single" w:color="000000" w:sz="4" w:space="0"/>
              <w:bottom w:val="single" w:color="000000" w:sz="4" w:space="0"/>
            </w:tcBorders>
          </w:tcPr>
          <w:p w14:paraId="34D9CA4B">
            <w:pPr>
              <w:pStyle w:val="22"/>
              <w:spacing w:line="360" w:lineRule="auto"/>
              <w:rPr>
                <w:rFonts w:ascii="Arial" w:hAnsi="Arial" w:eastAsia="Arial"/>
                <w:sz w:val="24"/>
                <w:szCs w:val="24"/>
              </w:rPr>
            </w:pPr>
            <w:r>
              <w:rPr>
                <w:rFonts w:ascii="Arial" w:hAnsi="Arial" w:eastAsia="Arial"/>
                <w:sz w:val="24"/>
                <w:szCs w:val="24"/>
              </w:rPr>
              <w:t>45.5</w:t>
            </w:r>
          </w:p>
        </w:tc>
        <w:tc>
          <w:tcPr>
            <w:tcW w:w="1663" w:type="dxa"/>
            <w:tcBorders>
              <w:left w:val="single" w:color="000000" w:sz="4" w:space="0"/>
              <w:bottom w:val="single" w:color="000000" w:sz="4" w:space="0"/>
            </w:tcBorders>
          </w:tcPr>
          <w:p w14:paraId="44A9038A">
            <w:pPr>
              <w:pStyle w:val="22"/>
              <w:spacing w:line="360" w:lineRule="auto"/>
              <w:rPr>
                <w:rFonts w:ascii="Arial" w:hAnsi="Arial" w:eastAsia="Arial"/>
                <w:sz w:val="24"/>
                <w:szCs w:val="24"/>
              </w:rPr>
            </w:pPr>
            <w:r>
              <w:rPr>
                <w:rFonts w:ascii="Arial" w:hAnsi="Arial" w:eastAsia="Arial"/>
                <w:sz w:val="24"/>
                <w:szCs w:val="24"/>
              </w:rPr>
              <w:t>46.0</w:t>
            </w:r>
          </w:p>
        </w:tc>
        <w:tc>
          <w:tcPr>
            <w:tcW w:w="1661" w:type="dxa"/>
            <w:tcBorders>
              <w:left w:val="single" w:color="000000" w:sz="4" w:space="0"/>
              <w:bottom w:val="single" w:color="000000" w:sz="4" w:space="0"/>
            </w:tcBorders>
          </w:tcPr>
          <w:p w14:paraId="1F98D4D0">
            <w:pPr>
              <w:pStyle w:val="22"/>
              <w:spacing w:line="360" w:lineRule="auto"/>
              <w:rPr>
                <w:rFonts w:ascii="Arial" w:hAnsi="Arial" w:eastAsia="Arial"/>
                <w:sz w:val="24"/>
                <w:szCs w:val="24"/>
              </w:rPr>
            </w:pPr>
            <w:r>
              <w:rPr>
                <w:rFonts w:ascii="Arial" w:hAnsi="Arial" w:eastAsia="Arial"/>
                <w:sz w:val="24"/>
                <w:szCs w:val="24"/>
              </w:rPr>
              <w:t>54.4</w:t>
            </w:r>
          </w:p>
        </w:tc>
        <w:tc>
          <w:tcPr>
            <w:tcW w:w="1663" w:type="dxa"/>
            <w:tcBorders>
              <w:left w:val="single" w:color="000000" w:sz="4" w:space="0"/>
              <w:bottom w:val="single" w:color="000000" w:sz="4" w:space="0"/>
              <w:right w:val="single" w:color="000000" w:sz="4" w:space="0"/>
            </w:tcBorders>
          </w:tcPr>
          <w:p w14:paraId="6E7548F3">
            <w:pPr>
              <w:pStyle w:val="22"/>
              <w:spacing w:line="360" w:lineRule="auto"/>
              <w:rPr>
                <w:rFonts w:ascii="Arial" w:hAnsi="Arial" w:eastAsia="Arial"/>
                <w:sz w:val="24"/>
                <w:szCs w:val="24"/>
              </w:rPr>
            </w:pPr>
            <w:r>
              <w:rPr>
                <w:rFonts w:ascii="Arial" w:hAnsi="Arial" w:eastAsia="Arial"/>
                <w:sz w:val="24"/>
                <w:szCs w:val="24"/>
              </w:rPr>
              <w:t>55.3</w:t>
            </w:r>
          </w:p>
        </w:tc>
      </w:tr>
      <w:tr w14:paraId="6CC572F5">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212EFC6D">
            <w:pPr>
              <w:pStyle w:val="22"/>
              <w:spacing w:line="360" w:lineRule="auto"/>
              <w:rPr>
                <w:rFonts w:ascii="Arial" w:hAnsi="Arial" w:eastAsia="Arial"/>
                <w:sz w:val="24"/>
                <w:szCs w:val="24"/>
              </w:rPr>
            </w:pPr>
            <w:r>
              <w:rPr>
                <w:rFonts w:ascii="Arial" w:hAnsi="Arial" w:eastAsia="Arial"/>
                <w:sz w:val="24"/>
                <w:szCs w:val="24"/>
              </w:rPr>
              <w:t>Cost of Sales</w:t>
            </w:r>
          </w:p>
        </w:tc>
        <w:tc>
          <w:tcPr>
            <w:tcW w:w="1663" w:type="dxa"/>
            <w:tcBorders>
              <w:left w:val="single" w:color="000000" w:sz="4" w:space="0"/>
              <w:bottom w:val="single" w:color="000000" w:sz="4" w:space="0"/>
            </w:tcBorders>
          </w:tcPr>
          <w:p w14:paraId="3641195E">
            <w:pPr>
              <w:pStyle w:val="22"/>
              <w:spacing w:line="360" w:lineRule="auto"/>
              <w:rPr>
                <w:rFonts w:ascii="Arial" w:hAnsi="Arial" w:eastAsia="Arial"/>
                <w:sz w:val="24"/>
                <w:szCs w:val="24"/>
              </w:rPr>
            </w:pPr>
            <w:r>
              <w:rPr>
                <w:rFonts w:ascii="Arial" w:hAnsi="Arial" w:eastAsia="Arial"/>
                <w:sz w:val="24"/>
                <w:szCs w:val="24"/>
              </w:rPr>
              <w:t>403.7</w:t>
            </w:r>
          </w:p>
        </w:tc>
        <w:tc>
          <w:tcPr>
            <w:tcW w:w="1660" w:type="dxa"/>
            <w:tcBorders>
              <w:left w:val="single" w:color="000000" w:sz="4" w:space="0"/>
              <w:bottom w:val="single" w:color="000000" w:sz="4" w:space="0"/>
            </w:tcBorders>
          </w:tcPr>
          <w:p w14:paraId="779000E8">
            <w:pPr>
              <w:pStyle w:val="22"/>
              <w:spacing w:line="360" w:lineRule="auto"/>
              <w:rPr>
                <w:rFonts w:ascii="Arial" w:hAnsi="Arial" w:eastAsia="Arial"/>
                <w:sz w:val="24"/>
                <w:szCs w:val="24"/>
              </w:rPr>
            </w:pPr>
            <w:r>
              <w:rPr>
                <w:rFonts w:ascii="Arial" w:hAnsi="Arial" w:eastAsia="Arial"/>
                <w:sz w:val="24"/>
                <w:szCs w:val="24"/>
              </w:rPr>
              <w:t>1,103.5</w:t>
            </w:r>
          </w:p>
        </w:tc>
        <w:tc>
          <w:tcPr>
            <w:tcW w:w="1663" w:type="dxa"/>
            <w:tcBorders>
              <w:left w:val="single" w:color="000000" w:sz="4" w:space="0"/>
              <w:bottom w:val="single" w:color="000000" w:sz="4" w:space="0"/>
            </w:tcBorders>
          </w:tcPr>
          <w:p w14:paraId="526F167A">
            <w:pPr>
              <w:pStyle w:val="22"/>
              <w:spacing w:line="360" w:lineRule="auto"/>
              <w:rPr>
                <w:rFonts w:ascii="Arial" w:hAnsi="Arial" w:eastAsia="Arial"/>
                <w:sz w:val="24"/>
                <w:szCs w:val="24"/>
              </w:rPr>
            </w:pPr>
            <w:r>
              <w:rPr>
                <w:rFonts w:ascii="Arial" w:hAnsi="Arial" w:eastAsia="Arial"/>
                <w:sz w:val="24"/>
                <w:szCs w:val="24"/>
              </w:rPr>
              <w:t>1,816.4</w:t>
            </w:r>
          </w:p>
        </w:tc>
        <w:tc>
          <w:tcPr>
            <w:tcW w:w="1661" w:type="dxa"/>
            <w:tcBorders>
              <w:left w:val="single" w:color="000000" w:sz="4" w:space="0"/>
              <w:bottom w:val="single" w:color="000000" w:sz="4" w:space="0"/>
            </w:tcBorders>
          </w:tcPr>
          <w:p w14:paraId="7A5CC5D0">
            <w:pPr>
              <w:pStyle w:val="22"/>
              <w:spacing w:line="360" w:lineRule="auto"/>
              <w:rPr>
                <w:rFonts w:ascii="Arial" w:hAnsi="Arial" w:eastAsia="Arial"/>
                <w:sz w:val="24"/>
                <w:szCs w:val="24"/>
              </w:rPr>
            </w:pPr>
            <w:r>
              <w:rPr>
                <w:rFonts w:ascii="Arial" w:hAnsi="Arial" w:eastAsia="Arial"/>
                <w:sz w:val="24"/>
                <w:szCs w:val="24"/>
              </w:rPr>
              <w:t>2,080.9</w:t>
            </w:r>
          </w:p>
        </w:tc>
        <w:tc>
          <w:tcPr>
            <w:tcW w:w="1663" w:type="dxa"/>
            <w:tcBorders>
              <w:left w:val="single" w:color="000000" w:sz="4" w:space="0"/>
              <w:bottom w:val="single" w:color="000000" w:sz="4" w:space="0"/>
              <w:right w:val="single" w:color="000000" w:sz="4" w:space="0"/>
            </w:tcBorders>
          </w:tcPr>
          <w:p w14:paraId="6C2732E2">
            <w:pPr>
              <w:pStyle w:val="22"/>
              <w:spacing w:line="360" w:lineRule="auto"/>
              <w:rPr>
                <w:rFonts w:ascii="Arial" w:hAnsi="Arial" w:eastAsia="Arial"/>
                <w:sz w:val="24"/>
                <w:szCs w:val="24"/>
              </w:rPr>
            </w:pPr>
            <w:r>
              <w:rPr>
                <w:rFonts w:ascii="Arial" w:hAnsi="Arial" w:eastAsia="Arial"/>
                <w:sz w:val="24"/>
                <w:szCs w:val="24"/>
              </w:rPr>
              <w:t>2,040.2</w:t>
            </w:r>
          </w:p>
        </w:tc>
      </w:tr>
      <w:tr w14:paraId="6D4A141F">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3637E1BE">
            <w:pPr>
              <w:pStyle w:val="22"/>
              <w:spacing w:line="360" w:lineRule="auto"/>
              <w:rPr>
                <w:rFonts w:ascii="Arial" w:hAnsi="Arial" w:eastAsia="Arial"/>
                <w:sz w:val="24"/>
                <w:szCs w:val="24"/>
              </w:rPr>
            </w:pPr>
            <w:r>
              <w:rPr>
                <w:rFonts w:ascii="Arial" w:hAnsi="Arial" w:eastAsia="Arial"/>
                <w:b/>
                <w:sz w:val="24"/>
                <w:szCs w:val="24"/>
              </w:rPr>
              <w:t>Asset Turnover</w:t>
            </w:r>
          </w:p>
        </w:tc>
        <w:tc>
          <w:tcPr>
            <w:tcW w:w="1663" w:type="dxa"/>
            <w:tcBorders>
              <w:left w:val="single" w:color="000000" w:sz="4" w:space="0"/>
              <w:bottom w:val="single" w:color="000000" w:sz="4" w:space="0"/>
            </w:tcBorders>
          </w:tcPr>
          <w:p w14:paraId="315F8C83">
            <w:pPr>
              <w:pStyle w:val="22"/>
              <w:spacing w:line="360" w:lineRule="auto"/>
              <w:rPr>
                <w:rFonts w:ascii="Arial" w:hAnsi="Arial" w:eastAsia="Arial"/>
                <w:sz w:val="24"/>
                <w:szCs w:val="24"/>
              </w:rPr>
            </w:pPr>
            <w:r>
              <w:rPr>
                <w:rFonts w:ascii="Arial" w:hAnsi="Arial" w:eastAsia="Arial"/>
                <w:b/>
                <w:sz w:val="24"/>
                <w:szCs w:val="24"/>
              </w:rPr>
              <w:t>0.07</w:t>
            </w:r>
          </w:p>
        </w:tc>
        <w:tc>
          <w:tcPr>
            <w:tcW w:w="1660" w:type="dxa"/>
            <w:tcBorders>
              <w:left w:val="single" w:color="000000" w:sz="4" w:space="0"/>
              <w:bottom w:val="single" w:color="000000" w:sz="4" w:space="0"/>
            </w:tcBorders>
          </w:tcPr>
          <w:p w14:paraId="12B190C2">
            <w:pPr>
              <w:pStyle w:val="22"/>
              <w:spacing w:line="360" w:lineRule="auto"/>
              <w:rPr>
                <w:rFonts w:ascii="Arial" w:hAnsi="Arial" w:eastAsia="Arial"/>
                <w:sz w:val="24"/>
                <w:szCs w:val="24"/>
              </w:rPr>
            </w:pPr>
            <w:r>
              <w:rPr>
                <w:rFonts w:ascii="Arial" w:hAnsi="Arial" w:eastAsia="Arial"/>
                <w:b/>
                <w:sz w:val="24"/>
                <w:szCs w:val="24"/>
              </w:rPr>
              <w:t>0.18</w:t>
            </w:r>
          </w:p>
        </w:tc>
        <w:tc>
          <w:tcPr>
            <w:tcW w:w="1663" w:type="dxa"/>
            <w:tcBorders>
              <w:left w:val="single" w:color="000000" w:sz="4" w:space="0"/>
              <w:bottom w:val="single" w:color="000000" w:sz="4" w:space="0"/>
            </w:tcBorders>
          </w:tcPr>
          <w:p w14:paraId="51BE53BF">
            <w:pPr>
              <w:pStyle w:val="22"/>
              <w:spacing w:line="360" w:lineRule="auto"/>
              <w:rPr>
                <w:rFonts w:ascii="Arial" w:hAnsi="Arial" w:eastAsia="Arial"/>
                <w:sz w:val="24"/>
                <w:szCs w:val="24"/>
              </w:rPr>
            </w:pPr>
            <w:r>
              <w:rPr>
                <w:rFonts w:ascii="Arial" w:hAnsi="Arial" w:eastAsia="Arial"/>
                <w:b/>
                <w:sz w:val="24"/>
                <w:szCs w:val="24"/>
              </w:rPr>
              <w:t>0.26</w:t>
            </w:r>
          </w:p>
        </w:tc>
        <w:tc>
          <w:tcPr>
            <w:tcW w:w="1661" w:type="dxa"/>
            <w:tcBorders>
              <w:left w:val="single" w:color="000000" w:sz="4" w:space="0"/>
              <w:bottom w:val="single" w:color="000000" w:sz="4" w:space="0"/>
            </w:tcBorders>
          </w:tcPr>
          <w:p w14:paraId="78DFBB6A">
            <w:pPr>
              <w:pStyle w:val="22"/>
              <w:spacing w:line="360" w:lineRule="auto"/>
              <w:rPr>
                <w:rFonts w:ascii="Arial" w:hAnsi="Arial" w:eastAsia="Arial"/>
                <w:sz w:val="24"/>
                <w:szCs w:val="24"/>
              </w:rPr>
            </w:pPr>
            <w:r>
              <w:rPr>
                <w:rFonts w:ascii="Arial" w:hAnsi="Arial" w:eastAsia="Arial"/>
                <w:b/>
                <w:sz w:val="24"/>
                <w:szCs w:val="24"/>
              </w:rPr>
              <w:t>0.31</w:t>
            </w:r>
          </w:p>
        </w:tc>
        <w:tc>
          <w:tcPr>
            <w:tcW w:w="1663" w:type="dxa"/>
            <w:tcBorders>
              <w:left w:val="single" w:color="000000" w:sz="4" w:space="0"/>
              <w:bottom w:val="single" w:color="000000" w:sz="4" w:space="0"/>
              <w:right w:val="single" w:color="000000" w:sz="4" w:space="0"/>
            </w:tcBorders>
          </w:tcPr>
          <w:p w14:paraId="61387F30">
            <w:pPr>
              <w:pStyle w:val="22"/>
              <w:spacing w:line="360" w:lineRule="auto"/>
              <w:rPr>
                <w:rFonts w:ascii="Arial" w:hAnsi="Arial" w:eastAsia="Arial"/>
                <w:sz w:val="24"/>
                <w:szCs w:val="24"/>
              </w:rPr>
            </w:pPr>
            <w:r>
              <w:rPr>
                <w:rFonts w:ascii="Arial" w:hAnsi="Arial" w:eastAsia="Arial"/>
                <w:b/>
                <w:sz w:val="24"/>
                <w:szCs w:val="24"/>
              </w:rPr>
              <w:t>0.29</w:t>
            </w:r>
          </w:p>
        </w:tc>
      </w:tr>
      <w:tr w14:paraId="00718C76">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47CB0B6A">
            <w:pPr>
              <w:pStyle w:val="22"/>
              <w:spacing w:line="360" w:lineRule="auto"/>
              <w:rPr>
                <w:rFonts w:ascii="Arial" w:hAnsi="Arial" w:eastAsia="Arial"/>
                <w:sz w:val="24"/>
                <w:szCs w:val="24"/>
              </w:rPr>
            </w:pPr>
            <w:r>
              <w:rPr>
                <w:rFonts w:ascii="Arial" w:hAnsi="Arial" w:eastAsia="Arial"/>
                <w:b/>
                <w:sz w:val="24"/>
                <w:szCs w:val="24"/>
              </w:rPr>
              <w:t>Receivable Turnover</w:t>
            </w:r>
          </w:p>
        </w:tc>
        <w:tc>
          <w:tcPr>
            <w:tcW w:w="1663" w:type="dxa"/>
            <w:tcBorders>
              <w:left w:val="single" w:color="000000" w:sz="4" w:space="0"/>
              <w:bottom w:val="single" w:color="000000" w:sz="4" w:space="0"/>
            </w:tcBorders>
          </w:tcPr>
          <w:p w14:paraId="67F628E1">
            <w:pPr>
              <w:pStyle w:val="22"/>
              <w:spacing w:line="360" w:lineRule="auto"/>
              <w:rPr>
                <w:rFonts w:ascii="Arial" w:hAnsi="Arial" w:eastAsia="Arial"/>
                <w:sz w:val="24"/>
                <w:szCs w:val="24"/>
              </w:rPr>
            </w:pPr>
            <w:r>
              <w:rPr>
                <w:rFonts w:ascii="Arial" w:hAnsi="Arial" w:eastAsia="Arial"/>
                <w:b/>
                <w:sz w:val="24"/>
                <w:szCs w:val="24"/>
              </w:rPr>
              <w:t>26.7</w:t>
            </w:r>
          </w:p>
        </w:tc>
        <w:tc>
          <w:tcPr>
            <w:tcW w:w="1660" w:type="dxa"/>
            <w:tcBorders>
              <w:left w:val="single" w:color="000000" w:sz="4" w:space="0"/>
              <w:bottom w:val="single" w:color="000000" w:sz="4" w:space="0"/>
            </w:tcBorders>
          </w:tcPr>
          <w:p w14:paraId="289FD6B3">
            <w:pPr>
              <w:pStyle w:val="22"/>
              <w:spacing w:line="360" w:lineRule="auto"/>
              <w:rPr>
                <w:rFonts w:ascii="Arial" w:hAnsi="Arial" w:eastAsia="Arial"/>
                <w:sz w:val="24"/>
                <w:szCs w:val="24"/>
              </w:rPr>
            </w:pPr>
            <w:r>
              <w:rPr>
                <w:rFonts w:ascii="Arial" w:hAnsi="Arial" w:eastAsia="Arial"/>
                <w:b/>
                <w:sz w:val="24"/>
                <w:szCs w:val="24"/>
              </w:rPr>
              <w:t>37.4</w:t>
            </w:r>
          </w:p>
        </w:tc>
        <w:tc>
          <w:tcPr>
            <w:tcW w:w="1663" w:type="dxa"/>
            <w:tcBorders>
              <w:left w:val="single" w:color="000000" w:sz="4" w:space="0"/>
              <w:bottom w:val="single" w:color="000000" w:sz="4" w:space="0"/>
            </w:tcBorders>
          </w:tcPr>
          <w:p w14:paraId="19931571">
            <w:pPr>
              <w:pStyle w:val="22"/>
              <w:spacing w:line="360" w:lineRule="auto"/>
              <w:rPr>
                <w:rFonts w:ascii="Arial" w:hAnsi="Arial" w:eastAsia="Arial"/>
                <w:sz w:val="24"/>
                <w:szCs w:val="24"/>
              </w:rPr>
            </w:pPr>
            <w:r>
              <w:rPr>
                <w:rFonts w:ascii="Arial" w:hAnsi="Arial" w:eastAsia="Arial"/>
                <w:b/>
                <w:sz w:val="24"/>
                <w:szCs w:val="24"/>
              </w:rPr>
              <w:t>57.1</w:t>
            </w:r>
          </w:p>
        </w:tc>
        <w:tc>
          <w:tcPr>
            <w:tcW w:w="1661" w:type="dxa"/>
            <w:tcBorders>
              <w:left w:val="single" w:color="000000" w:sz="4" w:space="0"/>
              <w:bottom w:val="single" w:color="000000" w:sz="4" w:space="0"/>
            </w:tcBorders>
          </w:tcPr>
          <w:p w14:paraId="32D743A9">
            <w:pPr>
              <w:pStyle w:val="22"/>
              <w:spacing w:line="360" w:lineRule="auto"/>
              <w:rPr>
                <w:rFonts w:ascii="Arial" w:hAnsi="Arial" w:eastAsia="Arial"/>
                <w:sz w:val="24"/>
                <w:szCs w:val="24"/>
              </w:rPr>
            </w:pPr>
            <w:r>
              <w:rPr>
                <w:rFonts w:ascii="Arial" w:hAnsi="Arial" w:eastAsia="Arial"/>
                <w:b/>
                <w:sz w:val="24"/>
                <w:szCs w:val="24"/>
              </w:rPr>
              <w:t>54.4</w:t>
            </w:r>
          </w:p>
        </w:tc>
        <w:tc>
          <w:tcPr>
            <w:tcW w:w="1663" w:type="dxa"/>
            <w:tcBorders>
              <w:left w:val="single" w:color="000000" w:sz="4" w:space="0"/>
              <w:bottom w:val="single" w:color="000000" w:sz="4" w:space="0"/>
              <w:right w:val="single" w:color="000000" w:sz="4" w:space="0"/>
            </w:tcBorders>
          </w:tcPr>
          <w:p w14:paraId="6A3B9202">
            <w:pPr>
              <w:pStyle w:val="22"/>
              <w:spacing w:line="360" w:lineRule="auto"/>
              <w:rPr>
                <w:rFonts w:ascii="Arial" w:hAnsi="Arial" w:eastAsia="Arial"/>
                <w:sz w:val="24"/>
                <w:szCs w:val="24"/>
              </w:rPr>
            </w:pPr>
            <w:r>
              <w:rPr>
                <w:rFonts w:ascii="Arial" w:hAnsi="Arial" w:eastAsia="Arial"/>
                <w:b/>
                <w:sz w:val="24"/>
                <w:szCs w:val="24"/>
              </w:rPr>
              <w:t>52.8</w:t>
            </w:r>
          </w:p>
        </w:tc>
      </w:tr>
      <w:tr w14:paraId="0EC5A8E9">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56F2F2FC">
            <w:pPr>
              <w:pStyle w:val="22"/>
              <w:spacing w:line="360" w:lineRule="auto"/>
              <w:rPr>
                <w:rFonts w:ascii="Arial" w:hAnsi="Arial" w:eastAsia="Arial"/>
                <w:sz w:val="24"/>
                <w:szCs w:val="24"/>
              </w:rPr>
            </w:pPr>
            <w:r>
              <w:rPr>
                <w:rFonts w:ascii="Arial" w:hAnsi="Arial" w:eastAsia="Arial"/>
                <w:b/>
                <w:sz w:val="24"/>
                <w:szCs w:val="24"/>
              </w:rPr>
              <w:t>Collection Period (Days)</w:t>
            </w:r>
          </w:p>
        </w:tc>
        <w:tc>
          <w:tcPr>
            <w:tcW w:w="1663" w:type="dxa"/>
            <w:tcBorders>
              <w:left w:val="single" w:color="000000" w:sz="4" w:space="0"/>
              <w:bottom w:val="single" w:color="000000" w:sz="4" w:space="0"/>
            </w:tcBorders>
          </w:tcPr>
          <w:p w14:paraId="3EA1010B">
            <w:pPr>
              <w:pStyle w:val="22"/>
              <w:spacing w:line="360" w:lineRule="auto"/>
              <w:rPr>
                <w:rFonts w:ascii="Arial" w:hAnsi="Arial" w:eastAsia="Arial"/>
                <w:sz w:val="24"/>
                <w:szCs w:val="24"/>
              </w:rPr>
            </w:pPr>
            <w:r>
              <w:rPr>
                <w:rFonts w:ascii="Arial" w:hAnsi="Arial" w:eastAsia="Arial"/>
                <w:b/>
                <w:sz w:val="24"/>
                <w:szCs w:val="24"/>
              </w:rPr>
              <w:t>13.7</w:t>
            </w:r>
          </w:p>
        </w:tc>
        <w:tc>
          <w:tcPr>
            <w:tcW w:w="1660" w:type="dxa"/>
            <w:tcBorders>
              <w:left w:val="single" w:color="000000" w:sz="4" w:space="0"/>
              <w:bottom w:val="single" w:color="000000" w:sz="4" w:space="0"/>
            </w:tcBorders>
          </w:tcPr>
          <w:p w14:paraId="6CB7CF6D">
            <w:pPr>
              <w:pStyle w:val="22"/>
              <w:spacing w:line="360" w:lineRule="auto"/>
              <w:rPr>
                <w:rFonts w:ascii="Arial" w:hAnsi="Arial" w:eastAsia="Arial"/>
                <w:sz w:val="24"/>
                <w:szCs w:val="24"/>
              </w:rPr>
            </w:pPr>
            <w:r>
              <w:rPr>
                <w:rFonts w:ascii="Arial" w:hAnsi="Arial" w:eastAsia="Arial"/>
                <w:b/>
                <w:sz w:val="24"/>
                <w:szCs w:val="24"/>
              </w:rPr>
              <w:t>9.7</w:t>
            </w:r>
          </w:p>
        </w:tc>
        <w:tc>
          <w:tcPr>
            <w:tcW w:w="1663" w:type="dxa"/>
            <w:tcBorders>
              <w:left w:val="single" w:color="000000" w:sz="4" w:space="0"/>
              <w:bottom w:val="single" w:color="000000" w:sz="4" w:space="0"/>
            </w:tcBorders>
          </w:tcPr>
          <w:p w14:paraId="3D6D7B33">
            <w:pPr>
              <w:pStyle w:val="22"/>
              <w:spacing w:line="360" w:lineRule="auto"/>
              <w:rPr>
                <w:rFonts w:ascii="Arial" w:hAnsi="Arial" w:eastAsia="Arial"/>
                <w:sz w:val="24"/>
                <w:szCs w:val="24"/>
              </w:rPr>
            </w:pPr>
            <w:r>
              <w:rPr>
                <w:rFonts w:ascii="Arial" w:hAnsi="Arial" w:eastAsia="Arial"/>
                <w:b/>
                <w:sz w:val="24"/>
                <w:szCs w:val="24"/>
              </w:rPr>
              <w:t>6.4</w:t>
            </w:r>
          </w:p>
        </w:tc>
        <w:tc>
          <w:tcPr>
            <w:tcW w:w="1661" w:type="dxa"/>
            <w:tcBorders>
              <w:left w:val="single" w:color="000000" w:sz="4" w:space="0"/>
              <w:bottom w:val="single" w:color="000000" w:sz="4" w:space="0"/>
            </w:tcBorders>
          </w:tcPr>
          <w:p w14:paraId="6A674743">
            <w:pPr>
              <w:pStyle w:val="22"/>
              <w:spacing w:line="360" w:lineRule="auto"/>
              <w:rPr>
                <w:rFonts w:ascii="Arial" w:hAnsi="Arial" w:eastAsia="Arial"/>
                <w:sz w:val="24"/>
                <w:szCs w:val="24"/>
              </w:rPr>
            </w:pPr>
            <w:r>
              <w:rPr>
                <w:rFonts w:ascii="Arial" w:hAnsi="Arial" w:eastAsia="Arial"/>
                <w:b/>
                <w:sz w:val="24"/>
                <w:szCs w:val="24"/>
              </w:rPr>
              <w:t>6.7</w:t>
            </w:r>
          </w:p>
        </w:tc>
        <w:tc>
          <w:tcPr>
            <w:tcW w:w="1663" w:type="dxa"/>
            <w:tcBorders>
              <w:left w:val="single" w:color="000000" w:sz="4" w:space="0"/>
              <w:bottom w:val="single" w:color="000000" w:sz="4" w:space="0"/>
              <w:right w:val="single" w:color="000000" w:sz="4" w:space="0"/>
            </w:tcBorders>
          </w:tcPr>
          <w:p w14:paraId="555772DA">
            <w:pPr>
              <w:pStyle w:val="22"/>
              <w:spacing w:line="360" w:lineRule="auto"/>
              <w:rPr>
                <w:rFonts w:ascii="Arial" w:hAnsi="Arial" w:eastAsia="Arial"/>
                <w:sz w:val="24"/>
                <w:szCs w:val="24"/>
              </w:rPr>
            </w:pPr>
            <w:r>
              <w:rPr>
                <w:rFonts w:ascii="Arial" w:hAnsi="Arial" w:eastAsia="Arial"/>
                <w:b/>
                <w:sz w:val="24"/>
                <w:szCs w:val="24"/>
              </w:rPr>
              <w:t>6.9</w:t>
            </w:r>
          </w:p>
        </w:tc>
      </w:tr>
      <w:tr w14:paraId="03D91763">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2B10C62A">
            <w:pPr>
              <w:pStyle w:val="22"/>
              <w:spacing w:line="360" w:lineRule="auto"/>
              <w:rPr>
                <w:rFonts w:ascii="Arial" w:hAnsi="Arial" w:eastAsia="Arial"/>
                <w:sz w:val="24"/>
                <w:szCs w:val="24"/>
              </w:rPr>
            </w:pPr>
            <w:r>
              <w:rPr>
                <w:rFonts w:ascii="Arial" w:hAnsi="Arial" w:eastAsia="Arial"/>
                <w:b/>
                <w:sz w:val="24"/>
                <w:szCs w:val="24"/>
              </w:rPr>
              <w:t>Payable Days</w:t>
            </w:r>
          </w:p>
        </w:tc>
        <w:tc>
          <w:tcPr>
            <w:tcW w:w="1663" w:type="dxa"/>
            <w:tcBorders>
              <w:left w:val="single" w:color="000000" w:sz="4" w:space="0"/>
              <w:bottom w:val="single" w:color="000000" w:sz="4" w:space="0"/>
            </w:tcBorders>
          </w:tcPr>
          <w:p w14:paraId="181CF830">
            <w:pPr>
              <w:pStyle w:val="22"/>
              <w:spacing w:line="360" w:lineRule="auto"/>
              <w:rPr>
                <w:rFonts w:ascii="Arial" w:hAnsi="Arial" w:eastAsia="Arial"/>
                <w:sz w:val="24"/>
                <w:szCs w:val="24"/>
              </w:rPr>
            </w:pPr>
            <w:r>
              <w:rPr>
                <w:rFonts w:ascii="Arial" w:hAnsi="Arial" w:eastAsia="Arial"/>
                <w:b/>
                <w:sz w:val="24"/>
                <w:szCs w:val="24"/>
              </w:rPr>
              <w:t>26.5</w:t>
            </w:r>
          </w:p>
        </w:tc>
        <w:tc>
          <w:tcPr>
            <w:tcW w:w="1660" w:type="dxa"/>
            <w:tcBorders>
              <w:left w:val="single" w:color="000000" w:sz="4" w:space="0"/>
              <w:bottom w:val="single" w:color="000000" w:sz="4" w:space="0"/>
            </w:tcBorders>
          </w:tcPr>
          <w:p w14:paraId="0720ADCF">
            <w:pPr>
              <w:pStyle w:val="22"/>
              <w:spacing w:line="360" w:lineRule="auto"/>
              <w:rPr>
                <w:rFonts w:ascii="Arial" w:hAnsi="Arial" w:eastAsia="Arial"/>
                <w:sz w:val="24"/>
                <w:szCs w:val="24"/>
              </w:rPr>
            </w:pPr>
            <w:r>
              <w:rPr>
                <w:rFonts w:ascii="Arial" w:hAnsi="Arial" w:eastAsia="Arial"/>
                <w:b/>
                <w:sz w:val="24"/>
                <w:szCs w:val="24"/>
              </w:rPr>
              <w:t>17.7</w:t>
            </w:r>
          </w:p>
        </w:tc>
        <w:tc>
          <w:tcPr>
            <w:tcW w:w="1663" w:type="dxa"/>
            <w:tcBorders>
              <w:left w:val="single" w:color="000000" w:sz="4" w:space="0"/>
              <w:bottom w:val="single" w:color="000000" w:sz="4" w:space="0"/>
            </w:tcBorders>
          </w:tcPr>
          <w:p w14:paraId="1FED6943">
            <w:pPr>
              <w:pStyle w:val="22"/>
              <w:spacing w:line="360" w:lineRule="auto"/>
              <w:rPr>
                <w:rFonts w:ascii="Arial" w:hAnsi="Arial" w:eastAsia="Arial"/>
                <w:sz w:val="24"/>
                <w:szCs w:val="24"/>
              </w:rPr>
            </w:pPr>
            <w:r>
              <w:rPr>
                <w:rFonts w:ascii="Arial" w:hAnsi="Arial" w:eastAsia="Arial"/>
                <w:b/>
                <w:sz w:val="24"/>
                <w:szCs w:val="24"/>
              </w:rPr>
              <w:t>19.1</w:t>
            </w:r>
          </w:p>
        </w:tc>
        <w:tc>
          <w:tcPr>
            <w:tcW w:w="1661" w:type="dxa"/>
            <w:tcBorders>
              <w:left w:val="single" w:color="000000" w:sz="4" w:space="0"/>
              <w:bottom w:val="single" w:color="000000" w:sz="4" w:space="0"/>
            </w:tcBorders>
          </w:tcPr>
          <w:p w14:paraId="128F412A">
            <w:pPr>
              <w:pStyle w:val="22"/>
              <w:spacing w:line="360" w:lineRule="auto"/>
              <w:rPr>
                <w:rFonts w:ascii="Arial" w:hAnsi="Arial" w:eastAsia="Arial"/>
                <w:sz w:val="24"/>
                <w:szCs w:val="24"/>
              </w:rPr>
            </w:pPr>
            <w:r>
              <w:rPr>
                <w:rFonts w:ascii="Arial" w:hAnsi="Arial" w:eastAsia="Arial"/>
                <w:b/>
                <w:sz w:val="24"/>
                <w:szCs w:val="24"/>
              </w:rPr>
              <w:t>16.1</w:t>
            </w:r>
          </w:p>
        </w:tc>
        <w:tc>
          <w:tcPr>
            <w:tcW w:w="1663" w:type="dxa"/>
            <w:tcBorders>
              <w:left w:val="single" w:color="000000" w:sz="4" w:space="0"/>
              <w:bottom w:val="single" w:color="000000" w:sz="4" w:space="0"/>
              <w:right w:val="single" w:color="000000" w:sz="4" w:space="0"/>
            </w:tcBorders>
          </w:tcPr>
          <w:p w14:paraId="61E02148">
            <w:pPr>
              <w:pStyle w:val="22"/>
              <w:spacing w:line="360" w:lineRule="auto"/>
              <w:rPr>
                <w:rFonts w:ascii="Arial" w:hAnsi="Arial" w:eastAsia="Arial"/>
                <w:sz w:val="24"/>
                <w:szCs w:val="24"/>
              </w:rPr>
            </w:pPr>
            <w:r>
              <w:rPr>
                <w:rFonts w:ascii="Arial" w:hAnsi="Arial" w:eastAsia="Arial"/>
                <w:b/>
                <w:sz w:val="24"/>
                <w:szCs w:val="24"/>
              </w:rPr>
              <w:t>17.2</w:t>
            </w:r>
          </w:p>
        </w:tc>
      </w:tr>
      <w:tr w14:paraId="0E5E8958">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6514BE66">
            <w:pPr>
              <w:pStyle w:val="22"/>
              <w:spacing w:line="360" w:lineRule="auto"/>
              <w:rPr>
                <w:rFonts w:ascii="Arial" w:hAnsi="Arial" w:eastAsia="Arial"/>
                <w:sz w:val="24"/>
                <w:szCs w:val="24"/>
              </w:rPr>
            </w:pPr>
            <w:r>
              <w:rPr>
                <w:rFonts w:ascii="Arial" w:hAnsi="Arial" w:eastAsia="Arial"/>
                <w:b/>
                <w:sz w:val="24"/>
                <w:szCs w:val="24"/>
              </w:rPr>
              <w:t>Inventory Days</w:t>
            </w:r>
          </w:p>
        </w:tc>
        <w:tc>
          <w:tcPr>
            <w:tcW w:w="1663" w:type="dxa"/>
            <w:tcBorders>
              <w:left w:val="single" w:color="000000" w:sz="4" w:space="0"/>
              <w:bottom w:val="single" w:color="000000" w:sz="4" w:space="0"/>
            </w:tcBorders>
          </w:tcPr>
          <w:p w14:paraId="4F7E0285">
            <w:pPr>
              <w:pStyle w:val="22"/>
              <w:spacing w:line="360" w:lineRule="auto"/>
              <w:rPr>
                <w:rFonts w:ascii="Arial" w:hAnsi="Arial" w:eastAsia="Arial"/>
                <w:sz w:val="24"/>
                <w:szCs w:val="24"/>
              </w:rPr>
            </w:pPr>
            <w:r>
              <w:rPr>
                <w:rFonts w:ascii="Arial" w:hAnsi="Arial" w:eastAsia="Arial"/>
                <w:b/>
                <w:sz w:val="24"/>
                <w:szCs w:val="24"/>
              </w:rPr>
              <w:t>4.5</w:t>
            </w:r>
          </w:p>
        </w:tc>
        <w:tc>
          <w:tcPr>
            <w:tcW w:w="1660" w:type="dxa"/>
            <w:tcBorders>
              <w:left w:val="single" w:color="000000" w:sz="4" w:space="0"/>
              <w:bottom w:val="single" w:color="000000" w:sz="4" w:space="0"/>
            </w:tcBorders>
          </w:tcPr>
          <w:p w14:paraId="6F6A1912">
            <w:pPr>
              <w:pStyle w:val="22"/>
              <w:spacing w:line="360" w:lineRule="auto"/>
              <w:rPr>
                <w:rFonts w:ascii="Arial" w:hAnsi="Arial" w:eastAsia="Arial"/>
                <w:sz w:val="24"/>
                <w:szCs w:val="24"/>
              </w:rPr>
            </w:pPr>
            <w:r>
              <w:rPr>
                <w:rFonts w:ascii="Arial" w:hAnsi="Arial" w:eastAsia="Arial"/>
                <w:b/>
                <w:sz w:val="24"/>
                <w:szCs w:val="24"/>
              </w:rPr>
              <w:t>3.1</w:t>
            </w:r>
          </w:p>
        </w:tc>
        <w:tc>
          <w:tcPr>
            <w:tcW w:w="1663" w:type="dxa"/>
            <w:tcBorders>
              <w:left w:val="single" w:color="000000" w:sz="4" w:space="0"/>
              <w:bottom w:val="single" w:color="000000" w:sz="4" w:space="0"/>
            </w:tcBorders>
          </w:tcPr>
          <w:p w14:paraId="2564788E">
            <w:pPr>
              <w:pStyle w:val="22"/>
              <w:spacing w:line="360" w:lineRule="auto"/>
              <w:rPr>
                <w:rFonts w:ascii="Arial" w:hAnsi="Arial" w:eastAsia="Arial"/>
                <w:sz w:val="24"/>
                <w:szCs w:val="24"/>
              </w:rPr>
            </w:pPr>
            <w:r>
              <w:rPr>
                <w:rFonts w:ascii="Arial" w:hAnsi="Arial" w:eastAsia="Arial"/>
                <w:b/>
                <w:sz w:val="24"/>
                <w:szCs w:val="24"/>
              </w:rPr>
              <w:t>4.4</w:t>
            </w:r>
          </w:p>
        </w:tc>
        <w:tc>
          <w:tcPr>
            <w:tcW w:w="1661" w:type="dxa"/>
            <w:tcBorders>
              <w:left w:val="single" w:color="000000" w:sz="4" w:space="0"/>
              <w:bottom w:val="single" w:color="000000" w:sz="4" w:space="0"/>
            </w:tcBorders>
          </w:tcPr>
          <w:p w14:paraId="2219562C">
            <w:pPr>
              <w:pStyle w:val="22"/>
              <w:spacing w:line="360" w:lineRule="auto"/>
              <w:rPr>
                <w:rFonts w:ascii="Arial" w:hAnsi="Arial" w:eastAsia="Arial"/>
                <w:sz w:val="24"/>
                <w:szCs w:val="24"/>
              </w:rPr>
            </w:pPr>
            <w:r>
              <w:rPr>
                <w:rFonts w:ascii="Arial" w:hAnsi="Arial" w:eastAsia="Arial"/>
                <w:b/>
                <w:sz w:val="24"/>
                <w:szCs w:val="24"/>
              </w:rPr>
              <w:t>3.7</w:t>
            </w:r>
          </w:p>
        </w:tc>
        <w:tc>
          <w:tcPr>
            <w:tcW w:w="1663" w:type="dxa"/>
            <w:tcBorders>
              <w:left w:val="single" w:color="000000" w:sz="4" w:space="0"/>
              <w:bottom w:val="single" w:color="000000" w:sz="4" w:space="0"/>
              <w:right w:val="single" w:color="000000" w:sz="4" w:space="0"/>
            </w:tcBorders>
          </w:tcPr>
          <w:p w14:paraId="43CC62EF">
            <w:pPr>
              <w:pStyle w:val="22"/>
              <w:spacing w:line="360" w:lineRule="auto"/>
              <w:rPr>
                <w:rFonts w:ascii="Arial" w:hAnsi="Arial" w:eastAsia="Arial"/>
                <w:sz w:val="24"/>
                <w:szCs w:val="24"/>
              </w:rPr>
            </w:pPr>
            <w:r>
              <w:rPr>
                <w:rFonts w:ascii="Arial" w:hAnsi="Arial" w:eastAsia="Arial"/>
                <w:b/>
                <w:sz w:val="24"/>
                <w:szCs w:val="24"/>
              </w:rPr>
              <w:t>3.1</w:t>
            </w:r>
          </w:p>
        </w:tc>
      </w:tr>
    </w:tbl>
    <w:p w14:paraId="5500F653">
      <w:pPr>
        <w:pStyle w:val="4"/>
        <w:spacing w:line="360" w:lineRule="auto"/>
        <w:rPr>
          <w:rFonts w:ascii="Arial" w:hAnsi="Arial" w:eastAsia="Arial"/>
          <w:sz w:val="24"/>
          <w:szCs w:val="24"/>
        </w:rPr>
      </w:pPr>
    </w:p>
    <w:p w14:paraId="35D734C2">
      <w:pPr>
        <w:pStyle w:val="4"/>
        <w:spacing w:line="360" w:lineRule="auto"/>
        <w:rPr>
          <w:rFonts w:ascii="Arial" w:hAnsi="Arial" w:eastAsia="Arial"/>
          <w:sz w:val="24"/>
          <w:szCs w:val="24"/>
        </w:rPr>
      </w:pPr>
      <w:r>
        <w:rPr>
          <w:rFonts w:ascii="Arial" w:hAnsi="Arial" w:eastAsia="Arial"/>
          <w:b/>
          <w:sz w:val="24"/>
          <w:szCs w:val="24"/>
        </w:rPr>
        <w:t>Gearing Ratios</w:t>
      </w:r>
    </w:p>
    <w:tbl>
      <w:tblPr>
        <w:tblStyle w:val="8"/>
        <w:tblW w:w="5000" w:type="pct"/>
        <w:tblInd w:w="-5" w:type="dxa"/>
        <w:tblLayout w:type="fixed"/>
        <w:tblCellMar>
          <w:top w:w="55" w:type="dxa"/>
          <w:left w:w="55" w:type="dxa"/>
          <w:bottom w:w="55" w:type="dxa"/>
          <w:right w:w="55" w:type="dxa"/>
        </w:tblCellMar>
      </w:tblPr>
      <w:tblGrid>
        <w:gridCol w:w="1680"/>
        <w:gridCol w:w="1681"/>
        <w:gridCol w:w="1678"/>
        <w:gridCol w:w="1681"/>
        <w:gridCol w:w="1679"/>
        <w:gridCol w:w="1681"/>
      </w:tblGrid>
      <w:tr w14:paraId="6AD15445">
        <w:tblPrEx>
          <w:tblCellMar>
            <w:top w:w="55" w:type="dxa"/>
            <w:left w:w="55" w:type="dxa"/>
            <w:bottom w:w="55" w:type="dxa"/>
            <w:right w:w="55" w:type="dxa"/>
          </w:tblCellMar>
        </w:tblPrEx>
        <w:trPr>
          <w:tblHeader/>
        </w:trPr>
        <w:tc>
          <w:tcPr>
            <w:tcW w:w="1662" w:type="dxa"/>
            <w:tcBorders>
              <w:top w:val="single" w:color="000000" w:sz="4" w:space="0"/>
              <w:left w:val="single" w:color="000000" w:sz="4" w:space="0"/>
              <w:bottom w:val="single" w:color="000000" w:sz="4" w:space="0"/>
            </w:tcBorders>
          </w:tcPr>
          <w:p w14:paraId="7391CE68">
            <w:pPr>
              <w:pStyle w:val="23"/>
              <w:spacing w:line="360" w:lineRule="auto"/>
              <w:jc w:val="left"/>
              <w:rPr>
                <w:rFonts w:ascii="Arial" w:hAnsi="Arial" w:eastAsia="Arial"/>
                <w:sz w:val="24"/>
                <w:szCs w:val="24"/>
              </w:rPr>
            </w:pPr>
            <w:r>
              <w:rPr>
                <w:rFonts w:ascii="Arial" w:hAnsi="Arial" w:eastAsia="Arial"/>
                <w:sz w:val="24"/>
                <w:szCs w:val="24"/>
              </w:rPr>
              <w:t>Particulars (£m)</w:t>
            </w:r>
          </w:p>
        </w:tc>
        <w:tc>
          <w:tcPr>
            <w:tcW w:w="1663" w:type="dxa"/>
            <w:tcBorders>
              <w:top w:val="single" w:color="000000" w:sz="4" w:space="0"/>
              <w:left w:val="single" w:color="000000" w:sz="4" w:space="0"/>
              <w:bottom w:val="single" w:color="000000" w:sz="4" w:space="0"/>
            </w:tcBorders>
          </w:tcPr>
          <w:p w14:paraId="2CCDC105">
            <w:pPr>
              <w:pStyle w:val="23"/>
              <w:spacing w:line="360" w:lineRule="auto"/>
              <w:jc w:val="left"/>
              <w:rPr>
                <w:rFonts w:ascii="Arial" w:hAnsi="Arial" w:eastAsia="Arial"/>
                <w:sz w:val="24"/>
                <w:szCs w:val="24"/>
              </w:rPr>
            </w:pPr>
            <w:r>
              <w:rPr>
                <w:rFonts w:ascii="Arial" w:hAnsi="Arial" w:eastAsia="Arial"/>
                <w:sz w:val="24"/>
                <w:szCs w:val="24"/>
              </w:rPr>
              <w:t>2021</w:t>
            </w:r>
          </w:p>
        </w:tc>
        <w:tc>
          <w:tcPr>
            <w:tcW w:w="1660" w:type="dxa"/>
            <w:tcBorders>
              <w:top w:val="single" w:color="000000" w:sz="4" w:space="0"/>
              <w:left w:val="single" w:color="000000" w:sz="4" w:space="0"/>
              <w:bottom w:val="single" w:color="000000" w:sz="4" w:space="0"/>
            </w:tcBorders>
          </w:tcPr>
          <w:p w14:paraId="7A06D9A9">
            <w:pPr>
              <w:pStyle w:val="23"/>
              <w:spacing w:line="360" w:lineRule="auto"/>
              <w:jc w:val="left"/>
              <w:rPr>
                <w:rFonts w:ascii="Arial" w:hAnsi="Arial" w:eastAsia="Arial"/>
                <w:sz w:val="24"/>
                <w:szCs w:val="24"/>
              </w:rPr>
            </w:pPr>
            <w:r>
              <w:rPr>
                <w:rFonts w:ascii="Arial" w:hAnsi="Arial" w:eastAsia="Arial"/>
                <w:sz w:val="24"/>
                <w:szCs w:val="24"/>
              </w:rPr>
              <w:t>2022</w:t>
            </w:r>
          </w:p>
        </w:tc>
        <w:tc>
          <w:tcPr>
            <w:tcW w:w="1663" w:type="dxa"/>
            <w:tcBorders>
              <w:top w:val="single" w:color="000000" w:sz="4" w:space="0"/>
              <w:left w:val="single" w:color="000000" w:sz="4" w:space="0"/>
              <w:bottom w:val="single" w:color="000000" w:sz="4" w:space="0"/>
            </w:tcBorders>
          </w:tcPr>
          <w:p w14:paraId="510DB8F7">
            <w:pPr>
              <w:pStyle w:val="23"/>
              <w:spacing w:line="360" w:lineRule="auto"/>
              <w:jc w:val="left"/>
              <w:rPr>
                <w:rFonts w:ascii="Arial" w:hAnsi="Arial" w:eastAsia="Arial"/>
                <w:sz w:val="24"/>
                <w:szCs w:val="24"/>
              </w:rPr>
            </w:pPr>
            <w:r>
              <w:rPr>
                <w:rFonts w:ascii="Arial" w:hAnsi="Arial" w:eastAsia="Arial"/>
                <w:sz w:val="24"/>
                <w:szCs w:val="24"/>
              </w:rPr>
              <w:t>2023</w:t>
            </w:r>
          </w:p>
        </w:tc>
        <w:tc>
          <w:tcPr>
            <w:tcW w:w="1661" w:type="dxa"/>
            <w:tcBorders>
              <w:top w:val="single" w:color="000000" w:sz="4" w:space="0"/>
              <w:left w:val="single" w:color="000000" w:sz="4" w:space="0"/>
              <w:bottom w:val="single" w:color="000000" w:sz="4" w:space="0"/>
            </w:tcBorders>
          </w:tcPr>
          <w:p w14:paraId="0B8F3BFC">
            <w:pPr>
              <w:pStyle w:val="23"/>
              <w:spacing w:line="360" w:lineRule="auto"/>
              <w:jc w:val="left"/>
              <w:rPr>
                <w:rFonts w:ascii="Arial" w:hAnsi="Arial" w:eastAsia="Arial"/>
                <w:sz w:val="24"/>
                <w:szCs w:val="24"/>
              </w:rPr>
            </w:pPr>
            <w:r>
              <w:rPr>
                <w:rFonts w:ascii="Arial" w:hAnsi="Arial" w:eastAsia="Arial"/>
                <w:sz w:val="24"/>
                <w:szCs w:val="24"/>
              </w:rPr>
              <w:t>2024</w:t>
            </w:r>
          </w:p>
        </w:tc>
        <w:tc>
          <w:tcPr>
            <w:tcW w:w="1663" w:type="dxa"/>
            <w:tcBorders>
              <w:top w:val="single" w:color="000000" w:sz="4" w:space="0"/>
              <w:left w:val="single" w:color="000000" w:sz="4" w:space="0"/>
              <w:bottom w:val="single" w:color="000000" w:sz="4" w:space="0"/>
              <w:right w:val="single" w:color="000000" w:sz="4" w:space="0"/>
            </w:tcBorders>
          </w:tcPr>
          <w:p w14:paraId="38B982A4">
            <w:pPr>
              <w:pStyle w:val="23"/>
              <w:spacing w:line="360" w:lineRule="auto"/>
              <w:jc w:val="left"/>
              <w:rPr>
                <w:rFonts w:ascii="Arial" w:hAnsi="Arial" w:eastAsia="Arial"/>
                <w:sz w:val="24"/>
                <w:szCs w:val="24"/>
              </w:rPr>
            </w:pPr>
            <w:r>
              <w:rPr>
                <w:rFonts w:ascii="Arial" w:hAnsi="Arial" w:eastAsia="Arial"/>
                <w:sz w:val="24"/>
                <w:szCs w:val="24"/>
              </w:rPr>
              <w:t>2025</w:t>
            </w:r>
          </w:p>
        </w:tc>
      </w:tr>
      <w:tr w14:paraId="6B65A3EA">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0CAD3957">
            <w:pPr>
              <w:pStyle w:val="22"/>
              <w:spacing w:line="360" w:lineRule="auto"/>
              <w:rPr>
                <w:rFonts w:ascii="Arial" w:hAnsi="Arial" w:eastAsia="Arial"/>
                <w:sz w:val="24"/>
                <w:szCs w:val="24"/>
              </w:rPr>
            </w:pPr>
            <w:r>
              <w:rPr>
                <w:rFonts w:ascii="Arial" w:hAnsi="Arial" w:eastAsia="Arial"/>
                <w:sz w:val="24"/>
                <w:szCs w:val="24"/>
              </w:rPr>
              <w:t>Total Debt</w:t>
            </w:r>
          </w:p>
        </w:tc>
        <w:tc>
          <w:tcPr>
            <w:tcW w:w="1663" w:type="dxa"/>
            <w:tcBorders>
              <w:left w:val="single" w:color="000000" w:sz="4" w:space="0"/>
              <w:bottom w:val="single" w:color="000000" w:sz="4" w:space="0"/>
            </w:tcBorders>
          </w:tcPr>
          <w:p w14:paraId="58FB2F40">
            <w:pPr>
              <w:pStyle w:val="22"/>
              <w:spacing w:line="360" w:lineRule="auto"/>
              <w:rPr>
                <w:rFonts w:ascii="Arial" w:hAnsi="Arial" w:eastAsia="Arial"/>
                <w:sz w:val="24"/>
                <w:szCs w:val="24"/>
              </w:rPr>
            </w:pPr>
            <w:r>
              <w:rPr>
                <w:rFonts w:ascii="Arial" w:hAnsi="Arial" w:eastAsia="Arial"/>
                <w:sz w:val="24"/>
                <w:szCs w:val="24"/>
              </w:rPr>
              <w:t>1,302.5</w:t>
            </w:r>
          </w:p>
        </w:tc>
        <w:tc>
          <w:tcPr>
            <w:tcW w:w="1660" w:type="dxa"/>
            <w:tcBorders>
              <w:left w:val="single" w:color="000000" w:sz="4" w:space="0"/>
              <w:bottom w:val="single" w:color="000000" w:sz="4" w:space="0"/>
            </w:tcBorders>
          </w:tcPr>
          <w:p w14:paraId="511A2D5B">
            <w:pPr>
              <w:pStyle w:val="22"/>
              <w:spacing w:line="360" w:lineRule="auto"/>
              <w:rPr>
                <w:rFonts w:ascii="Arial" w:hAnsi="Arial" w:eastAsia="Arial"/>
                <w:sz w:val="24"/>
                <w:szCs w:val="24"/>
              </w:rPr>
            </w:pPr>
            <w:r>
              <w:rPr>
                <w:rFonts w:ascii="Arial" w:hAnsi="Arial" w:eastAsia="Arial"/>
                <w:sz w:val="24"/>
                <w:szCs w:val="24"/>
              </w:rPr>
              <w:t>991.9</w:t>
            </w:r>
          </w:p>
        </w:tc>
        <w:tc>
          <w:tcPr>
            <w:tcW w:w="1663" w:type="dxa"/>
            <w:tcBorders>
              <w:left w:val="single" w:color="000000" w:sz="4" w:space="0"/>
              <w:bottom w:val="single" w:color="000000" w:sz="4" w:space="0"/>
            </w:tcBorders>
          </w:tcPr>
          <w:p w14:paraId="557A2B2F">
            <w:pPr>
              <w:pStyle w:val="22"/>
              <w:spacing w:line="360" w:lineRule="auto"/>
              <w:rPr>
                <w:rFonts w:ascii="Arial" w:hAnsi="Arial" w:eastAsia="Arial"/>
                <w:sz w:val="24"/>
                <w:szCs w:val="24"/>
              </w:rPr>
            </w:pPr>
            <w:r>
              <w:rPr>
                <w:rFonts w:ascii="Arial" w:hAnsi="Arial" w:eastAsia="Arial"/>
                <w:sz w:val="24"/>
                <w:szCs w:val="24"/>
              </w:rPr>
              <w:t>993.4</w:t>
            </w:r>
          </w:p>
        </w:tc>
        <w:tc>
          <w:tcPr>
            <w:tcW w:w="1661" w:type="dxa"/>
            <w:tcBorders>
              <w:left w:val="single" w:color="000000" w:sz="4" w:space="0"/>
              <w:bottom w:val="single" w:color="000000" w:sz="4" w:space="0"/>
            </w:tcBorders>
          </w:tcPr>
          <w:p w14:paraId="420D3C68">
            <w:pPr>
              <w:pStyle w:val="22"/>
              <w:spacing w:line="360" w:lineRule="auto"/>
              <w:rPr>
                <w:rFonts w:ascii="Arial" w:hAnsi="Arial" w:eastAsia="Arial"/>
                <w:sz w:val="24"/>
                <w:szCs w:val="24"/>
              </w:rPr>
            </w:pPr>
            <w:r>
              <w:rPr>
                <w:rFonts w:ascii="Arial" w:hAnsi="Arial" w:eastAsia="Arial"/>
                <w:sz w:val="24"/>
                <w:szCs w:val="24"/>
              </w:rPr>
              <w:t>994.9</w:t>
            </w:r>
          </w:p>
        </w:tc>
        <w:tc>
          <w:tcPr>
            <w:tcW w:w="1663" w:type="dxa"/>
            <w:tcBorders>
              <w:left w:val="single" w:color="000000" w:sz="4" w:space="0"/>
              <w:bottom w:val="single" w:color="000000" w:sz="4" w:space="0"/>
              <w:right w:val="single" w:color="000000" w:sz="4" w:space="0"/>
            </w:tcBorders>
          </w:tcPr>
          <w:p w14:paraId="62476E73">
            <w:pPr>
              <w:pStyle w:val="22"/>
              <w:spacing w:line="360" w:lineRule="auto"/>
              <w:rPr>
                <w:rFonts w:ascii="Arial" w:hAnsi="Arial" w:eastAsia="Arial"/>
                <w:sz w:val="24"/>
                <w:szCs w:val="24"/>
              </w:rPr>
            </w:pPr>
            <w:r>
              <w:rPr>
                <w:rFonts w:ascii="Arial" w:hAnsi="Arial" w:eastAsia="Arial"/>
                <w:sz w:val="24"/>
                <w:szCs w:val="24"/>
              </w:rPr>
              <w:t>1,392.4</w:t>
            </w:r>
          </w:p>
        </w:tc>
      </w:tr>
      <w:tr w14:paraId="63505CE7">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49CDA30C">
            <w:pPr>
              <w:pStyle w:val="22"/>
              <w:spacing w:line="360" w:lineRule="auto"/>
              <w:rPr>
                <w:rFonts w:ascii="Arial" w:hAnsi="Arial" w:eastAsia="Arial"/>
                <w:sz w:val="24"/>
                <w:szCs w:val="24"/>
              </w:rPr>
            </w:pPr>
            <w:r>
              <w:rPr>
                <w:rFonts w:ascii="Arial" w:hAnsi="Arial" w:eastAsia="Arial"/>
                <w:sz w:val="24"/>
                <w:szCs w:val="24"/>
              </w:rPr>
              <w:t>Total Equity</w:t>
            </w:r>
          </w:p>
        </w:tc>
        <w:tc>
          <w:tcPr>
            <w:tcW w:w="1663" w:type="dxa"/>
            <w:tcBorders>
              <w:left w:val="single" w:color="000000" w:sz="4" w:space="0"/>
              <w:bottom w:val="single" w:color="000000" w:sz="4" w:space="0"/>
            </w:tcBorders>
          </w:tcPr>
          <w:p w14:paraId="41A962B4">
            <w:pPr>
              <w:pStyle w:val="22"/>
              <w:spacing w:line="360" w:lineRule="auto"/>
              <w:rPr>
                <w:rFonts w:ascii="Arial" w:hAnsi="Arial" w:eastAsia="Arial"/>
                <w:sz w:val="24"/>
                <w:szCs w:val="24"/>
              </w:rPr>
            </w:pPr>
            <w:r>
              <w:rPr>
                <w:rFonts w:ascii="Arial" w:hAnsi="Arial" w:eastAsia="Arial"/>
                <w:sz w:val="24"/>
                <w:szCs w:val="24"/>
              </w:rPr>
              <w:t>3,834.1</w:t>
            </w:r>
          </w:p>
        </w:tc>
        <w:tc>
          <w:tcPr>
            <w:tcW w:w="1660" w:type="dxa"/>
            <w:tcBorders>
              <w:left w:val="single" w:color="000000" w:sz="4" w:space="0"/>
              <w:bottom w:val="single" w:color="000000" w:sz="4" w:space="0"/>
            </w:tcBorders>
          </w:tcPr>
          <w:p w14:paraId="00AE9A4C">
            <w:pPr>
              <w:pStyle w:val="22"/>
              <w:spacing w:line="360" w:lineRule="auto"/>
              <w:rPr>
                <w:rFonts w:ascii="Arial" w:hAnsi="Arial" w:eastAsia="Arial"/>
                <w:sz w:val="24"/>
                <w:szCs w:val="24"/>
              </w:rPr>
            </w:pPr>
            <w:r>
              <w:rPr>
                <w:rFonts w:ascii="Arial" w:hAnsi="Arial" w:eastAsia="Arial"/>
                <w:sz w:val="24"/>
                <w:szCs w:val="24"/>
              </w:rPr>
              <w:t>4,119.0</w:t>
            </w:r>
          </w:p>
        </w:tc>
        <w:tc>
          <w:tcPr>
            <w:tcW w:w="1663" w:type="dxa"/>
            <w:tcBorders>
              <w:left w:val="single" w:color="000000" w:sz="4" w:space="0"/>
              <w:bottom w:val="single" w:color="000000" w:sz="4" w:space="0"/>
            </w:tcBorders>
          </w:tcPr>
          <w:p w14:paraId="0D1FC210">
            <w:pPr>
              <w:pStyle w:val="22"/>
              <w:spacing w:line="360" w:lineRule="auto"/>
              <w:rPr>
                <w:rFonts w:ascii="Arial" w:hAnsi="Arial" w:eastAsia="Arial"/>
                <w:sz w:val="24"/>
                <w:szCs w:val="24"/>
              </w:rPr>
            </w:pPr>
            <w:r>
              <w:rPr>
                <w:rFonts w:ascii="Arial" w:hAnsi="Arial" w:eastAsia="Arial"/>
                <w:sz w:val="24"/>
                <w:szCs w:val="24"/>
              </w:rPr>
              <w:t>4,111.4</w:t>
            </w:r>
          </w:p>
        </w:tc>
        <w:tc>
          <w:tcPr>
            <w:tcW w:w="1661" w:type="dxa"/>
            <w:tcBorders>
              <w:left w:val="single" w:color="000000" w:sz="4" w:space="0"/>
              <w:bottom w:val="single" w:color="000000" w:sz="4" w:space="0"/>
            </w:tcBorders>
          </w:tcPr>
          <w:p w14:paraId="2C42ADCE">
            <w:pPr>
              <w:pStyle w:val="22"/>
              <w:spacing w:line="360" w:lineRule="auto"/>
              <w:rPr>
                <w:rFonts w:ascii="Arial" w:hAnsi="Arial" w:eastAsia="Arial"/>
                <w:sz w:val="24"/>
                <w:szCs w:val="24"/>
              </w:rPr>
            </w:pPr>
            <w:r>
              <w:rPr>
                <w:rFonts w:ascii="Arial" w:hAnsi="Arial" w:eastAsia="Arial"/>
                <w:sz w:val="24"/>
                <w:szCs w:val="24"/>
              </w:rPr>
              <w:t>3,519.4</w:t>
            </w:r>
          </w:p>
        </w:tc>
        <w:tc>
          <w:tcPr>
            <w:tcW w:w="1663" w:type="dxa"/>
            <w:tcBorders>
              <w:left w:val="single" w:color="000000" w:sz="4" w:space="0"/>
              <w:bottom w:val="single" w:color="000000" w:sz="4" w:space="0"/>
              <w:right w:val="single" w:color="000000" w:sz="4" w:space="0"/>
            </w:tcBorders>
          </w:tcPr>
          <w:p w14:paraId="164F5C3F">
            <w:pPr>
              <w:pStyle w:val="22"/>
              <w:spacing w:line="360" w:lineRule="auto"/>
              <w:rPr>
                <w:rFonts w:ascii="Arial" w:hAnsi="Arial" w:eastAsia="Arial"/>
                <w:sz w:val="24"/>
                <w:szCs w:val="24"/>
              </w:rPr>
            </w:pPr>
            <w:r>
              <w:rPr>
                <w:rFonts w:ascii="Arial" w:hAnsi="Arial" w:eastAsia="Arial"/>
                <w:sz w:val="24"/>
                <w:szCs w:val="24"/>
              </w:rPr>
              <w:t>3,334.5</w:t>
            </w:r>
          </w:p>
        </w:tc>
      </w:tr>
      <w:tr w14:paraId="57D62099">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66D3F795">
            <w:pPr>
              <w:pStyle w:val="22"/>
              <w:spacing w:line="360" w:lineRule="auto"/>
              <w:rPr>
                <w:rFonts w:ascii="Arial" w:hAnsi="Arial" w:eastAsia="Arial"/>
                <w:sz w:val="24"/>
                <w:szCs w:val="24"/>
              </w:rPr>
            </w:pPr>
            <w:r>
              <w:rPr>
                <w:rFonts w:ascii="Arial" w:hAnsi="Arial" w:eastAsia="Arial"/>
                <w:sz w:val="24"/>
                <w:szCs w:val="24"/>
              </w:rPr>
              <w:t>Operating Income</w:t>
            </w:r>
          </w:p>
        </w:tc>
        <w:tc>
          <w:tcPr>
            <w:tcW w:w="1663" w:type="dxa"/>
            <w:tcBorders>
              <w:left w:val="single" w:color="000000" w:sz="4" w:space="0"/>
              <w:bottom w:val="single" w:color="000000" w:sz="4" w:space="0"/>
            </w:tcBorders>
          </w:tcPr>
          <w:p w14:paraId="45910230">
            <w:pPr>
              <w:pStyle w:val="22"/>
              <w:spacing w:line="360" w:lineRule="auto"/>
              <w:rPr>
                <w:rFonts w:ascii="Arial" w:hAnsi="Arial" w:eastAsia="Arial"/>
                <w:sz w:val="24"/>
                <w:szCs w:val="24"/>
              </w:rPr>
            </w:pPr>
            <w:r>
              <w:rPr>
                <w:rFonts w:ascii="Arial" w:hAnsi="Arial" w:eastAsia="Arial"/>
                <w:sz w:val="24"/>
                <w:szCs w:val="24"/>
              </w:rPr>
              <w:t>(486.7)</w:t>
            </w:r>
          </w:p>
        </w:tc>
        <w:tc>
          <w:tcPr>
            <w:tcW w:w="1660" w:type="dxa"/>
            <w:tcBorders>
              <w:left w:val="single" w:color="000000" w:sz="4" w:space="0"/>
              <w:bottom w:val="single" w:color="000000" w:sz="4" w:space="0"/>
            </w:tcBorders>
          </w:tcPr>
          <w:p w14:paraId="0F4BAF2E">
            <w:pPr>
              <w:pStyle w:val="22"/>
              <w:spacing w:line="360" w:lineRule="auto"/>
              <w:rPr>
                <w:rFonts w:ascii="Arial" w:hAnsi="Arial" w:eastAsia="Arial"/>
                <w:sz w:val="24"/>
                <w:szCs w:val="24"/>
              </w:rPr>
            </w:pPr>
            <w:r>
              <w:rPr>
                <w:rFonts w:ascii="Arial" w:hAnsi="Arial" w:eastAsia="Arial"/>
                <w:sz w:val="24"/>
                <w:szCs w:val="24"/>
              </w:rPr>
              <w:t>153.3</w:t>
            </w:r>
          </w:p>
        </w:tc>
        <w:tc>
          <w:tcPr>
            <w:tcW w:w="1663" w:type="dxa"/>
            <w:tcBorders>
              <w:left w:val="single" w:color="000000" w:sz="4" w:space="0"/>
              <w:bottom w:val="single" w:color="000000" w:sz="4" w:space="0"/>
            </w:tcBorders>
          </w:tcPr>
          <w:p w14:paraId="5902B6DA">
            <w:pPr>
              <w:pStyle w:val="22"/>
              <w:spacing w:line="360" w:lineRule="auto"/>
              <w:rPr>
                <w:rFonts w:ascii="Arial" w:hAnsi="Arial" w:eastAsia="Arial"/>
                <w:sz w:val="24"/>
                <w:szCs w:val="24"/>
              </w:rPr>
            </w:pPr>
            <w:r>
              <w:rPr>
                <w:rFonts w:ascii="Arial" w:hAnsi="Arial" w:eastAsia="Arial"/>
                <w:sz w:val="24"/>
                <w:szCs w:val="24"/>
              </w:rPr>
              <w:t>543.5</w:t>
            </w:r>
          </w:p>
        </w:tc>
        <w:tc>
          <w:tcPr>
            <w:tcW w:w="1661" w:type="dxa"/>
            <w:tcBorders>
              <w:left w:val="single" w:color="000000" w:sz="4" w:space="0"/>
              <w:bottom w:val="single" w:color="000000" w:sz="4" w:space="0"/>
            </w:tcBorders>
          </w:tcPr>
          <w:p w14:paraId="6AF0C2E1">
            <w:pPr>
              <w:pStyle w:val="22"/>
              <w:spacing w:line="360" w:lineRule="auto"/>
              <w:rPr>
                <w:rFonts w:ascii="Arial" w:hAnsi="Arial" w:eastAsia="Arial"/>
                <w:sz w:val="24"/>
                <w:szCs w:val="24"/>
              </w:rPr>
            </w:pPr>
            <w:r>
              <w:rPr>
                <w:rFonts w:ascii="Arial" w:hAnsi="Arial" w:eastAsia="Arial"/>
                <w:sz w:val="24"/>
                <w:szCs w:val="24"/>
              </w:rPr>
              <w:t>674.2</w:t>
            </w:r>
          </w:p>
        </w:tc>
        <w:tc>
          <w:tcPr>
            <w:tcW w:w="1663" w:type="dxa"/>
            <w:tcBorders>
              <w:left w:val="single" w:color="000000" w:sz="4" w:space="0"/>
              <w:bottom w:val="single" w:color="000000" w:sz="4" w:space="0"/>
              <w:right w:val="single" w:color="000000" w:sz="4" w:space="0"/>
            </w:tcBorders>
          </w:tcPr>
          <w:p w14:paraId="2BA53620">
            <w:pPr>
              <w:pStyle w:val="22"/>
              <w:spacing w:line="360" w:lineRule="auto"/>
              <w:rPr>
                <w:rFonts w:ascii="Arial" w:hAnsi="Arial" w:eastAsia="Arial"/>
                <w:sz w:val="24"/>
                <w:szCs w:val="24"/>
              </w:rPr>
            </w:pPr>
            <w:r>
              <w:rPr>
                <w:rFonts w:ascii="Arial" w:hAnsi="Arial" w:eastAsia="Arial"/>
                <w:sz w:val="24"/>
                <w:szCs w:val="24"/>
              </w:rPr>
              <w:t>629.6</w:t>
            </w:r>
          </w:p>
        </w:tc>
      </w:tr>
      <w:tr w14:paraId="4B5F776D">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673285DD">
            <w:pPr>
              <w:pStyle w:val="22"/>
              <w:spacing w:line="360" w:lineRule="auto"/>
              <w:rPr>
                <w:rFonts w:ascii="Arial" w:hAnsi="Arial" w:eastAsia="Arial"/>
                <w:sz w:val="24"/>
                <w:szCs w:val="24"/>
              </w:rPr>
            </w:pPr>
            <w:r>
              <w:rPr>
                <w:rFonts w:ascii="Arial" w:hAnsi="Arial" w:eastAsia="Arial"/>
                <w:sz w:val="24"/>
                <w:szCs w:val="24"/>
              </w:rPr>
              <w:t>Interest Expense</w:t>
            </w:r>
          </w:p>
        </w:tc>
        <w:tc>
          <w:tcPr>
            <w:tcW w:w="1663" w:type="dxa"/>
            <w:tcBorders>
              <w:left w:val="single" w:color="000000" w:sz="4" w:space="0"/>
              <w:bottom w:val="single" w:color="000000" w:sz="4" w:space="0"/>
            </w:tcBorders>
          </w:tcPr>
          <w:p w14:paraId="5A964B14">
            <w:pPr>
              <w:pStyle w:val="22"/>
              <w:spacing w:line="360" w:lineRule="auto"/>
              <w:rPr>
                <w:rFonts w:ascii="Arial" w:hAnsi="Arial" w:eastAsia="Arial"/>
                <w:sz w:val="24"/>
                <w:szCs w:val="24"/>
              </w:rPr>
            </w:pPr>
            <w:r>
              <w:rPr>
                <w:rFonts w:ascii="Arial" w:hAnsi="Arial" w:eastAsia="Arial"/>
                <w:sz w:val="24"/>
                <w:szCs w:val="24"/>
              </w:rPr>
              <w:t>153.8</w:t>
            </w:r>
          </w:p>
        </w:tc>
        <w:tc>
          <w:tcPr>
            <w:tcW w:w="1660" w:type="dxa"/>
            <w:tcBorders>
              <w:left w:val="single" w:color="000000" w:sz="4" w:space="0"/>
              <w:bottom w:val="single" w:color="000000" w:sz="4" w:space="0"/>
            </w:tcBorders>
          </w:tcPr>
          <w:p w14:paraId="42F2459F">
            <w:pPr>
              <w:pStyle w:val="22"/>
              <w:spacing w:line="360" w:lineRule="auto"/>
              <w:rPr>
                <w:rFonts w:ascii="Arial" w:hAnsi="Arial" w:eastAsia="Arial"/>
                <w:sz w:val="24"/>
                <w:szCs w:val="24"/>
              </w:rPr>
            </w:pPr>
            <w:r>
              <w:rPr>
                <w:rFonts w:ascii="Arial" w:hAnsi="Arial" w:eastAsia="Arial"/>
                <w:sz w:val="24"/>
                <w:szCs w:val="24"/>
              </w:rPr>
              <w:t>173.6</w:t>
            </w:r>
          </w:p>
        </w:tc>
        <w:tc>
          <w:tcPr>
            <w:tcW w:w="1663" w:type="dxa"/>
            <w:tcBorders>
              <w:left w:val="single" w:color="000000" w:sz="4" w:space="0"/>
              <w:bottom w:val="single" w:color="000000" w:sz="4" w:space="0"/>
            </w:tcBorders>
          </w:tcPr>
          <w:p w14:paraId="5CD3D217">
            <w:pPr>
              <w:pStyle w:val="22"/>
              <w:spacing w:line="360" w:lineRule="auto"/>
              <w:rPr>
                <w:rFonts w:ascii="Arial" w:hAnsi="Arial" w:eastAsia="Arial"/>
                <w:sz w:val="24"/>
                <w:szCs w:val="24"/>
              </w:rPr>
            </w:pPr>
            <w:r>
              <w:rPr>
                <w:rFonts w:ascii="Arial" w:hAnsi="Arial" w:eastAsia="Arial"/>
                <w:sz w:val="24"/>
                <w:szCs w:val="24"/>
              </w:rPr>
              <w:t>166.9</w:t>
            </w:r>
          </w:p>
        </w:tc>
        <w:tc>
          <w:tcPr>
            <w:tcW w:w="1661" w:type="dxa"/>
            <w:tcBorders>
              <w:left w:val="single" w:color="000000" w:sz="4" w:space="0"/>
              <w:bottom w:val="single" w:color="000000" w:sz="4" w:space="0"/>
            </w:tcBorders>
          </w:tcPr>
          <w:p w14:paraId="03952A0C">
            <w:pPr>
              <w:pStyle w:val="22"/>
              <w:spacing w:line="360" w:lineRule="auto"/>
              <w:rPr>
                <w:rFonts w:ascii="Arial" w:hAnsi="Arial" w:eastAsia="Arial"/>
                <w:sz w:val="24"/>
                <w:szCs w:val="24"/>
              </w:rPr>
            </w:pPr>
            <w:r>
              <w:rPr>
                <w:rFonts w:ascii="Arial" w:hAnsi="Arial" w:eastAsia="Arial"/>
                <w:sz w:val="24"/>
                <w:szCs w:val="24"/>
              </w:rPr>
              <w:t>179.3</w:t>
            </w:r>
          </w:p>
        </w:tc>
        <w:tc>
          <w:tcPr>
            <w:tcW w:w="1663" w:type="dxa"/>
            <w:tcBorders>
              <w:left w:val="single" w:color="000000" w:sz="4" w:space="0"/>
              <w:bottom w:val="single" w:color="000000" w:sz="4" w:space="0"/>
              <w:right w:val="single" w:color="000000" w:sz="4" w:space="0"/>
            </w:tcBorders>
          </w:tcPr>
          <w:p w14:paraId="3C19C5AB">
            <w:pPr>
              <w:pStyle w:val="22"/>
              <w:spacing w:line="360" w:lineRule="auto"/>
              <w:rPr>
                <w:rFonts w:ascii="Arial" w:hAnsi="Arial" w:eastAsia="Arial"/>
                <w:sz w:val="24"/>
                <w:szCs w:val="24"/>
              </w:rPr>
            </w:pPr>
            <w:r>
              <w:rPr>
                <w:rFonts w:ascii="Arial" w:hAnsi="Arial" w:eastAsia="Arial"/>
                <w:sz w:val="24"/>
                <w:szCs w:val="24"/>
              </w:rPr>
              <w:t>188.5</w:t>
            </w:r>
          </w:p>
        </w:tc>
      </w:tr>
      <w:tr w14:paraId="733A12E6">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15A1E98F">
            <w:pPr>
              <w:pStyle w:val="22"/>
              <w:spacing w:line="360" w:lineRule="auto"/>
              <w:rPr>
                <w:rFonts w:ascii="Arial" w:hAnsi="Arial" w:eastAsia="Arial"/>
                <w:sz w:val="24"/>
                <w:szCs w:val="24"/>
              </w:rPr>
            </w:pPr>
            <w:r>
              <w:rPr>
                <w:rFonts w:ascii="Arial" w:hAnsi="Arial" w:eastAsia="Arial"/>
                <w:b/>
                <w:sz w:val="24"/>
                <w:szCs w:val="24"/>
              </w:rPr>
              <w:t>Debt-to-Equity Ratio</w:t>
            </w:r>
          </w:p>
        </w:tc>
        <w:tc>
          <w:tcPr>
            <w:tcW w:w="1663" w:type="dxa"/>
            <w:tcBorders>
              <w:left w:val="single" w:color="000000" w:sz="4" w:space="0"/>
              <w:bottom w:val="single" w:color="000000" w:sz="4" w:space="0"/>
            </w:tcBorders>
          </w:tcPr>
          <w:p w14:paraId="52AE5CDB">
            <w:pPr>
              <w:pStyle w:val="22"/>
              <w:spacing w:line="360" w:lineRule="auto"/>
              <w:rPr>
                <w:rFonts w:ascii="Arial" w:hAnsi="Arial" w:eastAsia="Arial"/>
                <w:sz w:val="24"/>
                <w:szCs w:val="24"/>
              </w:rPr>
            </w:pPr>
            <w:r>
              <w:rPr>
                <w:rFonts w:ascii="Arial" w:hAnsi="Arial" w:eastAsia="Arial"/>
                <w:b/>
                <w:sz w:val="24"/>
                <w:szCs w:val="24"/>
              </w:rPr>
              <w:t>34.0%</w:t>
            </w:r>
          </w:p>
        </w:tc>
        <w:tc>
          <w:tcPr>
            <w:tcW w:w="1660" w:type="dxa"/>
            <w:tcBorders>
              <w:left w:val="single" w:color="000000" w:sz="4" w:space="0"/>
              <w:bottom w:val="single" w:color="000000" w:sz="4" w:space="0"/>
            </w:tcBorders>
          </w:tcPr>
          <w:p w14:paraId="533B9A17">
            <w:pPr>
              <w:pStyle w:val="22"/>
              <w:spacing w:line="360" w:lineRule="auto"/>
              <w:rPr>
                <w:rFonts w:ascii="Arial" w:hAnsi="Arial" w:eastAsia="Arial"/>
                <w:sz w:val="24"/>
                <w:szCs w:val="24"/>
              </w:rPr>
            </w:pPr>
            <w:r>
              <w:rPr>
                <w:rFonts w:ascii="Arial" w:hAnsi="Arial" w:eastAsia="Arial"/>
                <w:b/>
                <w:sz w:val="24"/>
                <w:szCs w:val="24"/>
              </w:rPr>
              <w:t>24.1%</w:t>
            </w:r>
          </w:p>
        </w:tc>
        <w:tc>
          <w:tcPr>
            <w:tcW w:w="1663" w:type="dxa"/>
            <w:tcBorders>
              <w:left w:val="single" w:color="000000" w:sz="4" w:space="0"/>
              <w:bottom w:val="single" w:color="000000" w:sz="4" w:space="0"/>
            </w:tcBorders>
          </w:tcPr>
          <w:p w14:paraId="5DBE007C">
            <w:pPr>
              <w:pStyle w:val="22"/>
              <w:spacing w:line="360" w:lineRule="auto"/>
              <w:rPr>
                <w:rFonts w:ascii="Arial" w:hAnsi="Arial" w:eastAsia="Arial"/>
                <w:sz w:val="24"/>
                <w:szCs w:val="24"/>
              </w:rPr>
            </w:pPr>
            <w:r>
              <w:rPr>
                <w:rFonts w:ascii="Arial" w:hAnsi="Arial" w:eastAsia="Arial"/>
                <w:b/>
                <w:sz w:val="24"/>
                <w:szCs w:val="24"/>
              </w:rPr>
              <w:t>24.2%</w:t>
            </w:r>
          </w:p>
        </w:tc>
        <w:tc>
          <w:tcPr>
            <w:tcW w:w="1661" w:type="dxa"/>
            <w:tcBorders>
              <w:left w:val="single" w:color="000000" w:sz="4" w:space="0"/>
              <w:bottom w:val="single" w:color="000000" w:sz="4" w:space="0"/>
            </w:tcBorders>
          </w:tcPr>
          <w:p w14:paraId="53D1E1ED">
            <w:pPr>
              <w:pStyle w:val="22"/>
              <w:spacing w:line="360" w:lineRule="auto"/>
              <w:rPr>
                <w:rFonts w:ascii="Arial" w:hAnsi="Arial" w:eastAsia="Arial"/>
                <w:sz w:val="24"/>
                <w:szCs w:val="24"/>
              </w:rPr>
            </w:pPr>
            <w:r>
              <w:rPr>
                <w:rFonts w:ascii="Arial" w:hAnsi="Arial" w:eastAsia="Arial"/>
                <w:b/>
                <w:sz w:val="24"/>
                <w:szCs w:val="24"/>
              </w:rPr>
              <w:t>28.3%</w:t>
            </w:r>
          </w:p>
        </w:tc>
        <w:tc>
          <w:tcPr>
            <w:tcW w:w="1663" w:type="dxa"/>
            <w:tcBorders>
              <w:left w:val="single" w:color="000000" w:sz="4" w:space="0"/>
              <w:bottom w:val="single" w:color="000000" w:sz="4" w:space="0"/>
              <w:right w:val="single" w:color="000000" w:sz="4" w:space="0"/>
            </w:tcBorders>
          </w:tcPr>
          <w:p w14:paraId="3D3B45F4">
            <w:pPr>
              <w:pStyle w:val="22"/>
              <w:spacing w:line="360" w:lineRule="auto"/>
              <w:rPr>
                <w:rFonts w:ascii="Arial" w:hAnsi="Arial" w:eastAsia="Arial"/>
                <w:sz w:val="24"/>
                <w:szCs w:val="24"/>
              </w:rPr>
            </w:pPr>
            <w:r>
              <w:rPr>
                <w:rFonts w:ascii="Arial" w:hAnsi="Arial" w:eastAsia="Arial"/>
                <w:b/>
                <w:sz w:val="24"/>
                <w:szCs w:val="24"/>
              </w:rPr>
              <w:t>41.8%</w:t>
            </w:r>
          </w:p>
        </w:tc>
      </w:tr>
      <w:tr w14:paraId="6D195AB0">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4869D55D">
            <w:pPr>
              <w:pStyle w:val="22"/>
              <w:spacing w:line="360" w:lineRule="auto"/>
              <w:rPr>
                <w:rFonts w:ascii="Arial" w:hAnsi="Arial" w:eastAsia="Arial"/>
                <w:sz w:val="24"/>
                <w:szCs w:val="24"/>
              </w:rPr>
            </w:pPr>
            <w:r>
              <w:rPr>
                <w:rFonts w:ascii="Arial" w:hAnsi="Arial" w:eastAsia="Arial"/>
                <w:b/>
                <w:sz w:val="24"/>
                <w:szCs w:val="24"/>
              </w:rPr>
              <w:t>Interest Coverage</w:t>
            </w:r>
          </w:p>
        </w:tc>
        <w:tc>
          <w:tcPr>
            <w:tcW w:w="1663" w:type="dxa"/>
            <w:tcBorders>
              <w:left w:val="single" w:color="000000" w:sz="4" w:space="0"/>
              <w:bottom w:val="single" w:color="000000" w:sz="4" w:space="0"/>
            </w:tcBorders>
          </w:tcPr>
          <w:p w14:paraId="3CF83374">
            <w:pPr>
              <w:pStyle w:val="22"/>
              <w:spacing w:line="360" w:lineRule="auto"/>
              <w:rPr>
                <w:rFonts w:ascii="Arial" w:hAnsi="Arial" w:eastAsia="Arial"/>
                <w:sz w:val="24"/>
                <w:szCs w:val="24"/>
              </w:rPr>
            </w:pPr>
            <w:r>
              <w:rPr>
                <w:rFonts w:ascii="Arial" w:hAnsi="Arial" w:eastAsia="Arial"/>
                <w:b/>
                <w:sz w:val="24"/>
                <w:szCs w:val="24"/>
              </w:rPr>
              <w:t>(3.16)</w:t>
            </w:r>
          </w:p>
        </w:tc>
        <w:tc>
          <w:tcPr>
            <w:tcW w:w="1660" w:type="dxa"/>
            <w:tcBorders>
              <w:left w:val="single" w:color="000000" w:sz="4" w:space="0"/>
              <w:bottom w:val="single" w:color="000000" w:sz="4" w:space="0"/>
            </w:tcBorders>
          </w:tcPr>
          <w:p w14:paraId="0D2E730B">
            <w:pPr>
              <w:pStyle w:val="22"/>
              <w:spacing w:line="360" w:lineRule="auto"/>
              <w:rPr>
                <w:rFonts w:ascii="Arial" w:hAnsi="Arial" w:eastAsia="Arial"/>
                <w:sz w:val="24"/>
                <w:szCs w:val="24"/>
              </w:rPr>
            </w:pPr>
            <w:r>
              <w:rPr>
                <w:rFonts w:ascii="Arial" w:hAnsi="Arial" w:eastAsia="Arial"/>
                <w:b/>
                <w:sz w:val="24"/>
                <w:szCs w:val="24"/>
              </w:rPr>
              <w:t>0.88</w:t>
            </w:r>
          </w:p>
        </w:tc>
        <w:tc>
          <w:tcPr>
            <w:tcW w:w="1663" w:type="dxa"/>
            <w:tcBorders>
              <w:left w:val="single" w:color="000000" w:sz="4" w:space="0"/>
              <w:bottom w:val="single" w:color="000000" w:sz="4" w:space="0"/>
            </w:tcBorders>
          </w:tcPr>
          <w:p w14:paraId="6C5A5D97">
            <w:pPr>
              <w:pStyle w:val="22"/>
              <w:spacing w:line="360" w:lineRule="auto"/>
              <w:rPr>
                <w:rFonts w:ascii="Arial" w:hAnsi="Arial" w:eastAsia="Arial"/>
                <w:sz w:val="24"/>
                <w:szCs w:val="24"/>
              </w:rPr>
            </w:pPr>
            <w:r>
              <w:rPr>
                <w:rFonts w:ascii="Arial" w:hAnsi="Arial" w:eastAsia="Arial"/>
                <w:b/>
                <w:sz w:val="24"/>
                <w:szCs w:val="24"/>
              </w:rPr>
              <w:t>3.26</w:t>
            </w:r>
          </w:p>
        </w:tc>
        <w:tc>
          <w:tcPr>
            <w:tcW w:w="1661" w:type="dxa"/>
            <w:tcBorders>
              <w:left w:val="single" w:color="000000" w:sz="4" w:space="0"/>
              <w:bottom w:val="single" w:color="000000" w:sz="4" w:space="0"/>
            </w:tcBorders>
          </w:tcPr>
          <w:p w14:paraId="6A748C11">
            <w:pPr>
              <w:pStyle w:val="22"/>
              <w:spacing w:line="360" w:lineRule="auto"/>
              <w:rPr>
                <w:rFonts w:ascii="Arial" w:hAnsi="Arial" w:eastAsia="Arial"/>
                <w:sz w:val="24"/>
                <w:szCs w:val="24"/>
              </w:rPr>
            </w:pPr>
            <w:r>
              <w:rPr>
                <w:rFonts w:ascii="Arial" w:hAnsi="Arial" w:eastAsia="Arial"/>
                <w:b/>
                <w:sz w:val="24"/>
                <w:szCs w:val="24"/>
              </w:rPr>
              <w:t>3.76</w:t>
            </w:r>
          </w:p>
        </w:tc>
        <w:tc>
          <w:tcPr>
            <w:tcW w:w="1663" w:type="dxa"/>
            <w:tcBorders>
              <w:left w:val="single" w:color="000000" w:sz="4" w:space="0"/>
              <w:bottom w:val="single" w:color="000000" w:sz="4" w:space="0"/>
              <w:right w:val="single" w:color="000000" w:sz="4" w:space="0"/>
            </w:tcBorders>
          </w:tcPr>
          <w:p w14:paraId="5F3D3740">
            <w:pPr>
              <w:pStyle w:val="22"/>
              <w:spacing w:line="360" w:lineRule="auto"/>
              <w:rPr>
                <w:rFonts w:ascii="Arial" w:hAnsi="Arial" w:eastAsia="Arial"/>
                <w:sz w:val="24"/>
                <w:szCs w:val="24"/>
              </w:rPr>
            </w:pPr>
            <w:r>
              <w:rPr>
                <w:rFonts w:ascii="Arial" w:hAnsi="Arial" w:eastAsia="Arial"/>
                <w:b/>
                <w:sz w:val="24"/>
                <w:szCs w:val="24"/>
              </w:rPr>
              <w:t>3.34</w:t>
            </w:r>
          </w:p>
        </w:tc>
      </w:tr>
    </w:tbl>
    <w:p w14:paraId="7FA99FDE">
      <w:pPr>
        <w:pStyle w:val="4"/>
        <w:spacing w:line="360" w:lineRule="auto"/>
        <w:rPr>
          <w:rFonts w:ascii="Arial" w:hAnsi="Arial" w:eastAsia="Arial"/>
          <w:sz w:val="24"/>
          <w:szCs w:val="24"/>
        </w:rPr>
      </w:pPr>
    </w:p>
    <w:p w14:paraId="4287C330">
      <w:pPr>
        <w:pStyle w:val="4"/>
        <w:spacing w:line="360" w:lineRule="auto"/>
        <w:rPr>
          <w:rFonts w:ascii="Arial" w:hAnsi="Arial" w:eastAsia="Arial"/>
          <w:sz w:val="24"/>
          <w:szCs w:val="24"/>
        </w:rPr>
      </w:pPr>
      <w:r>
        <w:rPr>
          <w:rFonts w:ascii="Arial" w:hAnsi="Arial" w:eastAsia="Arial"/>
          <w:b/>
          <w:sz w:val="24"/>
          <w:szCs w:val="24"/>
        </w:rPr>
        <w:t>Investment Ratios</w:t>
      </w:r>
    </w:p>
    <w:tbl>
      <w:tblPr>
        <w:tblStyle w:val="8"/>
        <w:tblW w:w="5000" w:type="pct"/>
        <w:tblInd w:w="-5" w:type="dxa"/>
        <w:tblLayout w:type="fixed"/>
        <w:tblCellMar>
          <w:top w:w="55" w:type="dxa"/>
          <w:left w:w="55" w:type="dxa"/>
          <w:bottom w:w="55" w:type="dxa"/>
          <w:right w:w="55" w:type="dxa"/>
        </w:tblCellMar>
      </w:tblPr>
      <w:tblGrid>
        <w:gridCol w:w="1680"/>
        <w:gridCol w:w="1681"/>
        <w:gridCol w:w="1678"/>
        <w:gridCol w:w="1681"/>
        <w:gridCol w:w="1679"/>
        <w:gridCol w:w="1681"/>
      </w:tblGrid>
      <w:tr w14:paraId="2CB1EEAA">
        <w:tblPrEx>
          <w:tblCellMar>
            <w:top w:w="55" w:type="dxa"/>
            <w:left w:w="55" w:type="dxa"/>
            <w:bottom w:w="55" w:type="dxa"/>
            <w:right w:w="55" w:type="dxa"/>
          </w:tblCellMar>
        </w:tblPrEx>
        <w:trPr>
          <w:tblHeader/>
        </w:trPr>
        <w:tc>
          <w:tcPr>
            <w:tcW w:w="1662" w:type="dxa"/>
            <w:tcBorders>
              <w:top w:val="single" w:color="000000" w:sz="4" w:space="0"/>
              <w:left w:val="single" w:color="000000" w:sz="4" w:space="0"/>
              <w:bottom w:val="single" w:color="000000" w:sz="4" w:space="0"/>
            </w:tcBorders>
          </w:tcPr>
          <w:p w14:paraId="53484190">
            <w:pPr>
              <w:pStyle w:val="23"/>
              <w:spacing w:line="360" w:lineRule="auto"/>
              <w:jc w:val="left"/>
              <w:rPr>
                <w:rFonts w:ascii="Arial" w:hAnsi="Arial" w:eastAsia="Arial"/>
                <w:sz w:val="24"/>
                <w:szCs w:val="24"/>
              </w:rPr>
            </w:pPr>
            <w:r>
              <w:rPr>
                <w:rFonts w:ascii="Arial" w:hAnsi="Arial" w:eastAsia="Arial"/>
                <w:sz w:val="24"/>
                <w:szCs w:val="24"/>
              </w:rPr>
              <w:t>Particulars</w:t>
            </w:r>
          </w:p>
        </w:tc>
        <w:tc>
          <w:tcPr>
            <w:tcW w:w="1663" w:type="dxa"/>
            <w:tcBorders>
              <w:top w:val="single" w:color="000000" w:sz="4" w:space="0"/>
              <w:left w:val="single" w:color="000000" w:sz="4" w:space="0"/>
              <w:bottom w:val="single" w:color="000000" w:sz="4" w:space="0"/>
            </w:tcBorders>
          </w:tcPr>
          <w:p w14:paraId="769F2105">
            <w:pPr>
              <w:pStyle w:val="23"/>
              <w:spacing w:line="360" w:lineRule="auto"/>
              <w:jc w:val="left"/>
              <w:rPr>
                <w:rFonts w:ascii="Arial" w:hAnsi="Arial" w:eastAsia="Arial"/>
                <w:sz w:val="24"/>
                <w:szCs w:val="24"/>
              </w:rPr>
            </w:pPr>
            <w:r>
              <w:rPr>
                <w:rFonts w:ascii="Arial" w:hAnsi="Arial" w:eastAsia="Arial"/>
                <w:sz w:val="24"/>
                <w:szCs w:val="24"/>
              </w:rPr>
              <w:t>2021</w:t>
            </w:r>
          </w:p>
        </w:tc>
        <w:tc>
          <w:tcPr>
            <w:tcW w:w="1660" w:type="dxa"/>
            <w:tcBorders>
              <w:top w:val="single" w:color="000000" w:sz="4" w:space="0"/>
              <w:left w:val="single" w:color="000000" w:sz="4" w:space="0"/>
              <w:bottom w:val="single" w:color="000000" w:sz="4" w:space="0"/>
            </w:tcBorders>
          </w:tcPr>
          <w:p w14:paraId="7D3D016A">
            <w:pPr>
              <w:pStyle w:val="23"/>
              <w:spacing w:line="360" w:lineRule="auto"/>
              <w:jc w:val="left"/>
              <w:rPr>
                <w:rFonts w:ascii="Arial" w:hAnsi="Arial" w:eastAsia="Arial"/>
                <w:sz w:val="24"/>
                <w:szCs w:val="24"/>
              </w:rPr>
            </w:pPr>
            <w:r>
              <w:rPr>
                <w:rFonts w:ascii="Arial" w:hAnsi="Arial" w:eastAsia="Arial"/>
                <w:sz w:val="24"/>
                <w:szCs w:val="24"/>
              </w:rPr>
              <w:t>2022</w:t>
            </w:r>
          </w:p>
        </w:tc>
        <w:tc>
          <w:tcPr>
            <w:tcW w:w="1663" w:type="dxa"/>
            <w:tcBorders>
              <w:top w:val="single" w:color="000000" w:sz="4" w:space="0"/>
              <w:left w:val="single" w:color="000000" w:sz="4" w:space="0"/>
              <w:bottom w:val="single" w:color="000000" w:sz="4" w:space="0"/>
            </w:tcBorders>
          </w:tcPr>
          <w:p w14:paraId="6CE5AA64">
            <w:pPr>
              <w:pStyle w:val="23"/>
              <w:spacing w:line="360" w:lineRule="auto"/>
              <w:jc w:val="left"/>
              <w:rPr>
                <w:rFonts w:ascii="Arial" w:hAnsi="Arial" w:eastAsia="Arial"/>
                <w:sz w:val="24"/>
                <w:szCs w:val="24"/>
              </w:rPr>
            </w:pPr>
            <w:r>
              <w:rPr>
                <w:rFonts w:ascii="Arial" w:hAnsi="Arial" w:eastAsia="Arial"/>
                <w:sz w:val="24"/>
                <w:szCs w:val="24"/>
              </w:rPr>
              <w:t>2023</w:t>
            </w:r>
          </w:p>
        </w:tc>
        <w:tc>
          <w:tcPr>
            <w:tcW w:w="1661" w:type="dxa"/>
            <w:tcBorders>
              <w:top w:val="single" w:color="000000" w:sz="4" w:space="0"/>
              <w:left w:val="single" w:color="000000" w:sz="4" w:space="0"/>
              <w:bottom w:val="single" w:color="000000" w:sz="4" w:space="0"/>
            </w:tcBorders>
          </w:tcPr>
          <w:p w14:paraId="1395B895">
            <w:pPr>
              <w:pStyle w:val="23"/>
              <w:spacing w:line="360" w:lineRule="auto"/>
              <w:jc w:val="left"/>
              <w:rPr>
                <w:rFonts w:ascii="Arial" w:hAnsi="Arial" w:eastAsia="Arial"/>
                <w:sz w:val="24"/>
                <w:szCs w:val="24"/>
              </w:rPr>
            </w:pPr>
            <w:r>
              <w:rPr>
                <w:rFonts w:ascii="Arial" w:hAnsi="Arial" w:eastAsia="Arial"/>
                <w:sz w:val="24"/>
                <w:szCs w:val="24"/>
              </w:rPr>
              <w:t>2024</w:t>
            </w:r>
          </w:p>
        </w:tc>
        <w:tc>
          <w:tcPr>
            <w:tcW w:w="1663" w:type="dxa"/>
            <w:tcBorders>
              <w:top w:val="single" w:color="000000" w:sz="4" w:space="0"/>
              <w:left w:val="single" w:color="000000" w:sz="4" w:space="0"/>
              <w:bottom w:val="single" w:color="000000" w:sz="4" w:space="0"/>
              <w:right w:val="single" w:color="000000" w:sz="4" w:space="0"/>
            </w:tcBorders>
          </w:tcPr>
          <w:p w14:paraId="0516C4DF">
            <w:pPr>
              <w:pStyle w:val="23"/>
              <w:spacing w:line="360" w:lineRule="auto"/>
              <w:jc w:val="left"/>
              <w:rPr>
                <w:rFonts w:ascii="Arial" w:hAnsi="Arial" w:eastAsia="Arial"/>
                <w:sz w:val="24"/>
                <w:szCs w:val="24"/>
              </w:rPr>
            </w:pPr>
            <w:r>
              <w:rPr>
                <w:rFonts w:ascii="Arial" w:hAnsi="Arial" w:eastAsia="Arial"/>
                <w:sz w:val="24"/>
                <w:szCs w:val="24"/>
              </w:rPr>
              <w:t>2025</w:t>
            </w:r>
          </w:p>
        </w:tc>
      </w:tr>
      <w:tr w14:paraId="57152CB5">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7EE1DB46">
            <w:pPr>
              <w:pStyle w:val="22"/>
              <w:spacing w:line="360" w:lineRule="auto"/>
              <w:rPr>
                <w:rFonts w:ascii="Arial" w:hAnsi="Arial" w:eastAsia="Arial"/>
                <w:sz w:val="24"/>
                <w:szCs w:val="24"/>
              </w:rPr>
            </w:pPr>
            <w:r>
              <w:rPr>
                <w:rFonts w:ascii="Arial" w:hAnsi="Arial" w:eastAsia="Arial"/>
                <w:sz w:val="24"/>
                <w:szCs w:val="24"/>
              </w:rPr>
              <w:t>Diluted EPS (p)</w:t>
            </w:r>
          </w:p>
        </w:tc>
        <w:tc>
          <w:tcPr>
            <w:tcW w:w="1663" w:type="dxa"/>
            <w:tcBorders>
              <w:left w:val="single" w:color="000000" w:sz="4" w:space="0"/>
              <w:bottom w:val="single" w:color="000000" w:sz="4" w:space="0"/>
            </w:tcBorders>
          </w:tcPr>
          <w:p w14:paraId="21BA8F85">
            <w:pPr>
              <w:pStyle w:val="22"/>
              <w:spacing w:line="360" w:lineRule="auto"/>
              <w:rPr>
                <w:rFonts w:ascii="Arial" w:hAnsi="Arial" w:eastAsia="Arial"/>
                <w:sz w:val="24"/>
                <w:szCs w:val="24"/>
              </w:rPr>
            </w:pPr>
            <w:r>
              <w:rPr>
                <w:rFonts w:ascii="Arial" w:hAnsi="Arial" w:eastAsia="Arial"/>
                <w:sz w:val="24"/>
                <w:szCs w:val="24"/>
              </w:rPr>
              <w:t>(287.6)</w:t>
            </w:r>
          </w:p>
        </w:tc>
        <w:tc>
          <w:tcPr>
            <w:tcW w:w="1660" w:type="dxa"/>
            <w:tcBorders>
              <w:left w:val="single" w:color="000000" w:sz="4" w:space="0"/>
              <w:bottom w:val="single" w:color="000000" w:sz="4" w:space="0"/>
            </w:tcBorders>
          </w:tcPr>
          <w:p w14:paraId="0147EE97">
            <w:pPr>
              <w:pStyle w:val="22"/>
              <w:spacing w:line="360" w:lineRule="auto"/>
              <w:rPr>
                <w:rFonts w:ascii="Arial" w:hAnsi="Arial" w:eastAsia="Arial"/>
                <w:sz w:val="24"/>
                <w:szCs w:val="24"/>
              </w:rPr>
            </w:pPr>
            <w:r>
              <w:rPr>
                <w:rFonts w:ascii="Arial" w:hAnsi="Arial" w:eastAsia="Arial"/>
                <w:sz w:val="24"/>
                <w:szCs w:val="24"/>
              </w:rPr>
              <w:t>(2.5)</w:t>
            </w:r>
          </w:p>
        </w:tc>
        <w:tc>
          <w:tcPr>
            <w:tcW w:w="1663" w:type="dxa"/>
            <w:tcBorders>
              <w:left w:val="single" w:color="000000" w:sz="4" w:space="0"/>
              <w:bottom w:val="single" w:color="000000" w:sz="4" w:space="0"/>
            </w:tcBorders>
          </w:tcPr>
          <w:p w14:paraId="58CB144D">
            <w:pPr>
              <w:pStyle w:val="22"/>
              <w:spacing w:line="360" w:lineRule="auto"/>
              <w:rPr>
                <w:rFonts w:ascii="Arial" w:hAnsi="Arial" w:eastAsia="Arial"/>
                <w:sz w:val="24"/>
                <w:szCs w:val="24"/>
              </w:rPr>
            </w:pPr>
            <w:r>
              <w:rPr>
                <w:rFonts w:ascii="Arial" w:hAnsi="Arial" w:eastAsia="Arial"/>
                <w:sz w:val="24"/>
                <w:szCs w:val="24"/>
              </w:rPr>
              <w:t>161.8</w:t>
            </w:r>
          </w:p>
        </w:tc>
        <w:tc>
          <w:tcPr>
            <w:tcW w:w="1661" w:type="dxa"/>
            <w:tcBorders>
              <w:left w:val="single" w:color="000000" w:sz="4" w:space="0"/>
              <w:bottom w:val="single" w:color="000000" w:sz="4" w:space="0"/>
            </w:tcBorders>
          </w:tcPr>
          <w:p w14:paraId="0A88EE57">
            <w:pPr>
              <w:pStyle w:val="22"/>
              <w:spacing w:line="360" w:lineRule="auto"/>
              <w:rPr>
                <w:rFonts w:ascii="Arial" w:hAnsi="Arial" w:eastAsia="Arial"/>
                <w:sz w:val="24"/>
                <w:szCs w:val="24"/>
              </w:rPr>
            </w:pPr>
            <w:r>
              <w:rPr>
                <w:rFonts w:ascii="Arial" w:hAnsi="Arial" w:eastAsia="Arial"/>
                <w:sz w:val="24"/>
                <w:szCs w:val="24"/>
              </w:rPr>
              <w:t>205.5</w:t>
            </w:r>
          </w:p>
        </w:tc>
        <w:tc>
          <w:tcPr>
            <w:tcW w:w="1663" w:type="dxa"/>
            <w:tcBorders>
              <w:left w:val="single" w:color="000000" w:sz="4" w:space="0"/>
              <w:bottom w:val="single" w:color="000000" w:sz="4" w:space="0"/>
              <w:right w:val="single" w:color="000000" w:sz="4" w:space="0"/>
            </w:tcBorders>
          </w:tcPr>
          <w:p w14:paraId="1CD22A66">
            <w:pPr>
              <w:pStyle w:val="22"/>
              <w:spacing w:line="360" w:lineRule="auto"/>
              <w:rPr>
                <w:rFonts w:ascii="Arial" w:hAnsi="Arial" w:eastAsia="Arial"/>
                <w:sz w:val="24"/>
                <w:szCs w:val="24"/>
              </w:rPr>
            </w:pPr>
            <w:r>
              <w:rPr>
                <w:rFonts w:ascii="Arial" w:hAnsi="Arial" w:eastAsia="Arial"/>
                <w:sz w:val="24"/>
                <w:szCs w:val="24"/>
              </w:rPr>
              <w:t>193.4</w:t>
            </w:r>
          </w:p>
        </w:tc>
      </w:tr>
      <w:tr w14:paraId="3B353529">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1323CF30">
            <w:pPr>
              <w:pStyle w:val="22"/>
              <w:spacing w:line="360" w:lineRule="auto"/>
              <w:rPr>
                <w:rFonts w:ascii="Arial" w:hAnsi="Arial" w:eastAsia="Arial"/>
                <w:sz w:val="24"/>
                <w:szCs w:val="24"/>
              </w:rPr>
            </w:pPr>
            <w:r>
              <w:rPr>
                <w:rFonts w:ascii="Arial" w:hAnsi="Arial" w:eastAsia="Arial"/>
                <w:sz w:val="24"/>
                <w:szCs w:val="24"/>
              </w:rPr>
              <w:t>Dividends per Share (p)</w:t>
            </w:r>
          </w:p>
        </w:tc>
        <w:tc>
          <w:tcPr>
            <w:tcW w:w="1663" w:type="dxa"/>
            <w:tcBorders>
              <w:left w:val="single" w:color="000000" w:sz="4" w:space="0"/>
              <w:bottom w:val="single" w:color="000000" w:sz="4" w:space="0"/>
            </w:tcBorders>
          </w:tcPr>
          <w:p w14:paraId="5EAD500B">
            <w:pPr>
              <w:pStyle w:val="22"/>
              <w:spacing w:line="360" w:lineRule="auto"/>
              <w:rPr>
                <w:rFonts w:ascii="Arial" w:hAnsi="Arial" w:eastAsia="Arial"/>
                <w:sz w:val="24"/>
                <w:szCs w:val="24"/>
              </w:rPr>
            </w:pPr>
            <w:r>
              <w:rPr>
                <w:rFonts w:ascii="Arial" w:hAnsi="Arial" w:eastAsia="Arial"/>
                <w:sz w:val="24"/>
                <w:szCs w:val="24"/>
              </w:rPr>
              <w:t>0.0</w:t>
            </w:r>
          </w:p>
        </w:tc>
        <w:tc>
          <w:tcPr>
            <w:tcW w:w="1660" w:type="dxa"/>
            <w:tcBorders>
              <w:left w:val="single" w:color="000000" w:sz="4" w:space="0"/>
              <w:bottom w:val="single" w:color="000000" w:sz="4" w:space="0"/>
            </w:tcBorders>
          </w:tcPr>
          <w:p w14:paraId="399BE21C">
            <w:pPr>
              <w:pStyle w:val="22"/>
              <w:spacing w:line="360" w:lineRule="auto"/>
              <w:rPr>
                <w:rFonts w:ascii="Arial" w:hAnsi="Arial" w:eastAsia="Arial"/>
                <w:sz w:val="24"/>
                <w:szCs w:val="24"/>
              </w:rPr>
            </w:pPr>
            <w:r>
              <w:rPr>
                <w:rFonts w:ascii="Arial" w:hAnsi="Arial" w:eastAsia="Arial"/>
                <w:sz w:val="24"/>
                <w:szCs w:val="24"/>
              </w:rPr>
              <w:t>0.0</w:t>
            </w:r>
          </w:p>
        </w:tc>
        <w:tc>
          <w:tcPr>
            <w:tcW w:w="1663" w:type="dxa"/>
            <w:tcBorders>
              <w:left w:val="single" w:color="000000" w:sz="4" w:space="0"/>
              <w:bottom w:val="single" w:color="000000" w:sz="4" w:space="0"/>
            </w:tcBorders>
          </w:tcPr>
          <w:p w14:paraId="6D9A4890">
            <w:pPr>
              <w:pStyle w:val="22"/>
              <w:spacing w:line="360" w:lineRule="auto"/>
              <w:rPr>
                <w:rFonts w:ascii="Arial" w:hAnsi="Arial" w:eastAsia="Arial"/>
                <w:sz w:val="24"/>
                <w:szCs w:val="24"/>
              </w:rPr>
            </w:pPr>
            <w:r>
              <w:rPr>
                <w:rFonts w:ascii="Arial" w:hAnsi="Arial" w:eastAsia="Arial"/>
                <w:sz w:val="24"/>
                <w:szCs w:val="24"/>
              </w:rPr>
              <w:t>74.2</w:t>
            </w:r>
          </w:p>
        </w:tc>
        <w:tc>
          <w:tcPr>
            <w:tcW w:w="1661" w:type="dxa"/>
            <w:tcBorders>
              <w:left w:val="single" w:color="000000" w:sz="4" w:space="0"/>
              <w:bottom w:val="single" w:color="000000" w:sz="4" w:space="0"/>
            </w:tcBorders>
          </w:tcPr>
          <w:p w14:paraId="41A58ED7">
            <w:pPr>
              <w:pStyle w:val="22"/>
              <w:spacing w:line="360" w:lineRule="auto"/>
              <w:rPr>
                <w:rFonts w:ascii="Arial" w:hAnsi="Arial" w:eastAsia="Arial"/>
                <w:sz w:val="24"/>
                <w:szCs w:val="24"/>
              </w:rPr>
            </w:pPr>
            <w:r>
              <w:rPr>
                <w:rFonts w:ascii="Arial" w:hAnsi="Arial" w:eastAsia="Arial"/>
                <w:sz w:val="24"/>
                <w:szCs w:val="24"/>
              </w:rPr>
              <w:t>97.0</w:t>
            </w:r>
          </w:p>
        </w:tc>
        <w:tc>
          <w:tcPr>
            <w:tcW w:w="1663" w:type="dxa"/>
            <w:tcBorders>
              <w:left w:val="single" w:color="000000" w:sz="4" w:space="0"/>
              <w:bottom w:val="single" w:color="000000" w:sz="4" w:space="0"/>
              <w:right w:val="single" w:color="000000" w:sz="4" w:space="0"/>
            </w:tcBorders>
          </w:tcPr>
          <w:p w14:paraId="3F87015A">
            <w:pPr>
              <w:pStyle w:val="22"/>
              <w:spacing w:line="360" w:lineRule="auto"/>
              <w:rPr>
                <w:rFonts w:ascii="Arial" w:hAnsi="Arial" w:eastAsia="Arial"/>
                <w:sz w:val="24"/>
                <w:szCs w:val="24"/>
              </w:rPr>
            </w:pPr>
            <w:r>
              <w:rPr>
                <w:rFonts w:ascii="Arial" w:hAnsi="Arial" w:eastAsia="Arial"/>
                <w:sz w:val="24"/>
                <w:szCs w:val="24"/>
              </w:rPr>
              <w:t>97.0</w:t>
            </w:r>
          </w:p>
        </w:tc>
      </w:tr>
      <w:tr w14:paraId="2D277F6C">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5C7F9D61">
            <w:pPr>
              <w:pStyle w:val="22"/>
              <w:spacing w:line="360" w:lineRule="auto"/>
              <w:rPr>
                <w:rFonts w:ascii="Arial" w:hAnsi="Arial" w:eastAsia="Arial"/>
                <w:sz w:val="24"/>
                <w:szCs w:val="24"/>
              </w:rPr>
            </w:pPr>
            <w:r>
              <w:rPr>
                <w:rFonts w:ascii="Arial" w:hAnsi="Arial" w:eastAsia="Arial"/>
                <w:b/>
                <w:sz w:val="24"/>
                <w:szCs w:val="24"/>
              </w:rPr>
              <w:t>Dividend Payout</w:t>
            </w:r>
          </w:p>
        </w:tc>
        <w:tc>
          <w:tcPr>
            <w:tcW w:w="1663" w:type="dxa"/>
            <w:tcBorders>
              <w:left w:val="single" w:color="000000" w:sz="4" w:space="0"/>
              <w:bottom w:val="single" w:color="000000" w:sz="4" w:space="0"/>
            </w:tcBorders>
          </w:tcPr>
          <w:p w14:paraId="5EC93402">
            <w:pPr>
              <w:pStyle w:val="22"/>
              <w:spacing w:line="360" w:lineRule="auto"/>
              <w:rPr>
                <w:rFonts w:ascii="Arial" w:hAnsi="Arial" w:eastAsia="Arial"/>
                <w:sz w:val="24"/>
                <w:szCs w:val="24"/>
              </w:rPr>
            </w:pPr>
            <w:r>
              <w:rPr>
                <w:rFonts w:ascii="Arial" w:hAnsi="Arial" w:eastAsia="Arial"/>
                <w:b/>
                <w:sz w:val="24"/>
                <w:szCs w:val="24"/>
              </w:rPr>
              <w:t>0.0%</w:t>
            </w:r>
          </w:p>
        </w:tc>
        <w:tc>
          <w:tcPr>
            <w:tcW w:w="1660" w:type="dxa"/>
            <w:tcBorders>
              <w:left w:val="single" w:color="000000" w:sz="4" w:space="0"/>
              <w:bottom w:val="single" w:color="000000" w:sz="4" w:space="0"/>
            </w:tcBorders>
          </w:tcPr>
          <w:p w14:paraId="481C9A15">
            <w:pPr>
              <w:pStyle w:val="22"/>
              <w:spacing w:line="360" w:lineRule="auto"/>
              <w:rPr>
                <w:rFonts w:ascii="Arial" w:hAnsi="Arial" w:eastAsia="Arial"/>
                <w:sz w:val="24"/>
                <w:szCs w:val="24"/>
              </w:rPr>
            </w:pPr>
            <w:r>
              <w:rPr>
                <w:rFonts w:ascii="Arial" w:hAnsi="Arial" w:eastAsia="Arial"/>
                <w:b/>
                <w:sz w:val="24"/>
                <w:szCs w:val="24"/>
              </w:rPr>
              <w:t>0.0%</w:t>
            </w:r>
          </w:p>
        </w:tc>
        <w:tc>
          <w:tcPr>
            <w:tcW w:w="1663" w:type="dxa"/>
            <w:tcBorders>
              <w:left w:val="single" w:color="000000" w:sz="4" w:space="0"/>
              <w:bottom w:val="single" w:color="000000" w:sz="4" w:space="0"/>
            </w:tcBorders>
          </w:tcPr>
          <w:p w14:paraId="495F68FD">
            <w:pPr>
              <w:pStyle w:val="22"/>
              <w:spacing w:line="360" w:lineRule="auto"/>
              <w:rPr>
                <w:rFonts w:ascii="Arial" w:hAnsi="Arial" w:eastAsia="Arial"/>
                <w:sz w:val="24"/>
                <w:szCs w:val="24"/>
              </w:rPr>
            </w:pPr>
            <w:r>
              <w:rPr>
                <w:rFonts w:ascii="Arial" w:hAnsi="Arial" w:eastAsia="Arial"/>
                <w:b/>
                <w:sz w:val="24"/>
                <w:szCs w:val="24"/>
              </w:rPr>
              <w:t>45.8%</w:t>
            </w:r>
          </w:p>
        </w:tc>
        <w:tc>
          <w:tcPr>
            <w:tcW w:w="1661" w:type="dxa"/>
            <w:tcBorders>
              <w:left w:val="single" w:color="000000" w:sz="4" w:space="0"/>
              <w:bottom w:val="single" w:color="000000" w:sz="4" w:space="0"/>
            </w:tcBorders>
          </w:tcPr>
          <w:p w14:paraId="6CB029CC">
            <w:pPr>
              <w:pStyle w:val="22"/>
              <w:spacing w:line="360" w:lineRule="auto"/>
              <w:rPr>
                <w:rFonts w:ascii="Arial" w:hAnsi="Arial" w:eastAsia="Arial"/>
                <w:sz w:val="24"/>
                <w:szCs w:val="24"/>
              </w:rPr>
            </w:pPr>
            <w:r>
              <w:rPr>
                <w:rFonts w:ascii="Arial" w:hAnsi="Arial" w:eastAsia="Arial"/>
                <w:b/>
                <w:sz w:val="24"/>
                <w:szCs w:val="24"/>
              </w:rPr>
              <w:t>47.2%</w:t>
            </w:r>
          </w:p>
        </w:tc>
        <w:tc>
          <w:tcPr>
            <w:tcW w:w="1663" w:type="dxa"/>
            <w:tcBorders>
              <w:left w:val="single" w:color="000000" w:sz="4" w:space="0"/>
              <w:bottom w:val="single" w:color="000000" w:sz="4" w:space="0"/>
              <w:right w:val="single" w:color="000000" w:sz="4" w:space="0"/>
            </w:tcBorders>
          </w:tcPr>
          <w:p w14:paraId="621866E4">
            <w:pPr>
              <w:pStyle w:val="22"/>
              <w:spacing w:line="360" w:lineRule="auto"/>
              <w:rPr>
                <w:rFonts w:ascii="Arial" w:hAnsi="Arial" w:eastAsia="Arial"/>
                <w:sz w:val="24"/>
                <w:szCs w:val="24"/>
              </w:rPr>
            </w:pPr>
            <w:r>
              <w:rPr>
                <w:rFonts w:ascii="Arial" w:hAnsi="Arial" w:eastAsia="Arial"/>
                <w:b/>
                <w:sz w:val="24"/>
                <w:szCs w:val="24"/>
              </w:rPr>
              <w:t>50.1%</w:t>
            </w:r>
          </w:p>
        </w:tc>
      </w:tr>
    </w:tbl>
    <w:p w14:paraId="795CF7D7">
      <w:pPr>
        <w:pStyle w:val="4"/>
        <w:spacing w:line="360" w:lineRule="auto"/>
        <w:rPr>
          <w:rFonts w:ascii="Arial" w:hAnsi="Arial" w:eastAsia="Arial"/>
          <w:sz w:val="24"/>
          <w:szCs w:val="24"/>
        </w:rPr>
      </w:pPr>
    </w:p>
    <w:p w14:paraId="44003DE9">
      <w:pPr>
        <w:pStyle w:val="4"/>
        <w:spacing w:line="360" w:lineRule="auto"/>
        <w:rPr>
          <w:rFonts w:ascii="Arial" w:hAnsi="Arial" w:eastAsia="Arial"/>
          <w:sz w:val="24"/>
          <w:szCs w:val="24"/>
        </w:rPr>
      </w:pPr>
      <w:r>
        <w:rPr>
          <w:rFonts w:ascii="Arial" w:hAnsi="Arial" w:eastAsia="Arial"/>
          <w:b/>
          <w:sz w:val="24"/>
          <w:szCs w:val="24"/>
        </w:rPr>
        <w:t>Cash Flow Ratios</w:t>
      </w:r>
    </w:p>
    <w:tbl>
      <w:tblPr>
        <w:tblStyle w:val="8"/>
        <w:tblW w:w="5000" w:type="pct"/>
        <w:tblInd w:w="-5" w:type="dxa"/>
        <w:tblLayout w:type="fixed"/>
        <w:tblCellMar>
          <w:top w:w="55" w:type="dxa"/>
          <w:left w:w="55" w:type="dxa"/>
          <w:bottom w:w="55" w:type="dxa"/>
          <w:right w:w="55" w:type="dxa"/>
        </w:tblCellMar>
      </w:tblPr>
      <w:tblGrid>
        <w:gridCol w:w="1680"/>
        <w:gridCol w:w="1681"/>
        <w:gridCol w:w="1678"/>
        <w:gridCol w:w="1681"/>
        <w:gridCol w:w="1679"/>
        <w:gridCol w:w="1681"/>
      </w:tblGrid>
      <w:tr w14:paraId="6FDCE2C5">
        <w:tblPrEx>
          <w:tblCellMar>
            <w:top w:w="55" w:type="dxa"/>
            <w:left w:w="55" w:type="dxa"/>
            <w:bottom w:w="55" w:type="dxa"/>
            <w:right w:w="55" w:type="dxa"/>
          </w:tblCellMar>
        </w:tblPrEx>
        <w:trPr>
          <w:tblHeader/>
        </w:trPr>
        <w:tc>
          <w:tcPr>
            <w:tcW w:w="1662" w:type="dxa"/>
            <w:tcBorders>
              <w:top w:val="single" w:color="000000" w:sz="4" w:space="0"/>
              <w:left w:val="single" w:color="000000" w:sz="4" w:space="0"/>
              <w:bottom w:val="single" w:color="000000" w:sz="4" w:space="0"/>
            </w:tcBorders>
          </w:tcPr>
          <w:p w14:paraId="7318566D">
            <w:pPr>
              <w:pStyle w:val="23"/>
              <w:spacing w:line="360" w:lineRule="auto"/>
              <w:jc w:val="left"/>
              <w:rPr>
                <w:rFonts w:ascii="Arial" w:hAnsi="Arial" w:eastAsia="Arial"/>
                <w:sz w:val="24"/>
                <w:szCs w:val="24"/>
              </w:rPr>
            </w:pPr>
            <w:r>
              <w:rPr>
                <w:rFonts w:ascii="Arial" w:hAnsi="Arial" w:eastAsia="Arial"/>
                <w:sz w:val="24"/>
                <w:szCs w:val="24"/>
              </w:rPr>
              <w:t>Particulars (£m)</w:t>
            </w:r>
          </w:p>
        </w:tc>
        <w:tc>
          <w:tcPr>
            <w:tcW w:w="1663" w:type="dxa"/>
            <w:tcBorders>
              <w:top w:val="single" w:color="000000" w:sz="4" w:space="0"/>
              <w:left w:val="single" w:color="000000" w:sz="4" w:space="0"/>
              <w:bottom w:val="single" w:color="000000" w:sz="4" w:space="0"/>
            </w:tcBorders>
          </w:tcPr>
          <w:p w14:paraId="6070993F">
            <w:pPr>
              <w:pStyle w:val="23"/>
              <w:spacing w:line="360" w:lineRule="auto"/>
              <w:jc w:val="left"/>
              <w:rPr>
                <w:rFonts w:ascii="Arial" w:hAnsi="Arial" w:eastAsia="Arial"/>
                <w:sz w:val="24"/>
                <w:szCs w:val="24"/>
              </w:rPr>
            </w:pPr>
            <w:r>
              <w:rPr>
                <w:rFonts w:ascii="Arial" w:hAnsi="Arial" w:eastAsia="Arial"/>
                <w:sz w:val="24"/>
                <w:szCs w:val="24"/>
              </w:rPr>
              <w:t>2021</w:t>
            </w:r>
          </w:p>
        </w:tc>
        <w:tc>
          <w:tcPr>
            <w:tcW w:w="1660" w:type="dxa"/>
            <w:tcBorders>
              <w:top w:val="single" w:color="000000" w:sz="4" w:space="0"/>
              <w:left w:val="single" w:color="000000" w:sz="4" w:space="0"/>
              <w:bottom w:val="single" w:color="000000" w:sz="4" w:space="0"/>
            </w:tcBorders>
          </w:tcPr>
          <w:p w14:paraId="2945FD9D">
            <w:pPr>
              <w:pStyle w:val="23"/>
              <w:spacing w:line="360" w:lineRule="auto"/>
              <w:jc w:val="left"/>
              <w:rPr>
                <w:rFonts w:ascii="Arial" w:hAnsi="Arial" w:eastAsia="Arial"/>
                <w:sz w:val="24"/>
                <w:szCs w:val="24"/>
              </w:rPr>
            </w:pPr>
            <w:r>
              <w:rPr>
                <w:rFonts w:ascii="Arial" w:hAnsi="Arial" w:eastAsia="Arial"/>
                <w:sz w:val="24"/>
                <w:szCs w:val="24"/>
              </w:rPr>
              <w:t>2022</w:t>
            </w:r>
          </w:p>
        </w:tc>
        <w:tc>
          <w:tcPr>
            <w:tcW w:w="1663" w:type="dxa"/>
            <w:tcBorders>
              <w:top w:val="single" w:color="000000" w:sz="4" w:space="0"/>
              <w:left w:val="single" w:color="000000" w:sz="4" w:space="0"/>
              <w:bottom w:val="single" w:color="000000" w:sz="4" w:space="0"/>
            </w:tcBorders>
          </w:tcPr>
          <w:p w14:paraId="2D2C8B7F">
            <w:pPr>
              <w:pStyle w:val="23"/>
              <w:spacing w:line="360" w:lineRule="auto"/>
              <w:jc w:val="left"/>
              <w:rPr>
                <w:rFonts w:ascii="Arial" w:hAnsi="Arial" w:eastAsia="Arial"/>
                <w:sz w:val="24"/>
                <w:szCs w:val="24"/>
              </w:rPr>
            </w:pPr>
            <w:r>
              <w:rPr>
                <w:rFonts w:ascii="Arial" w:hAnsi="Arial" w:eastAsia="Arial"/>
                <w:sz w:val="24"/>
                <w:szCs w:val="24"/>
              </w:rPr>
              <w:t>2023</w:t>
            </w:r>
          </w:p>
        </w:tc>
        <w:tc>
          <w:tcPr>
            <w:tcW w:w="1661" w:type="dxa"/>
            <w:tcBorders>
              <w:top w:val="single" w:color="000000" w:sz="4" w:space="0"/>
              <w:left w:val="single" w:color="000000" w:sz="4" w:space="0"/>
              <w:bottom w:val="single" w:color="000000" w:sz="4" w:space="0"/>
            </w:tcBorders>
          </w:tcPr>
          <w:p w14:paraId="44ECD4DC">
            <w:pPr>
              <w:pStyle w:val="23"/>
              <w:spacing w:line="360" w:lineRule="auto"/>
              <w:jc w:val="left"/>
              <w:rPr>
                <w:rFonts w:ascii="Arial" w:hAnsi="Arial" w:eastAsia="Arial"/>
                <w:sz w:val="24"/>
                <w:szCs w:val="24"/>
              </w:rPr>
            </w:pPr>
            <w:r>
              <w:rPr>
                <w:rFonts w:ascii="Arial" w:hAnsi="Arial" w:eastAsia="Arial"/>
                <w:sz w:val="24"/>
                <w:szCs w:val="24"/>
              </w:rPr>
              <w:t>2024</w:t>
            </w:r>
          </w:p>
        </w:tc>
        <w:tc>
          <w:tcPr>
            <w:tcW w:w="1663" w:type="dxa"/>
            <w:tcBorders>
              <w:top w:val="single" w:color="000000" w:sz="4" w:space="0"/>
              <w:left w:val="single" w:color="000000" w:sz="4" w:space="0"/>
              <w:bottom w:val="single" w:color="000000" w:sz="4" w:space="0"/>
              <w:right w:val="single" w:color="000000" w:sz="4" w:space="0"/>
            </w:tcBorders>
          </w:tcPr>
          <w:p w14:paraId="639A15CA">
            <w:pPr>
              <w:pStyle w:val="23"/>
              <w:spacing w:line="360" w:lineRule="auto"/>
              <w:jc w:val="left"/>
              <w:rPr>
                <w:rFonts w:ascii="Arial" w:hAnsi="Arial" w:eastAsia="Arial"/>
                <w:sz w:val="24"/>
                <w:szCs w:val="24"/>
              </w:rPr>
            </w:pPr>
            <w:r>
              <w:rPr>
                <w:rFonts w:ascii="Arial" w:hAnsi="Arial" w:eastAsia="Arial"/>
                <w:sz w:val="24"/>
                <w:szCs w:val="24"/>
              </w:rPr>
              <w:t>2025</w:t>
            </w:r>
          </w:p>
        </w:tc>
      </w:tr>
      <w:tr w14:paraId="16CCFFC2">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7E479AB1">
            <w:pPr>
              <w:pStyle w:val="22"/>
              <w:spacing w:line="360" w:lineRule="auto"/>
              <w:rPr>
                <w:rFonts w:ascii="Arial" w:hAnsi="Arial" w:eastAsia="Arial"/>
                <w:sz w:val="24"/>
                <w:szCs w:val="24"/>
              </w:rPr>
            </w:pPr>
            <w:r>
              <w:rPr>
                <w:rFonts w:ascii="Arial" w:hAnsi="Arial" w:eastAsia="Arial"/>
                <w:sz w:val="24"/>
                <w:szCs w:val="24"/>
              </w:rPr>
              <w:t>Operating Cash Flow</w:t>
            </w:r>
          </w:p>
        </w:tc>
        <w:tc>
          <w:tcPr>
            <w:tcW w:w="1663" w:type="dxa"/>
            <w:tcBorders>
              <w:left w:val="single" w:color="000000" w:sz="4" w:space="0"/>
              <w:bottom w:val="single" w:color="000000" w:sz="4" w:space="0"/>
            </w:tcBorders>
          </w:tcPr>
          <w:p w14:paraId="592744EF">
            <w:pPr>
              <w:pStyle w:val="22"/>
              <w:spacing w:line="360" w:lineRule="auto"/>
              <w:rPr>
                <w:rFonts w:ascii="Arial" w:hAnsi="Arial" w:eastAsia="Arial"/>
                <w:sz w:val="24"/>
                <w:szCs w:val="24"/>
              </w:rPr>
            </w:pPr>
            <w:r>
              <w:rPr>
                <w:rFonts w:ascii="Arial" w:hAnsi="Arial" w:eastAsia="Arial"/>
                <w:sz w:val="24"/>
                <w:szCs w:val="24"/>
              </w:rPr>
              <w:t>(227.0)</w:t>
            </w:r>
          </w:p>
        </w:tc>
        <w:tc>
          <w:tcPr>
            <w:tcW w:w="1660" w:type="dxa"/>
            <w:tcBorders>
              <w:left w:val="single" w:color="000000" w:sz="4" w:space="0"/>
              <w:bottom w:val="single" w:color="000000" w:sz="4" w:space="0"/>
            </w:tcBorders>
          </w:tcPr>
          <w:p w14:paraId="2C48E930">
            <w:pPr>
              <w:pStyle w:val="22"/>
              <w:spacing w:line="360" w:lineRule="auto"/>
              <w:rPr>
                <w:rFonts w:ascii="Arial" w:hAnsi="Arial" w:eastAsia="Arial"/>
                <w:sz w:val="24"/>
                <w:szCs w:val="24"/>
              </w:rPr>
            </w:pPr>
            <w:r>
              <w:rPr>
                <w:rFonts w:ascii="Arial" w:hAnsi="Arial" w:eastAsia="Arial"/>
                <w:sz w:val="24"/>
                <w:szCs w:val="24"/>
              </w:rPr>
              <w:t>693.7</w:t>
            </w:r>
          </w:p>
        </w:tc>
        <w:tc>
          <w:tcPr>
            <w:tcW w:w="1663" w:type="dxa"/>
            <w:tcBorders>
              <w:left w:val="single" w:color="000000" w:sz="4" w:space="0"/>
              <w:bottom w:val="single" w:color="000000" w:sz="4" w:space="0"/>
            </w:tcBorders>
          </w:tcPr>
          <w:p w14:paraId="27422A09">
            <w:pPr>
              <w:pStyle w:val="22"/>
              <w:spacing w:line="360" w:lineRule="auto"/>
              <w:rPr>
                <w:rFonts w:ascii="Arial" w:hAnsi="Arial" w:eastAsia="Arial"/>
                <w:sz w:val="24"/>
                <w:szCs w:val="24"/>
              </w:rPr>
            </w:pPr>
            <w:r>
              <w:rPr>
                <w:rFonts w:ascii="Arial" w:hAnsi="Arial" w:eastAsia="Arial"/>
                <w:sz w:val="24"/>
                <w:szCs w:val="24"/>
              </w:rPr>
              <w:t>996.3</w:t>
            </w:r>
          </w:p>
        </w:tc>
        <w:tc>
          <w:tcPr>
            <w:tcW w:w="1661" w:type="dxa"/>
            <w:tcBorders>
              <w:left w:val="single" w:color="000000" w:sz="4" w:space="0"/>
              <w:bottom w:val="single" w:color="000000" w:sz="4" w:space="0"/>
            </w:tcBorders>
          </w:tcPr>
          <w:p w14:paraId="610F6797">
            <w:pPr>
              <w:pStyle w:val="22"/>
              <w:spacing w:line="360" w:lineRule="auto"/>
              <w:rPr>
                <w:rFonts w:ascii="Arial" w:hAnsi="Arial" w:eastAsia="Arial"/>
                <w:sz w:val="24"/>
                <w:szCs w:val="24"/>
              </w:rPr>
            </w:pPr>
            <w:r>
              <w:rPr>
                <w:rFonts w:ascii="Arial" w:hAnsi="Arial" w:eastAsia="Arial"/>
                <w:sz w:val="24"/>
                <w:szCs w:val="24"/>
              </w:rPr>
              <w:t>1,086.7</w:t>
            </w:r>
          </w:p>
        </w:tc>
        <w:tc>
          <w:tcPr>
            <w:tcW w:w="1663" w:type="dxa"/>
            <w:tcBorders>
              <w:left w:val="single" w:color="000000" w:sz="4" w:space="0"/>
              <w:bottom w:val="single" w:color="000000" w:sz="4" w:space="0"/>
              <w:right w:val="single" w:color="000000" w:sz="4" w:space="0"/>
            </w:tcBorders>
          </w:tcPr>
          <w:p w14:paraId="7A88E5FE">
            <w:pPr>
              <w:pStyle w:val="22"/>
              <w:spacing w:line="360" w:lineRule="auto"/>
              <w:rPr>
                <w:rFonts w:ascii="Arial" w:hAnsi="Arial" w:eastAsia="Arial"/>
                <w:sz w:val="24"/>
                <w:szCs w:val="24"/>
              </w:rPr>
            </w:pPr>
            <w:r>
              <w:rPr>
                <w:rFonts w:ascii="Arial" w:hAnsi="Arial" w:eastAsia="Arial"/>
                <w:sz w:val="24"/>
                <w:szCs w:val="24"/>
              </w:rPr>
              <w:t>1,004.5</w:t>
            </w:r>
          </w:p>
        </w:tc>
      </w:tr>
      <w:tr w14:paraId="5D57CA47">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75B1B074">
            <w:pPr>
              <w:pStyle w:val="22"/>
              <w:spacing w:line="360" w:lineRule="auto"/>
              <w:rPr>
                <w:rFonts w:ascii="Arial" w:hAnsi="Arial" w:eastAsia="Arial"/>
                <w:sz w:val="24"/>
                <w:szCs w:val="24"/>
              </w:rPr>
            </w:pPr>
            <w:r>
              <w:rPr>
                <w:rFonts w:ascii="Arial" w:hAnsi="Arial" w:eastAsia="Arial"/>
                <w:sz w:val="24"/>
                <w:szCs w:val="24"/>
              </w:rPr>
              <w:t>Total Debt</w:t>
            </w:r>
          </w:p>
        </w:tc>
        <w:tc>
          <w:tcPr>
            <w:tcW w:w="1663" w:type="dxa"/>
            <w:tcBorders>
              <w:left w:val="single" w:color="000000" w:sz="4" w:space="0"/>
              <w:bottom w:val="single" w:color="000000" w:sz="4" w:space="0"/>
            </w:tcBorders>
          </w:tcPr>
          <w:p w14:paraId="4D9EA8E0">
            <w:pPr>
              <w:pStyle w:val="22"/>
              <w:spacing w:line="360" w:lineRule="auto"/>
              <w:rPr>
                <w:rFonts w:ascii="Arial" w:hAnsi="Arial" w:eastAsia="Arial"/>
                <w:sz w:val="24"/>
                <w:szCs w:val="24"/>
              </w:rPr>
            </w:pPr>
            <w:r>
              <w:rPr>
                <w:rFonts w:ascii="Arial" w:hAnsi="Arial" w:eastAsia="Arial"/>
                <w:sz w:val="24"/>
                <w:szCs w:val="24"/>
              </w:rPr>
              <w:t>1,302.5</w:t>
            </w:r>
          </w:p>
        </w:tc>
        <w:tc>
          <w:tcPr>
            <w:tcW w:w="1660" w:type="dxa"/>
            <w:tcBorders>
              <w:left w:val="single" w:color="000000" w:sz="4" w:space="0"/>
              <w:bottom w:val="single" w:color="000000" w:sz="4" w:space="0"/>
            </w:tcBorders>
          </w:tcPr>
          <w:p w14:paraId="4DBA4CB2">
            <w:pPr>
              <w:pStyle w:val="22"/>
              <w:spacing w:line="360" w:lineRule="auto"/>
              <w:rPr>
                <w:rFonts w:ascii="Arial" w:hAnsi="Arial" w:eastAsia="Arial"/>
                <w:sz w:val="24"/>
                <w:szCs w:val="24"/>
              </w:rPr>
            </w:pPr>
            <w:r>
              <w:rPr>
                <w:rFonts w:ascii="Arial" w:hAnsi="Arial" w:eastAsia="Arial"/>
                <w:sz w:val="24"/>
                <w:szCs w:val="24"/>
              </w:rPr>
              <w:t>991.9</w:t>
            </w:r>
          </w:p>
        </w:tc>
        <w:tc>
          <w:tcPr>
            <w:tcW w:w="1663" w:type="dxa"/>
            <w:tcBorders>
              <w:left w:val="single" w:color="000000" w:sz="4" w:space="0"/>
              <w:bottom w:val="single" w:color="000000" w:sz="4" w:space="0"/>
            </w:tcBorders>
          </w:tcPr>
          <w:p w14:paraId="33FB8DA2">
            <w:pPr>
              <w:pStyle w:val="22"/>
              <w:spacing w:line="360" w:lineRule="auto"/>
              <w:rPr>
                <w:rFonts w:ascii="Arial" w:hAnsi="Arial" w:eastAsia="Arial"/>
                <w:sz w:val="24"/>
                <w:szCs w:val="24"/>
              </w:rPr>
            </w:pPr>
            <w:r>
              <w:rPr>
                <w:rFonts w:ascii="Arial" w:hAnsi="Arial" w:eastAsia="Arial"/>
                <w:sz w:val="24"/>
                <w:szCs w:val="24"/>
              </w:rPr>
              <w:t>993.4</w:t>
            </w:r>
          </w:p>
        </w:tc>
        <w:tc>
          <w:tcPr>
            <w:tcW w:w="1661" w:type="dxa"/>
            <w:tcBorders>
              <w:left w:val="single" w:color="000000" w:sz="4" w:space="0"/>
              <w:bottom w:val="single" w:color="000000" w:sz="4" w:space="0"/>
            </w:tcBorders>
          </w:tcPr>
          <w:p w14:paraId="286DDB66">
            <w:pPr>
              <w:pStyle w:val="22"/>
              <w:spacing w:line="360" w:lineRule="auto"/>
              <w:rPr>
                <w:rFonts w:ascii="Arial" w:hAnsi="Arial" w:eastAsia="Arial"/>
                <w:sz w:val="24"/>
                <w:szCs w:val="24"/>
              </w:rPr>
            </w:pPr>
            <w:r>
              <w:rPr>
                <w:rFonts w:ascii="Arial" w:hAnsi="Arial" w:eastAsia="Arial"/>
                <w:sz w:val="24"/>
                <w:szCs w:val="24"/>
              </w:rPr>
              <w:t>994.9</w:t>
            </w:r>
          </w:p>
        </w:tc>
        <w:tc>
          <w:tcPr>
            <w:tcW w:w="1663" w:type="dxa"/>
            <w:tcBorders>
              <w:left w:val="single" w:color="000000" w:sz="4" w:space="0"/>
              <w:bottom w:val="single" w:color="000000" w:sz="4" w:space="0"/>
              <w:right w:val="single" w:color="000000" w:sz="4" w:space="0"/>
            </w:tcBorders>
          </w:tcPr>
          <w:p w14:paraId="52FE3AEB">
            <w:pPr>
              <w:pStyle w:val="22"/>
              <w:spacing w:line="360" w:lineRule="auto"/>
              <w:rPr>
                <w:rFonts w:ascii="Arial" w:hAnsi="Arial" w:eastAsia="Arial"/>
                <w:sz w:val="24"/>
                <w:szCs w:val="24"/>
              </w:rPr>
            </w:pPr>
            <w:r>
              <w:rPr>
                <w:rFonts w:ascii="Arial" w:hAnsi="Arial" w:eastAsia="Arial"/>
                <w:sz w:val="24"/>
                <w:szCs w:val="24"/>
              </w:rPr>
              <w:t>1,392.4</w:t>
            </w:r>
          </w:p>
        </w:tc>
      </w:tr>
      <w:tr w14:paraId="09799BB3">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24BAB3BD">
            <w:pPr>
              <w:pStyle w:val="22"/>
              <w:spacing w:line="360" w:lineRule="auto"/>
              <w:rPr>
                <w:rFonts w:ascii="Arial" w:hAnsi="Arial" w:eastAsia="Arial"/>
                <w:sz w:val="24"/>
                <w:szCs w:val="24"/>
              </w:rPr>
            </w:pPr>
            <w:r>
              <w:rPr>
                <w:rFonts w:ascii="Arial" w:hAnsi="Arial" w:eastAsia="Arial"/>
                <w:sz w:val="24"/>
                <w:szCs w:val="24"/>
              </w:rPr>
              <w:t>Capital Expenditure</w:t>
            </w:r>
          </w:p>
        </w:tc>
        <w:tc>
          <w:tcPr>
            <w:tcW w:w="1663" w:type="dxa"/>
            <w:tcBorders>
              <w:left w:val="single" w:color="000000" w:sz="4" w:space="0"/>
              <w:bottom w:val="single" w:color="000000" w:sz="4" w:space="0"/>
            </w:tcBorders>
          </w:tcPr>
          <w:p w14:paraId="20565ADA">
            <w:pPr>
              <w:pStyle w:val="22"/>
              <w:spacing w:line="360" w:lineRule="auto"/>
              <w:rPr>
                <w:rFonts w:ascii="Arial" w:hAnsi="Arial" w:eastAsia="Arial"/>
                <w:sz w:val="24"/>
                <w:szCs w:val="24"/>
              </w:rPr>
            </w:pPr>
            <w:r>
              <w:rPr>
                <w:rFonts w:ascii="Arial" w:hAnsi="Arial" w:eastAsia="Arial"/>
                <w:sz w:val="24"/>
                <w:szCs w:val="24"/>
              </w:rPr>
              <w:t>228.0</w:t>
            </w:r>
          </w:p>
        </w:tc>
        <w:tc>
          <w:tcPr>
            <w:tcW w:w="1660" w:type="dxa"/>
            <w:tcBorders>
              <w:left w:val="single" w:color="000000" w:sz="4" w:space="0"/>
              <w:bottom w:val="single" w:color="000000" w:sz="4" w:space="0"/>
            </w:tcBorders>
          </w:tcPr>
          <w:p w14:paraId="6EE51788">
            <w:pPr>
              <w:pStyle w:val="22"/>
              <w:spacing w:line="360" w:lineRule="auto"/>
              <w:rPr>
                <w:rFonts w:ascii="Arial" w:hAnsi="Arial" w:eastAsia="Arial"/>
                <w:sz w:val="24"/>
                <w:szCs w:val="24"/>
              </w:rPr>
            </w:pPr>
            <w:r>
              <w:rPr>
                <w:rFonts w:ascii="Arial" w:hAnsi="Arial" w:eastAsia="Arial"/>
                <w:sz w:val="24"/>
                <w:szCs w:val="24"/>
              </w:rPr>
              <w:t>204.6</w:t>
            </w:r>
          </w:p>
        </w:tc>
        <w:tc>
          <w:tcPr>
            <w:tcW w:w="1663" w:type="dxa"/>
            <w:tcBorders>
              <w:left w:val="single" w:color="000000" w:sz="4" w:space="0"/>
              <w:bottom w:val="single" w:color="000000" w:sz="4" w:space="0"/>
            </w:tcBorders>
          </w:tcPr>
          <w:p w14:paraId="6E1AEBE9">
            <w:pPr>
              <w:pStyle w:val="22"/>
              <w:spacing w:line="360" w:lineRule="auto"/>
              <w:rPr>
                <w:rFonts w:ascii="Arial" w:hAnsi="Arial" w:eastAsia="Arial"/>
                <w:sz w:val="24"/>
                <w:szCs w:val="24"/>
              </w:rPr>
            </w:pPr>
            <w:r>
              <w:rPr>
                <w:rFonts w:ascii="Arial" w:hAnsi="Arial" w:eastAsia="Arial"/>
                <w:sz w:val="24"/>
                <w:szCs w:val="24"/>
              </w:rPr>
              <w:t>486.0</w:t>
            </w:r>
          </w:p>
        </w:tc>
        <w:tc>
          <w:tcPr>
            <w:tcW w:w="1661" w:type="dxa"/>
            <w:tcBorders>
              <w:left w:val="single" w:color="000000" w:sz="4" w:space="0"/>
              <w:bottom w:val="single" w:color="000000" w:sz="4" w:space="0"/>
            </w:tcBorders>
          </w:tcPr>
          <w:p w14:paraId="22EF82E1">
            <w:pPr>
              <w:pStyle w:val="22"/>
              <w:spacing w:line="360" w:lineRule="auto"/>
              <w:rPr>
                <w:rFonts w:ascii="Arial" w:hAnsi="Arial" w:eastAsia="Arial"/>
                <w:sz w:val="24"/>
                <w:szCs w:val="24"/>
              </w:rPr>
            </w:pPr>
            <w:r>
              <w:rPr>
                <w:rFonts w:ascii="Arial" w:hAnsi="Arial" w:eastAsia="Arial"/>
                <w:sz w:val="24"/>
                <w:szCs w:val="24"/>
              </w:rPr>
              <w:t>443.9</w:t>
            </w:r>
          </w:p>
        </w:tc>
        <w:tc>
          <w:tcPr>
            <w:tcW w:w="1663" w:type="dxa"/>
            <w:tcBorders>
              <w:left w:val="single" w:color="000000" w:sz="4" w:space="0"/>
              <w:bottom w:val="single" w:color="000000" w:sz="4" w:space="0"/>
              <w:right w:val="single" w:color="000000" w:sz="4" w:space="0"/>
            </w:tcBorders>
          </w:tcPr>
          <w:p w14:paraId="2B2A42BB">
            <w:pPr>
              <w:pStyle w:val="22"/>
              <w:spacing w:line="360" w:lineRule="auto"/>
              <w:rPr>
                <w:rFonts w:ascii="Arial" w:hAnsi="Arial" w:eastAsia="Arial"/>
                <w:sz w:val="24"/>
                <w:szCs w:val="24"/>
              </w:rPr>
            </w:pPr>
            <w:r>
              <w:rPr>
                <w:rFonts w:ascii="Arial" w:hAnsi="Arial" w:eastAsia="Arial"/>
                <w:sz w:val="24"/>
                <w:szCs w:val="24"/>
              </w:rPr>
              <w:t>362.4</w:t>
            </w:r>
          </w:p>
        </w:tc>
      </w:tr>
      <w:tr w14:paraId="5895DD6D">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241972D0">
            <w:pPr>
              <w:pStyle w:val="22"/>
              <w:spacing w:line="360" w:lineRule="auto"/>
              <w:rPr>
                <w:rFonts w:ascii="Arial" w:hAnsi="Arial" w:eastAsia="Arial"/>
                <w:sz w:val="24"/>
                <w:szCs w:val="24"/>
              </w:rPr>
            </w:pPr>
            <w:r>
              <w:rPr>
                <w:rFonts w:ascii="Arial" w:hAnsi="Arial" w:eastAsia="Arial"/>
                <w:b/>
                <w:sz w:val="24"/>
                <w:szCs w:val="24"/>
              </w:rPr>
              <w:t>OCF-to-Debt</w:t>
            </w:r>
          </w:p>
        </w:tc>
        <w:tc>
          <w:tcPr>
            <w:tcW w:w="1663" w:type="dxa"/>
            <w:tcBorders>
              <w:left w:val="single" w:color="000000" w:sz="4" w:space="0"/>
              <w:bottom w:val="single" w:color="000000" w:sz="4" w:space="0"/>
            </w:tcBorders>
          </w:tcPr>
          <w:p w14:paraId="72A2E436">
            <w:pPr>
              <w:pStyle w:val="22"/>
              <w:spacing w:line="360" w:lineRule="auto"/>
              <w:rPr>
                <w:rFonts w:ascii="Arial" w:hAnsi="Arial" w:eastAsia="Arial"/>
                <w:sz w:val="24"/>
                <w:szCs w:val="24"/>
              </w:rPr>
            </w:pPr>
            <w:r>
              <w:rPr>
                <w:rFonts w:ascii="Arial" w:hAnsi="Arial" w:eastAsia="Arial"/>
                <w:b/>
                <w:sz w:val="24"/>
                <w:szCs w:val="24"/>
              </w:rPr>
              <w:t>(17.4%)</w:t>
            </w:r>
          </w:p>
        </w:tc>
        <w:tc>
          <w:tcPr>
            <w:tcW w:w="1660" w:type="dxa"/>
            <w:tcBorders>
              <w:left w:val="single" w:color="000000" w:sz="4" w:space="0"/>
              <w:bottom w:val="single" w:color="000000" w:sz="4" w:space="0"/>
            </w:tcBorders>
          </w:tcPr>
          <w:p w14:paraId="06DE4A27">
            <w:pPr>
              <w:pStyle w:val="22"/>
              <w:spacing w:line="360" w:lineRule="auto"/>
              <w:rPr>
                <w:rFonts w:ascii="Arial" w:hAnsi="Arial" w:eastAsia="Arial"/>
                <w:sz w:val="24"/>
                <w:szCs w:val="24"/>
              </w:rPr>
            </w:pPr>
            <w:r>
              <w:rPr>
                <w:rFonts w:ascii="Arial" w:hAnsi="Arial" w:eastAsia="Arial"/>
                <w:b/>
                <w:sz w:val="24"/>
                <w:szCs w:val="24"/>
              </w:rPr>
              <w:t>69.9%</w:t>
            </w:r>
          </w:p>
        </w:tc>
        <w:tc>
          <w:tcPr>
            <w:tcW w:w="1663" w:type="dxa"/>
            <w:tcBorders>
              <w:left w:val="single" w:color="000000" w:sz="4" w:space="0"/>
              <w:bottom w:val="single" w:color="000000" w:sz="4" w:space="0"/>
            </w:tcBorders>
          </w:tcPr>
          <w:p w14:paraId="682250C4">
            <w:pPr>
              <w:pStyle w:val="22"/>
              <w:spacing w:line="360" w:lineRule="auto"/>
              <w:rPr>
                <w:rFonts w:ascii="Arial" w:hAnsi="Arial" w:eastAsia="Arial"/>
                <w:sz w:val="24"/>
                <w:szCs w:val="24"/>
              </w:rPr>
            </w:pPr>
            <w:r>
              <w:rPr>
                <w:rFonts w:ascii="Arial" w:hAnsi="Arial" w:eastAsia="Arial"/>
                <w:b/>
                <w:sz w:val="24"/>
                <w:szCs w:val="24"/>
              </w:rPr>
              <w:t>100.3%</w:t>
            </w:r>
          </w:p>
        </w:tc>
        <w:tc>
          <w:tcPr>
            <w:tcW w:w="1661" w:type="dxa"/>
            <w:tcBorders>
              <w:left w:val="single" w:color="000000" w:sz="4" w:space="0"/>
              <w:bottom w:val="single" w:color="000000" w:sz="4" w:space="0"/>
            </w:tcBorders>
          </w:tcPr>
          <w:p w14:paraId="0677D446">
            <w:pPr>
              <w:pStyle w:val="22"/>
              <w:spacing w:line="360" w:lineRule="auto"/>
              <w:rPr>
                <w:rFonts w:ascii="Arial" w:hAnsi="Arial" w:eastAsia="Arial"/>
                <w:sz w:val="24"/>
                <w:szCs w:val="24"/>
              </w:rPr>
            </w:pPr>
            <w:r>
              <w:rPr>
                <w:rFonts w:ascii="Arial" w:hAnsi="Arial" w:eastAsia="Arial"/>
                <w:b/>
                <w:sz w:val="24"/>
                <w:szCs w:val="24"/>
              </w:rPr>
              <w:t>109.2%</w:t>
            </w:r>
          </w:p>
        </w:tc>
        <w:tc>
          <w:tcPr>
            <w:tcW w:w="1663" w:type="dxa"/>
            <w:tcBorders>
              <w:left w:val="single" w:color="000000" w:sz="4" w:space="0"/>
              <w:bottom w:val="single" w:color="000000" w:sz="4" w:space="0"/>
              <w:right w:val="single" w:color="000000" w:sz="4" w:space="0"/>
            </w:tcBorders>
          </w:tcPr>
          <w:p w14:paraId="37536AD7">
            <w:pPr>
              <w:pStyle w:val="22"/>
              <w:spacing w:line="360" w:lineRule="auto"/>
              <w:rPr>
                <w:rFonts w:ascii="Arial" w:hAnsi="Arial" w:eastAsia="Arial"/>
                <w:sz w:val="24"/>
                <w:szCs w:val="24"/>
              </w:rPr>
            </w:pPr>
            <w:r>
              <w:rPr>
                <w:rFonts w:ascii="Arial" w:hAnsi="Arial" w:eastAsia="Arial"/>
                <w:b/>
                <w:sz w:val="24"/>
                <w:szCs w:val="24"/>
              </w:rPr>
              <w:t>72.1%</w:t>
            </w:r>
          </w:p>
        </w:tc>
      </w:tr>
      <w:tr w14:paraId="1C98E325">
        <w:tblPrEx>
          <w:tblCellMar>
            <w:top w:w="55" w:type="dxa"/>
            <w:left w:w="55" w:type="dxa"/>
            <w:bottom w:w="55" w:type="dxa"/>
            <w:right w:w="55" w:type="dxa"/>
          </w:tblCellMar>
        </w:tblPrEx>
        <w:tc>
          <w:tcPr>
            <w:tcW w:w="1662" w:type="dxa"/>
            <w:tcBorders>
              <w:left w:val="single" w:color="000000" w:sz="4" w:space="0"/>
              <w:bottom w:val="single" w:color="000000" w:sz="4" w:space="0"/>
            </w:tcBorders>
          </w:tcPr>
          <w:p w14:paraId="3188A8E7">
            <w:pPr>
              <w:pStyle w:val="22"/>
              <w:spacing w:line="360" w:lineRule="auto"/>
              <w:rPr>
                <w:rFonts w:ascii="Arial" w:hAnsi="Arial" w:eastAsia="Arial"/>
                <w:sz w:val="24"/>
                <w:szCs w:val="24"/>
              </w:rPr>
            </w:pPr>
            <w:r>
              <w:rPr>
                <w:rFonts w:ascii="Arial" w:hAnsi="Arial" w:eastAsia="Arial"/>
                <w:b/>
                <w:sz w:val="24"/>
                <w:szCs w:val="24"/>
              </w:rPr>
              <w:t>Free Cash Flow</w:t>
            </w:r>
          </w:p>
        </w:tc>
        <w:tc>
          <w:tcPr>
            <w:tcW w:w="1663" w:type="dxa"/>
            <w:tcBorders>
              <w:left w:val="single" w:color="000000" w:sz="4" w:space="0"/>
              <w:bottom w:val="single" w:color="000000" w:sz="4" w:space="0"/>
            </w:tcBorders>
          </w:tcPr>
          <w:p w14:paraId="5A9D82CC">
            <w:pPr>
              <w:pStyle w:val="22"/>
              <w:spacing w:line="360" w:lineRule="auto"/>
              <w:rPr>
                <w:rFonts w:ascii="Arial" w:hAnsi="Arial" w:eastAsia="Arial"/>
                <w:sz w:val="24"/>
                <w:szCs w:val="24"/>
              </w:rPr>
            </w:pPr>
            <w:r>
              <w:rPr>
                <w:rFonts w:ascii="Arial" w:hAnsi="Arial" w:eastAsia="Arial"/>
                <w:b/>
                <w:sz w:val="24"/>
                <w:szCs w:val="24"/>
              </w:rPr>
              <w:t>(455.0)</w:t>
            </w:r>
          </w:p>
        </w:tc>
        <w:tc>
          <w:tcPr>
            <w:tcW w:w="1660" w:type="dxa"/>
            <w:tcBorders>
              <w:left w:val="single" w:color="000000" w:sz="4" w:space="0"/>
              <w:bottom w:val="single" w:color="000000" w:sz="4" w:space="0"/>
            </w:tcBorders>
          </w:tcPr>
          <w:p w14:paraId="4320AB57">
            <w:pPr>
              <w:pStyle w:val="22"/>
              <w:spacing w:line="360" w:lineRule="auto"/>
              <w:rPr>
                <w:rFonts w:ascii="Arial" w:hAnsi="Arial" w:eastAsia="Arial"/>
                <w:sz w:val="24"/>
                <w:szCs w:val="24"/>
              </w:rPr>
            </w:pPr>
            <w:r>
              <w:rPr>
                <w:rFonts w:ascii="Arial" w:hAnsi="Arial" w:eastAsia="Arial"/>
                <w:b/>
                <w:sz w:val="24"/>
                <w:szCs w:val="24"/>
              </w:rPr>
              <w:t>489.1</w:t>
            </w:r>
          </w:p>
        </w:tc>
        <w:tc>
          <w:tcPr>
            <w:tcW w:w="1663" w:type="dxa"/>
            <w:tcBorders>
              <w:left w:val="single" w:color="000000" w:sz="4" w:space="0"/>
              <w:bottom w:val="single" w:color="000000" w:sz="4" w:space="0"/>
            </w:tcBorders>
          </w:tcPr>
          <w:p w14:paraId="2C979814">
            <w:pPr>
              <w:pStyle w:val="22"/>
              <w:spacing w:line="360" w:lineRule="auto"/>
              <w:rPr>
                <w:rFonts w:ascii="Arial" w:hAnsi="Arial" w:eastAsia="Arial"/>
                <w:sz w:val="24"/>
                <w:szCs w:val="24"/>
              </w:rPr>
            </w:pPr>
            <w:r>
              <w:rPr>
                <w:rFonts w:ascii="Arial" w:hAnsi="Arial" w:eastAsia="Arial"/>
                <w:b/>
                <w:sz w:val="24"/>
                <w:szCs w:val="24"/>
              </w:rPr>
              <w:t>510.3</w:t>
            </w:r>
          </w:p>
        </w:tc>
        <w:tc>
          <w:tcPr>
            <w:tcW w:w="1661" w:type="dxa"/>
            <w:tcBorders>
              <w:left w:val="single" w:color="000000" w:sz="4" w:space="0"/>
              <w:bottom w:val="single" w:color="000000" w:sz="4" w:space="0"/>
            </w:tcBorders>
          </w:tcPr>
          <w:p w14:paraId="15FC3222">
            <w:pPr>
              <w:pStyle w:val="22"/>
              <w:spacing w:line="360" w:lineRule="auto"/>
              <w:rPr>
                <w:rFonts w:ascii="Arial" w:hAnsi="Arial" w:eastAsia="Arial"/>
                <w:sz w:val="24"/>
                <w:szCs w:val="24"/>
              </w:rPr>
            </w:pPr>
            <w:r>
              <w:rPr>
                <w:rFonts w:ascii="Arial" w:hAnsi="Arial" w:eastAsia="Arial"/>
                <w:b/>
                <w:sz w:val="24"/>
                <w:szCs w:val="24"/>
              </w:rPr>
              <w:t>642.8</w:t>
            </w:r>
          </w:p>
        </w:tc>
        <w:tc>
          <w:tcPr>
            <w:tcW w:w="1663" w:type="dxa"/>
            <w:tcBorders>
              <w:left w:val="single" w:color="000000" w:sz="4" w:space="0"/>
              <w:bottom w:val="single" w:color="000000" w:sz="4" w:space="0"/>
              <w:right w:val="single" w:color="000000" w:sz="4" w:space="0"/>
            </w:tcBorders>
          </w:tcPr>
          <w:p w14:paraId="669857F9">
            <w:pPr>
              <w:pStyle w:val="22"/>
              <w:spacing w:line="360" w:lineRule="auto"/>
              <w:rPr>
                <w:rFonts w:ascii="Arial" w:hAnsi="Arial" w:eastAsia="Arial"/>
                <w:sz w:val="24"/>
                <w:szCs w:val="24"/>
              </w:rPr>
            </w:pPr>
            <w:r>
              <w:rPr>
                <w:rFonts w:ascii="Arial" w:hAnsi="Arial" w:eastAsia="Arial"/>
                <w:b/>
                <w:sz w:val="24"/>
                <w:szCs w:val="24"/>
              </w:rPr>
              <w:t>642.1</w:t>
            </w:r>
          </w:p>
        </w:tc>
      </w:tr>
    </w:tbl>
    <w:p w14:paraId="108DE477">
      <w:pPr>
        <w:pStyle w:val="4"/>
        <w:spacing w:line="360" w:lineRule="auto"/>
        <w:rPr>
          <w:rFonts w:ascii="Arial" w:hAnsi="Arial" w:eastAsia="Arial"/>
          <w:sz w:val="24"/>
          <w:szCs w:val="24"/>
        </w:rPr>
      </w:pPr>
    </w:p>
    <w:p w14:paraId="6021B4DB">
      <w:pPr>
        <w:pStyle w:val="21"/>
        <w:spacing w:line="360" w:lineRule="auto"/>
        <w:rPr>
          <w:rFonts w:ascii="Arial" w:hAnsi="Arial" w:eastAsia="Arial"/>
          <w:sz w:val="24"/>
          <w:szCs w:val="24"/>
        </w:rPr>
      </w:pPr>
    </w:p>
    <w:p w14:paraId="46F088C2">
      <w:pPr>
        <w:pStyle w:val="6"/>
        <w:numPr>
          <w:ilvl w:val="2"/>
          <w:numId w:val="1"/>
        </w:numPr>
        <w:spacing w:line="360" w:lineRule="auto"/>
        <w:rPr>
          <w:rFonts w:ascii="Arial" w:hAnsi="Arial" w:eastAsia="Arial"/>
          <w:sz w:val="24"/>
          <w:szCs w:val="24"/>
        </w:rPr>
      </w:pPr>
      <w:r>
        <w:rPr>
          <w:rFonts w:ascii="Arial" w:hAnsi="Arial" w:eastAsia="Arial"/>
          <w:sz w:val="24"/>
          <w:szCs w:val="24"/>
        </w:rPr>
        <w:t>Appendix B: Investment appraisal calculations</w:t>
      </w:r>
    </w:p>
    <w:p w14:paraId="634850EE">
      <w:pPr>
        <w:pStyle w:val="4"/>
        <w:spacing w:line="360" w:lineRule="auto"/>
        <w:rPr>
          <w:rFonts w:ascii="Arial" w:hAnsi="Arial" w:eastAsia="Arial"/>
          <w:sz w:val="24"/>
          <w:szCs w:val="24"/>
        </w:rPr>
      </w:pPr>
      <w:r>
        <w:rPr>
          <w:rFonts w:ascii="Arial" w:hAnsi="Arial" w:eastAsia="Arial"/>
          <w:b/>
          <w:sz w:val="24"/>
          <w:szCs w:val="24"/>
        </w:rPr>
        <w:t>Project A:</w:t>
      </w:r>
    </w:p>
    <w:tbl>
      <w:tblPr>
        <w:tblStyle w:val="8"/>
        <w:tblW w:w="5000" w:type="pct"/>
        <w:tblInd w:w="-5" w:type="dxa"/>
        <w:tblLayout w:type="fixed"/>
        <w:tblCellMar>
          <w:top w:w="55" w:type="dxa"/>
          <w:left w:w="55" w:type="dxa"/>
          <w:bottom w:w="55" w:type="dxa"/>
          <w:right w:w="55" w:type="dxa"/>
        </w:tblCellMar>
      </w:tblPr>
      <w:tblGrid>
        <w:gridCol w:w="2016"/>
        <w:gridCol w:w="2011"/>
        <w:gridCol w:w="2022"/>
        <w:gridCol w:w="2011"/>
        <w:gridCol w:w="2022"/>
      </w:tblGrid>
      <w:tr w14:paraId="09EF6201">
        <w:tblPrEx>
          <w:tblCellMar>
            <w:top w:w="55" w:type="dxa"/>
            <w:left w:w="55" w:type="dxa"/>
            <w:bottom w:w="55" w:type="dxa"/>
            <w:right w:w="55" w:type="dxa"/>
          </w:tblCellMar>
        </w:tblPrEx>
        <w:trPr>
          <w:tblHeader/>
        </w:trPr>
        <w:tc>
          <w:tcPr>
            <w:tcW w:w="1994" w:type="dxa"/>
            <w:tcBorders>
              <w:top w:val="single" w:color="000000" w:sz="4" w:space="0"/>
              <w:left w:val="single" w:color="000000" w:sz="4" w:space="0"/>
              <w:bottom w:val="single" w:color="000000" w:sz="4" w:space="0"/>
            </w:tcBorders>
          </w:tcPr>
          <w:p w14:paraId="5B07FC19">
            <w:pPr>
              <w:pStyle w:val="23"/>
              <w:spacing w:line="360" w:lineRule="auto"/>
              <w:jc w:val="left"/>
              <w:rPr>
                <w:rFonts w:ascii="Arial" w:hAnsi="Arial" w:eastAsia="Arial"/>
                <w:sz w:val="24"/>
                <w:szCs w:val="24"/>
              </w:rPr>
            </w:pPr>
            <w:r>
              <w:rPr>
                <w:rFonts w:ascii="Arial" w:hAnsi="Arial" w:eastAsia="Arial"/>
                <w:sz w:val="24"/>
                <w:szCs w:val="24"/>
              </w:rPr>
              <w:t>Year</w:t>
            </w:r>
          </w:p>
        </w:tc>
        <w:tc>
          <w:tcPr>
            <w:tcW w:w="1989" w:type="dxa"/>
            <w:tcBorders>
              <w:top w:val="single" w:color="000000" w:sz="4" w:space="0"/>
              <w:left w:val="single" w:color="000000" w:sz="4" w:space="0"/>
              <w:bottom w:val="single" w:color="000000" w:sz="4" w:space="0"/>
            </w:tcBorders>
          </w:tcPr>
          <w:p w14:paraId="22694AF6">
            <w:pPr>
              <w:pStyle w:val="23"/>
              <w:spacing w:line="360" w:lineRule="auto"/>
              <w:jc w:val="left"/>
              <w:rPr>
                <w:rFonts w:ascii="Arial" w:hAnsi="Arial" w:eastAsia="Arial"/>
                <w:sz w:val="24"/>
                <w:szCs w:val="24"/>
              </w:rPr>
            </w:pPr>
            <w:r>
              <w:rPr>
                <w:rFonts w:ascii="Arial" w:hAnsi="Arial" w:eastAsia="Arial"/>
                <w:sz w:val="24"/>
                <w:szCs w:val="24"/>
              </w:rPr>
              <w:t>Cash Flow (£m)</w:t>
            </w:r>
          </w:p>
        </w:tc>
        <w:tc>
          <w:tcPr>
            <w:tcW w:w="2000" w:type="dxa"/>
            <w:tcBorders>
              <w:top w:val="single" w:color="000000" w:sz="4" w:space="0"/>
              <w:left w:val="single" w:color="000000" w:sz="4" w:space="0"/>
              <w:bottom w:val="single" w:color="000000" w:sz="4" w:space="0"/>
            </w:tcBorders>
          </w:tcPr>
          <w:p w14:paraId="2537EB51">
            <w:pPr>
              <w:pStyle w:val="23"/>
              <w:spacing w:line="360" w:lineRule="auto"/>
              <w:jc w:val="left"/>
              <w:rPr>
                <w:rFonts w:ascii="Arial" w:hAnsi="Arial" w:eastAsia="Arial"/>
                <w:sz w:val="24"/>
                <w:szCs w:val="24"/>
              </w:rPr>
            </w:pPr>
            <w:r>
              <w:rPr>
                <w:rFonts w:ascii="Arial" w:hAnsi="Arial" w:eastAsia="Arial"/>
                <w:sz w:val="24"/>
                <w:szCs w:val="24"/>
              </w:rPr>
              <w:t>DF @8%</w:t>
            </w:r>
          </w:p>
        </w:tc>
        <w:tc>
          <w:tcPr>
            <w:tcW w:w="1989" w:type="dxa"/>
            <w:tcBorders>
              <w:top w:val="single" w:color="000000" w:sz="4" w:space="0"/>
              <w:left w:val="single" w:color="000000" w:sz="4" w:space="0"/>
              <w:bottom w:val="single" w:color="000000" w:sz="4" w:space="0"/>
            </w:tcBorders>
          </w:tcPr>
          <w:p w14:paraId="341474B1">
            <w:pPr>
              <w:pStyle w:val="23"/>
              <w:spacing w:line="360" w:lineRule="auto"/>
              <w:jc w:val="left"/>
              <w:rPr>
                <w:rFonts w:ascii="Arial" w:hAnsi="Arial" w:eastAsia="Arial"/>
                <w:sz w:val="24"/>
                <w:szCs w:val="24"/>
              </w:rPr>
            </w:pPr>
            <w:r>
              <w:rPr>
                <w:rFonts w:ascii="Arial" w:hAnsi="Arial" w:eastAsia="Arial"/>
                <w:sz w:val="24"/>
                <w:szCs w:val="24"/>
              </w:rPr>
              <w:t>PV (£m)</w:t>
            </w:r>
          </w:p>
        </w:tc>
        <w:tc>
          <w:tcPr>
            <w:tcW w:w="2000" w:type="dxa"/>
            <w:tcBorders>
              <w:top w:val="single" w:color="000000" w:sz="4" w:space="0"/>
              <w:left w:val="single" w:color="000000" w:sz="4" w:space="0"/>
              <w:bottom w:val="single" w:color="000000" w:sz="4" w:space="0"/>
              <w:right w:val="single" w:color="000000" w:sz="4" w:space="0"/>
            </w:tcBorders>
          </w:tcPr>
          <w:p w14:paraId="3ECC7A25">
            <w:pPr>
              <w:pStyle w:val="23"/>
              <w:spacing w:line="360" w:lineRule="auto"/>
              <w:jc w:val="left"/>
              <w:rPr>
                <w:rFonts w:ascii="Arial" w:hAnsi="Arial" w:eastAsia="Arial"/>
                <w:sz w:val="24"/>
                <w:szCs w:val="24"/>
              </w:rPr>
            </w:pPr>
            <w:r>
              <w:rPr>
                <w:rFonts w:ascii="Arial" w:hAnsi="Arial" w:eastAsia="Arial"/>
                <w:sz w:val="24"/>
                <w:szCs w:val="24"/>
              </w:rPr>
              <w:t>Cumulative (£m)</w:t>
            </w:r>
          </w:p>
        </w:tc>
      </w:tr>
      <w:tr w14:paraId="7512854A">
        <w:tblPrEx>
          <w:tblCellMar>
            <w:top w:w="55" w:type="dxa"/>
            <w:left w:w="55" w:type="dxa"/>
            <w:bottom w:w="55" w:type="dxa"/>
            <w:right w:w="55" w:type="dxa"/>
          </w:tblCellMar>
        </w:tblPrEx>
        <w:tc>
          <w:tcPr>
            <w:tcW w:w="1994" w:type="dxa"/>
            <w:tcBorders>
              <w:left w:val="single" w:color="000000" w:sz="4" w:space="0"/>
              <w:bottom w:val="single" w:color="000000" w:sz="4" w:space="0"/>
            </w:tcBorders>
          </w:tcPr>
          <w:p w14:paraId="6B0FC9D9">
            <w:pPr>
              <w:pStyle w:val="22"/>
              <w:spacing w:line="360" w:lineRule="auto"/>
              <w:rPr>
                <w:rFonts w:ascii="Arial" w:hAnsi="Arial" w:eastAsia="Arial"/>
                <w:sz w:val="24"/>
                <w:szCs w:val="24"/>
              </w:rPr>
            </w:pPr>
            <w:r>
              <w:rPr>
                <w:rFonts w:ascii="Arial" w:hAnsi="Arial" w:eastAsia="Arial"/>
                <w:sz w:val="24"/>
                <w:szCs w:val="24"/>
              </w:rPr>
              <w:t>0</w:t>
            </w:r>
          </w:p>
        </w:tc>
        <w:tc>
          <w:tcPr>
            <w:tcW w:w="1989" w:type="dxa"/>
            <w:tcBorders>
              <w:left w:val="single" w:color="000000" w:sz="4" w:space="0"/>
              <w:bottom w:val="single" w:color="000000" w:sz="4" w:space="0"/>
            </w:tcBorders>
          </w:tcPr>
          <w:p w14:paraId="09182718">
            <w:pPr>
              <w:pStyle w:val="22"/>
              <w:spacing w:line="360" w:lineRule="auto"/>
              <w:rPr>
                <w:rFonts w:ascii="Arial" w:hAnsi="Arial" w:eastAsia="Arial"/>
                <w:sz w:val="24"/>
                <w:szCs w:val="24"/>
              </w:rPr>
            </w:pPr>
            <w:r>
              <w:rPr>
                <w:rFonts w:ascii="Arial" w:hAnsi="Arial" w:eastAsia="Arial"/>
                <w:sz w:val="24"/>
                <w:szCs w:val="24"/>
              </w:rPr>
              <w:t>-50</w:t>
            </w:r>
          </w:p>
        </w:tc>
        <w:tc>
          <w:tcPr>
            <w:tcW w:w="2000" w:type="dxa"/>
            <w:tcBorders>
              <w:left w:val="single" w:color="000000" w:sz="4" w:space="0"/>
              <w:bottom w:val="single" w:color="000000" w:sz="4" w:space="0"/>
            </w:tcBorders>
          </w:tcPr>
          <w:p w14:paraId="03C00585">
            <w:pPr>
              <w:pStyle w:val="22"/>
              <w:spacing w:line="360" w:lineRule="auto"/>
              <w:rPr>
                <w:rFonts w:ascii="Arial" w:hAnsi="Arial" w:eastAsia="Arial"/>
                <w:sz w:val="24"/>
                <w:szCs w:val="24"/>
              </w:rPr>
            </w:pPr>
            <w:r>
              <w:rPr>
                <w:rFonts w:ascii="Arial" w:hAnsi="Arial" w:eastAsia="Arial"/>
                <w:sz w:val="24"/>
                <w:szCs w:val="24"/>
              </w:rPr>
              <w:t>1.000</w:t>
            </w:r>
          </w:p>
        </w:tc>
        <w:tc>
          <w:tcPr>
            <w:tcW w:w="1989" w:type="dxa"/>
            <w:tcBorders>
              <w:left w:val="single" w:color="000000" w:sz="4" w:space="0"/>
              <w:bottom w:val="single" w:color="000000" w:sz="4" w:space="0"/>
            </w:tcBorders>
          </w:tcPr>
          <w:p w14:paraId="4479BE40">
            <w:pPr>
              <w:pStyle w:val="22"/>
              <w:spacing w:line="360" w:lineRule="auto"/>
              <w:rPr>
                <w:rFonts w:ascii="Arial" w:hAnsi="Arial" w:eastAsia="Arial"/>
                <w:sz w:val="24"/>
                <w:szCs w:val="24"/>
              </w:rPr>
            </w:pPr>
            <w:r>
              <w:rPr>
                <w:rFonts w:ascii="Arial" w:hAnsi="Arial" w:eastAsia="Arial"/>
                <w:sz w:val="24"/>
                <w:szCs w:val="24"/>
              </w:rPr>
              <w:t>-50.00</w:t>
            </w:r>
          </w:p>
        </w:tc>
        <w:tc>
          <w:tcPr>
            <w:tcW w:w="2000" w:type="dxa"/>
            <w:tcBorders>
              <w:left w:val="single" w:color="000000" w:sz="4" w:space="0"/>
              <w:bottom w:val="single" w:color="000000" w:sz="4" w:space="0"/>
              <w:right w:val="single" w:color="000000" w:sz="4" w:space="0"/>
            </w:tcBorders>
          </w:tcPr>
          <w:p w14:paraId="69AC98B5">
            <w:pPr>
              <w:pStyle w:val="22"/>
              <w:spacing w:line="360" w:lineRule="auto"/>
              <w:rPr>
                <w:rFonts w:ascii="Arial" w:hAnsi="Arial" w:eastAsia="Arial"/>
                <w:sz w:val="24"/>
                <w:szCs w:val="24"/>
              </w:rPr>
            </w:pPr>
            <w:r>
              <w:rPr>
                <w:rFonts w:ascii="Arial" w:hAnsi="Arial" w:eastAsia="Arial"/>
                <w:sz w:val="24"/>
                <w:szCs w:val="24"/>
              </w:rPr>
              <w:t>-50.00</w:t>
            </w:r>
          </w:p>
        </w:tc>
      </w:tr>
      <w:tr w14:paraId="67FA86E3">
        <w:tblPrEx>
          <w:tblCellMar>
            <w:top w:w="55" w:type="dxa"/>
            <w:left w:w="55" w:type="dxa"/>
            <w:bottom w:w="55" w:type="dxa"/>
            <w:right w:w="55" w:type="dxa"/>
          </w:tblCellMar>
        </w:tblPrEx>
        <w:tc>
          <w:tcPr>
            <w:tcW w:w="1994" w:type="dxa"/>
            <w:tcBorders>
              <w:left w:val="single" w:color="000000" w:sz="4" w:space="0"/>
              <w:bottom w:val="single" w:color="000000" w:sz="4" w:space="0"/>
            </w:tcBorders>
          </w:tcPr>
          <w:p w14:paraId="60A912C6">
            <w:pPr>
              <w:pStyle w:val="22"/>
              <w:spacing w:line="360" w:lineRule="auto"/>
              <w:rPr>
                <w:rFonts w:ascii="Arial" w:hAnsi="Arial" w:eastAsia="Arial"/>
                <w:sz w:val="24"/>
                <w:szCs w:val="24"/>
              </w:rPr>
            </w:pPr>
            <w:r>
              <w:rPr>
                <w:rFonts w:ascii="Arial" w:hAnsi="Arial" w:eastAsia="Arial"/>
                <w:sz w:val="24"/>
                <w:szCs w:val="24"/>
              </w:rPr>
              <w:t>1</w:t>
            </w:r>
          </w:p>
        </w:tc>
        <w:tc>
          <w:tcPr>
            <w:tcW w:w="1989" w:type="dxa"/>
            <w:tcBorders>
              <w:left w:val="single" w:color="000000" w:sz="4" w:space="0"/>
              <w:bottom w:val="single" w:color="000000" w:sz="4" w:space="0"/>
            </w:tcBorders>
          </w:tcPr>
          <w:p w14:paraId="5A2FA980">
            <w:pPr>
              <w:pStyle w:val="22"/>
              <w:spacing w:line="360" w:lineRule="auto"/>
              <w:rPr>
                <w:rFonts w:ascii="Arial" w:hAnsi="Arial" w:eastAsia="Arial"/>
                <w:sz w:val="24"/>
                <w:szCs w:val="24"/>
              </w:rPr>
            </w:pPr>
            <w:r>
              <w:rPr>
                <w:rFonts w:ascii="Arial" w:hAnsi="Arial" w:eastAsia="Arial"/>
                <w:sz w:val="24"/>
                <w:szCs w:val="24"/>
              </w:rPr>
              <w:t>10</w:t>
            </w:r>
          </w:p>
        </w:tc>
        <w:tc>
          <w:tcPr>
            <w:tcW w:w="2000" w:type="dxa"/>
            <w:tcBorders>
              <w:left w:val="single" w:color="000000" w:sz="4" w:space="0"/>
              <w:bottom w:val="single" w:color="000000" w:sz="4" w:space="0"/>
            </w:tcBorders>
          </w:tcPr>
          <w:p w14:paraId="500571A2">
            <w:pPr>
              <w:pStyle w:val="22"/>
              <w:spacing w:line="360" w:lineRule="auto"/>
              <w:rPr>
                <w:rFonts w:ascii="Arial" w:hAnsi="Arial" w:eastAsia="Arial"/>
                <w:sz w:val="24"/>
                <w:szCs w:val="24"/>
              </w:rPr>
            </w:pPr>
            <w:r>
              <w:rPr>
                <w:rFonts w:ascii="Arial" w:hAnsi="Arial" w:eastAsia="Arial"/>
                <w:sz w:val="24"/>
                <w:szCs w:val="24"/>
              </w:rPr>
              <w:t>0.926</w:t>
            </w:r>
          </w:p>
        </w:tc>
        <w:tc>
          <w:tcPr>
            <w:tcW w:w="1989" w:type="dxa"/>
            <w:tcBorders>
              <w:left w:val="single" w:color="000000" w:sz="4" w:space="0"/>
              <w:bottom w:val="single" w:color="000000" w:sz="4" w:space="0"/>
            </w:tcBorders>
          </w:tcPr>
          <w:p w14:paraId="4E9CCD3C">
            <w:pPr>
              <w:pStyle w:val="22"/>
              <w:spacing w:line="360" w:lineRule="auto"/>
              <w:rPr>
                <w:rFonts w:ascii="Arial" w:hAnsi="Arial" w:eastAsia="Arial"/>
                <w:sz w:val="24"/>
                <w:szCs w:val="24"/>
              </w:rPr>
            </w:pPr>
            <w:r>
              <w:rPr>
                <w:rFonts w:ascii="Arial" w:hAnsi="Arial" w:eastAsia="Arial"/>
                <w:sz w:val="24"/>
                <w:szCs w:val="24"/>
              </w:rPr>
              <w:t>9.26</w:t>
            </w:r>
          </w:p>
        </w:tc>
        <w:tc>
          <w:tcPr>
            <w:tcW w:w="2000" w:type="dxa"/>
            <w:tcBorders>
              <w:left w:val="single" w:color="000000" w:sz="4" w:space="0"/>
              <w:bottom w:val="single" w:color="000000" w:sz="4" w:space="0"/>
              <w:right w:val="single" w:color="000000" w:sz="4" w:space="0"/>
            </w:tcBorders>
          </w:tcPr>
          <w:p w14:paraId="483878B2">
            <w:pPr>
              <w:pStyle w:val="22"/>
              <w:spacing w:line="360" w:lineRule="auto"/>
              <w:rPr>
                <w:rFonts w:ascii="Arial" w:hAnsi="Arial" w:eastAsia="Arial"/>
                <w:sz w:val="24"/>
                <w:szCs w:val="24"/>
              </w:rPr>
            </w:pPr>
            <w:r>
              <w:rPr>
                <w:rFonts w:ascii="Arial" w:hAnsi="Arial" w:eastAsia="Arial"/>
                <w:sz w:val="24"/>
                <w:szCs w:val="24"/>
              </w:rPr>
              <w:t>-40.74</w:t>
            </w:r>
          </w:p>
        </w:tc>
      </w:tr>
      <w:tr w14:paraId="12280458">
        <w:tblPrEx>
          <w:tblCellMar>
            <w:top w:w="55" w:type="dxa"/>
            <w:left w:w="55" w:type="dxa"/>
            <w:bottom w:w="55" w:type="dxa"/>
            <w:right w:w="55" w:type="dxa"/>
          </w:tblCellMar>
        </w:tblPrEx>
        <w:tc>
          <w:tcPr>
            <w:tcW w:w="1994" w:type="dxa"/>
            <w:tcBorders>
              <w:left w:val="single" w:color="000000" w:sz="4" w:space="0"/>
              <w:bottom w:val="single" w:color="000000" w:sz="4" w:space="0"/>
            </w:tcBorders>
          </w:tcPr>
          <w:p w14:paraId="662A225F">
            <w:pPr>
              <w:pStyle w:val="22"/>
              <w:spacing w:line="360" w:lineRule="auto"/>
              <w:rPr>
                <w:rFonts w:ascii="Arial" w:hAnsi="Arial" w:eastAsia="Arial"/>
                <w:sz w:val="24"/>
                <w:szCs w:val="24"/>
              </w:rPr>
            </w:pPr>
            <w:r>
              <w:rPr>
                <w:rFonts w:ascii="Arial" w:hAnsi="Arial" w:eastAsia="Arial"/>
                <w:sz w:val="24"/>
                <w:szCs w:val="24"/>
              </w:rPr>
              <w:t>2</w:t>
            </w:r>
          </w:p>
        </w:tc>
        <w:tc>
          <w:tcPr>
            <w:tcW w:w="1989" w:type="dxa"/>
            <w:tcBorders>
              <w:left w:val="single" w:color="000000" w:sz="4" w:space="0"/>
              <w:bottom w:val="single" w:color="000000" w:sz="4" w:space="0"/>
            </w:tcBorders>
          </w:tcPr>
          <w:p w14:paraId="44779A8C">
            <w:pPr>
              <w:pStyle w:val="22"/>
              <w:spacing w:line="360" w:lineRule="auto"/>
              <w:rPr>
                <w:rFonts w:ascii="Arial" w:hAnsi="Arial" w:eastAsia="Arial"/>
                <w:sz w:val="24"/>
                <w:szCs w:val="24"/>
              </w:rPr>
            </w:pPr>
            <w:r>
              <w:rPr>
                <w:rFonts w:ascii="Arial" w:hAnsi="Arial" w:eastAsia="Arial"/>
                <w:sz w:val="24"/>
                <w:szCs w:val="24"/>
              </w:rPr>
              <w:t>12</w:t>
            </w:r>
          </w:p>
        </w:tc>
        <w:tc>
          <w:tcPr>
            <w:tcW w:w="2000" w:type="dxa"/>
            <w:tcBorders>
              <w:left w:val="single" w:color="000000" w:sz="4" w:space="0"/>
              <w:bottom w:val="single" w:color="000000" w:sz="4" w:space="0"/>
            </w:tcBorders>
          </w:tcPr>
          <w:p w14:paraId="22668BEE">
            <w:pPr>
              <w:pStyle w:val="22"/>
              <w:spacing w:line="360" w:lineRule="auto"/>
              <w:rPr>
                <w:rFonts w:ascii="Arial" w:hAnsi="Arial" w:eastAsia="Arial"/>
                <w:sz w:val="24"/>
                <w:szCs w:val="24"/>
              </w:rPr>
            </w:pPr>
            <w:r>
              <w:rPr>
                <w:rFonts w:ascii="Arial" w:hAnsi="Arial" w:eastAsia="Arial"/>
                <w:sz w:val="24"/>
                <w:szCs w:val="24"/>
              </w:rPr>
              <w:t>0.857</w:t>
            </w:r>
          </w:p>
        </w:tc>
        <w:tc>
          <w:tcPr>
            <w:tcW w:w="1989" w:type="dxa"/>
            <w:tcBorders>
              <w:left w:val="single" w:color="000000" w:sz="4" w:space="0"/>
              <w:bottom w:val="single" w:color="000000" w:sz="4" w:space="0"/>
            </w:tcBorders>
          </w:tcPr>
          <w:p w14:paraId="290C1290">
            <w:pPr>
              <w:pStyle w:val="22"/>
              <w:spacing w:line="360" w:lineRule="auto"/>
              <w:rPr>
                <w:rFonts w:ascii="Arial" w:hAnsi="Arial" w:eastAsia="Arial"/>
                <w:sz w:val="24"/>
                <w:szCs w:val="24"/>
              </w:rPr>
            </w:pPr>
            <w:r>
              <w:rPr>
                <w:rFonts w:ascii="Arial" w:hAnsi="Arial" w:eastAsia="Arial"/>
                <w:sz w:val="24"/>
                <w:szCs w:val="24"/>
              </w:rPr>
              <w:t>10.29</w:t>
            </w:r>
          </w:p>
        </w:tc>
        <w:tc>
          <w:tcPr>
            <w:tcW w:w="2000" w:type="dxa"/>
            <w:tcBorders>
              <w:left w:val="single" w:color="000000" w:sz="4" w:space="0"/>
              <w:bottom w:val="single" w:color="000000" w:sz="4" w:space="0"/>
              <w:right w:val="single" w:color="000000" w:sz="4" w:space="0"/>
            </w:tcBorders>
          </w:tcPr>
          <w:p w14:paraId="63BDDAA5">
            <w:pPr>
              <w:pStyle w:val="22"/>
              <w:spacing w:line="360" w:lineRule="auto"/>
              <w:rPr>
                <w:rFonts w:ascii="Arial" w:hAnsi="Arial" w:eastAsia="Arial"/>
                <w:sz w:val="24"/>
                <w:szCs w:val="24"/>
              </w:rPr>
            </w:pPr>
            <w:r>
              <w:rPr>
                <w:rFonts w:ascii="Arial" w:hAnsi="Arial" w:eastAsia="Arial"/>
                <w:sz w:val="24"/>
                <w:szCs w:val="24"/>
              </w:rPr>
              <w:t>-30.45</w:t>
            </w:r>
          </w:p>
        </w:tc>
      </w:tr>
      <w:tr w14:paraId="1875666E">
        <w:tblPrEx>
          <w:tblCellMar>
            <w:top w:w="55" w:type="dxa"/>
            <w:left w:w="55" w:type="dxa"/>
            <w:bottom w:w="55" w:type="dxa"/>
            <w:right w:w="55" w:type="dxa"/>
          </w:tblCellMar>
        </w:tblPrEx>
        <w:tc>
          <w:tcPr>
            <w:tcW w:w="1994" w:type="dxa"/>
            <w:tcBorders>
              <w:left w:val="single" w:color="000000" w:sz="4" w:space="0"/>
              <w:bottom w:val="single" w:color="000000" w:sz="4" w:space="0"/>
            </w:tcBorders>
          </w:tcPr>
          <w:p w14:paraId="249A244D">
            <w:pPr>
              <w:pStyle w:val="22"/>
              <w:spacing w:line="360" w:lineRule="auto"/>
              <w:rPr>
                <w:rFonts w:ascii="Arial" w:hAnsi="Arial" w:eastAsia="Arial"/>
                <w:sz w:val="24"/>
                <w:szCs w:val="24"/>
              </w:rPr>
            </w:pPr>
            <w:r>
              <w:rPr>
                <w:rFonts w:ascii="Arial" w:hAnsi="Arial" w:eastAsia="Arial"/>
                <w:sz w:val="24"/>
                <w:szCs w:val="24"/>
              </w:rPr>
              <w:t>3</w:t>
            </w:r>
          </w:p>
        </w:tc>
        <w:tc>
          <w:tcPr>
            <w:tcW w:w="1989" w:type="dxa"/>
            <w:tcBorders>
              <w:left w:val="single" w:color="000000" w:sz="4" w:space="0"/>
              <w:bottom w:val="single" w:color="000000" w:sz="4" w:space="0"/>
            </w:tcBorders>
          </w:tcPr>
          <w:p w14:paraId="40AD33E7">
            <w:pPr>
              <w:pStyle w:val="22"/>
              <w:spacing w:line="360" w:lineRule="auto"/>
              <w:rPr>
                <w:rFonts w:ascii="Arial" w:hAnsi="Arial" w:eastAsia="Arial"/>
                <w:sz w:val="24"/>
                <w:szCs w:val="24"/>
              </w:rPr>
            </w:pPr>
            <w:r>
              <w:rPr>
                <w:rFonts w:ascii="Arial" w:hAnsi="Arial" w:eastAsia="Arial"/>
                <w:sz w:val="24"/>
                <w:szCs w:val="24"/>
              </w:rPr>
              <w:t>14</w:t>
            </w:r>
          </w:p>
        </w:tc>
        <w:tc>
          <w:tcPr>
            <w:tcW w:w="2000" w:type="dxa"/>
            <w:tcBorders>
              <w:left w:val="single" w:color="000000" w:sz="4" w:space="0"/>
              <w:bottom w:val="single" w:color="000000" w:sz="4" w:space="0"/>
            </w:tcBorders>
          </w:tcPr>
          <w:p w14:paraId="1F8CC25E">
            <w:pPr>
              <w:pStyle w:val="22"/>
              <w:spacing w:line="360" w:lineRule="auto"/>
              <w:rPr>
                <w:rFonts w:ascii="Arial" w:hAnsi="Arial" w:eastAsia="Arial"/>
                <w:sz w:val="24"/>
                <w:szCs w:val="24"/>
              </w:rPr>
            </w:pPr>
            <w:r>
              <w:rPr>
                <w:rFonts w:ascii="Arial" w:hAnsi="Arial" w:eastAsia="Arial"/>
                <w:sz w:val="24"/>
                <w:szCs w:val="24"/>
              </w:rPr>
              <w:t>0.794</w:t>
            </w:r>
          </w:p>
        </w:tc>
        <w:tc>
          <w:tcPr>
            <w:tcW w:w="1989" w:type="dxa"/>
            <w:tcBorders>
              <w:left w:val="single" w:color="000000" w:sz="4" w:space="0"/>
              <w:bottom w:val="single" w:color="000000" w:sz="4" w:space="0"/>
            </w:tcBorders>
          </w:tcPr>
          <w:p w14:paraId="6CD584FB">
            <w:pPr>
              <w:pStyle w:val="22"/>
              <w:spacing w:line="360" w:lineRule="auto"/>
              <w:rPr>
                <w:rFonts w:ascii="Arial" w:hAnsi="Arial" w:eastAsia="Arial"/>
                <w:sz w:val="24"/>
                <w:szCs w:val="24"/>
              </w:rPr>
            </w:pPr>
            <w:r>
              <w:rPr>
                <w:rFonts w:ascii="Arial" w:hAnsi="Arial" w:eastAsia="Arial"/>
                <w:sz w:val="24"/>
                <w:szCs w:val="24"/>
              </w:rPr>
              <w:t>11.12</w:t>
            </w:r>
          </w:p>
        </w:tc>
        <w:tc>
          <w:tcPr>
            <w:tcW w:w="2000" w:type="dxa"/>
            <w:tcBorders>
              <w:left w:val="single" w:color="000000" w:sz="4" w:space="0"/>
              <w:bottom w:val="single" w:color="000000" w:sz="4" w:space="0"/>
              <w:right w:val="single" w:color="000000" w:sz="4" w:space="0"/>
            </w:tcBorders>
          </w:tcPr>
          <w:p w14:paraId="6E136077">
            <w:pPr>
              <w:pStyle w:val="22"/>
              <w:spacing w:line="360" w:lineRule="auto"/>
              <w:rPr>
                <w:rFonts w:ascii="Arial" w:hAnsi="Arial" w:eastAsia="Arial"/>
                <w:sz w:val="24"/>
                <w:szCs w:val="24"/>
              </w:rPr>
            </w:pPr>
            <w:r>
              <w:rPr>
                <w:rFonts w:ascii="Arial" w:hAnsi="Arial" w:eastAsia="Arial"/>
                <w:sz w:val="24"/>
                <w:szCs w:val="24"/>
              </w:rPr>
              <w:t>-19.33</w:t>
            </w:r>
          </w:p>
        </w:tc>
      </w:tr>
      <w:tr w14:paraId="4339A91F">
        <w:tblPrEx>
          <w:tblCellMar>
            <w:top w:w="55" w:type="dxa"/>
            <w:left w:w="55" w:type="dxa"/>
            <w:bottom w:w="55" w:type="dxa"/>
            <w:right w:w="55" w:type="dxa"/>
          </w:tblCellMar>
        </w:tblPrEx>
        <w:tc>
          <w:tcPr>
            <w:tcW w:w="1994" w:type="dxa"/>
            <w:tcBorders>
              <w:left w:val="single" w:color="000000" w:sz="4" w:space="0"/>
              <w:bottom w:val="single" w:color="000000" w:sz="4" w:space="0"/>
            </w:tcBorders>
          </w:tcPr>
          <w:p w14:paraId="24B5CD0B">
            <w:pPr>
              <w:pStyle w:val="22"/>
              <w:spacing w:line="360" w:lineRule="auto"/>
              <w:rPr>
                <w:rFonts w:ascii="Arial" w:hAnsi="Arial" w:eastAsia="Arial"/>
                <w:sz w:val="24"/>
                <w:szCs w:val="24"/>
              </w:rPr>
            </w:pPr>
            <w:r>
              <w:rPr>
                <w:rFonts w:ascii="Arial" w:hAnsi="Arial" w:eastAsia="Arial"/>
                <w:sz w:val="24"/>
                <w:szCs w:val="24"/>
              </w:rPr>
              <w:t>4</w:t>
            </w:r>
          </w:p>
        </w:tc>
        <w:tc>
          <w:tcPr>
            <w:tcW w:w="1989" w:type="dxa"/>
            <w:tcBorders>
              <w:left w:val="single" w:color="000000" w:sz="4" w:space="0"/>
              <w:bottom w:val="single" w:color="000000" w:sz="4" w:space="0"/>
            </w:tcBorders>
          </w:tcPr>
          <w:p w14:paraId="0528570B">
            <w:pPr>
              <w:pStyle w:val="22"/>
              <w:spacing w:line="360" w:lineRule="auto"/>
              <w:rPr>
                <w:rFonts w:ascii="Arial" w:hAnsi="Arial" w:eastAsia="Arial"/>
                <w:sz w:val="24"/>
                <w:szCs w:val="24"/>
              </w:rPr>
            </w:pPr>
            <w:r>
              <w:rPr>
                <w:rFonts w:ascii="Arial" w:hAnsi="Arial" w:eastAsia="Arial"/>
                <w:sz w:val="24"/>
                <w:szCs w:val="24"/>
              </w:rPr>
              <w:t>10</w:t>
            </w:r>
          </w:p>
        </w:tc>
        <w:tc>
          <w:tcPr>
            <w:tcW w:w="2000" w:type="dxa"/>
            <w:tcBorders>
              <w:left w:val="single" w:color="000000" w:sz="4" w:space="0"/>
              <w:bottom w:val="single" w:color="000000" w:sz="4" w:space="0"/>
            </w:tcBorders>
          </w:tcPr>
          <w:p w14:paraId="32E2E4D8">
            <w:pPr>
              <w:pStyle w:val="22"/>
              <w:spacing w:line="360" w:lineRule="auto"/>
              <w:rPr>
                <w:rFonts w:ascii="Arial" w:hAnsi="Arial" w:eastAsia="Arial"/>
                <w:sz w:val="24"/>
                <w:szCs w:val="24"/>
              </w:rPr>
            </w:pPr>
            <w:r>
              <w:rPr>
                <w:rFonts w:ascii="Arial" w:hAnsi="Arial" w:eastAsia="Arial"/>
                <w:sz w:val="24"/>
                <w:szCs w:val="24"/>
              </w:rPr>
              <w:t>0.735</w:t>
            </w:r>
          </w:p>
        </w:tc>
        <w:tc>
          <w:tcPr>
            <w:tcW w:w="1989" w:type="dxa"/>
            <w:tcBorders>
              <w:left w:val="single" w:color="000000" w:sz="4" w:space="0"/>
              <w:bottom w:val="single" w:color="000000" w:sz="4" w:space="0"/>
            </w:tcBorders>
          </w:tcPr>
          <w:p w14:paraId="5B910268">
            <w:pPr>
              <w:pStyle w:val="22"/>
              <w:spacing w:line="360" w:lineRule="auto"/>
              <w:rPr>
                <w:rFonts w:ascii="Arial" w:hAnsi="Arial" w:eastAsia="Arial"/>
                <w:sz w:val="24"/>
                <w:szCs w:val="24"/>
              </w:rPr>
            </w:pPr>
            <w:r>
              <w:rPr>
                <w:rFonts w:ascii="Arial" w:hAnsi="Arial" w:eastAsia="Arial"/>
                <w:sz w:val="24"/>
                <w:szCs w:val="24"/>
              </w:rPr>
              <w:t>7.35</w:t>
            </w:r>
          </w:p>
        </w:tc>
        <w:tc>
          <w:tcPr>
            <w:tcW w:w="2000" w:type="dxa"/>
            <w:tcBorders>
              <w:left w:val="single" w:color="000000" w:sz="4" w:space="0"/>
              <w:bottom w:val="single" w:color="000000" w:sz="4" w:space="0"/>
              <w:right w:val="single" w:color="000000" w:sz="4" w:space="0"/>
            </w:tcBorders>
          </w:tcPr>
          <w:p w14:paraId="0306E7B5">
            <w:pPr>
              <w:pStyle w:val="22"/>
              <w:spacing w:line="360" w:lineRule="auto"/>
              <w:rPr>
                <w:rFonts w:ascii="Arial" w:hAnsi="Arial" w:eastAsia="Arial"/>
                <w:sz w:val="24"/>
                <w:szCs w:val="24"/>
              </w:rPr>
            </w:pPr>
            <w:r>
              <w:rPr>
                <w:rFonts w:ascii="Arial" w:hAnsi="Arial" w:eastAsia="Arial"/>
                <w:sz w:val="24"/>
                <w:szCs w:val="24"/>
              </w:rPr>
              <w:t>-11.98</w:t>
            </w:r>
          </w:p>
        </w:tc>
      </w:tr>
      <w:tr w14:paraId="5980F33A">
        <w:tblPrEx>
          <w:tblCellMar>
            <w:top w:w="55" w:type="dxa"/>
            <w:left w:w="55" w:type="dxa"/>
            <w:bottom w:w="55" w:type="dxa"/>
            <w:right w:w="55" w:type="dxa"/>
          </w:tblCellMar>
        </w:tblPrEx>
        <w:tc>
          <w:tcPr>
            <w:tcW w:w="1994" w:type="dxa"/>
            <w:tcBorders>
              <w:left w:val="single" w:color="000000" w:sz="4" w:space="0"/>
              <w:bottom w:val="single" w:color="000000" w:sz="4" w:space="0"/>
            </w:tcBorders>
          </w:tcPr>
          <w:p w14:paraId="39981CCC">
            <w:pPr>
              <w:pStyle w:val="22"/>
              <w:spacing w:line="360" w:lineRule="auto"/>
              <w:rPr>
                <w:rFonts w:ascii="Arial" w:hAnsi="Arial" w:eastAsia="Arial"/>
                <w:sz w:val="24"/>
                <w:szCs w:val="24"/>
              </w:rPr>
            </w:pPr>
            <w:r>
              <w:rPr>
                <w:rFonts w:ascii="Arial" w:hAnsi="Arial" w:eastAsia="Arial"/>
                <w:sz w:val="24"/>
                <w:szCs w:val="24"/>
              </w:rPr>
              <w:t>5</w:t>
            </w:r>
          </w:p>
        </w:tc>
        <w:tc>
          <w:tcPr>
            <w:tcW w:w="1989" w:type="dxa"/>
            <w:tcBorders>
              <w:left w:val="single" w:color="000000" w:sz="4" w:space="0"/>
              <w:bottom w:val="single" w:color="000000" w:sz="4" w:space="0"/>
            </w:tcBorders>
          </w:tcPr>
          <w:p w14:paraId="2FA5994E">
            <w:pPr>
              <w:pStyle w:val="22"/>
              <w:spacing w:line="360" w:lineRule="auto"/>
              <w:rPr>
                <w:rFonts w:ascii="Arial" w:hAnsi="Arial" w:eastAsia="Arial"/>
                <w:sz w:val="24"/>
                <w:szCs w:val="24"/>
              </w:rPr>
            </w:pPr>
            <w:r>
              <w:rPr>
                <w:rFonts w:ascii="Arial" w:hAnsi="Arial" w:eastAsia="Arial"/>
                <w:sz w:val="24"/>
                <w:szCs w:val="24"/>
              </w:rPr>
              <w:t>8</w:t>
            </w:r>
          </w:p>
        </w:tc>
        <w:tc>
          <w:tcPr>
            <w:tcW w:w="2000" w:type="dxa"/>
            <w:tcBorders>
              <w:left w:val="single" w:color="000000" w:sz="4" w:space="0"/>
              <w:bottom w:val="single" w:color="000000" w:sz="4" w:space="0"/>
            </w:tcBorders>
          </w:tcPr>
          <w:p w14:paraId="5667A5BD">
            <w:pPr>
              <w:pStyle w:val="22"/>
              <w:spacing w:line="360" w:lineRule="auto"/>
              <w:rPr>
                <w:rFonts w:ascii="Arial" w:hAnsi="Arial" w:eastAsia="Arial"/>
                <w:sz w:val="24"/>
                <w:szCs w:val="24"/>
              </w:rPr>
            </w:pPr>
            <w:r>
              <w:rPr>
                <w:rFonts w:ascii="Arial" w:hAnsi="Arial" w:eastAsia="Arial"/>
                <w:sz w:val="24"/>
                <w:szCs w:val="24"/>
              </w:rPr>
              <w:t>0.681</w:t>
            </w:r>
          </w:p>
        </w:tc>
        <w:tc>
          <w:tcPr>
            <w:tcW w:w="1989" w:type="dxa"/>
            <w:tcBorders>
              <w:left w:val="single" w:color="000000" w:sz="4" w:space="0"/>
              <w:bottom w:val="single" w:color="000000" w:sz="4" w:space="0"/>
            </w:tcBorders>
          </w:tcPr>
          <w:p w14:paraId="3F866094">
            <w:pPr>
              <w:pStyle w:val="22"/>
              <w:spacing w:line="360" w:lineRule="auto"/>
              <w:rPr>
                <w:rFonts w:ascii="Arial" w:hAnsi="Arial" w:eastAsia="Arial"/>
                <w:sz w:val="24"/>
                <w:szCs w:val="24"/>
              </w:rPr>
            </w:pPr>
            <w:r>
              <w:rPr>
                <w:rFonts w:ascii="Arial" w:hAnsi="Arial" w:eastAsia="Arial"/>
                <w:sz w:val="24"/>
                <w:szCs w:val="24"/>
              </w:rPr>
              <w:t>5.45</w:t>
            </w:r>
          </w:p>
        </w:tc>
        <w:tc>
          <w:tcPr>
            <w:tcW w:w="2000" w:type="dxa"/>
            <w:tcBorders>
              <w:left w:val="single" w:color="000000" w:sz="4" w:space="0"/>
              <w:bottom w:val="single" w:color="000000" w:sz="4" w:space="0"/>
              <w:right w:val="single" w:color="000000" w:sz="4" w:space="0"/>
            </w:tcBorders>
          </w:tcPr>
          <w:p w14:paraId="38F18E17">
            <w:pPr>
              <w:pStyle w:val="22"/>
              <w:spacing w:line="360" w:lineRule="auto"/>
              <w:rPr>
                <w:rFonts w:ascii="Arial" w:hAnsi="Arial" w:eastAsia="Arial"/>
                <w:sz w:val="24"/>
                <w:szCs w:val="24"/>
              </w:rPr>
            </w:pPr>
            <w:r>
              <w:rPr>
                <w:rFonts w:ascii="Arial" w:hAnsi="Arial" w:eastAsia="Arial"/>
                <w:sz w:val="24"/>
                <w:szCs w:val="24"/>
              </w:rPr>
              <w:t>-6.53</w:t>
            </w:r>
          </w:p>
        </w:tc>
      </w:tr>
    </w:tbl>
    <w:p w14:paraId="41F6557F">
      <w:pPr>
        <w:pStyle w:val="4"/>
        <w:spacing w:line="360" w:lineRule="auto"/>
        <w:rPr>
          <w:rFonts w:ascii="Arial" w:hAnsi="Arial" w:eastAsia="Arial"/>
          <w:sz w:val="24"/>
          <w:szCs w:val="24"/>
        </w:rPr>
      </w:pPr>
    </w:p>
    <w:tbl>
      <w:tblPr>
        <w:tblStyle w:val="8"/>
        <w:tblW w:w="5000" w:type="pct"/>
        <w:tblInd w:w="-5" w:type="dxa"/>
        <w:tblLayout w:type="fixed"/>
        <w:tblCellMar>
          <w:top w:w="55" w:type="dxa"/>
          <w:left w:w="55" w:type="dxa"/>
          <w:bottom w:w="55" w:type="dxa"/>
          <w:right w:w="55" w:type="dxa"/>
        </w:tblCellMar>
      </w:tblPr>
      <w:tblGrid>
        <w:gridCol w:w="5040"/>
        <w:gridCol w:w="5042"/>
      </w:tblGrid>
      <w:tr w14:paraId="4191B593">
        <w:tblPrEx>
          <w:tblCellMar>
            <w:top w:w="55" w:type="dxa"/>
            <w:left w:w="55" w:type="dxa"/>
            <w:bottom w:w="55" w:type="dxa"/>
            <w:right w:w="55" w:type="dxa"/>
          </w:tblCellMar>
        </w:tblPrEx>
        <w:trPr>
          <w:tblHeader/>
        </w:trPr>
        <w:tc>
          <w:tcPr>
            <w:tcW w:w="4985" w:type="dxa"/>
            <w:tcBorders>
              <w:top w:val="single" w:color="000000" w:sz="4" w:space="0"/>
              <w:left w:val="single" w:color="000000" w:sz="4" w:space="0"/>
              <w:bottom w:val="single" w:color="000000" w:sz="4" w:space="0"/>
            </w:tcBorders>
          </w:tcPr>
          <w:p w14:paraId="4BFC48D0">
            <w:pPr>
              <w:pStyle w:val="23"/>
              <w:spacing w:line="360" w:lineRule="auto"/>
              <w:jc w:val="left"/>
              <w:rPr>
                <w:rFonts w:ascii="Arial" w:hAnsi="Arial" w:eastAsia="Arial"/>
                <w:sz w:val="24"/>
                <w:szCs w:val="24"/>
              </w:rPr>
            </w:pPr>
            <w:r>
              <w:rPr>
                <w:rFonts w:ascii="Arial" w:hAnsi="Arial" w:eastAsia="Arial"/>
                <w:sz w:val="24"/>
                <w:szCs w:val="24"/>
              </w:rPr>
              <w:t>Technique</w:t>
            </w:r>
          </w:p>
        </w:tc>
        <w:tc>
          <w:tcPr>
            <w:tcW w:w="4987" w:type="dxa"/>
            <w:tcBorders>
              <w:top w:val="single" w:color="000000" w:sz="4" w:space="0"/>
              <w:left w:val="single" w:color="000000" w:sz="4" w:space="0"/>
              <w:bottom w:val="single" w:color="000000" w:sz="4" w:space="0"/>
              <w:right w:val="single" w:color="000000" w:sz="4" w:space="0"/>
            </w:tcBorders>
          </w:tcPr>
          <w:p w14:paraId="6284F1B9">
            <w:pPr>
              <w:pStyle w:val="23"/>
              <w:spacing w:line="360" w:lineRule="auto"/>
              <w:jc w:val="left"/>
              <w:rPr>
                <w:rFonts w:ascii="Arial" w:hAnsi="Arial" w:eastAsia="Arial"/>
                <w:sz w:val="24"/>
                <w:szCs w:val="24"/>
              </w:rPr>
            </w:pPr>
            <w:r>
              <w:rPr>
                <w:rFonts w:ascii="Arial" w:hAnsi="Arial" w:eastAsia="Arial"/>
                <w:sz w:val="24"/>
                <w:szCs w:val="24"/>
              </w:rPr>
              <w:t>Result</w:t>
            </w:r>
          </w:p>
        </w:tc>
      </w:tr>
      <w:tr w14:paraId="56FBBF70">
        <w:tblPrEx>
          <w:tblCellMar>
            <w:top w:w="55" w:type="dxa"/>
            <w:left w:w="55" w:type="dxa"/>
            <w:bottom w:w="55" w:type="dxa"/>
            <w:right w:w="55" w:type="dxa"/>
          </w:tblCellMar>
        </w:tblPrEx>
        <w:tc>
          <w:tcPr>
            <w:tcW w:w="4985" w:type="dxa"/>
            <w:tcBorders>
              <w:left w:val="single" w:color="000000" w:sz="4" w:space="0"/>
              <w:bottom w:val="single" w:color="000000" w:sz="4" w:space="0"/>
            </w:tcBorders>
          </w:tcPr>
          <w:p w14:paraId="5C991833">
            <w:pPr>
              <w:pStyle w:val="22"/>
              <w:spacing w:line="360" w:lineRule="auto"/>
              <w:rPr>
                <w:rFonts w:ascii="Arial" w:hAnsi="Arial" w:eastAsia="Arial"/>
                <w:sz w:val="24"/>
                <w:szCs w:val="24"/>
              </w:rPr>
            </w:pPr>
            <w:r>
              <w:rPr>
                <w:rFonts w:ascii="Arial" w:hAnsi="Arial" w:eastAsia="Arial"/>
                <w:sz w:val="24"/>
                <w:szCs w:val="24"/>
              </w:rPr>
              <w:t>Payback Period</w:t>
            </w:r>
          </w:p>
        </w:tc>
        <w:tc>
          <w:tcPr>
            <w:tcW w:w="4987" w:type="dxa"/>
            <w:tcBorders>
              <w:left w:val="single" w:color="000000" w:sz="4" w:space="0"/>
              <w:bottom w:val="single" w:color="000000" w:sz="4" w:space="0"/>
              <w:right w:val="single" w:color="000000" w:sz="4" w:space="0"/>
            </w:tcBorders>
          </w:tcPr>
          <w:p w14:paraId="26732B9C">
            <w:pPr>
              <w:pStyle w:val="22"/>
              <w:spacing w:line="360" w:lineRule="auto"/>
              <w:rPr>
                <w:rFonts w:ascii="Arial" w:hAnsi="Arial" w:eastAsia="Arial"/>
                <w:sz w:val="24"/>
                <w:szCs w:val="24"/>
              </w:rPr>
            </w:pPr>
            <w:r>
              <w:rPr>
                <w:rFonts w:ascii="Arial" w:hAnsi="Arial" w:eastAsia="Arial"/>
                <w:sz w:val="24"/>
                <w:szCs w:val="24"/>
              </w:rPr>
              <w:t>4.5 Years</w:t>
            </w:r>
          </w:p>
        </w:tc>
      </w:tr>
      <w:tr w14:paraId="48F67FFF">
        <w:tblPrEx>
          <w:tblCellMar>
            <w:top w:w="55" w:type="dxa"/>
            <w:left w:w="55" w:type="dxa"/>
            <w:bottom w:w="55" w:type="dxa"/>
            <w:right w:w="55" w:type="dxa"/>
          </w:tblCellMar>
        </w:tblPrEx>
        <w:tc>
          <w:tcPr>
            <w:tcW w:w="4985" w:type="dxa"/>
            <w:tcBorders>
              <w:left w:val="single" w:color="000000" w:sz="4" w:space="0"/>
              <w:bottom w:val="single" w:color="000000" w:sz="4" w:space="0"/>
            </w:tcBorders>
          </w:tcPr>
          <w:p w14:paraId="0C2AB287">
            <w:pPr>
              <w:pStyle w:val="22"/>
              <w:spacing w:line="360" w:lineRule="auto"/>
              <w:rPr>
                <w:rFonts w:ascii="Arial" w:hAnsi="Arial" w:eastAsia="Arial"/>
                <w:sz w:val="24"/>
                <w:szCs w:val="24"/>
              </w:rPr>
            </w:pPr>
            <w:r>
              <w:rPr>
                <w:rFonts w:ascii="Arial" w:hAnsi="Arial" w:eastAsia="Arial"/>
                <w:sz w:val="24"/>
                <w:szCs w:val="24"/>
              </w:rPr>
              <w:t>ARR</w:t>
            </w:r>
          </w:p>
        </w:tc>
        <w:tc>
          <w:tcPr>
            <w:tcW w:w="4987" w:type="dxa"/>
            <w:tcBorders>
              <w:left w:val="single" w:color="000000" w:sz="4" w:space="0"/>
              <w:bottom w:val="single" w:color="000000" w:sz="4" w:space="0"/>
              <w:right w:val="single" w:color="000000" w:sz="4" w:space="0"/>
            </w:tcBorders>
          </w:tcPr>
          <w:p w14:paraId="482E02F9">
            <w:pPr>
              <w:pStyle w:val="22"/>
              <w:spacing w:line="360" w:lineRule="auto"/>
              <w:rPr>
                <w:rFonts w:ascii="Arial" w:hAnsi="Arial" w:eastAsia="Arial"/>
                <w:sz w:val="24"/>
                <w:szCs w:val="24"/>
              </w:rPr>
            </w:pPr>
            <w:r>
              <w:rPr>
                <w:rFonts w:ascii="Arial" w:hAnsi="Arial" w:eastAsia="Arial"/>
                <w:sz w:val="24"/>
                <w:szCs w:val="24"/>
              </w:rPr>
              <w:t>3.2%</w:t>
            </w:r>
          </w:p>
        </w:tc>
      </w:tr>
      <w:tr w14:paraId="5151984D">
        <w:tblPrEx>
          <w:tblCellMar>
            <w:top w:w="55" w:type="dxa"/>
            <w:left w:w="55" w:type="dxa"/>
            <w:bottom w:w="55" w:type="dxa"/>
            <w:right w:w="55" w:type="dxa"/>
          </w:tblCellMar>
        </w:tblPrEx>
        <w:tc>
          <w:tcPr>
            <w:tcW w:w="4985" w:type="dxa"/>
            <w:tcBorders>
              <w:left w:val="single" w:color="000000" w:sz="4" w:space="0"/>
              <w:bottom w:val="single" w:color="000000" w:sz="4" w:space="0"/>
            </w:tcBorders>
          </w:tcPr>
          <w:p w14:paraId="31B1625D">
            <w:pPr>
              <w:pStyle w:val="22"/>
              <w:spacing w:line="360" w:lineRule="auto"/>
              <w:rPr>
                <w:rFonts w:ascii="Arial" w:hAnsi="Arial" w:eastAsia="Arial"/>
                <w:sz w:val="24"/>
                <w:szCs w:val="24"/>
              </w:rPr>
            </w:pPr>
            <w:r>
              <w:rPr>
                <w:rFonts w:ascii="Arial" w:hAnsi="Arial" w:eastAsia="Arial"/>
                <w:sz w:val="24"/>
                <w:szCs w:val="24"/>
              </w:rPr>
              <w:t>NPV</w:t>
            </w:r>
          </w:p>
        </w:tc>
        <w:tc>
          <w:tcPr>
            <w:tcW w:w="4987" w:type="dxa"/>
            <w:tcBorders>
              <w:left w:val="single" w:color="000000" w:sz="4" w:space="0"/>
              <w:bottom w:val="single" w:color="000000" w:sz="4" w:space="0"/>
              <w:right w:val="single" w:color="000000" w:sz="4" w:space="0"/>
            </w:tcBorders>
          </w:tcPr>
          <w:p w14:paraId="7744A9B3">
            <w:pPr>
              <w:pStyle w:val="22"/>
              <w:spacing w:line="360" w:lineRule="auto"/>
              <w:rPr>
                <w:rFonts w:ascii="Arial" w:hAnsi="Arial" w:eastAsia="Arial"/>
                <w:sz w:val="24"/>
                <w:szCs w:val="24"/>
              </w:rPr>
            </w:pPr>
            <w:r>
              <w:rPr>
                <w:rFonts w:ascii="Arial" w:hAnsi="Arial" w:eastAsia="Arial"/>
                <w:sz w:val="24"/>
                <w:szCs w:val="24"/>
              </w:rPr>
              <w:t>-£6.53m</w:t>
            </w:r>
          </w:p>
        </w:tc>
      </w:tr>
      <w:tr w14:paraId="4C5162DA">
        <w:tblPrEx>
          <w:tblCellMar>
            <w:top w:w="55" w:type="dxa"/>
            <w:left w:w="55" w:type="dxa"/>
            <w:bottom w:w="55" w:type="dxa"/>
            <w:right w:w="55" w:type="dxa"/>
          </w:tblCellMar>
        </w:tblPrEx>
        <w:tc>
          <w:tcPr>
            <w:tcW w:w="4985" w:type="dxa"/>
            <w:tcBorders>
              <w:left w:val="single" w:color="000000" w:sz="4" w:space="0"/>
              <w:bottom w:val="single" w:color="000000" w:sz="4" w:space="0"/>
            </w:tcBorders>
          </w:tcPr>
          <w:p w14:paraId="65FF7E80">
            <w:pPr>
              <w:pStyle w:val="22"/>
              <w:spacing w:line="360" w:lineRule="auto"/>
              <w:rPr>
                <w:rFonts w:ascii="Arial" w:hAnsi="Arial" w:eastAsia="Arial"/>
                <w:sz w:val="24"/>
                <w:szCs w:val="24"/>
              </w:rPr>
            </w:pPr>
            <w:r>
              <w:rPr>
                <w:rFonts w:ascii="Arial" w:hAnsi="Arial" w:eastAsia="Arial"/>
                <w:sz w:val="24"/>
                <w:szCs w:val="24"/>
              </w:rPr>
              <w:t>PI</w:t>
            </w:r>
          </w:p>
        </w:tc>
        <w:tc>
          <w:tcPr>
            <w:tcW w:w="4987" w:type="dxa"/>
            <w:tcBorders>
              <w:left w:val="single" w:color="000000" w:sz="4" w:space="0"/>
              <w:bottom w:val="single" w:color="000000" w:sz="4" w:space="0"/>
              <w:right w:val="single" w:color="000000" w:sz="4" w:space="0"/>
            </w:tcBorders>
          </w:tcPr>
          <w:p w14:paraId="494A8A13">
            <w:pPr>
              <w:pStyle w:val="22"/>
              <w:spacing w:line="360" w:lineRule="auto"/>
              <w:rPr>
                <w:rFonts w:ascii="Arial" w:hAnsi="Arial" w:eastAsia="Arial"/>
                <w:sz w:val="24"/>
                <w:szCs w:val="24"/>
              </w:rPr>
            </w:pPr>
            <w:r>
              <w:rPr>
                <w:rFonts w:ascii="Arial" w:hAnsi="Arial" w:eastAsia="Arial"/>
                <w:sz w:val="24"/>
                <w:szCs w:val="24"/>
              </w:rPr>
              <w:t>-0.13</w:t>
            </w:r>
          </w:p>
        </w:tc>
      </w:tr>
      <w:tr w14:paraId="21B2ED57">
        <w:tblPrEx>
          <w:tblCellMar>
            <w:top w:w="55" w:type="dxa"/>
            <w:left w:w="55" w:type="dxa"/>
            <w:bottom w:w="55" w:type="dxa"/>
            <w:right w:w="55" w:type="dxa"/>
          </w:tblCellMar>
        </w:tblPrEx>
        <w:tc>
          <w:tcPr>
            <w:tcW w:w="4985" w:type="dxa"/>
            <w:tcBorders>
              <w:left w:val="single" w:color="000000" w:sz="4" w:space="0"/>
              <w:bottom w:val="single" w:color="000000" w:sz="4" w:space="0"/>
            </w:tcBorders>
          </w:tcPr>
          <w:p w14:paraId="674F95C8">
            <w:pPr>
              <w:pStyle w:val="22"/>
              <w:spacing w:line="360" w:lineRule="auto"/>
              <w:rPr>
                <w:rFonts w:ascii="Arial" w:hAnsi="Arial" w:eastAsia="Arial"/>
                <w:sz w:val="24"/>
                <w:szCs w:val="24"/>
              </w:rPr>
            </w:pPr>
            <w:r>
              <w:rPr>
                <w:rFonts w:ascii="Arial" w:hAnsi="Arial" w:eastAsia="Arial"/>
                <w:sz w:val="24"/>
                <w:szCs w:val="24"/>
              </w:rPr>
              <w:t>IRR</w:t>
            </w:r>
          </w:p>
        </w:tc>
        <w:tc>
          <w:tcPr>
            <w:tcW w:w="4987" w:type="dxa"/>
            <w:tcBorders>
              <w:left w:val="single" w:color="000000" w:sz="4" w:space="0"/>
              <w:bottom w:val="single" w:color="000000" w:sz="4" w:space="0"/>
              <w:right w:val="single" w:color="000000" w:sz="4" w:space="0"/>
            </w:tcBorders>
          </w:tcPr>
          <w:p w14:paraId="13271A54">
            <w:pPr>
              <w:pStyle w:val="22"/>
              <w:spacing w:line="360" w:lineRule="auto"/>
              <w:rPr>
                <w:rFonts w:ascii="Arial" w:hAnsi="Arial" w:eastAsia="Arial"/>
                <w:sz w:val="24"/>
                <w:szCs w:val="24"/>
              </w:rPr>
            </w:pPr>
            <w:r>
              <w:rPr>
                <w:rFonts w:ascii="Arial" w:hAnsi="Arial" w:eastAsia="Arial"/>
                <w:sz w:val="24"/>
                <w:szCs w:val="24"/>
              </w:rPr>
              <w:t>2.58%</w:t>
            </w:r>
          </w:p>
        </w:tc>
      </w:tr>
    </w:tbl>
    <w:p w14:paraId="3D14B9C6">
      <w:pPr>
        <w:pStyle w:val="4"/>
        <w:spacing w:line="360" w:lineRule="auto"/>
        <w:rPr>
          <w:rFonts w:ascii="Arial" w:hAnsi="Arial" w:eastAsia="Arial"/>
          <w:sz w:val="24"/>
          <w:szCs w:val="24"/>
        </w:rPr>
      </w:pPr>
    </w:p>
    <w:p w14:paraId="63D262D8">
      <w:pPr>
        <w:pStyle w:val="4"/>
        <w:spacing w:line="360" w:lineRule="auto"/>
        <w:rPr>
          <w:rFonts w:ascii="Arial" w:hAnsi="Arial" w:eastAsia="Arial"/>
          <w:sz w:val="24"/>
          <w:szCs w:val="24"/>
        </w:rPr>
      </w:pPr>
      <w:r>
        <w:rPr>
          <w:rFonts w:ascii="Arial" w:hAnsi="Arial" w:eastAsia="Arial"/>
          <w:b/>
          <w:sz w:val="24"/>
          <w:szCs w:val="24"/>
        </w:rPr>
        <w:t>Project B:</w:t>
      </w:r>
    </w:p>
    <w:tbl>
      <w:tblPr>
        <w:tblStyle w:val="8"/>
        <w:tblW w:w="5000" w:type="pct"/>
        <w:tblInd w:w="-5" w:type="dxa"/>
        <w:tblLayout w:type="fixed"/>
        <w:tblCellMar>
          <w:top w:w="55" w:type="dxa"/>
          <w:left w:w="55" w:type="dxa"/>
          <w:bottom w:w="55" w:type="dxa"/>
          <w:right w:w="55" w:type="dxa"/>
        </w:tblCellMar>
      </w:tblPr>
      <w:tblGrid>
        <w:gridCol w:w="2016"/>
        <w:gridCol w:w="2011"/>
        <w:gridCol w:w="2022"/>
        <w:gridCol w:w="2011"/>
        <w:gridCol w:w="2022"/>
      </w:tblGrid>
      <w:tr w14:paraId="7ED497EC">
        <w:tblPrEx>
          <w:tblCellMar>
            <w:top w:w="55" w:type="dxa"/>
            <w:left w:w="55" w:type="dxa"/>
            <w:bottom w:w="55" w:type="dxa"/>
            <w:right w:w="55" w:type="dxa"/>
          </w:tblCellMar>
        </w:tblPrEx>
        <w:trPr>
          <w:tblHeader/>
        </w:trPr>
        <w:tc>
          <w:tcPr>
            <w:tcW w:w="1994" w:type="dxa"/>
            <w:tcBorders>
              <w:top w:val="single" w:color="000000" w:sz="4" w:space="0"/>
              <w:left w:val="single" w:color="000000" w:sz="4" w:space="0"/>
              <w:bottom w:val="single" w:color="000000" w:sz="4" w:space="0"/>
            </w:tcBorders>
          </w:tcPr>
          <w:p w14:paraId="32FBE2D1">
            <w:pPr>
              <w:pStyle w:val="23"/>
              <w:spacing w:line="360" w:lineRule="auto"/>
              <w:jc w:val="left"/>
              <w:rPr>
                <w:rFonts w:ascii="Arial" w:hAnsi="Arial" w:eastAsia="Arial"/>
                <w:sz w:val="24"/>
                <w:szCs w:val="24"/>
              </w:rPr>
            </w:pPr>
            <w:r>
              <w:rPr>
                <w:rFonts w:ascii="Arial" w:hAnsi="Arial" w:eastAsia="Arial"/>
                <w:sz w:val="24"/>
                <w:szCs w:val="24"/>
              </w:rPr>
              <w:t>Year</w:t>
            </w:r>
          </w:p>
        </w:tc>
        <w:tc>
          <w:tcPr>
            <w:tcW w:w="1989" w:type="dxa"/>
            <w:tcBorders>
              <w:top w:val="single" w:color="000000" w:sz="4" w:space="0"/>
              <w:left w:val="single" w:color="000000" w:sz="4" w:space="0"/>
              <w:bottom w:val="single" w:color="000000" w:sz="4" w:space="0"/>
            </w:tcBorders>
          </w:tcPr>
          <w:p w14:paraId="4BB1B04A">
            <w:pPr>
              <w:pStyle w:val="23"/>
              <w:spacing w:line="360" w:lineRule="auto"/>
              <w:jc w:val="left"/>
              <w:rPr>
                <w:rFonts w:ascii="Arial" w:hAnsi="Arial" w:eastAsia="Arial"/>
                <w:sz w:val="24"/>
                <w:szCs w:val="24"/>
              </w:rPr>
            </w:pPr>
            <w:r>
              <w:rPr>
                <w:rFonts w:ascii="Arial" w:hAnsi="Arial" w:eastAsia="Arial"/>
                <w:sz w:val="24"/>
                <w:szCs w:val="24"/>
              </w:rPr>
              <w:t>Cash Flow (£m)</w:t>
            </w:r>
          </w:p>
        </w:tc>
        <w:tc>
          <w:tcPr>
            <w:tcW w:w="2000" w:type="dxa"/>
            <w:tcBorders>
              <w:top w:val="single" w:color="000000" w:sz="4" w:space="0"/>
              <w:left w:val="single" w:color="000000" w:sz="4" w:space="0"/>
              <w:bottom w:val="single" w:color="000000" w:sz="4" w:space="0"/>
            </w:tcBorders>
          </w:tcPr>
          <w:p w14:paraId="545D2D1B">
            <w:pPr>
              <w:pStyle w:val="23"/>
              <w:spacing w:line="360" w:lineRule="auto"/>
              <w:jc w:val="left"/>
              <w:rPr>
                <w:rFonts w:ascii="Arial" w:hAnsi="Arial" w:eastAsia="Arial"/>
                <w:sz w:val="24"/>
                <w:szCs w:val="24"/>
              </w:rPr>
            </w:pPr>
            <w:r>
              <w:rPr>
                <w:rFonts w:ascii="Arial" w:hAnsi="Arial" w:eastAsia="Arial"/>
                <w:sz w:val="24"/>
                <w:szCs w:val="24"/>
              </w:rPr>
              <w:t>DF @8%</w:t>
            </w:r>
          </w:p>
        </w:tc>
        <w:tc>
          <w:tcPr>
            <w:tcW w:w="1989" w:type="dxa"/>
            <w:tcBorders>
              <w:top w:val="single" w:color="000000" w:sz="4" w:space="0"/>
              <w:left w:val="single" w:color="000000" w:sz="4" w:space="0"/>
              <w:bottom w:val="single" w:color="000000" w:sz="4" w:space="0"/>
            </w:tcBorders>
          </w:tcPr>
          <w:p w14:paraId="520F7E4E">
            <w:pPr>
              <w:pStyle w:val="23"/>
              <w:spacing w:line="360" w:lineRule="auto"/>
              <w:jc w:val="left"/>
              <w:rPr>
                <w:rFonts w:ascii="Arial" w:hAnsi="Arial" w:eastAsia="Arial"/>
                <w:sz w:val="24"/>
                <w:szCs w:val="24"/>
              </w:rPr>
            </w:pPr>
            <w:r>
              <w:rPr>
                <w:rFonts w:ascii="Arial" w:hAnsi="Arial" w:eastAsia="Arial"/>
                <w:sz w:val="24"/>
                <w:szCs w:val="24"/>
              </w:rPr>
              <w:t>PV (£m)</w:t>
            </w:r>
          </w:p>
        </w:tc>
        <w:tc>
          <w:tcPr>
            <w:tcW w:w="2000" w:type="dxa"/>
            <w:tcBorders>
              <w:top w:val="single" w:color="000000" w:sz="4" w:space="0"/>
              <w:left w:val="single" w:color="000000" w:sz="4" w:space="0"/>
              <w:bottom w:val="single" w:color="000000" w:sz="4" w:space="0"/>
              <w:right w:val="single" w:color="000000" w:sz="4" w:space="0"/>
            </w:tcBorders>
          </w:tcPr>
          <w:p w14:paraId="0159E51E">
            <w:pPr>
              <w:pStyle w:val="23"/>
              <w:spacing w:line="360" w:lineRule="auto"/>
              <w:jc w:val="left"/>
              <w:rPr>
                <w:rFonts w:ascii="Arial" w:hAnsi="Arial" w:eastAsia="Arial"/>
                <w:sz w:val="24"/>
                <w:szCs w:val="24"/>
              </w:rPr>
            </w:pPr>
            <w:r>
              <w:rPr>
                <w:rFonts w:ascii="Arial" w:hAnsi="Arial" w:eastAsia="Arial"/>
                <w:sz w:val="24"/>
                <w:szCs w:val="24"/>
              </w:rPr>
              <w:t>Cumulative (£m)</w:t>
            </w:r>
          </w:p>
        </w:tc>
      </w:tr>
      <w:tr w14:paraId="68C45980">
        <w:tblPrEx>
          <w:tblCellMar>
            <w:top w:w="55" w:type="dxa"/>
            <w:left w:w="55" w:type="dxa"/>
            <w:bottom w:w="55" w:type="dxa"/>
            <w:right w:w="55" w:type="dxa"/>
          </w:tblCellMar>
        </w:tblPrEx>
        <w:tc>
          <w:tcPr>
            <w:tcW w:w="1994" w:type="dxa"/>
            <w:tcBorders>
              <w:left w:val="single" w:color="000000" w:sz="4" w:space="0"/>
              <w:bottom w:val="single" w:color="000000" w:sz="4" w:space="0"/>
            </w:tcBorders>
          </w:tcPr>
          <w:p w14:paraId="2456D8C2">
            <w:pPr>
              <w:pStyle w:val="22"/>
              <w:spacing w:line="360" w:lineRule="auto"/>
              <w:rPr>
                <w:rFonts w:ascii="Arial" w:hAnsi="Arial" w:eastAsia="Arial"/>
                <w:sz w:val="24"/>
                <w:szCs w:val="24"/>
              </w:rPr>
            </w:pPr>
            <w:r>
              <w:rPr>
                <w:rFonts w:ascii="Arial" w:hAnsi="Arial" w:eastAsia="Arial"/>
                <w:sz w:val="24"/>
                <w:szCs w:val="24"/>
              </w:rPr>
              <w:t>0</w:t>
            </w:r>
          </w:p>
        </w:tc>
        <w:tc>
          <w:tcPr>
            <w:tcW w:w="1989" w:type="dxa"/>
            <w:tcBorders>
              <w:left w:val="single" w:color="000000" w:sz="4" w:space="0"/>
              <w:bottom w:val="single" w:color="000000" w:sz="4" w:space="0"/>
            </w:tcBorders>
          </w:tcPr>
          <w:p w14:paraId="2DB4CB09">
            <w:pPr>
              <w:pStyle w:val="22"/>
              <w:spacing w:line="360" w:lineRule="auto"/>
              <w:rPr>
                <w:rFonts w:ascii="Arial" w:hAnsi="Arial" w:eastAsia="Arial"/>
                <w:sz w:val="24"/>
                <w:szCs w:val="24"/>
              </w:rPr>
            </w:pPr>
            <w:r>
              <w:rPr>
                <w:rFonts w:ascii="Arial" w:hAnsi="Arial" w:eastAsia="Arial"/>
                <w:sz w:val="24"/>
                <w:szCs w:val="24"/>
              </w:rPr>
              <w:t>-50</w:t>
            </w:r>
          </w:p>
        </w:tc>
        <w:tc>
          <w:tcPr>
            <w:tcW w:w="2000" w:type="dxa"/>
            <w:tcBorders>
              <w:left w:val="single" w:color="000000" w:sz="4" w:space="0"/>
              <w:bottom w:val="single" w:color="000000" w:sz="4" w:space="0"/>
            </w:tcBorders>
          </w:tcPr>
          <w:p w14:paraId="26EB1950">
            <w:pPr>
              <w:pStyle w:val="22"/>
              <w:spacing w:line="360" w:lineRule="auto"/>
              <w:rPr>
                <w:rFonts w:ascii="Arial" w:hAnsi="Arial" w:eastAsia="Arial"/>
                <w:sz w:val="24"/>
                <w:szCs w:val="24"/>
              </w:rPr>
            </w:pPr>
            <w:r>
              <w:rPr>
                <w:rFonts w:ascii="Arial" w:hAnsi="Arial" w:eastAsia="Arial"/>
                <w:sz w:val="24"/>
                <w:szCs w:val="24"/>
              </w:rPr>
              <w:t>1.000</w:t>
            </w:r>
          </w:p>
        </w:tc>
        <w:tc>
          <w:tcPr>
            <w:tcW w:w="1989" w:type="dxa"/>
            <w:tcBorders>
              <w:left w:val="single" w:color="000000" w:sz="4" w:space="0"/>
              <w:bottom w:val="single" w:color="000000" w:sz="4" w:space="0"/>
            </w:tcBorders>
          </w:tcPr>
          <w:p w14:paraId="1CCBABD1">
            <w:pPr>
              <w:pStyle w:val="22"/>
              <w:spacing w:line="360" w:lineRule="auto"/>
              <w:rPr>
                <w:rFonts w:ascii="Arial" w:hAnsi="Arial" w:eastAsia="Arial"/>
                <w:sz w:val="24"/>
                <w:szCs w:val="24"/>
              </w:rPr>
            </w:pPr>
            <w:r>
              <w:rPr>
                <w:rFonts w:ascii="Arial" w:hAnsi="Arial" w:eastAsia="Arial"/>
                <w:sz w:val="24"/>
                <w:szCs w:val="24"/>
              </w:rPr>
              <w:t>-50.00</w:t>
            </w:r>
          </w:p>
        </w:tc>
        <w:tc>
          <w:tcPr>
            <w:tcW w:w="2000" w:type="dxa"/>
            <w:tcBorders>
              <w:left w:val="single" w:color="000000" w:sz="4" w:space="0"/>
              <w:bottom w:val="single" w:color="000000" w:sz="4" w:space="0"/>
              <w:right w:val="single" w:color="000000" w:sz="4" w:space="0"/>
            </w:tcBorders>
          </w:tcPr>
          <w:p w14:paraId="6886A214">
            <w:pPr>
              <w:pStyle w:val="22"/>
              <w:spacing w:line="360" w:lineRule="auto"/>
              <w:rPr>
                <w:rFonts w:ascii="Arial" w:hAnsi="Arial" w:eastAsia="Arial"/>
                <w:sz w:val="24"/>
                <w:szCs w:val="24"/>
              </w:rPr>
            </w:pPr>
            <w:r>
              <w:rPr>
                <w:rFonts w:ascii="Arial" w:hAnsi="Arial" w:eastAsia="Arial"/>
                <w:sz w:val="24"/>
                <w:szCs w:val="24"/>
              </w:rPr>
              <w:t>-50.00</w:t>
            </w:r>
          </w:p>
        </w:tc>
      </w:tr>
      <w:tr w14:paraId="6C770A25">
        <w:tblPrEx>
          <w:tblCellMar>
            <w:top w:w="55" w:type="dxa"/>
            <w:left w:w="55" w:type="dxa"/>
            <w:bottom w:w="55" w:type="dxa"/>
            <w:right w:w="55" w:type="dxa"/>
          </w:tblCellMar>
        </w:tblPrEx>
        <w:tc>
          <w:tcPr>
            <w:tcW w:w="1994" w:type="dxa"/>
            <w:tcBorders>
              <w:left w:val="single" w:color="000000" w:sz="4" w:space="0"/>
              <w:bottom w:val="single" w:color="000000" w:sz="4" w:space="0"/>
            </w:tcBorders>
          </w:tcPr>
          <w:p w14:paraId="1263F45A">
            <w:pPr>
              <w:pStyle w:val="22"/>
              <w:spacing w:line="360" w:lineRule="auto"/>
              <w:rPr>
                <w:rFonts w:ascii="Arial" w:hAnsi="Arial" w:eastAsia="Arial"/>
                <w:sz w:val="24"/>
                <w:szCs w:val="24"/>
              </w:rPr>
            </w:pPr>
            <w:r>
              <w:rPr>
                <w:rFonts w:ascii="Arial" w:hAnsi="Arial" w:eastAsia="Arial"/>
                <w:sz w:val="24"/>
                <w:szCs w:val="24"/>
              </w:rPr>
              <w:t>1</w:t>
            </w:r>
          </w:p>
        </w:tc>
        <w:tc>
          <w:tcPr>
            <w:tcW w:w="1989" w:type="dxa"/>
            <w:tcBorders>
              <w:left w:val="single" w:color="000000" w:sz="4" w:space="0"/>
              <w:bottom w:val="single" w:color="000000" w:sz="4" w:space="0"/>
            </w:tcBorders>
          </w:tcPr>
          <w:p w14:paraId="471F87DC">
            <w:pPr>
              <w:pStyle w:val="22"/>
              <w:spacing w:line="360" w:lineRule="auto"/>
              <w:rPr>
                <w:rFonts w:ascii="Arial" w:hAnsi="Arial" w:eastAsia="Arial"/>
                <w:sz w:val="24"/>
                <w:szCs w:val="24"/>
              </w:rPr>
            </w:pPr>
            <w:r>
              <w:rPr>
                <w:rFonts w:ascii="Arial" w:hAnsi="Arial" w:eastAsia="Arial"/>
                <w:sz w:val="24"/>
                <w:szCs w:val="24"/>
              </w:rPr>
              <w:t>11</w:t>
            </w:r>
          </w:p>
        </w:tc>
        <w:tc>
          <w:tcPr>
            <w:tcW w:w="2000" w:type="dxa"/>
            <w:tcBorders>
              <w:left w:val="single" w:color="000000" w:sz="4" w:space="0"/>
              <w:bottom w:val="single" w:color="000000" w:sz="4" w:space="0"/>
            </w:tcBorders>
          </w:tcPr>
          <w:p w14:paraId="42FD1EED">
            <w:pPr>
              <w:pStyle w:val="22"/>
              <w:spacing w:line="360" w:lineRule="auto"/>
              <w:rPr>
                <w:rFonts w:ascii="Arial" w:hAnsi="Arial" w:eastAsia="Arial"/>
                <w:sz w:val="24"/>
                <w:szCs w:val="24"/>
              </w:rPr>
            </w:pPr>
            <w:r>
              <w:rPr>
                <w:rFonts w:ascii="Arial" w:hAnsi="Arial" w:eastAsia="Arial"/>
                <w:sz w:val="24"/>
                <w:szCs w:val="24"/>
              </w:rPr>
              <w:t>0.926</w:t>
            </w:r>
          </w:p>
        </w:tc>
        <w:tc>
          <w:tcPr>
            <w:tcW w:w="1989" w:type="dxa"/>
            <w:tcBorders>
              <w:left w:val="single" w:color="000000" w:sz="4" w:space="0"/>
              <w:bottom w:val="single" w:color="000000" w:sz="4" w:space="0"/>
            </w:tcBorders>
          </w:tcPr>
          <w:p w14:paraId="49380A1D">
            <w:pPr>
              <w:pStyle w:val="22"/>
              <w:spacing w:line="360" w:lineRule="auto"/>
              <w:rPr>
                <w:rFonts w:ascii="Arial" w:hAnsi="Arial" w:eastAsia="Arial"/>
                <w:sz w:val="24"/>
                <w:szCs w:val="24"/>
              </w:rPr>
            </w:pPr>
            <w:r>
              <w:rPr>
                <w:rFonts w:ascii="Arial" w:hAnsi="Arial" w:eastAsia="Arial"/>
                <w:sz w:val="24"/>
                <w:szCs w:val="24"/>
              </w:rPr>
              <w:t>10.19</w:t>
            </w:r>
          </w:p>
        </w:tc>
        <w:tc>
          <w:tcPr>
            <w:tcW w:w="2000" w:type="dxa"/>
            <w:tcBorders>
              <w:left w:val="single" w:color="000000" w:sz="4" w:space="0"/>
              <w:bottom w:val="single" w:color="000000" w:sz="4" w:space="0"/>
              <w:right w:val="single" w:color="000000" w:sz="4" w:space="0"/>
            </w:tcBorders>
          </w:tcPr>
          <w:p w14:paraId="06E5710E">
            <w:pPr>
              <w:pStyle w:val="22"/>
              <w:spacing w:line="360" w:lineRule="auto"/>
              <w:rPr>
                <w:rFonts w:ascii="Arial" w:hAnsi="Arial" w:eastAsia="Arial"/>
                <w:sz w:val="24"/>
                <w:szCs w:val="24"/>
              </w:rPr>
            </w:pPr>
            <w:r>
              <w:rPr>
                <w:rFonts w:ascii="Arial" w:hAnsi="Arial" w:eastAsia="Arial"/>
                <w:sz w:val="24"/>
                <w:szCs w:val="24"/>
              </w:rPr>
              <w:t>-39.81</w:t>
            </w:r>
          </w:p>
        </w:tc>
      </w:tr>
      <w:tr w14:paraId="3B3EC6EB">
        <w:tblPrEx>
          <w:tblCellMar>
            <w:top w:w="55" w:type="dxa"/>
            <w:left w:w="55" w:type="dxa"/>
            <w:bottom w:w="55" w:type="dxa"/>
            <w:right w:w="55" w:type="dxa"/>
          </w:tblCellMar>
        </w:tblPrEx>
        <w:tc>
          <w:tcPr>
            <w:tcW w:w="1994" w:type="dxa"/>
            <w:tcBorders>
              <w:left w:val="single" w:color="000000" w:sz="4" w:space="0"/>
              <w:bottom w:val="single" w:color="000000" w:sz="4" w:space="0"/>
            </w:tcBorders>
          </w:tcPr>
          <w:p w14:paraId="239E8716">
            <w:pPr>
              <w:pStyle w:val="22"/>
              <w:spacing w:line="360" w:lineRule="auto"/>
              <w:rPr>
                <w:rFonts w:ascii="Arial" w:hAnsi="Arial" w:eastAsia="Arial"/>
                <w:sz w:val="24"/>
                <w:szCs w:val="24"/>
              </w:rPr>
            </w:pPr>
            <w:r>
              <w:rPr>
                <w:rFonts w:ascii="Arial" w:hAnsi="Arial" w:eastAsia="Arial"/>
                <w:sz w:val="24"/>
                <w:szCs w:val="24"/>
              </w:rPr>
              <w:t>2</w:t>
            </w:r>
          </w:p>
        </w:tc>
        <w:tc>
          <w:tcPr>
            <w:tcW w:w="1989" w:type="dxa"/>
            <w:tcBorders>
              <w:left w:val="single" w:color="000000" w:sz="4" w:space="0"/>
              <w:bottom w:val="single" w:color="000000" w:sz="4" w:space="0"/>
            </w:tcBorders>
          </w:tcPr>
          <w:p w14:paraId="3B2C5417">
            <w:pPr>
              <w:pStyle w:val="22"/>
              <w:spacing w:line="360" w:lineRule="auto"/>
              <w:rPr>
                <w:rFonts w:ascii="Arial" w:hAnsi="Arial" w:eastAsia="Arial"/>
                <w:sz w:val="24"/>
                <w:szCs w:val="24"/>
              </w:rPr>
            </w:pPr>
            <w:r>
              <w:rPr>
                <w:rFonts w:ascii="Arial" w:hAnsi="Arial" w:eastAsia="Arial"/>
                <w:sz w:val="24"/>
                <w:szCs w:val="24"/>
              </w:rPr>
              <w:t>11</w:t>
            </w:r>
          </w:p>
        </w:tc>
        <w:tc>
          <w:tcPr>
            <w:tcW w:w="2000" w:type="dxa"/>
            <w:tcBorders>
              <w:left w:val="single" w:color="000000" w:sz="4" w:space="0"/>
              <w:bottom w:val="single" w:color="000000" w:sz="4" w:space="0"/>
            </w:tcBorders>
          </w:tcPr>
          <w:p w14:paraId="2D810512">
            <w:pPr>
              <w:pStyle w:val="22"/>
              <w:spacing w:line="360" w:lineRule="auto"/>
              <w:rPr>
                <w:rFonts w:ascii="Arial" w:hAnsi="Arial" w:eastAsia="Arial"/>
                <w:sz w:val="24"/>
                <w:szCs w:val="24"/>
              </w:rPr>
            </w:pPr>
            <w:r>
              <w:rPr>
                <w:rFonts w:ascii="Arial" w:hAnsi="Arial" w:eastAsia="Arial"/>
                <w:sz w:val="24"/>
                <w:szCs w:val="24"/>
              </w:rPr>
              <w:t>0.857</w:t>
            </w:r>
          </w:p>
        </w:tc>
        <w:tc>
          <w:tcPr>
            <w:tcW w:w="1989" w:type="dxa"/>
            <w:tcBorders>
              <w:left w:val="single" w:color="000000" w:sz="4" w:space="0"/>
              <w:bottom w:val="single" w:color="000000" w:sz="4" w:space="0"/>
            </w:tcBorders>
          </w:tcPr>
          <w:p w14:paraId="729EF932">
            <w:pPr>
              <w:pStyle w:val="22"/>
              <w:spacing w:line="360" w:lineRule="auto"/>
              <w:rPr>
                <w:rFonts w:ascii="Arial" w:hAnsi="Arial" w:eastAsia="Arial"/>
                <w:sz w:val="24"/>
                <w:szCs w:val="24"/>
              </w:rPr>
            </w:pPr>
            <w:r>
              <w:rPr>
                <w:rFonts w:ascii="Arial" w:hAnsi="Arial" w:eastAsia="Arial"/>
                <w:sz w:val="24"/>
                <w:szCs w:val="24"/>
              </w:rPr>
              <w:t>9.43</w:t>
            </w:r>
          </w:p>
        </w:tc>
        <w:tc>
          <w:tcPr>
            <w:tcW w:w="2000" w:type="dxa"/>
            <w:tcBorders>
              <w:left w:val="single" w:color="000000" w:sz="4" w:space="0"/>
              <w:bottom w:val="single" w:color="000000" w:sz="4" w:space="0"/>
              <w:right w:val="single" w:color="000000" w:sz="4" w:space="0"/>
            </w:tcBorders>
          </w:tcPr>
          <w:p w14:paraId="1C12F320">
            <w:pPr>
              <w:pStyle w:val="22"/>
              <w:spacing w:line="360" w:lineRule="auto"/>
              <w:rPr>
                <w:rFonts w:ascii="Arial" w:hAnsi="Arial" w:eastAsia="Arial"/>
                <w:sz w:val="24"/>
                <w:szCs w:val="24"/>
              </w:rPr>
            </w:pPr>
            <w:r>
              <w:rPr>
                <w:rFonts w:ascii="Arial" w:hAnsi="Arial" w:eastAsia="Arial"/>
                <w:sz w:val="24"/>
                <w:szCs w:val="24"/>
              </w:rPr>
              <w:t>-30.38</w:t>
            </w:r>
          </w:p>
        </w:tc>
      </w:tr>
      <w:tr w14:paraId="392AC3C1">
        <w:tblPrEx>
          <w:tblCellMar>
            <w:top w:w="55" w:type="dxa"/>
            <w:left w:w="55" w:type="dxa"/>
            <w:bottom w:w="55" w:type="dxa"/>
            <w:right w:w="55" w:type="dxa"/>
          </w:tblCellMar>
        </w:tblPrEx>
        <w:tc>
          <w:tcPr>
            <w:tcW w:w="1994" w:type="dxa"/>
            <w:tcBorders>
              <w:left w:val="single" w:color="000000" w:sz="4" w:space="0"/>
              <w:bottom w:val="single" w:color="000000" w:sz="4" w:space="0"/>
            </w:tcBorders>
          </w:tcPr>
          <w:p w14:paraId="695CAFEA">
            <w:pPr>
              <w:pStyle w:val="22"/>
              <w:spacing w:line="360" w:lineRule="auto"/>
              <w:rPr>
                <w:rFonts w:ascii="Arial" w:hAnsi="Arial" w:eastAsia="Arial"/>
                <w:sz w:val="24"/>
                <w:szCs w:val="24"/>
              </w:rPr>
            </w:pPr>
            <w:r>
              <w:rPr>
                <w:rFonts w:ascii="Arial" w:hAnsi="Arial" w:eastAsia="Arial"/>
                <w:sz w:val="24"/>
                <w:szCs w:val="24"/>
              </w:rPr>
              <w:t>3</w:t>
            </w:r>
          </w:p>
        </w:tc>
        <w:tc>
          <w:tcPr>
            <w:tcW w:w="1989" w:type="dxa"/>
            <w:tcBorders>
              <w:left w:val="single" w:color="000000" w:sz="4" w:space="0"/>
              <w:bottom w:val="single" w:color="000000" w:sz="4" w:space="0"/>
            </w:tcBorders>
          </w:tcPr>
          <w:p w14:paraId="39549805">
            <w:pPr>
              <w:pStyle w:val="22"/>
              <w:spacing w:line="360" w:lineRule="auto"/>
              <w:rPr>
                <w:rFonts w:ascii="Arial" w:hAnsi="Arial" w:eastAsia="Arial"/>
                <w:sz w:val="24"/>
                <w:szCs w:val="24"/>
              </w:rPr>
            </w:pPr>
            <w:r>
              <w:rPr>
                <w:rFonts w:ascii="Arial" w:hAnsi="Arial" w:eastAsia="Arial"/>
                <w:sz w:val="24"/>
                <w:szCs w:val="24"/>
              </w:rPr>
              <w:t>11</w:t>
            </w:r>
          </w:p>
        </w:tc>
        <w:tc>
          <w:tcPr>
            <w:tcW w:w="2000" w:type="dxa"/>
            <w:tcBorders>
              <w:left w:val="single" w:color="000000" w:sz="4" w:space="0"/>
              <w:bottom w:val="single" w:color="000000" w:sz="4" w:space="0"/>
            </w:tcBorders>
          </w:tcPr>
          <w:p w14:paraId="5C84E4F6">
            <w:pPr>
              <w:pStyle w:val="22"/>
              <w:spacing w:line="360" w:lineRule="auto"/>
              <w:rPr>
                <w:rFonts w:ascii="Arial" w:hAnsi="Arial" w:eastAsia="Arial"/>
                <w:sz w:val="24"/>
                <w:szCs w:val="24"/>
              </w:rPr>
            </w:pPr>
            <w:r>
              <w:rPr>
                <w:rFonts w:ascii="Arial" w:hAnsi="Arial" w:eastAsia="Arial"/>
                <w:sz w:val="24"/>
                <w:szCs w:val="24"/>
              </w:rPr>
              <w:t>0.794</w:t>
            </w:r>
          </w:p>
        </w:tc>
        <w:tc>
          <w:tcPr>
            <w:tcW w:w="1989" w:type="dxa"/>
            <w:tcBorders>
              <w:left w:val="single" w:color="000000" w:sz="4" w:space="0"/>
              <w:bottom w:val="single" w:color="000000" w:sz="4" w:space="0"/>
            </w:tcBorders>
          </w:tcPr>
          <w:p w14:paraId="3D83316B">
            <w:pPr>
              <w:pStyle w:val="22"/>
              <w:spacing w:line="360" w:lineRule="auto"/>
              <w:rPr>
                <w:rFonts w:ascii="Arial" w:hAnsi="Arial" w:eastAsia="Arial"/>
                <w:sz w:val="24"/>
                <w:szCs w:val="24"/>
              </w:rPr>
            </w:pPr>
            <w:r>
              <w:rPr>
                <w:rFonts w:ascii="Arial" w:hAnsi="Arial" w:eastAsia="Arial"/>
                <w:sz w:val="24"/>
                <w:szCs w:val="24"/>
              </w:rPr>
              <w:t>8.73</w:t>
            </w:r>
          </w:p>
        </w:tc>
        <w:tc>
          <w:tcPr>
            <w:tcW w:w="2000" w:type="dxa"/>
            <w:tcBorders>
              <w:left w:val="single" w:color="000000" w:sz="4" w:space="0"/>
              <w:bottom w:val="single" w:color="000000" w:sz="4" w:space="0"/>
              <w:right w:val="single" w:color="000000" w:sz="4" w:space="0"/>
            </w:tcBorders>
          </w:tcPr>
          <w:p w14:paraId="4141C058">
            <w:pPr>
              <w:pStyle w:val="22"/>
              <w:spacing w:line="360" w:lineRule="auto"/>
              <w:rPr>
                <w:rFonts w:ascii="Arial" w:hAnsi="Arial" w:eastAsia="Arial"/>
                <w:sz w:val="24"/>
                <w:szCs w:val="24"/>
              </w:rPr>
            </w:pPr>
            <w:r>
              <w:rPr>
                <w:rFonts w:ascii="Arial" w:hAnsi="Arial" w:eastAsia="Arial"/>
                <w:sz w:val="24"/>
                <w:szCs w:val="24"/>
              </w:rPr>
              <w:t>-21.65</w:t>
            </w:r>
          </w:p>
        </w:tc>
      </w:tr>
      <w:tr w14:paraId="2B3C05C5">
        <w:tblPrEx>
          <w:tblCellMar>
            <w:top w:w="55" w:type="dxa"/>
            <w:left w:w="55" w:type="dxa"/>
            <w:bottom w:w="55" w:type="dxa"/>
            <w:right w:w="55" w:type="dxa"/>
          </w:tblCellMar>
        </w:tblPrEx>
        <w:tc>
          <w:tcPr>
            <w:tcW w:w="1994" w:type="dxa"/>
            <w:tcBorders>
              <w:left w:val="single" w:color="000000" w:sz="4" w:space="0"/>
              <w:bottom w:val="single" w:color="000000" w:sz="4" w:space="0"/>
            </w:tcBorders>
          </w:tcPr>
          <w:p w14:paraId="69398CA7">
            <w:pPr>
              <w:pStyle w:val="22"/>
              <w:spacing w:line="360" w:lineRule="auto"/>
              <w:rPr>
                <w:rFonts w:ascii="Arial" w:hAnsi="Arial" w:eastAsia="Arial"/>
                <w:sz w:val="24"/>
                <w:szCs w:val="24"/>
              </w:rPr>
            </w:pPr>
            <w:r>
              <w:rPr>
                <w:rFonts w:ascii="Arial" w:hAnsi="Arial" w:eastAsia="Arial"/>
                <w:sz w:val="24"/>
                <w:szCs w:val="24"/>
              </w:rPr>
              <w:t>4</w:t>
            </w:r>
          </w:p>
        </w:tc>
        <w:tc>
          <w:tcPr>
            <w:tcW w:w="1989" w:type="dxa"/>
            <w:tcBorders>
              <w:left w:val="single" w:color="000000" w:sz="4" w:space="0"/>
              <w:bottom w:val="single" w:color="000000" w:sz="4" w:space="0"/>
            </w:tcBorders>
          </w:tcPr>
          <w:p w14:paraId="74B6F3BB">
            <w:pPr>
              <w:pStyle w:val="22"/>
              <w:spacing w:line="360" w:lineRule="auto"/>
              <w:rPr>
                <w:rFonts w:ascii="Arial" w:hAnsi="Arial" w:eastAsia="Arial"/>
                <w:sz w:val="24"/>
                <w:szCs w:val="24"/>
              </w:rPr>
            </w:pPr>
            <w:r>
              <w:rPr>
                <w:rFonts w:ascii="Arial" w:hAnsi="Arial" w:eastAsia="Arial"/>
                <w:sz w:val="24"/>
                <w:szCs w:val="24"/>
              </w:rPr>
              <w:t>11</w:t>
            </w:r>
          </w:p>
        </w:tc>
        <w:tc>
          <w:tcPr>
            <w:tcW w:w="2000" w:type="dxa"/>
            <w:tcBorders>
              <w:left w:val="single" w:color="000000" w:sz="4" w:space="0"/>
              <w:bottom w:val="single" w:color="000000" w:sz="4" w:space="0"/>
            </w:tcBorders>
          </w:tcPr>
          <w:p w14:paraId="7821D4CF">
            <w:pPr>
              <w:pStyle w:val="22"/>
              <w:spacing w:line="360" w:lineRule="auto"/>
              <w:rPr>
                <w:rFonts w:ascii="Arial" w:hAnsi="Arial" w:eastAsia="Arial"/>
                <w:sz w:val="24"/>
                <w:szCs w:val="24"/>
              </w:rPr>
            </w:pPr>
            <w:r>
              <w:rPr>
                <w:rFonts w:ascii="Arial" w:hAnsi="Arial" w:eastAsia="Arial"/>
                <w:sz w:val="24"/>
                <w:szCs w:val="24"/>
              </w:rPr>
              <w:t>0.735</w:t>
            </w:r>
          </w:p>
        </w:tc>
        <w:tc>
          <w:tcPr>
            <w:tcW w:w="1989" w:type="dxa"/>
            <w:tcBorders>
              <w:left w:val="single" w:color="000000" w:sz="4" w:space="0"/>
              <w:bottom w:val="single" w:color="000000" w:sz="4" w:space="0"/>
            </w:tcBorders>
          </w:tcPr>
          <w:p w14:paraId="56C6B5CE">
            <w:pPr>
              <w:pStyle w:val="22"/>
              <w:spacing w:line="360" w:lineRule="auto"/>
              <w:rPr>
                <w:rFonts w:ascii="Arial" w:hAnsi="Arial" w:eastAsia="Arial"/>
                <w:sz w:val="24"/>
                <w:szCs w:val="24"/>
              </w:rPr>
            </w:pPr>
            <w:r>
              <w:rPr>
                <w:rFonts w:ascii="Arial" w:hAnsi="Arial" w:eastAsia="Arial"/>
                <w:sz w:val="24"/>
                <w:szCs w:val="24"/>
              </w:rPr>
              <w:t>8.09</w:t>
            </w:r>
          </w:p>
        </w:tc>
        <w:tc>
          <w:tcPr>
            <w:tcW w:w="2000" w:type="dxa"/>
            <w:tcBorders>
              <w:left w:val="single" w:color="000000" w:sz="4" w:space="0"/>
              <w:bottom w:val="single" w:color="000000" w:sz="4" w:space="0"/>
              <w:right w:val="single" w:color="000000" w:sz="4" w:space="0"/>
            </w:tcBorders>
          </w:tcPr>
          <w:p w14:paraId="567B5C31">
            <w:pPr>
              <w:pStyle w:val="22"/>
              <w:spacing w:line="360" w:lineRule="auto"/>
              <w:rPr>
                <w:rFonts w:ascii="Arial" w:hAnsi="Arial" w:eastAsia="Arial"/>
                <w:sz w:val="24"/>
                <w:szCs w:val="24"/>
              </w:rPr>
            </w:pPr>
            <w:r>
              <w:rPr>
                <w:rFonts w:ascii="Arial" w:hAnsi="Arial" w:eastAsia="Arial"/>
                <w:sz w:val="24"/>
                <w:szCs w:val="24"/>
              </w:rPr>
              <w:t>-13.57</w:t>
            </w:r>
          </w:p>
        </w:tc>
      </w:tr>
      <w:tr w14:paraId="0164F35F">
        <w:tblPrEx>
          <w:tblCellMar>
            <w:top w:w="55" w:type="dxa"/>
            <w:left w:w="55" w:type="dxa"/>
            <w:bottom w:w="55" w:type="dxa"/>
            <w:right w:w="55" w:type="dxa"/>
          </w:tblCellMar>
        </w:tblPrEx>
        <w:tc>
          <w:tcPr>
            <w:tcW w:w="1994" w:type="dxa"/>
            <w:tcBorders>
              <w:left w:val="single" w:color="000000" w:sz="4" w:space="0"/>
              <w:bottom w:val="single" w:color="000000" w:sz="4" w:space="0"/>
            </w:tcBorders>
          </w:tcPr>
          <w:p w14:paraId="420EC703">
            <w:pPr>
              <w:pStyle w:val="22"/>
              <w:spacing w:line="360" w:lineRule="auto"/>
              <w:rPr>
                <w:rFonts w:ascii="Arial" w:hAnsi="Arial" w:eastAsia="Arial"/>
                <w:sz w:val="24"/>
                <w:szCs w:val="24"/>
              </w:rPr>
            </w:pPr>
            <w:r>
              <w:rPr>
                <w:rFonts w:ascii="Arial" w:hAnsi="Arial" w:eastAsia="Arial"/>
                <w:sz w:val="24"/>
                <w:szCs w:val="24"/>
              </w:rPr>
              <w:t>5</w:t>
            </w:r>
          </w:p>
        </w:tc>
        <w:tc>
          <w:tcPr>
            <w:tcW w:w="1989" w:type="dxa"/>
            <w:tcBorders>
              <w:left w:val="single" w:color="000000" w:sz="4" w:space="0"/>
              <w:bottom w:val="single" w:color="000000" w:sz="4" w:space="0"/>
            </w:tcBorders>
          </w:tcPr>
          <w:p w14:paraId="3D7B2E8E">
            <w:pPr>
              <w:pStyle w:val="22"/>
              <w:spacing w:line="360" w:lineRule="auto"/>
              <w:rPr>
                <w:rFonts w:ascii="Arial" w:hAnsi="Arial" w:eastAsia="Arial"/>
                <w:sz w:val="24"/>
                <w:szCs w:val="24"/>
              </w:rPr>
            </w:pPr>
            <w:r>
              <w:rPr>
                <w:rFonts w:ascii="Arial" w:hAnsi="Arial" w:eastAsia="Arial"/>
                <w:sz w:val="24"/>
                <w:szCs w:val="24"/>
              </w:rPr>
              <w:t>11</w:t>
            </w:r>
          </w:p>
        </w:tc>
        <w:tc>
          <w:tcPr>
            <w:tcW w:w="2000" w:type="dxa"/>
            <w:tcBorders>
              <w:left w:val="single" w:color="000000" w:sz="4" w:space="0"/>
              <w:bottom w:val="single" w:color="000000" w:sz="4" w:space="0"/>
            </w:tcBorders>
          </w:tcPr>
          <w:p w14:paraId="054313B8">
            <w:pPr>
              <w:pStyle w:val="22"/>
              <w:spacing w:line="360" w:lineRule="auto"/>
              <w:rPr>
                <w:rFonts w:ascii="Arial" w:hAnsi="Arial" w:eastAsia="Arial"/>
                <w:sz w:val="24"/>
                <w:szCs w:val="24"/>
              </w:rPr>
            </w:pPr>
            <w:r>
              <w:rPr>
                <w:rFonts w:ascii="Arial" w:hAnsi="Arial" w:eastAsia="Arial"/>
                <w:sz w:val="24"/>
                <w:szCs w:val="24"/>
              </w:rPr>
              <w:t>0.681</w:t>
            </w:r>
          </w:p>
        </w:tc>
        <w:tc>
          <w:tcPr>
            <w:tcW w:w="1989" w:type="dxa"/>
            <w:tcBorders>
              <w:left w:val="single" w:color="000000" w:sz="4" w:space="0"/>
              <w:bottom w:val="single" w:color="000000" w:sz="4" w:space="0"/>
            </w:tcBorders>
          </w:tcPr>
          <w:p w14:paraId="4310F100">
            <w:pPr>
              <w:pStyle w:val="22"/>
              <w:spacing w:line="360" w:lineRule="auto"/>
              <w:rPr>
                <w:rFonts w:ascii="Arial" w:hAnsi="Arial" w:eastAsia="Arial"/>
                <w:sz w:val="24"/>
                <w:szCs w:val="24"/>
              </w:rPr>
            </w:pPr>
            <w:r>
              <w:rPr>
                <w:rFonts w:ascii="Arial" w:hAnsi="Arial" w:eastAsia="Arial"/>
                <w:sz w:val="24"/>
                <w:szCs w:val="24"/>
              </w:rPr>
              <w:t>7.49</w:t>
            </w:r>
          </w:p>
        </w:tc>
        <w:tc>
          <w:tcPr>
            <w:tcW w:w="2000" w:type="dxa"/>
            <w:tcBorders>
              <w:left w:val="single" w:color="000000" w:sz="4" w:space="0"/>
              <w:bottom w:val="single" w:color="000000" w:sz="4" w:space="0"/>
              <w:right w:val="single" w:color="000000" w:sz="4" w:space="0"/>
            </w:tcBorders>
          </w:tcPr>
          <w:p w14:paraId="530A7AD1">
            <w:pPr>
              <w:pStyle w:val="22"/>
              <w:spacing w:line="360" w:lineRule="auto"/>
              <w:rPr>
                <w:rFonts w:ascii="Arial" w:hAnsi="Arial" w:eastAsia="Arial"/>
                <w:sz w:val="24"/>
                <w:szCs w:val="24"/>
              </w:rPr>
            </w:pPr>
            <w:r>
              <w:rPr>
                <w:rFonts w:ascii="Arial" w:hAnsi="Arial" w:eastAsia="Arial"/>
                <w:sz w:val="24"/>
                <w:szCs w:val="24"/>
              </w:rPr>
              <w:t>-6.08</w:t>
            </w:r>
          </w:p>
        </w:tc>
      </w:tr>
    </w:tbl>
    <w:p w14:paraId="5B6B5191">
      <w:pPr>
        <w:pStyle w:val="4"/>
        <w:spacing w:line="360" w:lineRule="auto"/>
        <w:rPr>
          <w:rFonts w:ascii="Arial" w:hAnsi="Arial" w:eastAsia="Arial"/>
          <w:sz w:val="24"/>
          <w:szCs w:val="24"/>
        </w:rPr>
      </w:pPr>
    </w:p>
    <w:tbl>
      <w:tblPr>
        <w:tblStyle w:val="8"/>
        <w:tblW w:w="5000" w:type="pct"/>
        <w:tblInd w:w="-5" w:type="dxa"/>
        <w:tblLayout w:type="fixed"/>
        <w:tblCellMar>
          <w:top w:w="55" w:type="dxa"/>
          <w:left w:w="55" w:type="dxa"/>
          <w:bottom w:w="55" w:type="dxa"/>
          <w:right w:w="55" w:type="dxa"/>
        </w:tblCellMar>
      </w:tblPr>
      <w:tblGrid>
        <w:gridCol w:w="5040"/>
        <w:gridCol w:w="5042"/>
      </w:tblGrid>
      <w:tr w14:paraId="29AA30FC">
        <w:tblPrEx>
          <w:tblCellMar>
            <w:top w:w="55" w:type="dxa"/>
            <w:left w:w="55" w:type="dxa"/>
            <w:bottom w:w="55" w:type="dxa"/>
            <w:right w:w="55" w:type="dxa"/>
          </w:tblCellMar>
        </w:tblPrEx>
        <w:trPr>
          <w:tblHeader/>
        </w:trPr>
        <w:tc>
          <w:tcPr>
            <w:tcW w:w="4985" w:type="dxa"/>
            <w:tcBorders>
              <w:top w:val="single" w:color="000000" w:sz="4" w:space="0"/>
              <w:left w:val="single" w:color="000000" w:sz="4" w:space="0"/>
              <w:bottom w:val="single" w:color="000000" w:sz="4" w:space="0"/>
            </w:tcBorders>
          </w:tcPr>
          <w:p w14:paraId="58401A79">
            <w:pPr>
              <w:pStyle w:val="23"/>
              <w:spacing w:line="360" w:lineRule="auto"/>
              <w:jc w:val="left"/>
              <w:rPr>
                <w:rFonts w:ascii="Arial" w:hAnsi="Arial" w:eastAsia="Arial"/>
                <w:sz w:val="24"/>
                <w:szCs w:val="24"/>
              </w:rPr>
            </w:pPr>
            <w:r>
              <w:rPr>
                <w:rFonts w:ascii="Arial" w:hAnsi="Arial" w:eastAsia="Arial"/>
                <w:sz w:val="24"/>
                <w:szCs w:val="24"/>
              </w:rPr>
              <w:t>Technique</w:t>
            </w:r>
          </w:p>
        </w:tc>
        <w:tc>
          <w:tcPr>
            <w:tcW w:w="4987" w:type="dxa"/>
            <w:tcBorders>
              <w:top w:val="single" w:color="000000" w:sz="4" w:space="0"/>
              <w:left w:val="single" w:color="000000" w:sz="4" w:space="0"/>
              <w:bottom w:val="single" w:color="000000" w:sz="4" w:space="0"/>
              <w:right w:val="single" w:color="000000" w:sz="4" w:space="0"/>
            </w:tcBorders>
          </w:tcPr>
          <w:p w14:paraId="03C8B31B">
            <w:pPr>
              <w:pStyle w:val="23"/>
              <w:spacing w:line="360" w:lineRule="auto"/>
              <w:jc w:val="left"/>
              <w:rPr>
                <w:rFonts w:ascii="Arial" w:hAnsi="Arial" w:eastAsia="Arial"/>
                <w:sz w:val="24"/>
                <w:szCs w:val="24"/>
              </w:rPr>
            </w:pPr>
            <w:r>
              <w:rPr>
                <w:rFonts w:ascii="Arial" w:hAnsi="Arial" w:eastAsia="Arial"/>
                <w:sz w:val="24"/>
                <w:szCs w:val="24"/>
              </w:rPr>
              <w:t>Result</w:t>
            </w:r>
          </w:p>
        </w:tc>
      </w:tr>
      <w:tr w14:paraId="06C59C58">
        <w:tblPrEx>
          <w:tblCellMar>
            <w:top w:w="55" w:type="dxa"/>
            <w:left w:w="55" w:type="dxa"/>
            <w:bottom w:w="55" w:type="dxa"/>
            <w:right w:w="55" w:type="dxa"/>
          </w:tblCellMar>
        </w:tblPrEx>
        <w:tc>
          <w:tcPr>
            <w:tcW w:w="4985" w:type="dxa"/>
            <w:tcBorders>
              <w:left w:val="single" w:color="000000" w:sz="4" w:space="0"/>
              <w:bottom w:val="single" w:color="000000" w:sz="4" w:space="0"/>
            </w:tcBorders>
          </w:tcPr>
          <w:p w14:paraId="266CA3D3">
            <w:pPr>
              <w:pStyle w:val="22"/>
              <w:spacing w:line="360" w:lineRule="auto"/>
              <w:rPr>
                <w:rFonts w:ascii="Arial" w:hAnsi="Arial" w:eastAsia="Arial"/>
                <w:sz w:val="24"/>
                <w:szCs w:val="24"/>
              </w:rPr>
            </w:pPr>
            <w:r>
              <w:rPr>
                <w:rFonts w:ascii="Arial" w:hAnsi="Arial" w:eastAsia="Arial"/>
                <w:sz w:val="24"/>
                <w:szCs w:val="24"/>
              </w:rPr>
              <w:t>Payback Period</w:t>
            </w:r>
          </w:p>
        </w:tc>
        <w:tc>
          <w:tcPr>
            <w:tcW w:w="4987" w:type="dxa"/>
            <w:tcBorders>
              <w:left w:val="single" w:color="000000" w:sz="4" w:space="0"/>
              <w:bottom w:val="single" w:color="000000" w:sz="4" w:space="0"/>
              <w:right w:val="single" w:color="000000" w:sz="4" w:space="0"/>
            </w:tcBorders>
          </w:tcPr>
          <w:p w14:paraId="7B240B2C">
            <w:pPr>
              <w:pStyle w:val="22"/>
              <w:spacing w:line="360" w:lineRule="auto"/>
              <w:rPr>
                <w:rFonts w:ascii="Arial" w:hAnsi="Arial" w:eastAsia="Arial"/>
                <w:sz w:val="24"/>
                <w:szCs w:val="24"/>
              </w:rPr>
            </w:pPr>
            <w:r>
              <w:rPr>
                <w:rFonts w:ascii="Arial" w:hAnsi="Arial" w:eastAsia="Arial"/>
                <w:sz w:val="24"/>
                <w:szCs w:val="24"/>
              </w:rPr>
              <w:t>4.55 Years</w:t>
            </w:r>
          </w:p>
        </w:tc>
      </w:tr>
      <w:tr w14:paraId="28012384">
        <w:tblPrEx>
          <w:tblCellMar>
            <w:top w:w="55" w:type="dxa"/>
            <w:left w:w="55" w:type="dxa"/>
            <w:bottom w:w="55" w:type="dxa"/>
            <w:right w:w="55" w:type="dxa"/>
          </w:tblCellMar>
        </w:tblPrEx>
        <w:tc>
          <w:tcPr>
            <w:tcW w:w="4985" w:type="dxa"/>
            <w:tcBorders>
              <w:left w:val="single" w:color="000000" w:sz="4" w:space="0"/>
              <w:bottom w:val="single" w:color="000000" w:sz="4" w:space="0"/>
            </w:tcBorders>
          </w:tcPr>
          <w:p w14:paraId="3A207209">
            <w:pPr>
              <w:pStyle w:val="22"/>
              <w:spacing w:line="360" w:lineRule="auto"/>
              <w:rPr>
                <w:rFonts w:ascii="Arial" w:hAnsi="Arial" w:eastAsia="Arial"/>
                <w:sz w:val="24"/>
                <w:szCs w:val="24"/>
              </w:rPr>
            </w:pPr>
            <w:r>
              <w:rPr>
                <w:rFonts w:ascii="Arial" w:hAnsi="Arial" w:eastAsia="Arial"/>
                <w:sz w:val="24"/>
                <w:szCs w:val="24"/>
              </w:rPr>
              <w:t>ARR</w:t>
            </w:r>
          </w:p>
        </w:tc>
        <w:tc>
          <w:tcPr>
            <w:tcW w:w="4987" w:type="dxa"/>
            <w:tcBorders>
              <w:left w:val="single" w:color="000000" w:sz="4" w:space="0"/>
              <w:bottom w:val="single" w:color="000000" w:sz="4" w:space="0"/>
              <w:right w:val="single" w:color="000000" w:sz="4" w:space="0"/>
            </w:tcBorders>
          </w:tcPr>
          <w:p w14:paraId="60D9AF90">
            <w:pPr>
              <w:pStyle w:val="22"/>
              <w:spacing w:line="360" w:lineRule="auto"/>
              <w:rPr>
                <w:rFonts w:ascii="Arial" w:hAnsi="Arial" w:eastAsia="Arial"/>
                <w:sz w:val="24"/>
                <w:szCs w:val="24"/>
              </w:rPr>
            </w:pPr>
            <w:r>
              <w:rPr>
                <w:rFonts w:ascii="Arial" w:hAnsi="Arial" w:eastAsia="Arial"/>
                <w:sz w:val="24"/>
                <w:szCs w:val="24"/>
              </w:rPr>
              <w:t>4.00%</w:t>
            </w:r>
          </w:p>
        </w:tc>
      </w:tr>
      <w:tr w14:paraId="1F52A582">
        <w:tblPrEx>
          <w:tblCellMar>
            <w:top w:w="55" w:type="dxa"/>
            <w:left w:w="55" w:type="dxa"/>
            <w:bottom w:w="55" w:type="dxa"/>
            <w:right w:w="55" w:type="dxa"/>
          </w:tblCellMar>
        </w:tblPrEx>
        <w:tc>
          <w:tcPr>
            <w:tcW w:w="4985" w:type="dxa"/>
            <w:tcBorders>
              <w:left w:val="single" w:color="000000" w:sz="4" w:space="0"/>
              <w:bottom w:val="single" w:color="000000" w:sz="4" w:space="0"/>
            </w:tcBorders>
          </w:tcPr>
          <w:p w14:paraId="552102B4">
            <w:pPr>
              <w:pStyle w:val="22"/>
              <w:spacing w:line="360" w:lineRule="auto"/>
              <w:rPr>
                <w:rFonts w:ascii="Arial" w:hAnsi="Arial" w:eastAsia="Arial"/>
                <w:sz w:val="24"/>
                <w:szCs w:val="24"/>
              </w:rPr>
            </w:pPr>
            <w:r>
              <w:rPr>
                <w:rFonts w:ascii="Arial" w:hAnsi="Arial" w:eastAsia="Arial"/>
                <w:sz w:val="24"/>
                <w:szCs w:val="24"/>
              </w:rPr>
              <w:t>NPV</w:t>
            </w:r>
          </w:p>
        </w:tc>
        <w:tc>
          <w:tcPr>
            <w:tcW w:w="4987" w:type="dxa"/>
            <w:tcBorders>
              <w:left w:val="single" w:color="000000" w:sz="4" w:space="0"/>
              <w:bottom w:val="single" w:color="000000" w:sz="4" w:space="0"/>
              <w:right w:val="single" w:color="000000" w:sz="4" w:space="0"/>
            </w:tcBorders>
          </w:tcPr>
          <w:p w14:paraId="57451F7A">
            <w:pPr>
              <w:pStyle w:val="22"/>
              <w:spacing w:line="360" w:lineRule="auto"/>
              <w:rPr>
                <w:rFonts w:ascii="Arial" w:hAnsi="Arial" w:eastAsia="Arial"/>
                <w:sz w:val="24"/>
                <w:szCs w:val="24"/>
              </w:rPr>
            </w:pPr>
            <w:r>
              <w:rPr>
                <w:rFonts w:ascii="Arial" w:hAnsi="Arial" w:eastAsia="Arial"/>
                <w:sz w:val="24"/>
                <w:szCs w:val="24"/>
              </w:rPr>
              <w:t>-£6.07m</w:t>
            </w:r>
          </w:p>
        </w:tc>
      </w:tr>
      <w:tr w14:paraId="4E15A8EB">
        <w:tblPrEx>
          <w:tblCellMar>
            <w:top w:w="55" w:type="dxa"/>
            <w:left w:w="55" w:type="dxa"/>
            <w:bottom w:w="55" w:type="dxa"/>
            <w:right w:w="55" w:type="dxa"/>
          </w:tblCellMar>
        </w:tblPrEx>
        <w:tc>
          <w:tcPr>
            <w:tcW w:w="4985" w:type="dxa"/>
            <w:tcBorders>
              <w:left w:val="single" w:color="000000" w:sz="4" w:space="0"/>
              <w:bottom w:val="single" w:color="000000" w:sz="4" w:space="0"/>
            </w:tcBorders>
          </w:tcPr>
          <w:p w14:paraId="5BCAEFC6">
            <w:pPr>
              <w:pStyle w:val="22"/>
              <w:spacing w:line="360" w:lineRule="auto"/>
              <w:rPr>
                <w:rFonts w:ascii="Arial" w:hAnsi="Arial" w:eastAsia="Arial"/>
                <w:sz w:val="24"/>
                <w:szCs w:val="24"/>
              </w:rPr>
            </w:pPr>
            <w:r>
              <w:rPr>
                <w:rFonts w:ascii="Arial" w:hAnsi="Arial" w:eastAsia="Arial"/>
                <w:sz w:val="24"/>
                <w:szCs w:val="24"/>
              </w:rPr>
              <w:t>PI</w:t>
            </w:r>
          </w:p>
        </w:tc>
        <w:tc>
          <w:tcPr>
            <w:tcW w:w="4987" w:type="dxa"/>
            <w:tcBorders>
              <w:left w:val="single" w:color="000000" w:sz="4" w:space="0"/>
              <w:bottom w:val="single" w:color="000000" w:sz="4" w:space="0"/>
              <w:right w:val="single" w:color="000000" w:sz="4" w:space="0"/>
            </w:tcBorders>
          </w:tcPr>
          <w:p w14:paraId="7CB7BEDC">
            <w:pPr>
              <w:pStyle w:val="22"/>
              <w:spacing w:line="360" w:lineRule="auto"/>
              <w:rPr>
                <w:rFonts w:ascii="Arial" w:hAnsi="Arial" w:eastAsia="Arial"/>
                <w:sz w:val="24"/>
                <w:szCs w:val="24"/>
              </w:rPr>
            </w:pPr>
            <w:r>
              <w:rPr>
                <w:rFonts w:ascii="Arial" w:hAnsi="Arial" w:eastAsia="Arial"/>
                <w:sz w:val="24"/>
                <w:szCs w:val="24"/>
              </w:rPr>
              <w:t>-0.12</w:t>
            </w:r>
          </w:p>
        </w:tc>
      </w:tr>
      <w:tr w14:paraId="3098B9CC">
        <w:tblPrEx>
          <w:tblCellMar>
            <w:top w:w="55" w:type="dxa"/>
            <w:left w:w="55" w:type="dxa"/>
            <w:bottom w:w="55" w:type="dxa"/>
            <w:right w:w="55" w:type="dxa"/>
          </w:tblCellMar>
        </w:tblPrEx>
        <w:tc>
          <w:tcPr>
            <w:tcW w:w="4985" w:type="dxa"/>
            <w:tcBorders>
              <w:left w:val="single" w:color="000000" w:sz="4" w:space="0"/>
              <w:bottom w:val="single" w:color="000000" w:sz="4" w:space="0"/>
            </w:tcBorders>
          </w:tcPr>
          <w:p w14:paraId="65283811">
            <w:pPr>
              <w:pStyle w:val="22"/>
              <w:spacing w:line="360" w:lineRule="auto"/>
              <w:rPr>
                <w:rFonts w:ascii="Arial" w:hAnsi="Arial" w:eastAsia="Arial"/>
                <w:sz w:val="24"/>
                <w:szCs w:val="24"/>
              </w:rPr>
            </w:pPr>
            <w:r>
              <w:rPr>
                <w:rFonts w:ascii="Arial" w:hAnsi="Arial" w:eastAsia="Arial"/>
                <w:sz w:val="24"/>
                <w:szCs w:val="24"/>
              </w:rPr>
              <w:t>IRR</w:t>
            </w:r>
          </w:p>
        </w:tc>
        <w:tc>
          <w:tcPr>
            <w:tcW w:w="4987" w:type="dxa"/>
            <w:tcBorders>
              <w:left w:val="single" w:color="000000" w:sz="4" w:space="0"/>
              <w:bottom w:val="single" w:color="000000" w:sz="4" w:space="0"/>
              <w:right w:val="single" w:color="000000" w:sz="4" w:space="0"/>
            </w:tcBorders>
          </w:tcPr>
          <w:p w14:paraId="5287DA36">
            <w:pPr>
              <w:pStyle w:val="22"/>
              <w:spacing w:line="360" w:lineRule="auto"/>
              <w:rPr>
                <w:rFonts w:ascii="Arial" w:hAnsi="Arial" w:eastAsia="Arial"/>
                <w:sz w:val="24"/>
                <w:szCs w:val="24"/>
              </w:rPr>
            </w:pPr>
            <w:r>
              <w:rPr>
                <w:rFonts w:ascii="Arial" w:hAnsi="Arial" w:eastAsia="Arial"/>
                <w:sz w:val="24"/>
                <w:szCs w:val="24"/>
              </w:rPr>
              <w:t>3.4%</w:t>
            </w:r>
          </w:p>
        </w:tc>
      </w:tr>
    </w:tbl>
    <w:p w14:paraId="7FC524BA">
      <w:pPr>
        <w:pStyle w:val="4"/>
        <w:spacing w:line="360" w:lineRule="auto"/>
        <w:rPr>
          <w:rFonts w:ascii="Arial" w:hAnsi="Arial" w:eastAsia="Arial"/>
          <w:sz w:val="24"/>
          <w:szCs w:val="24"/>
        </w:rPr>
      </w:pPr>
    </w:p>
    <w:p w14:paraId="57D384C9">
      <w:pPr>
        <w:pStyle w:val="4"/>
        <w:spacing w:line="360" w:lineRule="auto"/>
        <w:rPr>
          <w:rFonts w:ascii="Arial" w:hAnsi="Arial" w:eastAsia="Arial"/>
          <w:sz w:val="24"/>
          <w:szCs w:val="24"/>
        </w:rPr>
      </w:pPr>
      <w:r>
        <w:rPr>
          <w:rFonts w:ascii="Arial" w:hAnsi="Arial" w:eastAsia="Arial"/>
          <w:b/>
          <w:sz w:val="24"/>
          <w:szCs w:val="24"/>
        </w:rPr>
        <w:t>Project C:</w:t>
      </w:r>
    </w:p>
    <w:tbl>
      <w:tblPr>
        <w:tblStyle w:val="8"/>
        <w:tblW w:w="5000" w:type="pct"/>
        <w:tblInd w:w="-5" w:type="dxa"/>
        <w:tblLayout w:type="fixed"/>
        <w:tblCellMar>
          <w:top w:w="55" w:type="dxa"/>
          <w:left w:w="55" w:type="dxa"/>
          <w:bottom w:w="55" w:type="dxa"/>
          <w:right w:w="55" w:type="dxa"/>
        </w:tblCellMar>
      </w:tblPr>
      <w:tblGrid>
        <w:gridCol w:w="2016"/>
        <w:gridCol w:w="2011"/>
        <w:gridCol w:w="2022"/>
        <w:gridCol w:w="2011"/>
        <w:gridCol w:w="2022"/>
      </w:tblGrid>
      <w:tr w14:paraId="0908C259">
        <w:tblPrEx>
          <w:tblCellMar>
            <w:top w:w="55" w:type="dxa"/>
            <w:left w:w="55" w:type="dxa"/>
            <w:bottom w:w="55" w:type="dxa"/>
            <w:right w:w="55" w:type="dxa"/>
          </w:tblCellMar>
        </w:tblPrEx>
        <w:trPr>
          <w:tblHeader/>
        </w:trPr>
        <w:tc>
          <w:tcPr>
            <w:tcW w:w="1994" w:type="dxa"/>
            <w:tcBorders>
              <w:top w:val="single" w:color="000000" w:sz="4" w:space="0"/>
              <w:left w:val="single" w:color="000000" w:sz="4" w:space="0"/>
              <w:bottom w:val="single" w:color="000000" w:sz="4" w:space="0"/>
            </w:tcBorders>
          </w:tcPr>
          <w:p w14:paraId="3E66FE38">
            <w:pPr>
              <w:pStyle w:val="23"/>
              <w:spacing w:line="360" w:lineRule="auto"/>
              <w:jc w:val="left"/>
              <w:rPr>
                <w:rFonts w:ascii="Arial" w:hAnsi="Arial" w:eastAsia="Arial"/>
                <w:sz w:val="24"/>
                <w:szCs w:val="24"/>
              </w:rPr>
            </w:pPr>
            <w:r>
              <w:rPr>
                <w:rFonts w:ascii="Arial" w:hAnsi="Arial" w:eastAsia="Arial"/>
                <w:sz w:val="24"/>
                <w:szCs w:val="24"/>
              </w:rPr>
              <w:t>Year</w:t>
            </w:r>
          </w:p>
        </w:tc>
        <w:tc>
          <w:tcPr>
            <w:tcW w:w="1989" w:type="dxa"/>
            <w:tcBorders>
              <w:top w:val="single" w:color="000000" w:sz="4" w:space="0"/>
              <w:left w:val="single" w:color="000000" w:sz="4" w:space="0"/>
              <w:bottom w:val="single" w:color="000000" w:sz="4" w:space="0"/>
            </w:tcBorders>
          </w:tcPr>
          <w:p w14:paraId="48B3219E">
            <w:pPr>
              <w:pStyle w:val="23"/>
              <w:spacing w:line="360" w:lineRule="auto"/>
              <w:jc w:val="left"/>
              <w:rPr>
                <w:rFonts w:ascii="Arial" w:hAnsi="Arial" w:eastAsia="Arial"/>
                <w:sz w:val="24"/>
                <w:szCs w:val="24"/>
              </w:rPr>
            </w:pPr>
            <w:r>
              <w:rPr>
                <w:rFonts w:ascii="Arial" w:hAnsi="Arial" w:eastAsia="Arial"/>
                <w:sz w:val="24"/>
                <w:szCs w:val="24"/>
              </w:rPr>
              <w:t>Cash Flow (£m)</w:t>
            </w:r>
          </w:p>
        </w:tc>
        <w:tc>
          <w:tcPr>
            <w:tcW w:w="2000" w:type="dxa"/>
            <w:tcBorders>
              <w:top w:val="single" w:color="000000" w:sz="4" w:space="0"/>
              <w:left w:val="single" w:color="000000" w:sz="4" w:space="0"/>
              <w:bottom w:val="single" w:color="000000" w:sz="4" w:space="0"/>
            </w:tcBorders>
          </w:tcPr>
          <w:p w14:paraId="20FA1C1A">
            <w:pPr>
              <w:pStyle w:val="23"/>
              <w:spacing w:line="360" w:lineRule="auto"/>
              <w:jc w:val="left"/>
              <w:rPr>
                <w:rFonts w:ascii="Arial" w:hAnsi="Arial" w:eastAsia="Arial"/>
                <w:sz w:val="24"/>
                <w:szCs w:val="24"/>
              </w:rPr>
            </w:pPr>
            <w:r>
              <w:rPr>
                <w:rFonts w:ascii="Arial" w:hAnsi="Arial" w:eastAsia="Arial"/>
                <w:sz w:val="24"/>
                <w:szCs w:val="24"/>
              </w:rPr>
              <w:t>DF @8%</w:t>
            </w:r>
          </w:p>
        </w:tc>
        <w:tc>
          <w:tcPr>
            <w:tcW w:w="1989" w:type="dxa"/>
            <w:tcBorders>
              <w:top w:val="single" w:color="000000" w:sz="4" w:space="0"/>
              <w:left w:val="single" w:color="000000" w:sz="4" w:space="0"/>
              <w:bottom w:val="single" w:color="000000" w:sz="4" w:space="0"/>
            </w:tcBorders>
          </w:tcPr>
          <w:p w14:paraId="7A91122D">
            <w:pPr>
              <w:pStyle w:val="23"/>
              <w:spacing w:line="360" w:lineRule="auto"/>
              <w:jc w:val="left"/>
              <w:rPr>
                <w:rFonts w:ascii="Arial" w:hAnsi="Arial" w:eastAsia="Arial"/>
                <w:sz w:val="24"/>
                <w:szCs w:val="24"/>
              </w:rPr>
            </w:pPr>
            <w:r>
              <w:rPr>
                <w:rFonts w:ascii="Arial" w:hAnsi="Arial" w:eastAsia="Arial"/>
                <w:sz w:val="24"/>
                <w:szCs w:val="24"/>
              </w:rPr>
              <w:t>PV (£m)</w:t>
            </w:r>
          </w:p>
        </w:tc>
        <w:tc>
          <w:tcPr>
            <w:tcW w:w="2000" w:type="dxa"/>
            <w:tcBorders>
              <w:top w:val="single" w:color="000000" w:sz="4" w:space="0"/>
              <w:left w:val="single" w:color="000000" w:sz="4" w:space="0"/>
              <w:bottom w:val="single" w:color="000000" w:sz="4" w:space="0"/>
              <w:right w:val="single" w:color="000000" w:sz="4" w:space="0"/>
            </w:tcBorders>
          </w:tcPr>
          <w:p w14:paraId="3A8D659A">
            <w:pPr>
              <w:pStyle w:val="23"/>
              <w:spacing w:line="360" w:lineRule="auto"/>
              <w:jc w:val="left"/>
              <w:rPr>
                <w:rFonts w:ascii="Arial" w:hAnsi="Arial" w:eastAsia="Arial"/>
                <w:sz w:val="24"/>
                <w:szCs w:val="24"/>
              </w:rPr>
            </w:pPr>
            <w:r>
              <w:rPr>
                <w:rFonts w:ascii="Arial" w:hAnsi="Arial" w:eastAsia="Arial"/>
                <w:sz w:val="24"/>
                <w:szCs w:val="24"/>
              </w:rPr>
              <w:t>Cumulative (£m)</w:t>
            </w:r>
          </w:p>
        </w:tc>
      </w:tr>
      <w:tr w14:paraId="451FAF62">
        <w:tblPrEx>
          <w:tblCellMar>
            <w:top w:w="55" w:type="dxa"/>
            <w:left w:w="55" w:type="dxa"/>
            <w:bottom w:w="55" w:type="dxa"/>
            <w:right w:w="55" w:type="dxa"/>
          </w:tblCellMar>
        </w:tblPrEx>
        <w:tc>
          <w:tcPr>
            <w:tcW w:w="1994" w:type="dxa"/>
            <w:tcBorders>
              <w:left w:val="single" w:color="000000" w:sz="4" w:space="0"/>
              <w:bottom w:val="single" w:color="000000" w:sz="4" w:space="0"/>
            </w:tcBorders>
          </w:tcPr>
          <w:p w14:paraId="22E0D3C8">
            <w:pPr>
              <w:pStyle w:val="22"/>
              <w:spacing w:line="360" w:lineRule="auto"/>
              <w:rPr>
                <w:rFonts w:ascii="Arial" w:hAnsi="Arial" w:eastAsia="Arial"/>
                <w:sz w:val="24"/>
                <w:szCs w:val="24"/>
              </w:rPr>
            </w:pPr>
            <w:r>
              <w:rPr>
                <w:rFonts w:ascii="Arial" w:hAnsi="Arial" w:eastAsia="Arial"/>
                <w:sz w:val="24"/>
                <w:szCs w:val="24"/>
              </w:rPr>
              <w:t>0</w:t>
            </w:r>
          </w:p>
        </w:tc>
        <w:tc>
          <w:tcPr>
            <w:tcW w:w="1989" w:type="dxa"/>
            <w:tcBorders>
              <w:left w:val="single" w:color="000000" w:sz="4" w:space="0"/>
              <w:bottom w:val="single" w:color="000000" w:sz="4" w:space="0"/>
            </w:tcBorders>
          </w:tcPr>
          <w:p w14:paraId="3536F63F">
            <w:pPr>
              <w:pStyle w:val="22"/>
              <w:spacing w:line="360" w:lineRule="auto"/>
              <w:rPr>
                <w:rFonts w:ascii="Arial" w:hAnsi="Arial" w:eastAsia="Arial"/>
                <w:sz w:val="24"/>
                <w:szCs w:val="24"/>
              </w:rPr>
            </w:pPr>
            <w:r>
              <w:rPr>
                <w:rFonts w:ascii="Arial" w:hAnsi="Arial" w:eastAsia="Arial"/>
                <w:sz w:val="24"/>
                <w:szCs w:val="24"/>
              </w:rPr>
              <w:t>-50</w:t>
            </w:r>
          </w:p>
        </w:tc>
        <w:tc>
          <w:tcPr>
            <w:tcW w:w="2000" w:type="dxa"/>
            <w:tcBorders>
              <w:left w:val="single" w:color="000000" w:sz="4" w:space="0"/>
              <w:bottom w:val="single" w:color="000000" w:sz="4" w:space="0"/>
            </w:tcBorders>
          </w:tcPr>
          <w:p w14:paraId="33607499">
            <w:pPr>
              <w:pStyle w:val="22"/>
              <w:spacing w:line="360" w:lineRule="auto"/>
              <w:rPr>
                <w:rFonts w:ascii="Arial" w:hAnsi="Arial" w:eastAsia="Arial"/>
                <w:sz w:val="24"/>
                <w:szCs w:val="24"/>
              </w:rPr>
            </w:pPr>
            <w:r>
              <w:rPr>
                <w:rFonts w:ascii="Arial" w:hAnsi="Arial" w:eastAsia="Arial"/>
                <w:sz w:val="24"/>
                <w:szCs w:val="24"/>
              </w:rPr>
              <w:t>1.000</w:t>
            </w:r>
          </w:p>
        </w:tc>
        <w:tc>
          <w:tcPr>
            <w:tcW w:w="1989" w:type="dxa"/>
            <w:tcBorders>
              <w:left w:val="single" w:color="000000" w:sz="4" w:space="0"/>
              <w:bottom w:val="single" w:color="000000" w:sz="4" w:space="0"/>
            </w:tcBorders>
          </w:tcPr>
          <w:p w14:paraId="0453C2D1">
            <w:pPr>
              <w:pStyle w:val="22"/>
              <w:spacing w:line="360" w:lineRule="auto"/>
              <w:rPr>
                <w:rFonts w:ascii="Arial" w:hAnsi="Arial" w:eastAsia="Arial"/>
                <w:sz w:val="24"/>
                <w:szCs w:val="24"/>
              </w:rPr>
            </w:pPr>
            <w:r>
              <w:rPr>
                <w:rFonts w:ascii="Arial" w:hAnsi="Arial" w:eastAsia="Arial"/>
                <w:sz w:val="24"/>
                <w:szCs w:val="24"/>
              </w:rPr>
              <w:t>-50.00</w:t>
            </w:r>
          </w:p>
        </w:tc>
        <w:tc>
          <w:tcPr>
            <w:tcW w:w="2000" w:type="dxa"/>
            <w:tcBorders>
              <w:left w:val="single" w:color="000000" w:sz="4" w:space="0"/>
              <w:bottom w:val="single" w:color="000000" w:sz="4" w:space="0"/>
              <w:right w:val="single" w:color="000000" w:sz="4" w:space="0"/>
            </w:tcBorders>
          </w:tcPr>
          <w:p w14:paraId="4D410AD2">
            <w:pPr>
              <w:pStyle w:val="22"/>
              <w:spacing w:line="360" w:lineRule="auto"/>
              <w:rPr>
                <w:rFonts w:ascii="Arial" w:hAnsi="Arial" w:eastAsia="Arial"/>
                <w:sz w:val="24"/>
                <w:szCs w:val="24"/>
              </w:rPr>
            </w:pPr>
            <w:r>
              <w:rPr>
                <w:rFonts w:ascii="Arial" w:hAnsi="Arial" w:eastAsia="Arial"/>
                <w:sz w:val="24"/>
                <w:szCs w:val="24"/>
              </w:rPr>
              <w:t>-50.00</w:t>
            </w:r>
          </w:p>
        </w:tc>
      </w:tr>
      <w:tr w14:paraId="6D0EF6DD">
        <w:tblPrEx>
          <w:tblCellMar>
            <w:top w:w="55" w:type="dxa"/>
            <w:left w:w="55" w:type="dxa"/>
            <w:bottom w:w="55" w:type="dxa"/>
            <w:right w:w="55" w:type="dxa"/>
          </w:tblCellMar>
        </w:tblPrEx>
        <w:tc>
          <w:tcPr>
            <w:tcW w:w="1994" w:type="dxa"/>
            <w:tcBorders>
              <w:left w:val="single" w:color="000000" w:sz="4" w:space="0"/>
              <w:bottom w:val="single" w:color="000000" w:sz="4" w:space="0"/>
            </w:tcBorders>
          </w:tcPr>
          <w:p w14:paraId="3DBBE8DB">
            <w:pPr>
              <w:pStyle w:val="22"/>
              <w:spacing w:line="360" w:lineRule="auto"/>
              <w:rPr>
                <w:rFonts w:ascii="Arial" w:hAnsi="Arial" w:eastAsia="Arial"/>
                <w:sz w:val="24"/>
                <w:szCs w:val="24"/>
              </w:rPr>
            </w:pPr>
            <w:r>
              <w:rPr>
                <w:rFonts w:ascii="Arial" w:hAnsi="Arial" w:eastAsia="Arial"/>
                <w:sz w:val="24"/>
                <w:szCs w:val="24"/>
              </w:rPr>
              <w:t>1</w:t>
            </w:r>
          </w:p>
        </w:tc>
        <w:tc>
          <w:tcPr>
            <w:tcW w:w="1989" w:type="dxa"/>
            <w:tcBorders>
              <w:left w:val="single" w:color="000000" w:sz="4" w:space="0"/>
              <w:bottom w:val="single" w:color="000000" w:sz="4" w:space="0"/>
            </w:tcBorders>
          </w:tcPr>
          <w:p w14:paraId="5A65C8CF">
            <w:pPr>
              <w:pStyle w:val="22"/>
              <w:spacing w:line="360" w:lineRule="auto"/>
              <w:rPr>
                <w:rFonts w:ascii="Arial" w:hAnsi="Arial" w:eastAsia="Arial"/>
                <w:sz w:val="24"/>
                <w:szCs w:val="24"/>
              </w:rPr>
            </w:pPr>
            <w:r>
              <w:rPr>
                <w:rFonts w:ascii="Arial" w:hAnsi="Arial" w:eastAsia="Arial"/>
                <w:sz w:val="24"/>
                <w:szCs w:val="24"/>
              </w:rPr>
              <w:t>5</w:t>
            </w:r>
          </w:p>
        </w:tc>
        <w:tc>
          <w:tcPr>
            <w:tcW w:w="2000" w:type="dxa"/>
            <w:tcBorders>
              <w:left w:val="single" w:color="000000" w:sz="4" w:space="0"/>
              <w:bottom w:val="single" w:color="000000" w:sz="4" w:space="0"/>
            </w:tcBorders>
          </w:tcPr>
          <w:p w14:paraId="682CD654">
            <w:pPr>
              <w:pStyle w:val="22"/>
              <w:spacing w:line="360" w:lineRule="auto"/>
              <w:rPr>
                <w:rFonts w:ascii="Arial" w:hAnsi="Arial" w:eastAsia="Arial"/>
                <w:sz w:val="24"/>
                <w:szCs w:val="24"/>
              </w:rPr>
            </w:pPr>
            <w:r>
              <w:rPr>
                <w:rFonts w:ascii="Arial" w:hAnsi="Arial" w:eastAsia="Arial"/>
                <w:sz w:val="24"/>
                <w:szCs w:val="24"/>
              </w:rPr>
              <w:t>0.926</w:t>
            </w:r>
          </w:p>
        </w:tc>
        <w:tc>
          <w:tcPr>
            <w:tcW w:w="1989" w:type="dxa"/>
            <w:tcBorders>
              <w:left w:val="single" w:color="000000" w:sz="4" w:space="0"/>
              <w:bottom w:val="single" w:color="000000" w:sz="4" w:space="0"/>
            </w:tcBorders>
          </w:tcPr>
          <w:p w14:paraId="1B6149DD">
            <w:pPr>
              <w:pStyle w:val="22"/>
              <w:spacing w:line="360" w:lineRule="auto"/>
              <w:rPr>
                <w:rFonts w:ascii="Arial" w:hAnsi="Arial" w:eastAsia="Arial"/>
                <w:sz w:val="24"/>
                <w:szCs w:val="24"/>
              </w:rPr>
            </w:pPr>
            <w:r>
              <w:rPr>
                <w:rFonts w:ascii="Arial" w:hAnsi="Arial" w:eastAsia="Arial"/>
                <w:sz w:val="24"/>
                <w:szCs w:val="24"/>
              </w:rPr>
              <w:t>4.63</w:t>
            </w:r>
          </w:p>
        </w:tc>
        <w:tc>
          <w:tcPr>
            <w:tcW w:w="2000" w:type="dxa"/>
            <w:tcBorders>
              <w:left w:val="single" w:color="000000" w:sz="4" w:space="0"/>
              <w:bottom w:val="single" w:color="000000" w:sz="4" w:space="0"/>
              <w:right w:val="single" w:color="000000" w:sz="4" w:space="0"/>
            </w:tcBorders>
          </w:tcPr>
          <w:p w14:paraId="0ED63CC0">
            <w:pPr>
              <w:pStyle w:val="22"/>
              <w:spacing w:line="360" w:lineRule="auto"/>
              <w:rPr>
                <w:rFonts w:ascii="Arial" w:hAnsi="Arial" w:eastAsia="Arial"/>
                <w:sz w:val="24"/>
                <w:szCs w:val="24"/>
              </w:rPr>
            </w:pPr>
            <w:r>
              <w:rPr>
                <w:rFonts w:ascii="Arial" w:hAnsi="Arial" w:eastAsia="Arial"/>
                <w:sz w:val="24"/>
                <w:szCs w:val="24"/>
              </w:rPr>
              <w:t>-45.37</w:t>
            </w:r>
          </w:p>
        </w:tc>
      </w:tr>
      <w:tr w14:paraId="7E9F04E3">
        <w:tblPrEx>
          <w:tblCellMar>
            <w:top w:w="55" w:type="dxa"/>
            <w:left w:w="55" w:type="dxa"/>
            <w:bottom w:w="55" w:type="dxa"/>
            <w:right w:w="55" w:type="dxa"/>
          </w:tblCellMar>
        </w:tblPrEx>
        <w:tc>
          <w:tcPr>
            <w:tcW w:w="1994" w:type="dxa"/>
            <w:tcBorders>
              <w:left w:val="single" w:color="000000" w:sz="4" w:space="0"/>
              <w:bottom w:val="single" w:color="000000" w:sz="4" w:space="0"/>
            </w:tcBorders>
          </w:tcPr>
          <w:p w14:paraId="1CA4DABB">
            <w:pPr>
              <w:pStyle w:val="22"/>
              <w:spacing w:line="360" w:lineRule="auto"/>
              <w:rPr>
                <w:rFonts w:ascii="Arial" w:hAnsi="Arial" w:eastAsia="Arial"/>
                <w:sz w:val="24"/>
                <w:szCs w:val="24"/>
              </w:rPr>
            </w:pPr>
            <w:r>
              <w:rPr>
                <w:rFonts w:ascii="Arial" w:hAnsi="Arial" w:eastAsia="Arial"/>
                <w:sz w:val="24"/>
                <w:szCs w:val="24"/>
              </w:rPr>
              <w:t>2</w:t>
            </w:r>
          </w:p>
        </w:tc>
        <w:tc>
          <w:tcPr>
            <w:tcW w:w="1989" w:type="dxa"/>
            <w:tcBorders>
              <w:left w:val="single" w:color="000000" w:sz="4" w:space="0"/>
              <w:bottom w:val="single" w:color="000000" w:sz="4" w:space="0"/>
            </w:tcBorders>
          </w:tcPr>
          <w:p w14:paraId="6F95EEB7">
            <w:pPr>
              <w:pStyle w:val="22"/>
              <w:spacing w:line="360" w:lineRule="auto"/>
              <w:rPr>
                <w:rFonts w:ascii="Arial" w:hAnsi="Arial" w:eastAsia="Arial"/>
                <w:sz w:val="24"/>
                <w:szCs w:val="24"/>
              </w:rPr>
            </w:pPr>
            <w:r>
              <w:rPr>
                <w:rFonts w:ascii="Arial" w:hAnsi="Arial" w:eastAsia="Arial"/>
                <w:sz w:val="24"/>
                <w:szCs w:val="24"/>
              </w:rPr>
              <w:t>10</w:t>
            </w:r>
          </w:p>
        </w:tc>
        <w:tc>
          <w:tcPr>
            <w:tcW w:w="2000" w:type="dxa"/>
            <w:tcBorders>
              <w:left w:val="single" w:color="000000" w:sz="4" w:space="0"/>
              <w:bottom w:val="single" w:color="000000" w:sz="4" w:space="0"/>
            </w:tcBorders>
          </w:tcPr>
          <w:p w14:paraId="66231085">
            <w:pPr>
              <w:pStyle w:val="22"/>
              <w:spacing w:line="360" w:lineRule="auto"/>
              <w:rPr>
                <w:rFonts w:ascii="Arial" w:hAnsi="Arial" w:eastAsia="Arial"/>
                <w:sz w:val="24"/>
                <w:szCs w:val="24"/>
              </w:rPr>
            </w:pPr>
            <w:r>
              <w:rPr>
                <w:rFonts w:ascii="Arial" w:hAnsi="Arial" w:eastAsia="Arial"/>
                <w:sz w:val="24"/>
                <w:szCs w:val="24"/>
              </w:rPr>
              <w:t>0.857</w:t>
            </w:r>
          </w:p>
        </w:tc>
        <w:tc>
          <w:tcPr>
            <w:tcW w:w="1989" w:type="dxa"/>
            <w:tcBorders>
              <w:left w:val="single" w:color="000000" w:sz="4" w:space="0"/>
              <w:bottom w:val="single" w:color="000000" w:sz="4" w:space="0"/>
            </w:tcBorders>
          </w:tcPr>
          <w:p w14:paraId="3600A30A">
            <w:pPr>
              <w:pStyle w:val="22"/>
              <w:spacing w:line="360" w:lineRule="auto"/>
              <w:rPr>
                <w:rFonts w:ascii="Arial" w:hAnsi="Arial" w:eastAsia="Arial"/>
                <w:sz w:val="24"/>
                <w:szCs w:val="24"/>
              </w:rPr>
            </w:pPr>
            <w:r>
              <w:rPr>
                <w:rFonts w:ascii="Arial" w:hAnsi="Arial" w:eastAsia="Arial"/>
                <w:sz w:val="24"/>
                <w:szCs w:val="24"/>
              </w:rPr>
              <w:t>8.57</w:t>
            </w:r>
          </w:p>
        </w:tc>
        <w:tc>
          <w:tcPr>
            <w:tcW w:w="2000" w:type="dxa"/>
            <w:tcBorders>
              <w:left w:val="single" w:color="000000" w:sz="4" w:space="0"/>
              <w:bottom w:val="single" w:color="000000" w:sz="4" w:space="0"/>
              <w:right w:val="single" w:color="000000" w:sz="4" w:space="0"/>
            </w:tcBorders>
          </w:tcPr>
          <w:p w14:paraId="174BF9A1">
            <w:pPr>
              <w:pStyle w:val="22"/>
              <w:spacing w:line="360" w:lineRule="auto"/>
              <w:rPr>
                <w:rFonts w:ascii="Arial" w:hAnsi="Arial" w:eastAsia="Arial"/>
                <w:sz w:val="24"/>
                <w:szCs w:val="24"/>
              </w:rPr>
            </w:pPr>
            <w:r>
              <w:rPr>
                <w:rFonts w:ascii="Arial" w:hAnsi="Arial" w:eastAsia="Arial"/>
                <w:sz w:val="24"/>
                <w:szCs w:val="24"/>
              </w:rPr>
              <w:t>-36.80</w:t>
            </w:r>
          </w:p>
        </w:tc>
      </w:tr>
      <w:tr w14:paraId="59F5FDEC">
        <w:tblPrEx>
          <w:tblCellMar>
            <w:top w:w="55" w:type="dxa"/>
            <w:left w:w="55" w:type="dxa"/>
            <w:bottom w:w="55" w:type="dxa"/>
            <w:right w:w="55" w:type="dxa"/>
          </w:tblCellMar>
        </w:tblPrEx>
        <w:tc>
          <w:tcPr>
            <w:tcW w:w="1994" w:type="dxa"/>
            <w:tcBorders>
              <w:left w:val="single" w:color="000000" w:sz="4" w:space="0"/>
              <w:bottom w:val="single" w:color="000000" w:sz="4" w:space="0"/>
            </w:tcBorders>
          </w:tcPr>
          <w:p w14:paraId="6142B9A5">
            <w:pPr>
              <w:pStyle w:val="22"/>
              <w:spacing w:line="360" w:lineRule="auto"/>
              <w:rPr>
                <w:rFonts w:ascii="Arial" w:hAnsi="Arial" w:eastAsia="Arial"/>
                <w:sz w:val="24"/>
                <w:szCs w:val="24"/>
              </w:rPr>
            </w:pPr>
            <w:r>
              <w:rPr>
                <w:rFonts w:ascii="Arial" w:hAnsi="Arial" w:eastAsia="Arial"/>
                <w:sz w:val="24"/>
                <w:szCs w:val="24"/>
              </w:rPr>
              <w:t>3</w:t>
            </w:r>
          </w:p>
        </w:tc>
        <w:tc>
          <w:tcPr>
            <w:tcW w:w="1989" w:type="dxa"/>
            <w:tcBorders>
              <w:left w:val="single" w:color="000000" w:sz="4" w:space="0"/>
              <w:bottom w:val="single" w:color="000000" w:sz="4" w:space="0"/>
            </w:tcBorders>
          </w:tcPr>
          <w:p w14:paraId="69CF28F8">
            <w:pPr>
              <w:pStyle w:val="22"/>
              <w:spacing w:line="360" w:lineRule="auto"/>
              <w:rPr>
                <w:rFonts w:ascii="Arial" w:hAnsi="Arial" w:eastAsia="Arial"/>
                <w:sz w:val="24"/>
                <w:szCs w:val="24"/>
              </w:rPr>
            </w:pPr>
            <w:r>
              <w:rPr>
                <w:rFonts w:ascii="Arial" w:hAnsi="Arial" w:eastAsia="Arial"/>
                <w:sz w:val="24"/>
                <w:szCs w:val="24"/>
              </w:rPr>
              <w:t>20</w:t>
            </w:r>
          </w:p>
        </w:tc>
        <w:tc>
          <w:tcPr>
            <w:tcW w:w="2000" w:type="dxa"/>
            <w:tcBorders>
              <w:left w:val="single" w:color="000000" w:sz="4" w:space="0"/>
              <w:bottom w:val="single" w:color="000000" w:sz="4" w:space="0"/>
            </w:tcBorders>
          </w:tcPr>
          <w:p w14:paraId="5E97C06D">
            <w:pPr>
              <w:pStyle w:val="22"/>
              <w:spacing w:line="360" w:lineRule="auto"/>
              <w:rPr>
                <w:rFonts w:ascii="Arial" w:hAnsi="Arial" w:eastAsia="Arial"/>
                <w:sz w:val="24"/>
                <w:szCs w:val="24"/>
              </w:rPr>
            </w:pPr>
            <w:r>
              <w:rPr>
                <w:rFonts w:ascii="Arial" w:hAnsi="Arial" w:eastAsia="Arial"/>
                <w:sz w:val="24"/>
                <w:szCs w:val="24"/>
              </w:rPr>
              <w:t>0.794</w:t>
            </w:r>
          </w:p>
        </w:tc>
        <w:tc>
          <w:tcPr>
            <w:tcW w:w="1989" w:type="dxa"/>
            <w:tcBorders>
              <w:left w:val="single" w:color="000000" w:sz="4" w:space="0"/>
              <w:bottom w:val="single" w:color="000000" w:sz="4" w:space="0"/>
            </w:tcBorders>
          </w:tcPr>
          <w:p w14:paraId="74C20186">
            <w:pPr>
              <w:pStyle w:val="22"/>
              <w:spacing w:line="360" w:lineRule="auto"/>
              <w:rPr>
                <w:rFonts w:ascii="Arial" w:hAnsi="Arial" w:eastAsia="Arial"/>
                <w:sz w:val="24"/>
                <w:szCs w:val="24"/>
              </w:rPr>
            </w:pPr>
            <w:r>
              <w:rPr>
                <w:rFonts w:ascii="Arial" w:hAnsi="Arial" w:eastAsia="Arial"/>
                <w:sz w:val="24"/>
                <w:szCs w:val="24"/>
              </w:rPr>
              <w:t>15.88</w:t>
            </w:r>
          </w:p>
        </w:tc>
        <w:tc>
          <w:tcPr>
            <w:tcW w:w="2000" w:type="dxa"/>
            <w:tcBorders>
              <w:left w:val="single" w:color="000000" w:sz="4" w:space="0"/>
              <w:bottom w:val="single" w:color="000000" w:sz="4" w:space="0"/>
              <w:right w:val="single" w:color="000000" w:sz="4" w:space="0"/>
            </w:tcBorders>
          </w:tcPr>
          <w:p w14:paraId="2C251BA3">
            <w:pPr>
              <w:pStyle w:val="22"/>
              <w:spacing w:line="360" w:lineRule="auto"/>
              <w:rPr>
                <w:rFonts w:ascii="Arial" w:hAnsi="Arial" w:eastAsia="Arial"/>
                <w:sz w:val="24"/>
                <w:szCs w:val="24"/>
              </w:rPr>
            </w:pPr>
            <w:r>
              <w:rPr>
                <w:rFonts w:ascii="Arial" w:hAnsi="Arial" w:eastAsia="Arial"/>
                <w:sz w:val="24"/>
                <w:szCs w:val="24"/>
              </w:rPr>
              <w:t>-20.92</w:t>
            </w:r>
          </w:p>
        </w:tc>
      </w:tr>
      <w:tr w14:paraId="35FF38EC">
        <w:tblPrEx>
          <w:tblCellMar>
            <w:top w:w="55" w:type="dxa"/>
            <w:left w:w="55" w:type="dxa"/>
            <w:bottom w:w="55" w:type="dxa"/>
            <w:right w:w="55" w:type="dxa"/>
          </w:tblCellMar>
        </w:tblPrEx>
        <w:tc>
          <w:tcPr>
            <w:tcW w:w="1994" w:type="dxa"/>
            <w:tcBorders>
              <w:left w:val="single" w:color="000000" w:sz="4" w:space="0"/>
              <w:bottom w:val="single" w:color="000000" w:sz="4" w:space="0"/>
            </w:tcBorders>
          </w:tcPr>
          <w:p w14:paraId="4A1E10C7">
            <w:pPr>
              <w:pStyle w:val="22"/>
              <w:spacing w:line="360" w:lineRule="auto"/>
              <w:rPr>
                <w:rFonts w:ascii="Arial" w:hAnsi="Arial" w:eastAsia="Arial"/>
                <w:sz w:val="24"/>
                <w:szCs w:val="24"/>
              </w:rPr>
            </w:pPr>
            <w:r>
              <w:rPr>
                <w:rFonts w:ascii="Arial" w:hAnsi="Arial" w:eastAsia="Arial"/>
                <w:sz w:val="24"/>
                <w:szCs w:val="24"/>
              </w:rPr>
              <w:t>4</w:t>
            </w:r>
          </w:p>
        </w:tc>
        <w:tc>
          <w:tcPr>
            <w:tcW w:w="1989" w:type="dxa"/>
            <w:tcBorders>
              <w:left w:val="single" w:color="000000" w:sz="4" w:space="0"/>
              <w:bottom w:val="single" w:color="000000" w:sz="4" w:space="0"/>
            </w:tcBorders>
          </w:tcPr>
          <w:p w14:paraId="2BE4FCDC">
            <w:pPr>
              <w:pStyle w:val="22"/>
              <w:spacing w:line="360" w:lineRule="auto"/>
              <w:rPr>
                <w:rFonts w:ascii="Arial" w:hAnsi="Arial" w:eastAsia="Arial"/>
                <w:sz w:val="24"/>
                <w:szCs w:val="24"/>
              </w:rPr>
            </w:pPr>
            <w:r>
              <w:rPr>
                <w:rFonts w:ascii="Arial" w:hAnsi="Arial" w:eastAsia="Arial"/>
                <w:sz w:val="24"/>
                <w:szCs w:val="24"/>
              </w:rPr>
              <w:t>25</w:t>
            </w:r>
          </w:p>
        </w:tc>
        <w:tc>
          <w:tcPr>
            <w:tcW w:w="2000" w:type="dxa"/>
            <w:tcBorders>
              <w:left w:val="single" w:color="000000" w:sz="4" w:space="0"/>
              <w:bottom w:val="single" w:color="000000" w:sz="4" w:space="0"/>
            </w:tcBorders>
          </w:tcPr>
          <w:p w14:paraId="54F3E636">
            <w:pPr>
              <w:pStyle w:val="22"/>
              <w:spacing w:line="360" w:lineRule="auto"/>
              <w:rPr>
                <w:rFonts w:ascii="Arial" w:hAnsi="Arial" w:eastAsia="Arial"/>
                <w:sz w:val="24"/>
                <w:szCs w:val="24"/>
              </w:rPr>
            </w:pPr>
            <w:r>
              <w:rPr>
                <w:rFonts w:ascii="Arial" w:hAnsi="Arial" w:eastAsia="Arial"/>
                <w:sz w:val="24"/>
                <w:szCs w:val="24"/>
              </w:rPr>
              <w:t>0.735</w:t>
            </w:r>
          </w:p>
        </w:tc>
        <w:tc>
          <w:tcPr>
            <w:tcW w:w="1989" w:type="dxa"/>
            <w:tcBorders>
              <w:left w:val="single" w:color="000000" w:sz="4" w:space="0"/>
              <w:bottom w:val="single" w:color="000000" w:sz="4" w:space="0"/>
            </w:tcBorders>
          </w:tcPr>
          <w:p w14:paraId="1F489621">
            <w:pPr>
              <w:pStyle w:val="22"/>
              <w:spacing w:line="360" w:lineRule="auto"/>
              <w:rPr>
                <w:rFonts w:ascii="Arial" w:hAnsi="Arial" w:eastAsia="Arial"/>
                <w:sz w:val="24"/>
                <w:szCs w:val="24"/>
              </w:rPr>
            </w:pPr>
            <w:r>
              <w:rPr>
                <w:rFonts w:ascii="Arial" w:hAnsi="Arial" w:eastAsia="Arial"/>
                <w:sz w:val="24"/>
                <w:szCs w:val="24"/>
              </w:rPr>
              <w:t>18.38</w:t>
            </w:r>
          </w:p>
        </w:tc>
        <w:tc>
          <w:tcPr>
            <w:tcW w:w="2000" w:type="dxa"/>
            <w:tcBorders>
              <w:left w:val="single" w:color="000000" w:sz="4" w:space="0"/>
              <w:bottom w:val="single" w:color="000000" w:sz="4" w:space="0"/>
              <w:right w:val="single" w:color="000000" w:sz="4" w:space="0"/>
            </w:tcBorders>
          </w:tcPr>
          <w:p w14:paraId="3EF7C4DD">
            <w:pPr>
              <w:pStyle w:val="22"/>
              <w:spacing w:line="360" w:lineRule="auto"/>
              <w:rPr>
                <w:rFonts w:ascii="Arial" w:hAnsi="Arial" w:eastAsia="Arial"/>
                <w:sz w:val="24"/>
                <w:szCs w:val="24"/>
              </w:rPr>
            </w:pPr>
            <w:r>
              <w:rPr>
                <w:rFonts w:ascii="Arial" w:hAnsi="Arial" w:eastAsia="Arial"/>
                <w:sz w:val="24"/>
                <w:szCs w:val="24"/>
              </w:rPr>
              <w:t>-2.54</w:t>
            </w:r>
          </w:p>
        </w:tc>
      </w:tr>
      <w:tr w14:paraId="524018CE">
        <w:tblPrEx>
          <w:tblCellMar>
            <w:top w:w="55" w:type="dxa"/>
            <w:left w:w="55" w:type="dxa"/>
            <w:bottom w:w="55" w:type="dxa"/>
            <w:right w:w="55" w:type="dxa"/>
          </w:tblCellMar>
        </w:tblPrEx>
        <w:tc>
          <w:tcPr>
            <w:tcW w:w="1994" w:type="dxa"/>
            <w:tcBorders>
              <w:left w:val="single" w:color="000000" w:sz="4" w:space="0"/>
              <w:bottom w:val="single" w:color="000000" w:sz="4" w:space="0"/>
            </w:tcBorders>
          </w:tcPr>
          <w:p w14:paraId="17C97A7F">
            <w:pPr>
              <w:pStyle w:val="22"/>
              <w:spacing w:line="360" w:lineRule="auto"/>
              <w:rPr>
                <w:rFonts w:ascii="Arial" w:hAnsi="Arial" w:eastAsia="Arial"/>
                <w:sz w:val="24"/>
                <w:szCs w:val="24"/>
              </w:rPr>
            </w:pPr>
            <w:r>
              <w:rPr>
                <w:rFonts w:ascii="Arial" w:hAnsi="Arial" w:eastAsia="Arial"/>
                <w:sz w:val="24"/>
                <w:szCs w:val="24"/>
              </w:rPr>
              <w:t>5</w:t>
            </w:r>
          </w:p>
        </w:tc>
        <w:tc>
          <w:tcPr>
            <w:tcW w:w="1989" w:type="dxa"/>
            <w:tcBorders>
              <w:left w:val="single" w:color="000000" w:sz="4" w:space="0"/>
              <w:bottom w:val="single" w:color="000000" w:sz="4" w:space="0"/>
            </w:tcBorders>
          </w:tcPr>
          <w:p w14:paraId="2D15F758">
            <w:pPr>
              <w:pStyle w:val="22"/>
              <w:spacing w:line="360" w:lineRule="auto"/>
              <w:rPr>
                <w:rFonts w:ascii="Arial" w:hAnsi="Arial" w:eastAsia="Arial"/>
                <w:sz w:val="24"/>
                <w:szCs w:val="24"/>
              </w:rPr>
            </w:pPr>
            <w:r>
              <w:rPr>
                <w:rFonts w:ascii="Arial" w:hAnsi="Arial" w:eastAsia="Arial"/>
                <w:sz w:val="24"/>
                <w:szCs w:val="24"/>
              </w:rPr>
              <w:t>5</w:t>
            </w:r>
          </w:p>
        </w:tc>
        <w:tc>
          <w:tcPr>
            <w:tcW w:w="2000" w:type="dxa"/>
            <w:tcBorders>
              <w:left w:val="single" w:color="000000" w:sz="4" w:space="0"/>
              <w:bottom w:val="single" w:color="000000" w:sz="4" w:space="0"/>
            </w:tcBorders>
          </w:tcPr>
          <w:p w14:paraId="08898A92">
            <w:pPr>
              <w:pStyle w:val="22"/>
              <w:spacing w:line="360" w:lineRule="auto"/>
              <w:rPr>
                <w:rFonts w:ascii="Arial" w:hAnsi="Arial" w:eastAsia="Arial"/>
                <w:sz w:val="24"/>
                <w:szCs w:val="24"/>
              </w:rPr>
            </w:pPr>
            <w:r>
              <w:rPr>
                <w:rFonts w:ascii="Arial" w:hAnsi="Arial" w:eastAsia="Arial"/>
                <w:sz w:val="24"/>
                <w:szCs w:val="24"/>
              </w:rPr>
              <w:t>0.681</w:t>
            </w:r>
          </w:p>
        </w:tc>
        <w:tc>
          <w:tcPr>
            <w:tcW w:w="1989" w:type="dxa"/>
            <w:tcBorders>
              <w:left w:val="single" w:color="000000" w:sz="4" w:space="0"/>
              <w:bottom w:val="single" w:color="000000" w:sz="4" w:space="0"/>
            </w:tcBorders>
          </w:tcPr>
          <w:p w14:paraId="2F8B91CF">
            <w:pPr>
              <w:pStyle w:val="22"/>
              <w:spacing w:line="360" w:lineRule="auto"/>
              <w:rPr>
                <w:rFonts w:ascii="Arial" w:hAnsi="Arial" w:eastAsia="Arial"/>
                <w:sz w:val="24"/>
                <w:szCs w:val="24"/>
              </w:rPr>
            </w:pPr>
            <w:r>
              <w:rPr>
                <w:rFonts w:ascii="Arial" w:hAnsi="Arial" w:eastAsia="Arial"/>
                <w:sz w:val="24"/>
                <w:szCs w:val="24"/>
              </w:rPr>
              <w:t>3.40</w:t>
            </w:r>
          </w:p>
        </w:tc>
        <w:tc>
          <w:tcPr>
            <w:tcW w:w="2000" w:type="dxa"/>
            <w:tcBorders>
              <w:left w:val="single" w:color="000000" w:sz="4" w:space="0"/>
              <w:bottom w:val="single" w:color="000000" w:sz="4" w:space="0"/>
              <w:right w:val="single" w:color="000000" w:sz="4" w:space="0"/>
            </w:tcBorders>
          </w:tcPr>
          <w:p w14:paraId="1A6FD0CD">
            <w:pPr>
              <w:pStyle w:val="22"/>
              <w:spacing w:line="360" w:lineRule="auto"/>
              <w:rPr>
                <w:rFonts w:ascii="Arial" w:hAnsi="Arial" w:eastAsia="Arial"/>
                <w:sz w:val="24"/>
                <w:szCs w:val="24"/>
              </w:rPr>
            </w:pPr>
            <w:r>
              <w:rPr>
                <w:rFonts w:ascii="Arial" w:hAnsi="Arial" w:eastAsia="Arial"/>
                <w:sz w:val="24"/>
                <w:szCs w:val="24"/>
              </w:rPr>
              <w:t>0.86</w:t>
            </w:r>
          </w:p>
        </w:tc>
      </w:tr>
    </w:tbl>
    <w:p w14:paraId="060EF1E9">
      <w:pPr>
        <w:pStyle w:val="4"/>
        <w:spacing w:line="360" w:lineRule="auto"/>
        <w:rPr>
          <w:rFonts w:ascii="Arial" w:hAnsi="Arial" w:eastAsia="Arial"/>
          <w:sz w:val="24"/>
          <w:szCs w:val="24"/>
        </w:rPr>
      </w:pPr>
    </w:p>
    <w:tbl>
      <w:tblPr>
        <w:tblStyle w:val="8"/>
        <w:tblW w:w="5000" w:type="pct"/>
        <w:tblInd w:w="-5" w:type="dxa"/>
        <w:tblLayout w:type="fixed"/>
        <w:tblCellMar>
          <w:top w:w="55" w:type="dxa"/>
          <w:left w:w="55" w:type="dxa"/>
          <w:bottom w:w="55" w:type="dxa"/>
          <w:right w:w="55" w:type="dxa"/>
        </w:tblCellMar>
      </w:tblPr>
      <w:tblGrid>
        <w:gridCol w:w="5040"/>
        <w:gridCol w:w="5042"/>
      </w:tblGrid>
      <w:tr w14:paraId="70C478F0">
        <w:tblPrEx>
          <w:tblCellMar>
            <w:top w:w="55" w:type="dxa"/>
            <w:left w:w="55" w:type="dxa"/>
            <w:bottom w:w="55" w:type="dxa"/>
            <w:right w:w="55" w:type="dxa"/>
          </w:tblCellMar>
        </w:tblPrEx>
        <w:trPr>
          <w:tblHeader/>
        </w:trPr>
        <w:tc>
          <w:tcPr>
            <w:tcW w:w="4985" w:type="dxa"/>
            <w:tcBorders>
              <w:top w:val="single" w:color="000000" w:sz="4" w:space="0"/>
              <w:left w:val="single" w:color="000000" w:sz="4" w:space="0"/>
              <w:bottom w:val="single" w:color="000000" w:sz="4" w:space="0"/>
            </w:tcBorders>
          </w:tcPr>
          <w:p w14:paraId="6BCCE3AA">
            <w:pPr>
              <w:pStyle w:val="23"/>
              <w:spacing w:line="360" w:lineRule="auto"/>
              <w:jc w:val="left"/>
              <w:rPr>
                <w:rFonts w:ascii="Arial" w:hAnsi="Arial" w:eastAsia="Arial"/>
                <w:sz w:val="24"/>
                <w:szCs w:val="24"/>
              </w:rPr>
            </w:pPr>
            <w:r>
              <w:rPr>
                <w:rFonts w:ascii="Arial" w:hAnsi="Arial" w:eastAsia="Arial"/>
                <w:sz w:val="24"/>
                <w:szCs w:val="24"/>
              </w:rPr>
              <w:t>Technique</w:t>
            </w:r>
          </w:p>
        </w:tc>
        <w:tc>
          <w:tcPr>
            <w:tcW w:w="4987" w:type="dxa"/>
            <w:tcBorders>
              <w:top w:val="single" w:color="000000" w:sz="4" w:space="0"/>
              <w:left w:val="single" w:color="000000" w:sz="4" w:space="0"/>
              <w:bottom w:val="single" w:color="000000" w:sz="4" w:space="0"/>
              <w:right w:val="single" w:color="000000" w:sz="4" w:space="0"/>
            </w:tcBorders>
          </w:tcPr>
          <w:p w14:paraId="132FEAB9">
            <w:pPr>
              <w:pStyle w:val="23"/>
              <w:spacing w:line="360" w:lineRule="auto"/>
              <w:jc w:val="left"/>
              <w:rPr>
                <w:rFonts w:ascii="Arial" w:hAnsi="Arial" w:eastAsia="Arial"/>
                <w:sz w:val="24"/>
                <w:szCs w:val="24"/>
              </w:rPr>
            </w:pPr>
            <w:r>
              <w:rPr>
                <w:rFonts w:ascii="Arial" w:hAnsi="Arial" w:eastAsia="Arial"/>
                <w:sz w:val="24"/>
                <w:szCs w:val="24"/>
              </w:rPr>
              <w:t>Result</w:t>
            </w:r>
          </w:p>
        </w:tc>
      </w:tr>
      <w:tr w14:paraId="5606C105">
        <w:tblPrEx>
          <w:tblCellMar>
            <w:top w:w="55" w:type="dxa"/>
            <w:left w:w="55" w:type="dxa"/>
            <w:bottom w:w="55" w:type="dxa"/>
            <w:right w:w="55" w:type="dxa"/>
          </w:tblCellMar>
        </w:tblPrEx>
        <w:tc>
          <w:tcPr>
            <w:tcW w:w="4985" w:type="dxa"/>
            <w:tcBorders>
              <w:left w:val="single" w:color="000000" w:sz="4" w:space="0"/>
              <w:bottom w:val="single" w:color="000000" w:sz="4" w:space="0"/>
            </w:tcBorders>
          </w:tcPr>
          <w:p w14:paraId="5BB3DD7A">
            <w:pPr>
              <w:pStyle w:val="22"/>
              <w:spacing w:line="360" w:lineRule="auto"/>
              <w:rPr>
                <w:rFonts w:ascii="Arial" w:hAnsi="Arial" w:eastAsia="Arial"/>
                <w:sz w:val="24"/>
                <w:szCs w:val="24"/>
              </w:rPr>
            </w:pPr>
            <w:r>
              <w:rPr>
                <w:rFonts w:ascii="Arial" w:hAnsi="Arial" w:eastAsia="Arial"/>
                <w:sz w:val="24"/>
                <w:szCs w:val="24"/>
              </w:rPr>
              <w:t>Payback Period</w:t>
            </w:r>
          </w:p>
        </w:tc>
        <w:tc>
          <w:tcPr>
            <w:tcW w:w="4987" w:type="dxa"/>
            <w:tcBorders>
              <w:left w:val="single" w:color="000000" w:sz="4" w:space="0"/>
              <w:bottom w:val="single" w:color="000000" w:sz="4" w:space="0"/>
              <w:right w:val="single" w:color="000000" w:sz="4" w:space="0"/>
            </w:tcBorders>
          </w:tcPr>
          <w:p w14:paraId="6D5FC1A3">
            <w:pPr>
              <w:pStyle w:val="22"/>
              <w:spacing w:line="360" w:lineRule="auto"/>
              <w:rPr>
                <w:rFonts w:ascii="Arial" w:hAnsi="Arial" w:eastAsia="Arial"/>
                <w:sz w:val="24"/>
                <w:szCs w:val="24"/>
              </w:rPr>
            </w:pPr>
            <w:r>
              <w:rPr>
                <w:rFonts w:ascii="Arial" w:hAnsi="Arial" w:eastAsia="Arial"/>
                <w:sz w:val="24"/>
                <w:szCs w:val="24"/>
              </w:rPr>
              <w:t>3.60 Years</w:t>
            </w:r>
          </w:p>
        </w:tc>
      </w:tr>
      <w:tr w14:paraId="4A373E91">
        <w:tblPrEx>
          <w:tblCellMar>
            <w:top w:w="55" w:type="dxa"/>
            <w:left w:w="55" w:type="dxa"/>
            <w:bottom w:w="55" w:type="dxa"/>
            <w:right w:w="55" w:type="dxa"/>
          </w:tblCellMar>
        </w:tblPrEx>
        <w:tc>
          <w:tcPr>
            <w:tcW w:w="4985" w:type="dxa"/>
            <w:tcBorders>
              <w:left w:val="single" w:color="000000" w:sz="4" w:space="0"/>
              <w:bottom w:val="single" w:color="000000" w:sz="4" w:space="0"/>
            </w:tcBorders>
          </w:tcPr>
          <w:p w14:paraId="3151E4D6">
            <w:pPr>
              <w:pStyle w:val="22"/>
              <w:spacing w:line="360" w:lineRule="auto"/>
              <w:rPr>
                <w:rFonts w:ascii="Arial" w:hAnsi="Arial" w:eastAsia="Arial"/>
                <w:sz w:val="24"/>
                <w:szCs w:val="24"/>
              </w:rPr>
            </w:pPr>
            <w:r>
              <w:rPr>
                <w:rFonts w:ascii="Arial" w:hAnsi="Arial" w:eastAsia="Arial"/>
                <w:sz w:val="24"/>
                <w:szCs w:val="24"/>
              </w:rPr>
              <w:t>ARR</w:t>
            </w:r>
          </w:p>
        </w:tc>
        <w:tc>
          <w:tcPr>
            <w:tcW w:w="4987" w:type="dxa"/>
            <w:tcBorders>
              <w:left w:val="single" w:color="000000" w:sz="4" w:space="0"/>
              <w:bottom w:val="single" w:color="000000" w:sz="4" w:space="0"/>
              <w:right w:val="single" w:color="000000" w:sz="4" w:space="0"/>
            </w:tcBorders>
          </w:tcPr>
          <w:p w14:paraId="4626743D">
            <w:pPr>
              <w:pStyle w:val="22"/>
              <w:spacing w:line="360" w:lineRule="auto"/>
              <w:rPr>
                <w:rFonts w:ascii="Arial" w:hAnsi="Arial" w:eastAsia="Arial"/>
                <w:sz w:val="24"/>
                <w:szCs w:val="24"/>
              </w:rPr>
            </w:pPr>
            <w:r>
              <w:rPr>
                <w:rFonts w:ascii="Arial" w:hAnsi="Arial" w:eastAsia="Arial"/>
                <w:sz w:val="24"/>
                <w:szCs w:val="24"/>
              </w:rPr>
              <w:t>12.0%</w:t>
            </w:r>
          </w:p>
        </w:tc>
      </w:tr>
      <w:tr w14:paraId="43D6502F">
        <w:tblPrEx>
          <w:tblCellMar>
            <w:top w:w="55" w:type="dxa"/>
            <w:left w:w="55" w:type="dxa"/>
            <w:bottom w:w="55" w:type="dxa"/>
            <w:right w:w="55" w:type="dxa"/>
          </w:tblCellMar>
        </w:tblPrEx>
        <w:tc>
          <w:tcPr>
            <w:tcW w:w="4985" w:type="dxa"/>
            <w:tcBorders>
              <w:left w:val="single" w:color="000000" w:sz="4" w:space="0"/>
              <w:bottom w:val="single" w:color="000000" w:sz="4" w:space="0"/>
            </w:tcBorders>
          </w:tcPr>
          <w:p w14:paraId="4AA90E26">
            <w:pPr>
              <w:pStyle w:val="22"/>
              <w:spacing w:line="360" w:lineRule="auto"/>
              <w:rPr>
                <w:rFonts w:ascii="Arial" w:hAnsi="Arial" w:eastAsia="Arial"/>
                <w:sz w:val="24"/>
                <w:szCs w:val="24"/>
              </w:rPr>
            </w:pPr>
            <w:r>
              <w:rPr>
                <w:rFonts w:ascii="Arial" w:hAnsi="Arial" w:eastAsia="Arial"/>
                <w:sz w:val="24"/>
                <w:szCs w:val="24"/>
              </w:rPr>
              <w:t>NPV</w:t>
            </w:r>
          </w:p>
        </w:tc>
        <w:tc>
          <w:tcPr>
            <w:tcW w:w="4987" w:type="dxa"/>
            <w:tcBorders>
              <w:left w:val="single" w:color="000000" w:sz="4" w:space="0"/>
              <w:bottom w:val="single" w:color="000000" w:sz="4" w:space="0"/>
              <w:right w:val="single" w:color="000000" w:sz="4" w:space="0"/>
            </w:tcBorders>
          </w:tcPr>
          <w:p w14:paraId="74E56C21">
            <w:pPr>
              <w:pStyle w:val="22"/>
              <w:spacing w:line="360" w:lineRule="auto"/>
              <w:rPr>
                <w:rFonts w:ascii="Arial" w:hAnsi="Arial" w:eastAsia="Arial"/>
                <w:sz w:val="24"/>
                <w:szCs w:val="24"/>
              </w:rPr>
            </w:pPr>
            <w:r>
              <w:rPr>
                <w:rFonts w:ascii="Arial" w:hAnsi="Arial" w:eastAsia="Arial"/>
                <w:sz w:val="24"/>
                <w:szCs w:val="24"/>
              </w:rPr>
              <w:t>£0.86m</w:t>
            </w:r>
          </w:p>
        </w:tc>
      </w:tr>
      <w:tr w14:paraId="52FD2B5C">
        <w:tblPrEx>
          <w:tblCellMar>
            <w:top w:w="55" w:type="dxa"/>
            <w:left w:w="55" w:type="dxa"/>
            <w:bottom w:w="55" w:type="dxa"/>
            <w:right w:w="55" w:type="dxa"/>
          </w:tblCellMar>
        </w:tblPrEx>
        <w:tc>
          <w:tcPr>
            <w:tcW w:w="4985" w:type="dxa"/>
            <w:tcBorders>
              <w:left w:val="single" w:color="000000" w:sz="4" w:space="0"/>
              <w:bottom w:val="single" w:color="000000" w:sz="4" w:space="0"/>
            </w:tcBorders>
          </w:tcPr>
          <w:p w14:paraId="514AE13D">
            <w:pPr>
              <w:pStyle w:val="22"/>
              <w:spacing w:line="360" w:lineRule="auto"/>
              <w:rPr>
                <w:rFonts w:ascii="Arial" w:hAnsi="Arial" w:eastAsia="Arial"/>
                <w:sz w:val="24"/>
                <w:szCs w:val="24"/>
              </w:rPr>
            </w:pPr>
            <w:r>
              <w:rPr>
                <w:rFonts w:ascii="Arial" w:hAnsi="Arial" w:eastAsia="Arial"/>
                <w:sz w:val="24"/>
                <w:szCs w:val="24"/>
              </w:rPr>
              <w:t>PI</w:t>
            </w:r>
          </w:p>
        </w:tc>
        <w:tc>
          <w:tcPr>
            <w:tcW w:w="4987" w:type="dxa"/>
            <w:tcBorders>
              <w:left w:val="single" w:color="000000" w:sz="4" w:space="0"/>
              <w:bottom w:val="single" w:color="000000" w:sz="4" w:space="0"/>
              <w:right w:val="single" w:color="000000" w:sz="4" w:space="0"/>
            </w:tcBorders>
          </w:tcPr>
          <w:p w14:paraId="71192F85">
            <w:pPr>
              <w:pStyle w:val="22"/>
              <w:spacing w:line="360" w:lineRule="auto"/>
              <w:rPr>
                <w:rFonts w:ascii="Arial" w:hAnsi="Arial" w:eastAsia="Arial"/>
                <w:sz w:val="24"/>
                <w:szCs w:val="24"/>
              </w:rPr>
            </w:pPr>
            <w:r>
              <w:rPr>
                <w:rFonts w:ascii="Arial" w:hAnsi="Arial" w:eastAsia="Arial"/>
                <w:sz w:val="24"/>
                <w:szCs w:val="24"/>
              </w:rPr>
              <w:t>1.017</w:t>
            </w:r>
          </w:p>
        </w:tc>
      </w:tr>
      <w:tr w14:paraId="08954566">
        <w:tblPrEx>
          <w:tblCellMar>
            <w:top w:w="55" w:type="dxa"/>
            <w:left w:w="55" w:type="dxa"/>
            <w:bottom w:w="55" w:type="dxa"/>
            <w:right w:w="55" w:type="dxa"/>
          </w:tblCellMar>
        </w:tblPrEx>
        <w:tc>
          <w:tcPr>
            <w:tcW w:w="4985" w:type="dxa"/>
            <w:tcBorders>
              <w:left w:val="single" w:color="000000" w:sz="4" w:space="0"/>
              <w:bottom w:val="single" w:color="000000" w:sz="4" w:space="0"/>
            </w:tcBorders>
          </w:tcPr>
          <w:p w14:paraId="606B66CB">
            <w:pPr>
              <w:pStyle w:val="22"/>
              <w:spacing w:line="360" w:lineRule="auto"/>
              <w:rPr>
                <w:rFonts w:ascii="Arial" w:hAnsi="Arial" w:eastAsia="Arial"/>
                <w:sz w:val="24"/>
                <w:szCs w:val="24"/>
              </w:rPr>
            </w:pPr>
            <w:r>
              <w:rPr>
                <w:rFonts w:ascii="Arial" w:hAnsi="Arial" w:eastAsia="Arial"/>
                <w:sz w:val="24"/>
                <w:szCs w:val="24"/>
              </w:rPr>
              <w:t>IRR</w:t>
            </w:r>
          </w:p>
        </w:tc>
        <w:tc>
          <w:tcPr>
            <w:tcW w:w="4987" w:type="dxa"/>
            <w:tcBorders>
              <w:left w:val="single" w:color="000000" w:sz="4" w:space="0"/>
              <w:bottom w:val="single" w:color="000000" w:sz="4" w:space="0"/>
              <w:right w:val="single" w:color="000000" w:sz="4" w:space="0"/>
            </w:tcBorders>
          </w:tcPr>
          <w:p w14:paraId="3AC55778">
            <w:pPr>
              <w:pStyle w:val="22"/>
              <w:spacing w:line="360" w:lineRule="auto"/>
              <w:rPr>
                <w:rFonts w:ascii="Arial" w:hAnsi="Arial" w:eastAsia="Arial"/>
                <w:sz w:val="24"/>
                <w:szCs w:val="24"/>
              </w:rPr>
            </w:pPr>
            <w:r>
              <w:rPr>
                <w:rFonts w:ascii="Arial" w:hAnsi="Arial" w:eastAsia="Arial"/>
                <w:sz w:val="24"/>
                <w:szCs w:val="24"/>
              </w:rPr>
              <w:t>8.5%</w:t>
            </w:r>
          </w:p>
        </w:tc>
      </w:tr>
    </w:tbl>
    <w:p w14:paraId="0A917AC0">
      <w:pPr>
        <w:pStyle w:val="4"/>
        <w:spacing w:line="360" w:lineRule="auto"/>
        <w:rPr>
          <w:rFonts w:ascii="Arial" w:hAnsi="Arial" w:eastAsia="Arial"/>
          <w:sz w:val="24"/>
          <w:szCs w:val="24"/>
        </w:rPr>
      </w:pPr>
    </w:p>
    <w:p w14:paraId="6CAFBBE9">
      <w:pPr>
        <w:pStyle w:val="21"/>
        <w:spacing w:line="360" w:lineRule="auto"/>
        <w:rPr>
          <w:rFonts w:ascii="Arial" w:hAnsi="Arial" w:eastAsia="Arial"/>
          <w:sz w:val="24"/>
          <w:szCs w:val="24"/>
        </w:rPr>
      </w:pPr>
    </w:p>
    <w:p w14:paraId="4941CD49">
      <w:pPr>
        <w:pStyle w:val="6"/>
        <w:numPr>
          <w:ilvl w:val="2"/>
          <w:numId w:val="1"/>
        </w:numPr>
        <w:spacing w:line="360" w:lineRule="auto"/>
        <w:rPr>
          <w:rFonts w:ascii="Arial" w:hAnsi="Arial" w:eastAsia="Arial"/>
          <w:sz w:val="24"/>
          <w:szCs w:val="24"/>
        </w:rPr>
      </w:pPr>
      <w:r>
        <w:rPr>
          <w:rFonts w:ascii="Arial" w:hAnsi="Arial" w:eastAsia="Arial"/>
          <w:sz w:val="24"/>
          <w:szCs w:val="24"/>
        </w:rPr>
        <w:t>Appendix C: Calculation Excel</w:t>
      </w:r>
    </w:p>
    <w:p w14:paraId="782DDDC6">
      <w:pPr>
        <w:pStyle w:val="4"/>
        <w:spacing w:line="360" w:lineRule="auto"/>
        <w:rPr>
          <w:rFonts w:ascii="Arial" w:hAnsi="Arial" w:eastAsia="Arial"/>
          <w:sz w:val="24"/>
          <w:szCs w:val="24"/>
        </w:rPr>
      </w:pPr>
      <w:r>
        <w:rPr>
          <w:rFonts w:ascii="Arial" w:hAnsi="Arial" w:eastAsia="Arial"/>
          <w:i/>
          <w:sz w:val="24"/>
          <w:szCs w:val="24"/>
        </w:rPr>
        <w:t>(A screenshot of the Excel calculations would be placed here in the actual document)</w:t>
      </w:r>
    </w:p>
    <w:p w14:paraId="5647A6F0">
      <w:pPr>
        <w:pStyle w:val="4"/>
        <w:spacing w:line="360" w:lineRule="auto"/>
        <w:rPr>
          <w:rFonts w:ascii="Arial" w:hAnsi="Arial" w:eastAsia="Arial"/>
          <w:sz w:val="24"/>
          <w:szCs w:val="24"/>
        </w:rPr>
      </w:pPr>
      <w:r>
        <w:rPr>
          <w:rFonts w:ascii="Arial" w:hAnsi="Arial" w:eastAsia="Arial"/>
          <w:sz w:val="24"/>
          <w:szCs w:val="24"/>
        </w:rPr>
        <w:t>The Excel file includes detailed calculations for all ratio analyses, cash operating cycle, and investment appraisal techniques, ensuring the accuracy and verifiability of all reported figures.</w:t>
      </w:r>
    </w:p>
    <w:p w14:paraId="1D592F4A">
      <w:pPr>
        <w:pStyle w:val="4"/>
        <w:spacing w:before="0" w:after="140" w:line="360" w:lineRule="auto"/>
        <w:rPr>
          <w:rFonts w:ascii="Arial" w:hAnsi="Arial" w:eastAsia="Arial"/>
          <w:sz w:val="24"/>
          <w:szCs w:val="24"/>
        </w:rPr>
      </w:pPr>
    </w:p>
    <w:sectPr>
      <w:footerReference r:id="rId6" w:type="first"/>
      <w:footerReference r:id="rId4" w:type="default"/>
      <w:footerReference r:id="rId5" w:type="even"/>
      <w:pgSz w:w="12240" w:h="15840"/>
      <w:pgMar w:top="1134" w:right="1134" w:bottom="1134" w:left="1134" w:header="0" w:footer="0" w:gutter="0"/>
      <w:pgBorders w:offsetFrom="page">
        <w:top w:val="single" w:color="000000" w:sz="8" w:space="24"/>
        <w:left w:val="single" w:color="000000" w:sz="8" w:space="24"/>
        <w:bottom w:val="single" w:color="000000" w:sz="8" w:space="24"/>
        <w:right w:val="single" w:color="000000" w:sz="8" w:space="24"/>
      </w:pgBorders>
      <w:pgNumType w:fmt="decimal"/>
      <w:cols w:space="720" w:num="1"/>
      <w:formProt w:val="0"/>
      <w:docGrid w:linePitch="10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Liberation Serif">
    <w:altName w:val="Times New Roman"/>
    <w:panose1 w:val="00000000000000000000"/>
    <w:charset w:val="00"/>
    <w:family w:val="roman"/>
    <w:pitch w:val="default"/>
    <w:sig w:usb0="00000000" w:usb1="00000000" w:usb2="00000000" w:usb3="00000000" w:csb0="00000000" w:csb1="00000000"/>
  </w:font>
  <w:font w:name="NSimSun">
    <w:panose1 w:val="02010609030101010101"/>
    <w:charset w:val="86"/>
    <w:family w:val="auto"/>
    <w:pitch w:val="default"/>
    <w:sig w:usb0="00000203" w:usb1="288F0000" w:usb2="00000006" w:usb3="00000000" w:csb0="00040001" w:csb1="00000000"/>
  </w:font>
  <w:font w:name="Mangal">
    <w:altName w:val="Segoe Print"/>
    <w:panose1 w:val="00000000000000000000"/>
    <w:charset w:val="00"/>
    <w:family w:val="auto"/>
    <w:pitch w:val="default"/>
    <w:sig w:usb0="00000000" w:usb1="00000000" w:usb2="00000000" w:usb3="00000000" w:csb0="00000000" w:csb1="00000000"/>
  </w:font>
  <w:font w:name="OpenSymbol">
    <w:altName w:val="Arial Unicode MS"/>
    <w:panose1 w:val="00000000000000000000"/>
    <w:charset w:val="02"/>
    <w:family w:val="roman"/>
    <w:pitch w:val="default"/>
    <w:sig w:usb0="00000000" w:usb1="00000000" w:usb2="00000000" w:usb3="00000000" w:csb0="00000000" w:csb1="00000000"/>
  </w:font>
  <w:font w:name="Arial Unicode MS">
    <w:panose1 w:val="020B0604020202020204"/>
    <w:charset w:val="86"/>
    <w:family w:val="auto"/>
    <w:pitch w:val="default"/>
    <w:sig w:usb0="FFFFFFFF" w:usb1="E9FFFFFF" w:usb2="0000003F" w:usb3="00000000" w:csb0="603F01FF" w:csb1="FFFF0000"/>
  </w:font>
  <w:font w:name="Liberation Sans">
    <w:altName w:val="Arial"/>
    <w:panose1 w:val="00000000000000000000"/>
    <w:charset w:val="00"/>
    <w:family w:val="swiss"/>
    <w:pitch w:val="default"/>
    <w:sig w:usb0="00000000" w:usb1="00000000" w:usb2="00000000" w:usb3="00000000" w:csb0="00000000" w:csb1="00000000"/>
  </w:font>
  <w:font w:name="Microsoft YaHei">
    <w:panose1 w:val="020B0503020204020204"/>
    <w:charset w:val="86"/>
    <w:family w:val="auto"/>
    <w:pitch w:val="default"/>
    <w:sig w:usb0="80000287" w:usb1="2ACF3C50" w:usb2="00000016" w:usb3="00000000" w:csb0="0004001F" w:csb1="00000000"/>
  </w:font>
  <w:font w:name="Courier New">
    <w:panose1 w:val="02070309020205020404"/>
    <w:charset w:val="01"/>
    <w:family w:val="modern"/>
    <w:pitch w:val="default"/>
    <w:sig w:usb0="E0002EFF" w:usb1="C0007843" w:usb2="00000009" w:usb3="00000000" w:csb0="400001FF" w:csb1="FFFF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70432808"/>
      <w:docPartObj>
        <w:docPartGallery w:val="AutoText"/>
      </w:docPartObj>
    </w:sdtPr>
    <w:sdtContent>
      <w:p w14:paraId="5AF47CAC">
        <w:pPr>
          <w:pStyle w:val="11"/>
          <w:pBdr>
            <w:top w:val="single" w:color="D8D8D8" w:themeColor="light1" w:themeShade="D9" w:sz="4" w:space="1"/>
          </w:pBdr>
          <w:rPr>
            <w:rFonts w:hint="eastAsia"/>
            <w:b/>
            <w:bCs/>
          </w:rPr>
        </w:pPr>
        <w:r>
          <w:fldChar w:fldCharType="begin"/>
        </w:r>
        <w:r>
          <w:instrText xml:space="preserve"> PAGE </w:instrText>
        </w:r>
        <w:r>
          <w:fldChar w:fldCharType="separate"/>
        </w:r>
        <w:r>
          <w:t>25</w:t>
        </w:r>
        <w:r>
          <w:fldChar w:fldCharType="end"/>
        </w:r>
        <w:r>
          <w:rPr>
            <w:b/>
            <w:bCs/>
          </w:rPr>
          <w:t xml:space="preserve"> | </w:t>
        </w:r>
        <w:r>
          <w:rPr>
            <w:color w:val="808080" w:themeColor="background1" w:themeShade="80"/>
            <w:spacing w:val="60"/>
          </w:rPr>
          <w:t>Page</w:t>
        </w:r>
      </w:p>
    </w:sdtContent>
  </w:sdt>
  <w:p w14:paraId="14870B6F">
    <w:pPr>
      <w:pStyle w:val="11"/>
      <w:rPr>
        <w:rFonts w:hint="eastAsia"/>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38751D25">
    <w:pPr>
      <w:pStyle w:val="11"/>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47477486"/>
      <w:docPartObj>
        <w:docPartGallery w:val="AutoText"/>
      </w:docPartObj>
    </w:sdtPr>
    <w:sdtContent>
      <w:p w14:paraId="75C31333">
        <w:pPr>
          <w:pStyle w:val="11"/>
          <w:pBdr>
            <w:top w:val="single" w:color="D8D8D8" w:themeColor="light1" w:themeShade="D9" w:sz="4" w:space="1"/>
          </w:pBdr>
          <w:rPr>
            <w:rFonts w:hint="eastAsia"/>
            <w:b/>
            <w:bCs/>
          </w:rPr>
        </w:pPr>
        <w:r>
          <w:fldChar w:fldCharType="begin"/>
        </w:r>
        <w:r>
          <w:instrText xml:space="preserve"> PAGE </w:instrText>
        </w:r>
        <w:r>
          <w:fldChar w:fldCharType="separate"/>
        </w:r>
        <w:r>
          <w:t>25</w:t>
        </w:r>
        <w:r>
          <w:fldChar w:fldCharType="end"/>
        </w:r>
        <w:r>
          <w:rPr>
            <w:b/>
            <w:bCs/>
          </w:rPr>
          <w:t xml:space="preserve"> | </w:t>
        </w:r>
        <w:r>
          <w:rPr>
            <w:color w:val="808080" w:themeColor="background1" w:themeShade="80"/>
            <w:spacing w:val="60"/>
          </w:rPr>
          <w:t>Page</w:t>
        </w:r>
      </w:p>
    </w:sdtContent>
  </w:sdt>
  <w:p w14:paraId="55C46ADC">
    <w:pPr>
      <w:pStyle w:val="11"/>
      <w:rPr>
        <w:rFonts w:hint="eastAsia"/>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5="http://schemas.microsoft.com/office/word/2012/wordml" xmlns:w10="urn:schemas-microsoft-com:office:word"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footnote w:type="separator" w:id="0">
    <w:p>
      <w:pPr>
        <w:spacing w:before="0" w:after="0"/>
      </w:pPr>
      <w:r>
        <w:separator/>
      </w:r>
    </w:p>
  </w:footnote>
  <w:footnote w:type="continuationSeparator" w:id="1">
    <w:p>
      <w:pPr>
        <w:spacing w:before="0" w:after="0"/>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CF092B84"/>
    <w:multiLevelType w:val="multilevel"/>
    <w:tmpl w:val="CF092B84"/>
    <w:lvl w:ilvl="0" w:tentative="0">
      <w:start w:val="1"/>
      <w:numFmt w:val="decimal"/>
      <w:lvlText w:val="%1."/>
      <w:lvlJc w:val="left"/>
      <w:pPr>
        <w:tabs>
          <w:tab w:val="left" w:pos="720"/>
        </w:tabs>
        <w:ind w:left="720" w:hanging="360"/>
      </w:pPr>
    </w:lvl>
    <w:lvl w:ilvl="1" w:tentative="0">
      <w:start w:val="1"/>
      <w:numFmt w:val="bullet"/>
      <w:lvlText w:val="o"/>
      <w:lvlJc w:val="left"/>
      <w:pPr>
        <w:tabs>
          <w:tab w:val="left" w:pos="1440"/>
        </w:tabs>
        <w:ind w:left="1440" w:hanging="360"/>
      </w:pPr>
      <w:rPr>
        <w:rFonts w:hint="default" w:ascii="Courier New" w:hAnsi="Courier New" w:cs="Courier New"/>
        <w:sz w:val="20"/>
      </w:rPr>
    </w:lvl>
    <w:lvl w:ilvl="2" w:tentative="0">
      <w:start w:val="1"/>
      <w:numFmt w:val="bullet"/>
      <w:lvlText w:val=""/>
      <w:lvlJc w:val="left"/>
      <w:pPr>
        <w:tabs>
          <w:tab w:val="left" w:pos="2160"/>
        </w:tabs>
        <w:ind w:left="2160" w:hanging="360"/>
      </w:pPr>
      <w:rPr>
        <w:rFonts w:hint="default" w:ascii="Wingdings" w:hAnsi="Wingdings" w:cs="Wingdings"/>
        <w:sz w:val="20"/>
      </w:rPr>
    </w:lvl>
    <w:lvl w:ilvl="3" w:tentative="0">
      <w:start w:val="1"/>
      <w:numFmt w:val="decimal"/>
      <w:lvlText w:val="%4."/>
      <w:lvlJc w:val="left"/>
      <w:pPr>
        <w:tabs>
          <w:tab w:val="left" w:pos="2880"/>
        </w:tabs>
        <w:ind w:left="2880" w:hanging="360"/>
      </w:pPr>
    </w:lvl>
    <w:lvl w:ilvl="4" w:tentative="0">
      <w:start w:val="1"/>
      <w:numFmt w:val="decimal"/>
      <w:lvlText w:val="%5."/>
      <w:lvlJc w:val="left"/>
      <w:pPr>
        <w:tabs>
          <w:tab w:val="left" w:pos="3600"/>
        </w:tabs>
        <w:ind w:left="3600" w:hanging="360"/>
      </w:pPr>
    </w:lvl>
    <w:lvl w:ilvl="5" w:tentative="0">
      <w:start w:val="1"/>
      <w:numFmt w:val="decimal"/>
      <w:lvlText w:val="%6."/>
      <w:lvlJc w:val="left"/>
      <w:pPr>
        <w:tabs>
          <w:tab w:val="left" w:pos="4320"/>
        </w:tabs>
        <w:ind w:left="4320" w:hanging="360"/>
      </w:pPr>
    </w:lvl>
    <w:lvl w:ilvl="6" w:tentative="0">
      <w:start w:val="1"/>
      <w:numFmt w:val="decimal"/>
      <w:lvlText w:val="%7."/>
      <w:lvlJc w:val="left"/>
      <w:pPr>
        <w:tabs>
          <w:tab w:val="left" w:pos="5040"/>
        </w:tabs>
        <w:ind w:left="5040" w:hanging="360"/>
      </w:pPr>
    </w:lvl>
    <w:lvl w:ilvl="7" w:tentative="0">
      <w:start w:val="1"/>
      <w:numFmt w:val="decimal"/>
      <w:lvlText w:val="%8."/>
      <w:lvlJc w:val="left"/>
      <w:pPr>
        <w:tabs>
          <w:tab w:val="left" w:pos="5760"/>
        </w:tabs>
        <w:ind w:left="5760" w:hanging="360"/>
      </w:pPr>
    </w:lvl>
    <w:lvl w:ilvl="8" w:tentative="0">
      <w:start w:val="1"/>
      <w:numFmt w:val="decimal"/>
      <w:lvlText w:val="%9."/>
      <w:lvlJc w:val="left"/>
      <w:pPr>
        <w:tabs>
          <w:tab w:val="left" w:pos="6480"/>
        </w:tabs>
        <w:ind w:left="6480" w:hanging="360"/>
      </w:pPr>
    </w:lvl>
  </w:abstractNum>
  <w:abstractNum w:abstractNumId="1">
    <w:nsid w:val="0053208E"/>
    <w:multiLevelType w:val="multilevel"/>
    <w:tmpl w:val="0053208E"/>
    <w:lvl w:ilvl="0" w:tentative="0">
      <w:start w:val="1"/>
      <w:numFmt w:val="none"/>
      <w:pStyle w:val="2"/>
      <w:suff w:val="nothing"/>
      <w:lvlText w:val=""/>
      <w:lvlJc w:val="left"/>
      <w:pPr>
        <w:tabs>
          <w:tab w:val="left" w:pos="0"/>
        </w:tabs>
        <w:ind w:left="0" w:firstLine="0"/>
      </w:pPr>
    </w:lvl>
    <w:lvl w:ilvl="1" w:tentative="0">
      <w:start w:val="1"/>
      <w:numFmt w:val="none"/>
      <w:pStyle w:val="5"/>
      <w:suff w:val="nothing"/>
      <w:lvlText w:val=""/>
      <w:lvlJc w:val="left"/>
      <w:pPr>
        <w:tabs>
          <w:tab w:val="left" w:pos="0"/>
        </w:tabs>
        <w:ind w:left="0" w:firstLine="0"/>
      </w:pPr>
    </w:lvl>
    <w:lvl w:ilvl="2" w:tentative="0">
      <w:start w:val="1"/>
      <w:numFmt w:val="none"/>
      <w:pStyle w:val="6"/>
      <w:suff w:val="nothing"/>
      <w:lvlText w:val=""/>
      <w:lvlJc w:val="left"/>
      <w:pPr>
        <w:tabs>
          <w:tab w:val="left" w:pos="0"/>
        </w:tabs>
        <w:ind w:left="0" w:firstLine="0"/>
      </w:pPr>
    </w:lvl>
    <w:lvl w:ilvl="3" w:tentative="0">
      <w:start w:val="1"/>
      <w:numFmt w:val="none"/>
      <w:suff w:val="nothing"/>
      <w:lvlText w:val=""/>
      <w:lvlJc w:val="left"/>
      <w:pPr>
        <w:tabs>
          <w:tab w:val="left" w:pos="0"/>
        </w:tabs>
        <w:ind w:left="0" w:firstLine="0"/>
      </w:pPr>
    </w:lvl>
    <w:lvl w:ilvl="4" w:tentative="0">
      <w:start w:val="1"/>
      <w:numFmt w:val="none"/>
      <w:suff w:val="nothing"/>
      <w:lvlText w:val=""/>
      <w:lvlJc w:val="left"/>
      <w:pPr>
        <w:tabs>
          <w:tab w:val="left" w:pos="0"/>
        </w:tabs>
        <w:ind w:left="0" w:firstLine="0"/>
      </w:pPr>
    </w:lvl>
    <w:lvl w:ilvl="5" w:tentative="0">
      <w:start w:val="1"/>
      <w:numFmt w:val="none"/>
      <w:suff w:val="nothing"/>
      <w:lvlText w:val=""/>
      <w:lvlJc w:val="left"/>
      <w:pPr>
        <w:tabs>
          <w:tab w:val="left" w:pos="0"/>
        </w:tabs>
        <w:ind w:left="0" w:firstLine="0"/>
      </w:pPr>
    </w:lvl>
    <w:lvl w:ilvl="6" w:tentative="0">
      <w:start w:val="1"/>
      <w:numFmt w:val="none"/>
      <w:suff w:val="nothing"/>
      <w:lvlText w:val=""/>
      <w:lvlJc w:val="left"/>
      <w:pPr>
        <w:tabs>
          <w:tab w:val="left" w:pos="0"/>
        </w:tabs>
        <w:ind w:left="0" w:firstLine="0"/>
      </w:pPr>
    </w:lvl>
    <w:lvl w:ilvl="7" w:tentative="0">
      <w:start w:val="1"/>
      <w:numFmt w:val="none"/>
      <w:suff w:val="nothing"/>
      <w:lvlText w:val=""/>
      <w:lvlJc w:val="left"/>
      <w:pPr>
        <w:tabs>
          <w:tab w:val="left" w:pos="0"/>
        </w:tabs>
        <w:ind w:left="0" w:firstLine="0"/>
      </w:pPr>
    </w:lvl>
    <w:lvl w:ilvl="8" w:tentative="0">
      <w:start w:val="1"/>
      <w:numFmt w:val="none"/>
      <w:suff w:val="nothing"/>
      <w:lvlText w:val=""/>
      <w:lvlJc w:val="left"/>
      <w:pPr>
        <w:tabs>
          <w:tab w:val="left" w:pos="0"/>
        </w:tabs>
        <w:ind w:left="0" w:firstLine="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45"/>
  <w:documentProtection w:enforcement="0"/>
  <w:defaultTabStop w:val="709"/>
  <w:autoHyphenation/>
  <w:hyphenationZone w:val="0"/>
  <w:footnotePr>
    <w:footnote w:id="0"/>
    <w:footnote w:id="1"/>
  </w:footnotePr>
  <w:compat>
    <w:adjustLineHeightInTabl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00000"/>
    <w:rsid w:val="77E96BB5"/>
  </w:rsids>
  <m:mathPr>
    <m:brkBin m:val="before"/>
    <m:brkBinSub m:val="--"/>
    <m:smallFrac m:val="0"/>
    <m:dispDef/>
    <m:lMargin m:val="0"/>
    <m:rMargin m:val="0"/>
    <m:defJc m:val="centerGroup"/>
    <m:wrapIndent m:val="1440"/>
    <m:intLim m:val="subSup"/>
    <m:naryLim m:val="undOvr"/>
  </m:mathPr>
  <w:themeFontLang w:val="zh-CN" w:eastAsia="zh-CN" w:bidi="zh-CN"/>
  <w:clrSchemeMapping w:bg1="light1" w:t1="dark1" w:bg2="light2" w:t2="dark2" w:accent1="accent1" w:accent2="accent2" w:accent3="accent3" w:accent4="accent4" w:accent5="accent5" w:accent6="accent6" w:hyperlink="hyperlink" w:followedHyperlink="followedHyperlink"/>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Liberation Serif" w:hAnsi="Liberation Serif" w:eastAsia="NSimSun" w:cs="Arial"/>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semiHidden="0" w:name="header"/>
    <w:lsdException w:uiPriority="99" w:semiHidden="0" w:name="footer"/>
    <w:lsdException w:uiPriority="99" w:name="index heading"/>
    <w:lsdException w:qFormat="1" w:unhideWhenUsed="0" w:uiPriority="0" w:semiHidden="0"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nhideWhenUsed="0" w:uiPriority="0" w:semiHidden="0"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nhideWhenUsed="0" w:uiPriority="0" w:semiHidden="0"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nhideWhenUsed="0" w:uiPriority="0" w:semiHidden="0" w:name="Hyperlink"/>
    <w:lsdException w:uiPriority="99" w:name="FollowedHyperlink"/>
    <w:lsdException w:qFormat="1" w:unhideWhenUsed="0" w:uiPriority="22" w:semiHidden="0" w:name="Strong"/>
    <w:lsdException w:qFormat="1" w:unhideWhenUsed="0" w:uiPriority="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suppressAutoHyphens/>
      <w:bidi w:val="0"/>
      <w:spacing w:before="0" w:after="0"/>
      <w:jc w:val="left"/>
    </w:pPr>
    <w:rPr>
      <w:rFonts w:ascii="Liberation Serif" w:hAnsi="Liberation Serif" w:eastAsia="NSimSun" w:cs="Arial"/>
      <w:color w:val="auto"/>
      <w:kern w:val="2"/>
      <w:sz w:val="24"/>
      <w:szCs w:val="24"/>
      <w:lang w:val="en-US" w:eastAsia="zh-CN" w:bidi="hi-IN"/>
    </w:rPr>
  </w:style>
  <w:style w:type="paragraph" w:styleId="2">
    <w:name w:val="heading 1"/>
    <w:basedOn w:val="3"/>
    <w:next w:val="4"/>
    <w:qFormat/>
    <w:uiPriority w:val="9"/>
    <w:pPr>
      <w:numPr>
        <w:ilvl w:val="0"/>
        <w:numId w:val="1"/>
      </w:numPr>
      <w:outlineLvl w:val="0"/>
    </w:pPr>
    <w:rPr>
      <w:b/>
      <w:bCs/>
      <w:sz w:val="36"/>
      <w:szCs w:val="36"/>
    </w:rPr>
  </w:style>
  <w:style w:type="paragraph" w:styleId="5">
    <w:name w:val="heading 2"/>
    <w:basedOn w:val="3"/>
    <w:next w:val="4"/>
    <w:unhideWhenUsed/>
    <w:qFormat/>
    <w:uiPriority w:val="9"/>
    <w:pPr>
      <w:numPr>
        <w:ilvl w:val="1"/>
        <w:numId w:val="1"/>
      </w:numPr>
      <w:spacing w:before="200" w:after="120"/>
      <w:outlineLvl w:val="1"/>
    </w:pPr>
    <w:rPr>
      <w:b/>
      <w:bCs/>
      <w:sz w:val="32"/>
      <w:szCs w:val="32"/>
    </w:rPr>
  </w:style>
  <w:style w:type="paragraph" w:styleId="6">
    <w:name w:val="heading 3"/>
    <w:basedOn w:val="3"/>
    <w:next w:val="4"/>
    <w:unhideWhenUsed/>
    <w:qFormat/>
    <w:uiPriority w:val="9"/>
    <w:pPr>
      <w:numPr>
        <w:ilvl w:val="2"/>
        <w:numId w:val="1"/>
      </w:numPr>
      <w:spacing w:before="140" w:after="120"/>
      <w:outlineLvl w:val="2"/>
    </w:pPr>
    <w:rPr>
      <w:b/>
      <w:bCs/>
    </w:rPr>
  </w:style>
  <w:style w:type="character" w:default="1" w:styleId="7">
    <w:name w:val="Default Paragraph Font"/>
    <w:semiHidden/>
    <w:unhideWhenUsed/>
    <w:qFormat/>
    <w:uiPriority w:val="1"/>
  </w:style>
  <w:style w:type="table" w:default="1" w:styleId="8">
    <w:name w:val="Normal Table"/>
    <w:semiHidden/>
    <w:unhideWhenUsed/>
    <w:uiPriority w:val="99"/>
    <w:tblPr>
      <w:tblCellMar>
        <w:top w:w="0" w:type="dxa"/>
        <w:left w:w="108" w:type="dxa"/>
        <w:bottom w:w="0" w:type="dxa"/>
        <w:right w:w="108" w:type="dxa"/>
      </w:tblCellMar>
    </w:tblPr>
  </w:style>
  <w:style w:type="paragraph" w:customStyle="1" w:styleId="3">
    <w:name w:val="Heading"/>
    <w:basedOn w:val="1"/>
    <w:next w:val="4"/>
    <w:qFormat/>
    <w:uiPriority w:val="0"/>
    <w:pPr>
      <w:keepNext/>
      <w:spacing w:before="240" w:after="120"/>
    </w:pPr>
    <w:rPr>
      <w:rFonts w:ascii="Liberation Sans" w:hAnsi="Liberation Sans" w:eastAsia="Microsoft YaHei"/>
      <w:sz w:val="28"/>
      <w:szCs w:val="28"/>
    </w:rPr>
  </w:style>
  <w:style w:type="paragraph" w:styleId="4">
    <w:name w:val="Body Text"/>
    <w:basedOn w:val="1"/>
    <w:uiPriority w:val="0"/>
    <w:pPr>
      <w:spacing w:before="0" w:after="140" w:line="276" w:lineRule="auto"/>
    </w:pPr>
  </w:style>
  <w:style w:type="paragraph" w:styleId="9">
    <w:name w:val="caption"/>
    <w:basedOn w:val="1"/>
    <w:qFormat/>
    <w:uiPriority w:val="0"/>
    <w:pPr>
      <w:suppressLineNumbers/>
      <w:spacing w:before="120" w:after="120"/>
    </w:pPr>
    <w:rPr>
      <w:i/>
      <w:iCs/>
    </w:rPr>
  </w:style>
  <w:style w:type="character" w:styleId="10">
    <w:name w:val="Emphasis"/>
    <w:qFormat/>
    <w:uiPriority w:val="0"/>
    <w:rPr>
      <w:i/>
      <w:iCs/>
    </w:rPr>
  </w:style>
  <w:style w:type="paragraph" w:styleId="11">
    <w:name w:val="footer"/>
    <w:basedOn w:val="1"/>
    <w:link w:val="17"/>
    <w:unhideWhenUsed/>
    <w:uiPriority w:val="99"/>
    <w:pPr>
      <w:tabs>
        <w:tab w:val="center" w:pos="4513"/>
        <w:tab w:val="right" w:pos="9026"/>
      </w:tabs>
    </w:pPr>
    <w:rPr>
      <w:rFonts w:cs="Mangal"/>
      <w:szCs w:val="21"/>
    </w:rPr>
  </w:style>
  <w:style w:type="paragraph" w:styleId="12">
    <w:name w:val="header"/>
    <w:basedOn w:val="1"/>
    <w:link w:val="16"/>
    <w:unhideWhenUsed/>
    <w:uiPriority w:val="99"/>
    <w:pPr>
      <w:tabs>
        <w:tab w:val="center" w:pos="4513"/>
        <w:tab w:val="right" w:pos="9026"/>
      </w:tabs>
    </w:pPr>
    <w:rPr>
      <w:rFonts w:cs="Mangal"/>
      <w:szCs w:val="21"/>
    </w:rPr>
  </w:style>
  <w:style w:type="character" w:styleId="13">
    <w:name w:val="Hyperlink"/>
    <w:uiPriority w:val="0"/>
    <w:rPr>
      <w:color w:val="000080"/>
      <w:u w:val="single"/>
    </w:rPr>
  </w:style>
  <w:style w:type="paragraph" w:styleId="14">
    <w:name w:val="List"/>
    <w:basedOn w:val="4"/>
    <w:uiPriority w:val="0"/>
  </w:style>
  <w:style w:type="character" w:styleId="15">
    <w:name w:val="Strong"/>
    <w:qFormat/>
    <w:uiPriority w:val="22"/>
    <w:rPr>
      <w:b/>
      <w:bCs/>
    </w:rPr>
  </w:style>
  <w:style w:type="character" w:customStyle="1" w:styleId="16">
    <w:name w:val="Header Char"/>
    <w:basedOn w:val="7"/>
    <w:link w:val="12"/>
    <w:qFormat/>
    <w:uiPriority w:val="99"/>
    <w:rPr>
      <w:rFonts w:cs="Mangal"/>
      <w:szCs w:val="21"/>
    </w:rPr>
  </w:style>
  <w:style w:type="character" w:customStyle="1" w:styleId="17">
    <w:name w:val="Footer Char"/>
    <w:basedOn w:val="7"/>
    <w:link w:val="11"/>
    <w:qFormat/>
    <w:uiPriority w:val="99"/>
    <w:rPr>
      <w:rFonts w:cs="Mangal"/>
      <w:szCs w:val="21"/>
    </w:rPr>
  </w:style>
  <w:style w:type="character" w:customStyle="1" w:styleId="18">
    <w:name w:val="Numbering Symbols"/>
    <w:qFormat/>
    <w:uiPriority w:val="0"/>
  </w:style>
  <w:style w:type="character" w:customStyle="1" w:styleId="19">
    <w:name w:val="Bullets"/>
    <w:qFormat/>
    <w:uiPriority w:val="0"/>
    <w:rPr>
      <w:rFonts w:ascii="OpenSymbol" w:hAnsi="OpenSymbol" w:eastAsia="OpenSymbol" w:cs="OpenSymbol"/>
    </w:rPr>
  </w:style>
  <w:style w:type="paragraph" w:customStyle="1" w:styleId="20">
    <w:name w:val="Index"/>
    <w:basedOn w:val="1"/>
    <w:qFormat/>
    <w:uiPriority w:val="0"/>
    <w:pPr>
      <w:suppressLineNumbers/>
    </w:pPr>
  </w:style>
  <w:style w:type="paragraph" w:customStyle="1" w:styleId="21">
    <w:name w:val="Horizontal Line"/>
    <w:basedOn w:val="1"/>
    <w:next w:val="4"/>
    <w:qFormat/>
    <w:uiPriority w:val="0"/>
    <w:pPr>
      <w:suppressLineNumbers/>
      <w:pBdr>
        <w:bottom w:val="double" w:color="808080" w:sz="2" w:space="0"/>
      </w:pBdr>
      <w:spacing w:before="0" w:after="283"/>
    </w:pPr>
    <w:rPr>
      <w:sz w:val="12"/>
      <w:szCs w:val="12"/>
    </w:rPr>
  </w:style>
  <w:style w:type="paragraph" w:customStyle="1" w:styleId="22">
    <w:name w:val="Table Contents"/>
    <w:basedOn w:val="1"/>
    <w:qFormat/>
    <w:uiPriority w:val="0"/>
    <w:pPr>
      <w:widowControl w:val="0"/>
      <w:suppressLineNumbers/>
    </w:pPr>
  </w:style>
  <w:style w:type="paragraph" w:customStyle="1" w:styleId="23">
    <w:name w:val="Table Heading"/>
    <w:basedOn w:val="22"/>
    <w:qFormat/>
    <w:uiPriority w:val="0"/>
    <w:pPr>
      <w:jc w:val="center"/>
    </w:pPr>
    <w:rPr>
      <w:b/>
      <w:bCs/>
    </w:rPr>
  </w:style>
  <w:style w:type="paragraph" w:customStyle="1" w:styleId="24">
    <w:name w:val="Header and Footer"/>
    <w:basedOn w:val="1"/>
    <w:qFormat/>
    <w:uiPriority w:val="0"/>
  </w:style>
</w:styles>
</file>

<file path=word/_rels/document.xml.rels><?xml version="1.0" encoding="UTF-8" standalone="yes"?>
<Relationships xmlns="http://schemas.openxmlformats.org/package/2006/relationships"><Relationship Id="rId9" Type="http://schemas.openxmlformats.org/officeDocument/2006/relationships/numbering" Target="numbering.xml"/><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3.xml"/><Relationship Id="rId5" Type="http://schemas.openxmlformats.org/officeDocument/2006/relationships/footer" Target="footer2.xml"/><Relationship Id="rId4" Type="http://schemas.openxmlformats.org/officeDocument/2006/relationships/footer" Target="footer1.xml"/><Relationship Id="rId3" Type="http://schemas.openxmlformats.org/officeDocument/2006/relationships/footnotes" Target="footnotes.xml"/><Relationship Id="rId2" Type="http://schemas.openxmlformats.org/officeDocument/2006/relationships/settings" Target="settings.xml"/><Relationship Id="rId11" Type="http://schemas.openxmlformats.org/officeDocument/2006/relationships/fontTable" Target="fontTable.xml"/><Relationship Id="rId10" Type="http://schemas.openxmlformats.org/officeDocument/2006/relationships/customXml" Target="../customXml/item1.xml"/><Relationship Id="rId1" Type="http://schemas.openxmlformats.org/officeDocument/2006/relationships/styles" Target="styles.xml"/></Relationships>
</file>

<file path=word/theme/theme1.xml><?xml version="1.0" encoding="utf-8"?>
<a:theme xmlns:a="http://schemas.openxmlformats.org/drawingml/2006/main" name="Office">
  <a:themeElements>
    <a:clrScheme name="LibreOffice">
      <a:dk1>
        <a:srgbClr val="000000"/>
      </a:dk1>
      <a:lt1>
        <a:srgbClr val="FFFFFF"/>
      </a:lt1>
      <a:dk2>
        <a:srgbClr val="000000"/>
      </a:dk2>
      <a:lt2>
        <a:srgbClr val="FFFFFF"/>
      </a:lt2>
      <a:accent1>
        <a:srgbClr val="18A303"/>
      </a:accent1>
      <a:accent2>
        <a:srgbClr val="0369A3"/>
      </a:accent2>
      <a:accent3>
        <a:srgbClr val="A33E03"/>
      </a:accent3>
      <a:accent4>
        <a:srgbClr val="8E03A3"/>
      </a:accent4>
      <a:accent5>
        <a:srgbClr val="C99C00"/>
      </a:accent5>
      <a:accent6>
        <a:srgbClr val="C9211E"/>
      </a:accent6>
      <a:hlink>
        <a:srgbClr val="0000EE"/>
      </a:hlink>
      <a:folHlink>
        <a:srgbClr val="551A8B"/>
      </a:folHlink>
    </a:clrScheme>
    <a:fontScheme name="Office">
      <a:majorFont>
        <a:latin typeface="Arial"/>
        <a:ea typeface="DejaVu Sans"/>
        <a:cs typeface="DejaVu Sans"/>
      </a:majorFont>
      <a:minorFont>
        <a:latin typeface="Arial"/>
        <a:ea typeface="DejaVu Sans"/>
        <a:cs typeface="DejaVu Sans"/>
      </a:minorFont>
    </a:fontScheme>
    <a:fmtScheme name="">
      <a:fillStyleLst>
        <a:solidFill>
          <a:schemeClr val="phClr"/>
        </a:solidFill>
        <a:solidFill>
          <a:schemeClr val="phClr"/>
        </a:solidFill>
        <a:solidFill>
          <a:schemeClr val="phClr"/>
        </a:solidFill>
      </a:fillStyleLst>
      <a:lnStyleLst>
        <a:ln w="6350" cap="flat" cmpd="sng" algn="ctr">
          <a:prstDash val="solid"/>
          <a:miter/>
        </a:ln>
        <a:ln w="6350" cap="flat" cmpd="sng" algn="ctr">
          <a:prstDash val="solid"/>
          <a:miter/>
        </a:ln>
        <a:ln w="6350" cap="flat" cmpd="sng" algn="ctr">
          <a:prstDash val="solid"/>
          <a:miter/>
        </a:ln>
      </a:lnStyleLst>
      <a:effectStyleLst>
        <a:effectStyle>
          <a:effectLst/>
        </a:effectStyle>
        <a:effectStyle>
          <a:effectLst/>
        </a:effectStyle>
        <a:effectStyle>
          <a:effectLst/>
        </a:effectStyle>
      </a:effectStyleLst>
      <a:bgFillStyleLst>
        <a:solidFill>
          <a:schemeClr val="phClr"/>
        </a:solidFill>
        <a:solidFill>
          <a:schemeClr val="phClr"/>
        </a:solidFill>
        <a:solidFill>
          <a:schemeClr val="phClr"/>
        </a:soli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51693FA-BD38-47C1-AE13-049CD537D2C4}">
  <ds:schemaRefs/>
</ds:datastoreItem>
</file>

<file path=docProps/app.xml><?xml version="1.0" encoding="utf-8"?>
<Properties xmlns="http://schemas.openxmlformats.org/officeDocument/2006/extended-properties" xmlns:vt="http://schemas.openxmlformats.org/officeDocument/2006/docPropsVTypes">
  <Template>Normal</Template>
  <Pages>26</Pages>
  <Words>1470</Words>
  <Characters>8263</Characters>
  <Paragraphs>617</Paragraphs>
  <TotalTime>14</TotalTime>
  <ScaleCrop>false</ScaleCrop>
  <LinksUpToDate>false</LinksUpToDate>
  <CharactersWithSpaces>9718</CharactersWithSpaces>
  <Application>WPS Office_12.1.0.26880_F1E327BC-269C-435d-A152-05C5408002CA</Applicat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2026-07-19T17:39:00Z</dcterms:created>
  <dc:creator>Vedant Viralkumar Patel</dc:creator>
  <cp:lastModifiedBy>Nirmal Trivedi</cp:lastModifiedBy>
  <dcterms:modified xsi:type="dcterms:W3CDTF">2026-07-22T12:32:18Z</dcterms:modified>
  <cp:revision>9</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8ac6317b-722d-43e1-bcc0-a50a8902e147</vt:lpwstr>
  </property>
  <property fmtid="{D5CDD505-2E9C-101B-9397-08002B2CF9AE}" pid="3" name="KSOTemplateDocerSaveRecord">
    <vt:lpwstr>eyJoZGlkIjoiYTI5MWExNWMwY2FhMTlkZTJmOTdkOGUzZjUzZjBjNTEiLCJ1c2VySWQiOiI1Njc2MDc2MjgwOTIifQ==</vt:lpwstr>
  </property>
  <property fmtid="{D5CDD505-2E9C-101B-9397-08002B2CF9AE}" pid="4" name="KSOProductBuildVer">
    <vt:lpwstr>1033-12.1.0.26880</vt:lpwstr>
  </property>
  <property fmtid="{D5CDD505-2E9C-101B-9397-08002B2CF9AE}" pid="5" name="ICV">
    <vt:lpwstr>EC1B1C44A50E41CBB0280DE837B52499_12</vt:lpwstr>
  </property>
</Properties>
</file>