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C027EA" w14:textId="1EB69ED3" w:rsidR="00F63D71" w:rsidRDefault="00F63D71">
      <w:pPr>
        <w:rPr>
          <w:rFonts w:ascii="Arial" w:hAnsi="Arial" w:cs="Arial"/>
          <w:sz w:val="96"/>
          <w:szCs w:val="96"/>
        </w:rPr>
      </w:pPr>
      <w:r w:rsidRPr="00F63D71">
        <w:rPr>
          <w:rFonts w:ascii="Arial" w:hAnsi="Arial" w:cs="Arial"/>
          <w:sz w:val="96"/>
          <w:szCs w:val="96"/>
        </w:rPr>
        <w:t xml:space="preserve">REFORM OF HOMICIDE </w:t>
      </w:r>
      <w:r>
        <w:rPr>
          <w:rFonts w:ascii="Arial" w:hAnsi="Arial" w:cs="Arial"/>
          <w:sz w:val="96"/>
          <w:szCs w:val="96"/>
        </w:rPr>
        <w:t>(BMLW4005/BMPL4009)</w:t>
      </w:r>
    </w:p>
    <w:p w14:paraId="5EF7D87F" w14:textId="05E43C5E" w:rsidR="00F63D71" w:rsidRDefault="00F63D7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Assignment 1 - Criminal Law </w:t>
      </w:r>
    </w:p>
    <w:p w14:paraId="1FEC860B" w14:textId="4FDF07B2" w:rsidR="00F63D71" w:rsidRDefault="00F63D71">
      <w:pPr>
        <w:rPr>
          <w:rFonts w:ascii="Arial" w:hAnsi="Arial" w:cs="Arial"/>
          <w:sz w:val="24"/>
          <w:szCs w:val="24"/>
        </w:rPr>
      </w:pPr>
    </w:p>
    <w:p w14:paraId="3A371E3E" w14:textId="6F8FFD8C" w:rsidR="00F63D71" w:rsidRDefault="00F63D71">
      <w:pPr>
        <w:rPr>
          <w:rFonts w:ascii="Arial" w:hAnsi="Arial" w:cs="Arial"/>
          <w:sz w:val="24"/>
          <w:szCs w:val="24"/>
        </w:rPr>
      </w:pPr>
    </w:p>
    <w:p w14:paraId="01FED993" w14:textId="28ED9DAB" w:rsidR="00F63D71" w:rsidRDefault="00F63D71">
      <w:pPr>
        <w:rPr>
          <w:rFonts w:ascii="Arial" w:hAnsi="Arial" w:cs="Arial"/>
          <w:sz w:val="24"/>
          <w:szCs w:val="24"/>
        </w:rPr>
      </w:pPr>
    </w:p>
    <w:p w14:paraId="3EC6649E" w14:textId="5C0ED46B" w:rsidR="00F63D71" w:rsidRDefault="00F63D71">
      <w:pPr>
        <w:rPr>
          <w:rFonts w:ascii="Arial" w:hAnsi="Arial" w:cs="Arial"/>
          <w:sz w:val="24"/>
          <w:szCs w:val="24"/>
        </w:rPr>
      </w:pPr>
    </w:p>
    <w:p w14:paraId="3FF7F09A" w14:textId="25D614B8" w:rsidR="00F63D71" w:rsidRDefault="00F63D71">
      <w:pPr>
        <w:rPr>
          <w:rFonts w:ascii="Arial" w:hAnsi="Arial" w:cs="Arial"/>
          <w:sz w:val="24"/>
          <w:szCs w:val="24"/>
        </w:rPr>
      </w:pPr>
    </w:p>
    <w:p w14:paraId="20E5A958" w14:textId="259E47EC" w:rsidR="00F63D71" w:rsidRDefault="00F63D71">
      <w:pPr>
        <w:rPr>
          <w:rFonts w:ascii="Arial" w:hAnsi="Arial" w:cs="Arial"/>
          <w:sz w:val="24"/>
          <w:szCs w:val="24"/>
        </w:rPr>
      </w:pPr>
    </w:p>
    <w:p w14:paraId="4439EFFE" w14:textId="7DB8B325" w:rsidR="00F63D71" w:rsidRDefault="00F63D71">
      <w:pPr>
        <w:rPr>
          <w:rFonts w:ascii="Arial" w:hAnsi="Arial" w:cs="Arial"/>
          <w:sz w:val="24"/>
          <w:szCs w:val="24"/>
        </w:rPr>
      </w:pPr>
    </w:p>
    <w:p w14:paraId="31BD8469" w14:textId="4E8D6E42" w:rsidR="00F63D71" w:rsidRDefault="00F63D71">
      <w:pPr>
        <w:rPr>
          <w:rFonts w:ascii="Arial" w:hAnsi="Arial" w:cs="Arial"/>
          <w:sz w:val="24"/>
          <w:szCs w:val="24"/>
        </w:rPr>
      </w:pPr>
    </w:p>
    <w:p w14:paraId="22CBCA12" w14:textId="7F13E42F" w:rsidR="00F63D71" w:rsidRDefault="00F63D71">
      <w:pPr>
        <w:rPr>
          <w:rFonts w:ascii="Arial" w:hAnsi="Arial" w:cs="Arial"/>
          <w:sz w:val="24"/>
          <w:szCs w:val="24"/>
        </w:rPr>
      </w:pPr>
    </w:p>
    <w:p w14:paraId="3925E280" w14:textId="7D6F130D" w:rsidR="00F63D71" w:rsidRDefault="00F63D71">
      <w:pPr>
        <w:rPr>
          <w:rFonts w:ascii="Arial" w:hAnsi="Arial" w:cs="Arial"/>
          <w:sz w:val="24"/>
          <w:szCs w:val="24"/>
        </w:rPr>
      </w:pPr>
    </w:p>
    <w:p w14:paraId="293ACFA9" w14:textId="503D5CA3" w:rsidR="00F63D71" w:rsidRDefault="00F63D71">
      <w:pPr>
        <w:rPr>
          <w:rFonts w:ascii="Arial" w:hAnsi="Arial" w:cs="Arial"/>
          <w:sz w:val="24"/>
          <w:szCs w:val="24"/>
        </w:rPr>
      </w:pPr>
    </w:p>
    <w:p w14:paraId="5D17B5AD" w14:textId="71A18D3B" w:rsidR="00F63D71" w:rsidRDefault="00F63D71">
      <w:pPr>
        <w:rPr>
          <w:rFonts w:ascii="Arial" w:hAnsi="Arial" w:cs="Arial"/>
          <w:sz w:val="24"/>
          <w:szCs w:val="24"/>
        </w:rPr>
      </w:pPr>
    </w:p>
    <w:p w14:paraId="00E030DE" w14:textId="77777777" w:rsidR="00580D41" w:rsidRDefault="00580D41">
      <w:pPr>
        <w:rPr>
          <w:rFonts w:ascii="Arial" w:hAnsi="Arial" w:cs="Arial"/>
          <w:sz w:val="24"/>
          <w:szCs w:val="24"/>
        </w:rPr>
      </w:pPr>
    </w:p>
    <w:p w14:paraId="5DB3F30A" w14:textId="5B7FA1F8" w:rsidR="00F63D71" w:rsidRDefault="00F63D71">
      <w:pPr>
        <w:rPr>
          <w:rFonts w:ascii="Arial" w:hAnsi="Arial" w:cs="Arial"/>
          <w:sz w:val="24"/>
          <w:szCs w:val="24"/>
        </w:rPr>
      </w:pPr>
    </w:p>
    <w:p w14:paraId="74B1C0AB" w14:textId="77777777" w:rsidR="00ED4419" w:rsidRDefault="00ED4419" w:rsidP="00E96A6A">
      <w:pPr>
        <w:rPr>
          <w:rFonts w:ascii="Arial" w:hAnsi="Arial" w:cs="Arial"/>
          <w:sz w:val="24"/>
          <w:szCs w:val="24"/>
        </w:rPr>
      </w:pPr>
    </w:p>
    <w:p w14:paraId="4D93147A" w14:textId="77777777" w:rsidR="00ED4419" w:rsidRDefault="00ED4419" w:rsidP="00E96A6A">
      <w:pPr>
        <w:rPr>
          <w:rFonts w:ascii="Arial" w:hAnsi="Arial" w:cs="Arial"/>
          <w:sz w:val="24"/>
          <w:szCs w:val="24"/>
        </w:rPr>
      </w:pPr>
    </w:p>
    <w:p w14:paraId="7DEC6D3A" w14:textId="77777777" w:rsidR="00ED4419" w:rsidRDefault="00ED4419" w:rsidP="00E96A6A">
      <w:pPr>
        <w:rPr>
          <w:rFonts w:ascii="Arial" w:hAnsi="Arial" w:cs="Arial"/>
          <w:sz w:val="24"/>
          <w:szCs w:val="24"/>
        </w:rPr>
      </w:pPr>
    </w:p>
    <w:p w14:paraId="696A44F7" w14:textId="77777777" w:rsidR="00ED4419" w:rsidRDefault="00ED4419" w:rsidP="00E96A6A">
      <w:pPr>
        <w:rPr>
          <w:rFonts w:ascii="Arial" w:hAnsi="Arial" w:cs="Arial"/>
          <w:sz w:val="24"/>
          <w:szCs w:val="24"/>
        </w:rPr>
      </w:pPr>
    </w:p>
    <w:p w14:paraId="7A55B92F" w14:textId="72275163" w:rsidR="000469BE" w:rsidRPr="00180A80" w:rsidRDefault="00B172CB" w:rsidP="00E96A6A">
      <w:pPr>
        <w:rPr>
          <w:rFonts w:ascii="Arial" w:hAnsi="Arial" w:cs="Arial"/>
          <w:sz w:val="24"/>
          <w:szCs w:val="24"/>
        </w:rPr>
      </w:pPr>
      <w:r w:rsidRPr="00180A80">
        <w:rPr>
          <w:rFonts w:ascii="Arial" w:eastAsia="Arial" w:hAnsi="Arial" w:cs="Arial"/>
          <w:sz w:val="24"/>
          <w:szCs w:val="24"/>
        </w:rPr>
        <w:lastRenderedPageBreak/>
        <w:t xml:space="preserve">The original </w:t>
      </w:r>
      <w:r w:rsidR="00660CDB" w:rsidRPr="00180A80">
        <w:rPr>
          <w:rFonts w:ascii="Arial" w:eastAsia="Arial" w:hAnsi="Arial" w:cs="Arial"/>
          <w:sz w:val="24"/>
          <w:szCs w:val="24"/>
        </w:rPr>
        <w:t xml:space="preserve">purpose of the </w:t>
      </w:r>
      <w:r w:rsidR="00BF045F" w:rsidRPr="00180A80">
        <w:rPr>
          <w:rFonts w:ascii="Arial" w:eastAsia="Arial" w:hAnsi="Arial" w:cs="Arial"/>
          <w:sz w:val="24"/>
          <w:szCs w:val="24"/>
        </w:rPr>
        <w:t xml:space="preserve">Homicide Act (1957) </w:t>
      </w:r>
      <w:r w:rsidR="0056600C" w:rsidRPr="00180A80">
        <w:rPr>
          <w:rFonts w:ascii="Arial" w:eastAsia="Arial" w:hAnsi="Arial" w:cs="Arial"/>
          <w:sz w:val="24"/>
          <w:szCs w:val="24"/>
        </w:rPr>
        <w:t xml:space="preserve">for England and </w:t>
      </w:r>
      <w:r w:rsidR="00003AF3" w:rsidRPr="00180A80">
        <w:rPr>
          <w:rFonts w:ascii="Arial" w:eastAsia="Arial" w:hAnsi="Arial" w:cs="Arial"/>
          <w:sz w:val="24"/>
          <w:szCs w:val="24"/>
        </w:rPr>
        <w:t>Wales</w:t>
      </w:r>
      <w:r w:rsidR="0056600C" w:rsidRPr="00180A80">
        <w:rPr>
          <w:rFonts w:ascii="Arial" w:eastAsia="Arial" w:hAnsi="Arial" w:cs="Arial"/>
          <w:sz w:val="24"/>
          <w:szCs w:val="24"/>
        </w:rPr>
        <w:t xml:space="preserve"> was to </w:t>
      </w:r>
      <w:r w:rsidR="00492742" w:rsidRPr="00180A80">
        <w:rPr>
          <w:rFonts w:ascii="Arial" w:eastAsia="Arial" w:hAnsi="Arial" w:cs="Arial"/>
          <w:sz w:val="24"/>
          <w:szCs w:val="24"/>
        </w:rPr>
        <w:t>make amendments of the law relating to homicide and the trial and punishment of murder</w:t>
      </w:r>
      <w:r w:rsidR="0079653F" w:rsidRPr="00180A80">
        <w:rPr>
          <w:rFonts w:ascii="Arial" w:eastAsia="Arial" w:hAnsi="Arial" w:cs="Arial"/>
          <w:sz w:val="24"/>
          <w:szCs w:val="24"/>
        </w:rPr>
        <w:t xml:space="preserve">. </w:t>
      </w:r>
      <w:r w:rsidR="00003AF3" w:rsidRPr="00180A80">
        <w:rPr>
          <w:rFonts w:ascii="Arial" w:eastAsia="Arial" w:hAnsi="Arial" w:cs="Arial"/>
          <w:sz w:val="24"/>
          <w:szCs w:val="24"/>
        </w:rPr>
        <w:t>The</w:t>
      </w:r>
      <w:r w:rsidR="00492742" w:rsidRPr="00180A80">
        <w:rPr>
          <w:rFonts w:ascii="Arial" w:eastAsia="Arial" w:hAnsi="Arial" w:cs="Arial"/>
          <w:sz w:val="24"/>
          <w:szCs w:val="24"/>
        </w:rPr>
        <w:t> H</w:t>
      </w:r>
      <w:r w:rsidR="00222399" w:rsidRPr="00180A80">
        <w:rPr>
          <w:rFonts w:ascii="Arial" w:eastAsia="Arial" w:hAnsi="Arial" w:cs="Arial"/>
          <w:sz w:val="24"/>
          <w:szCs w:val="24"/>
        </w:rPr>
        <w:t xml:space="preserve">omicide Act </w:t>
      </w:r>
      <w:r w:rsidR="00F3352C" w:rsidRPr="00180A80">
        <w:rPr>
          <w:rFonts w:ascii="Arial" w:eastAsia="Arial" w:hAnsi="Arial" w:cs="Arial"/>
          <w:sz w:val="24"/>
          <w:szCs w:val="24"/>
        </w:rPr>
        <w:t>(1957)</w:t>
      </w:r>
      <w:r w:rsidR="00D740C7" w:rsidRPr="00180A80">
        <w:rPr>
          <w:rFonts w:ascii="Arial" w:eastAsia="Arial" w:hAnsi="Arial" w:cs="Arial"/>
          <w:sz w:val="24"/>
          <w:szCs w:val="24"/>
        </w:rPr>
        <w:t xml:space="preserve"> is under evaluation</w:t>
      </w:r>
      <w:r w:rsidR="001B7945" w:rsidRPr="00180A80">
        <w:rPr>
          <w:rFonts w:ascii="Arial" w:eastAsia="Arial" w:hAnsi="Arial" w:cs="Arial"/>
          <w:sz w:val="24"/>
          <w:szCs w:val="24"/>
        </w:rPr>
        <w:t xml:space="preserve"> to be reformed</w:t>
      </w:r>
      <w:r w:rsidR="00D740C7" w:rsidRPr="00180A80">
        <w:rPr>
          <w:rFonts w:ascii="Arial" w:eastAsia="Arial" w:hAnsi="Arial" w:cs="Arial"/>
          <w:sz w:val="24"/>
          <w:szCs w:val="24"/>
        </w:rPr>
        <w:t xml:space="preserve"> by the </w:t>
      </w:r>
      <w:r w:rsidR="004B54A6" w:rsidRPr="00180A80">
        <w:rPr>
          <w:rFonts w:ascii="Arial" w:eastAsia="Arial" w:hAnsi="Arial" w:cs="Arial"/>
          <w:sz w:val="24"/>
          <w:szCs w:val="24"/>
        </w:rPr>
        <w:t xml:space="preserve">law commission of England and Wales </w:t>
      </w:r>
      <w:r w:rsidR="009C02DA" w:rsidRPr="00180A80">
        <w:rPr>
          <w:rFonts w:ascii="Arial" w:eastAsia="Arial" w:hAnsi="Arial" w:cs="Arial"/>
          <w:sz w:val="24"/>
          <w:szCs w:val="24"/>
        </w:rPr>
        <w:t>since</w:t>
      </w:r>
      <w:r w:rsidR="004B54A6" w:rsidRPr="00180A80">
        <w:rPr>
          <w:rFonts w:ascii="Arial" w:eastAsia="Arial" w:hAnsi="Arial" w:cs="Arial"/>
          <w:sz w:val="24"/>
          <w:szCs w:val="24"/>
        </w:rPr>
        <w:t xml:space="preserve"> some of its rules have been unaltered </w:t>
      </w:r>
      <w:r w:rsidR="0083531A" w:rsidRPr="00180A80">
        <w:rPr>
          <w:rFonts w:ascii="Arial" w:eastAsia="Arial" w:hAnsi="Arial" w:cs="Arial"/>
          <w:sz w:val="24"/>
          <w:szCs w:val="24"/>
        </w:rPr>
        <w:t>since the seventeenth century</w:t>
      </w:r>
      <w:r w:rsidR="001E40D4" w:rsidRPr="00180A80">
        <w:rPr>
          <w:rFonts w:ascii="Arial" w:eastAsia="Arial" w:hAnsi="Arial" w:cs="Arial"/>
          <w:sz w:val="24"/>
          <w:szCs w:val="24"/>
        </w:rPr>
        <w:t xml:space="preserve"> even though it has long been </w:t>
      </w:r>
      <w:r w:rsidR="003063E8" w:rsidRPr="00180A80">
        <w:rPr>
          <w:rFonts w:ascii="Arial" w:eastAsia="Arial" w:hAnsi="Arial" w:cs="Arial"/>
          <w:sz w:val="24"/>
          <w:szCs w:val="24"/>
        </w:rPr>
        <w:t>acknowledged</w:t>
      </w:r>
      <w:r w:rsidR="001E40D4" w:rsidRPr="00180A80">
        <w:rPr>
          <w:rFonts w:ascii="Arial" w:eastAsia="Arial" w:hAnsi="Arial" w:cs="Arial"/>
          <w:sz w:val="24"/>
          <w:szCs w:val="24"/>
        </w:rPr>
        <w:t xml:space="preserve"> that </w:t>
      </w:r>
      <w:r w:rsidR="00DD238B" w:rsidRPr="00180A80">
        <w:rPr>
          <w:rFonts w:ascii="Arial" w:eastAsia="Arial" w:hAnsi="Arial" w:cs="Arial"/>
          <w:sz w:val="24"/>
          <w:szCs w:val="24"/>
        </w:rPr>
        <w:t xml:space="preserve">they are in dire need of reform. </w:t>
      </w:r>
      <w:r w:rsidR="00480765" w:rsidRPr="00180A80">
        <w:rPr>
          <w:rFonts w:ascii="Arial" w:eastAsia="Arial" w:hAnsi="Arial" w:cs="Arial"/>
          <w:sz w:val="24"/>
          <w:szCs w:val="24"/>
        </w:rPr>
        <w:t xml:space="preserve">The current law governing </w:t>
      </w:r>
      <w:r w:rsidR="00595BC4" w:rsidRPr="00180A80">
        <w:rPr>
          <w:rFonts w:ascii="Arial" w:eastAsia="Arial" w:hAnsi="Arial" w:cs="Arial"/>
          <w:sz w:val="24"/>
          <w:szCs w:val="24"/>
        </w:rPr>
        <w:t>Homicide in England and Wales</w:t>
      </w:r>
      <w:r w:rsidR="00CC41BF" w:rsidRPr="00180A80">
        <w:rPr>
          <w:rFonts w:ascii="Arial" w:eastAsia="Arial" w:hAnsi="Arial" w:cs="Arial"/>
          <w:sz w:val="24"/>
          <w:szCs w:val="24"/>
        </w:rPr>
        <w:t>, as stated by The Law Commission (2006)</w:t>
      </w:r>
      <w:r w:rsidR="00495BDE" w:rsidRPr="00180A80">
        <w:rPr>
          <w:rFonts w:ascii="Arial" w:eastAsia="Arial" w:hAnsi="Arial" w:cs="Arial"/>
          <w:sz w:val="24"/>
          <w:szCs w:val="24"/>
        </w:rPr>
        <w:t>,</w:t>
      </w:r>
      <w:r w:rsidR="00CC41BF" w:rsidRPr="00180A80">
        <w:rPr>
          <w:rFonts w:ascii="Arial" w:eastAsia="Arial" w:hAnsi="Arial" w:cs="Arial"/>
          <w:sz w:val="24"/>
          <w:szCs w:val="24"/>
        </w:rPr>
        <w:t xml:space="preserve"> </w:t>
      </w:r>
      <w:r w:rsidR="00B12499" w:rsidRPr="00180A80">
        <w:rPr>
          <w:rFonts w:ascii="Arial" w:eastAsia="Arial" w:hAnsi="Arial" w:cs="Arial"/>
          <w:sz w:val="24"/>
          <w:szCs w:val="24"/>
        </w:rPr>
        <w:t xml:space="preserve">current structure of offences </w:t>
      </w:r>
      <w:r w:rsidR="009C02DA" w:rsidRPr="00180A80">
        <w:rPr>
          <w:rFonts w:ascii="Arial" w:eastAsia="Arial" w:hAnsi="Arial" w:cs="Arial"/>
          <w:sz w:val="24"/>
          <w:szCs w:val="24"/>
        </w:rPr>
        <w:t>is</w:t>
      </w:r>
      <w:r w:rsidR="003E6FCA" w:rsidRPr="00180A80">
        <w:rPr>
          <w:rFonts w:ascii="Arial" w:eastAsia="Arial" w:hAnsi="Arial" w:cs="Arial"/>
          <w:sz w:val="24"/>
          <w:szCs w:val="24"/>
        </w:rPr>
        <w:t xml:space="preserve"> (the two more general</w:t>
      </w:r>
      <w:r w:rsidR="000564FF" w:rsidRPr="00180A80">
        <w:rPr>
          <w:rFonts w:ascii="Arial" w:eastAsia="Arial" w:hAnsi="Arial" w:cs="Arial"/>
          <w:sz w:val="24"/>
          <w:szCs w:val="24"/>
        </w:rPr>
        <w:t xml:space="preserve"> offences) Murder and manslaughter followed by more offences such as </w:t>
      </w:r>
      <w:r w:rsidR="00281FEC" w:rsidRPr="00180A80">
        <w:rPr>
          <w:rFonts w:ascii="Arial" w:eastAsia="Arial" w:hAnsi="Arial" w:cs="Arial"/>
          <w:sz w:val="24"/>
          <w:szCs w:val="24"/>
        </w:rPr>
        <w:t>infanticide and death by dangerous driving</w:t>
      </w:r>
      <w:r w:rsidR="00E077E7" w:rsidRPr="00180A80">
        <w:rPr>
          <w:rFonts w:ascii="Arial" w:eastAsia="Arial" w:hAnsi="Arial" w:cs="Arial"/>
          <w:sz w:val="24"/>
          <w:szCs w:val="24"/>
        </w:rPr>
        <w:t xml:space="preserve">. </w:t>
      </w:r>
      <w:r w:rsidR="001E5548" w:rsidRPr="00180A80">
        <w:rPr>
          <w:rFonts w:ascii="Arial" w:eastAsia="Arial" w:hAnsi="Arial" w:cs="Arial"/>
          <w:sz w:val="24"/>
          <w:szCs w:val="24"/>
        </w:rPr>
        <w:t xml:space="preserve">Some of the key issues surrounding the current law are the partial defences </w:t>
      </w:r>
      <w:r w:rsidR="00376181" w:rsidRPr="00180A80">
        <w:rPr>
          <w:rFonts w:ascii="Arial" w:eastAsia="Arial" w:hAnsi="Arial" w:cs="Arial"/>
          <w:sz w:val="24"/>
          <w:szCs w:val="24"/>
        </w:rPr>
        <w:t>to murder, controversy surrounding the intent required for murder and the frequ</w:t>
      </w:r>
      <w:r w:rsidR="00DC1BBF" w:rsidRPr="00180A80">
        <w:rPr>
          <w:rFonts w:ascii="Arial" w:eastAsia="Arial" w:hAnsi="Arial" w:cs="Arial"/>
          <w:sz w:val="24"/>
          <w:szCs w:val="24"/>
        </w:rPr>
        <w:t xml:space="preserve">ently questioned, is the breadth of manslaughter too broad? </w:t>
      </w:r>
      <w:r w:rsidR="00503052" w:rsidRPr="00180A80">
        <w:rPr>
          <w:rFonts w:ascii="Arial" w:eastAsia="Arial" w:hAnsi="Arial" w:cs="Arial"/>
          <w:sz w:val="24"/>
          <w:szCs w:val="24"/>
        </w:rPr>
        <w:t xml:space="preserve">All </w:t>
      </w:r>
      <w:r w:rsidR="00DC1BBF" w:rsidRPr="00180A80">
        <w:rPr>
          <w:rFonts w:ascii="Arial" w:eastAsia="Arial" w:hAnsi="Arial" w:cs="Arial"/>
          <w:sz w:val="24"/>
          <w:szCs w:val="24"/>
        </w:rPr>
        <w:t>key issues that the law commission hope to reform</w:t>
      </w:r>
      <w:r w:rsidR="00E61CDD" w:rsidRPr="00180A80">
        <w:rPr>
          <w:rFonts w:ascii="Arial" w:eastAsia="Arial" w:hAnsi="Arial" w:cs="Arial"/>
          <w:sz w:val="24"/>
          <w:szCs w:val="24"/>
        </w:rPr>
        <w:t xml:space="preserve">. </w:t>
      </w:r>
    </w:p>
    <w:p w14:paraId="264FBA60" w14:textId="2F34918B" w:rsidR="000469BE" w:rsidRDefault="00503052" w:rsidP="00E96A6A">
      <w:pPr>
        <w:rPr>
          <w:rFonts w:ascii="Arial" w:eastAsia="Arial" w:hAnsi="Arial" w:cs="Arial"/>
          <w:sz w:val="24"/>
          <w:szCs w:val="24"/>
        </w:rPr>
      </w:pPr>
      <w:r w:rsidRPr="00180A80">
        <w:rPr>
          <w:rFonts w:ascii="Arial" w:eastAsia="Arial" w:hAnsi="Arial" w:cs="Arial"/>
          <w:sz w:val="24"/>
          <w:szCs w:val="24"/>
        </w:rPr>
        <w:t xml:space="preserve">Over time </w:t>
      </w:r>
      <w:r w:rsidR="00216067" w:rsidRPr="00180A80">
        <w:rPr>
          <w:rFonts w:ascii="Arial" w:eastAsia="Arial" w:hAnsi="Arial" w:cs="Arial"/>
          <w:sz w:val="24"/>
          <w:szCs w:val="24"/>
        </w:rPr>
        <w:t xml:space="preserve">a number </w:t>
      </w:r>
      <w:proofErr w:type="gramStart"/>
      <w:r w:rsidR="000504A6" w:rsidRPr="00180A80">
        <w:rPr>
          <w:rFonts w:ascii="Arial" w:eastAsia="Arial" w:hAnsi="Arial" w:cs="Arial"/>
          <w:sz w:val="24"/>
          <w:szCs w:val="24"/>
        </w:rPr>
        <w:t xml:space="preserve">of </w:t>
      </w:r>
      <w:r w:rsidRPr="00180A80">
        <w:rPr>
          <w:rFonts w:ascii="Arial" w:eastAsia="Arial" w:hAnsi="Arial" w:cs="Arial"/>
          <w:sz w:val="24"/>
          <w:szCs w:val="24"/>
        </w:rPr>
        <w:t xml:space="preserve"> </w:t>
      </w:r>
      <w:r w:rsidR="000504A6" w:rsidRPr="00180A80">
        <w:rPr>
          <w:rFonts w:ascii="Arial" w:eastAsia="Arial" w:hAnsi="Arial" w:cs="Arial"/>
          <w:sz w:val="24"/>
          <w:szCs w:val="24"/>
        </w:rPr>
        <w:t>key</w:t>
      </w:r>
      <w:proofErr w:type="gramEnd"/>
      <w:r w:rsidR="000504A6" w:rsidRPr="00180A80">
        <w:rPr>
          <w:rFonts w:ascii="Arial" w:eastAsia="Arial" w:hAnsi="Arial" w:cs="Arial"/>
          <w:sz w:val="24"/>
          <w:szCs w:val="24"/>
        </w:rPr>
        <w:t xml:space="preserve"> issues have risen for the law commission regarding </w:t>
      </w:r>
      <w:r w:rsidRPr="00180A80">
        <w:rPr>
          <w:rFonts w:ascii="Arial" w:eastAsia="Arial" w:hAnsi="Arial" w:cs="Arial"/>
          <w:sz w:val="24"/>
          <w:szCs w:val="24"/>
        </w:rPr>
        <w:t>the Homicide Act (1957)</w:t>
      </w:r>
      <w:r w:rsidR="000504A6" w:rsidRPr="00180A80">
        <w:rPr>
          <w:rFonts w:ascii="Arial" w:eastAsia="Arial" w:hAnsi="Arial" w:cs="Arial"/>
          <w:sz w:val="24"/>
          <w:szCs w:val="24"/>
        </w:rPr>
        <w:t xml:space="preserve"> the issue include, </w:t>
      </w:r>
      <w:r w:rsidR="00A256B8" w:rsidRPr="00180A80">
        <w:rPr>
          <w:rFonts w:ascii="Arial" w:eastAsia="Arial" w:hAnsi="Arial" w:cs="Arial"/>
          <w:sz w:val="24"/>
          <w:szCs w:val="24"/>
        </w:rPr>
        <w:t>the Partial Defences to murder, the Intent required for murder and whether the breadth of Mansl</w:t>
      </w:r>
      <w:r w:rsidR="00922BA1" w:rsidRPr="00180A80">
        <w:rPr>
          <w:rFonts w:ascii="Arial" w:eastAsia="Arial" w:hAnsi="Arial" w:cs="Arial"/>
          <w:sz w:val="24"/>
          <w:szCs w:val="24"/>
        </w:rPr>
        <w:t xml:space="preserve">aughter is </w:t>
      </w:r>
      <w:proofErr w:type="spellStart"/>
      <w:r w:rsidR="00922BA1" w:rsidRPr="00180A80">
        <w:rPr>
          <w:rFonts w:ascii="Arial" w:eastAsia="Arial" w:hAnsi="Arial" w:cs="Arial"/>
          <w:sz w:val="24"/>
          <w:szCs w:val="24"/>
        </w:rPr>
        <w:t>to</w:t>
      </w:r>
      <w:proofErr w:type="spellEnd"/>
      <w:r w:rsidR="00922BA1" w:rsidRPr="00180A80">
        <w:rPr>
          <w:rFonts w:ascii="Arial" w:eastAsia="Arial" w:hAnsi="Arial" w:cs="Arial"/>
          <w:sz w:val="24"/>
          <w:szCs w:val="24"/>
        </w:rPr>
        <w:t xml:space="preserve"> broad</w:t>
      </w:r>
      <w:r w:rsidRPr="00180A80">
        <w:rPr>
          <w:rFonts w:ascii="Arial" w:eastAsia="Arial" w:hAnsi="Arial" w:cs="Arial"/>
          <w:sz w:val="24"/>
          <w:szCs w:val="24"/>
        </w:rPr>
        <w:t>. There are three partial defences to murder which are, loss of control, suicide pact and diminished responsibility, where if all successfully pleaded the defendant</w:t>
      </w:r>
      <w:r w:rsidR="009D1B41" w:rsidRPr="00180A80">
        <w:rPr>
          <w:rFonts w:ascii="Arial" w:eastAsia="Arial" w:hAnsi="Arial" w:cs="Arial"/>
          <w:sz w:val="24"/>
          <w:szCs w:val="24"/>
        </w:rPr>
        <w:t>’s case would be</w:t>
      </w:r>
      <w:r w:rsidRPr="00180A80">
        <w:rPr>
          <w:rFonts w:ascii="Arial" w:eastAsia="Arial" w:hAnsi="Arial" w:cs="Arial"/>
          <w:sz w:val="24"/>
          <w:szCs w:val="24"/>
        </w:rPr>
        <w:t xml:space="preserve"> manslaughter over murder</w:t>
      </w:r>
      <w:r w:rsidR="009D1B41" w:rsidRPr="00180A80">
        <w:rPr>
          <w:rFonts w:ascii="Arial" w:eastAsia="Arial" w:hAnsi="Arial" w:cs="Arial"/>
          <w:sz w:val="24"/>
          <w:szCs w:val="24"/>
        </w:rPr>
        <w:t xml:space="preserve">, therefore </w:t>
      </w:r>
      <w:r w:rsidR="007316F4" w:rsidRPr="00180A80">
        <w:rPr>
          <w:rFonts w:ascii="Arial" w:eastAsia="Arial" w:hAnsi="Arial" w:cs="Arial"/>
          <w:sz w:val="24"/>
          <w:szCs w:val="24"/>
        </w:rPr>
        <w:t>providing the defendant with</w:t>
      </w:r>
      <w:r w:rsidR="009D1B41" w:rsidRPr="00180A80">
        <w:rPr>
          <w:rFonts w:ascii="Arial" w:eastAsia="Arial" w:hAnsi="Arial" w:cs="Arial"/>
          <w:sz w:val="24"/>
          <w:szCs w:val="24"/>
        </w:rPr>
        <w:t xml:space="preserve"> a shorter sentence</w:t>
      </w:r>
      <w:r w:rsidRPr="00180A80">
        <w:rPr>
          <w:rFonts w:ascii="Arial" w:eastAsia="Arial" w:hAnsi="Arial" w:cs="Arial"/>
          <w:sz w:val="24"/>
          <w:szCs w:val="24"/>
        </w:rPr>
        <w:t>. The key issue highlighted within d</w:t>
      </w:r>
      <w:r w:rsidR="00F544B8" w:rsidRPr="00180A80">
        <w:rPr>
          <w:rFonts w:ascii="Arial" w:eastAsia="Arial" w:hAnsi="Arial" w:cs="Arial"/>
          <w:sz w:val="24"/>
          <w:szCs w:val="24"/>
        </w:rPr>
        <w:t xml:space="preserve">iminished responsibility is </w:t>
      </w:r>
      <w:r w:rsidR="000421C7" w:rsidRPr="00180A80">
        <w:rPr>
          <w:rFonts w:ascii="Arial" w:eastAsia="Arial" w:hAnsi="Arial" w:cs="Arial"/>
          <w:sz w:val="24"/>
          <w:szCs w:val="24"/>
        </w:rPr>
        <w:t>primarily based on how</w:t>
      </w:r>
      <w:r w:rsidR="00F544B8" w:rsidRPr="00180A80">
        <w:rPr>
          <w:rFonts w:ascii="Arial" w:eastAsia="Arial" w:hAnsi="Arial" w:cs="Arial"/>
          <w:sz w:val="24"/>
          <w:szCs w:val="24"/>
        </w:rPr>
        <w:t xml:space="preserve"> </w:t>
      </w:r>
      <w:r w:rsidR="000421C7" w:rsidRPr="00180A80">
        <w:rPr>
          <w:rFonts w:ascii="Arial" w:eastAsia="Arial" w:hAnsi="Arial" w:cs="Arial"/>
          <w:sz w:val="24"/>
          <w:szCs w:val="24"/>
        </w:rPr>
        <w:t>medical</w:t>
      </w:r>
      <w:r w:rsidR="00F544B8" w:rsidRPr="00180A80">
        <w:rPr>
          <w:rFonts w:ascii="Arial" w:eastAsia="Arial" w:hAnsi="Arial" w:cs="Arial"/>
          <w:sz w:val="24"/>
          <w:szCs w:val="24"/>
        </w:rPr>
        <w:t xml:space="preserve"> science has progressed tremendously since 1957 and that the definition of diminished responsibility is extremely out of date</w:t>
      </w:r>
      <w:r w:rsidR="007169A0" w:rsidRPr="00180A80">
        <w:rPr>
          <w:rFonts w:ascii="Arial" w:eastAsia="Arial" w:hAnsi="Arial" w:cs="Arial"/>
          <w:sz w:val="24"/>
          <w:szCs w:val="24"/>
        </w:rPr>
        <w:t xml:space="preserve"> as stated by </w:t>
      </w:r>
      <w:r w:rsidR="000421C7" w:rsidRPr="00180A80">
        <w:rPr>
          <w:rFonts w:ascii="Arial" w:eastAsia="Arial" w:hAnsi="Arial" w:cs="Arial"/>
          <w:sz w:val="24"/>
          <w:szCs w:val="24"/>
        </w:rPr>
        <w:t>The Law commission (200</w:t>
      </w:r>
      <w:r w:rsidR="00C34EBD" w:rsidRPr="00180A80">
        <w:rPr>
          <w:rFonts w:ascii="Arial" w:eastAsia="Arial" w:hAnsi="Arial" w:cs="Arial"/>
          <w:sz w:val="24"/>
          <w:szCs w:val="24"/>
        </w:rPr>
        <w:t>3</w:t>
      </w:r>
      <w:r w:rsidR="000421C7" w:rsidRPr="00180A80">
        <w:rPr>
          <w:rFonts w:ascii="Arial" w:eastAsia="Arial" w:hAnsi="Arial" w:cs="Arial"/>
          <w:sz w:val="24"/>
          <w:szCs w:val="24"/>
        </w:rPr>
        <w:t xml:space="preserve">). </w:t>
      </w:r>
      <w:r w:rsidR="00127A30" w:rsidRPr="00180A80">
        <w:rPr>
          <w:rFonts w:ascii="Arial" w:eastAsia="Arial" w:hAnsi="Arial" w:cs="Arial"/>
          <w:sz w:val="24"/>
          <w:szCs w:val="24"/>
        </w:rPr>
        <w:t xml:space="preserve">According to Herring (2019) </w:t>
      </w:r>
      <w:r w:rsidR="009C6D89" w:rsidRPr="00180A80">
        <w:rPr>
          <w:rFonts w:ascii="Arial" w:eastAsia="Arial" w:hAnsi="Arial" w:cs="Arial"/>
          <w:sz w:val="24"/>
          <w:szCs w:val="24"/>
        </w:rPr>
        <w:t xml:space="preserve">another </w:t>
      </w:r>
      <w:r w:rsidR="00127A30" w:rsidRPr="00180A80">
        <w:rPr>
          <w:rFonts w:ascii="Arial" w:eastAsia="Arial" w:hAnsi="Arial" w:cs="Arial"/>
          <w:sz w:val="24"/>
          <w:szCs w:val="24"/>
        </w:rPr>
        <w:t>one of the main criticised complaints of diminished responsibility is based on the issue of whether the defendant still would have killed if he had not been ill of mind</w:t>
      </w:r>
      <w:r w:rsidR="009C6D89" w:rsidRPr="00180A80">
        <w:rPr>
          <w:rFonts w:ascii="Arial" w:eastAsia="Arial" w:hAnsi="Arial" w:cs="Arial"/>
          <w:sz w:val="24"/>
          <w:szCs w:val="24"/>
        </w:rPr>
        <w:t>. D</w:t>
      </w:r>
      <w:r w:rsidR="00127A30" w:rsidRPr="00180A80">
        <w:rPr>
          <w:rFonts w:ascii="Arial" w:eastAsia="Arial" w:hAnsi="Arial" w:cs="Arial"/>
          <w:sz w:val="24"/>
          <w:szCs w:val="24"/>
        </w:rPr>
        <w:t>ue to there being no way of proving this, it has become a highly debated topic whether diminished responsibility is a reliable defence</w:t>
      </w:r>
      <w:r w:rsidR="009C6D89" w:rsidRPr="00180A80">
        <w:rPr>
          <w:rFonts w:ascii="Arial" w:eastAsia="Arial" w:hAnsi="Arial" w:cs="Arial"/>
          <w:sz w:val="24"/>
          <w:szCs w:val="24"/>
        </w:rPr>
        <w:t>, therefore making diminished responsibility a ke</w:t>
      </w:r>
      <w:r w:rsidR="009D1B41" w:rsidRPr="00180A80">
        <w:rPr>
          <w:rFonts w:ascii="Arial" w:eastAsia="Arial" w:hAnsi="Arial" w:cs="Arial"/>
          <w:sz w:val="24"/>
          <w:szCs w:val="24"/>
        </w:rPr>
        <w:t xml:space="preserve">y </w:t>
      </w:r>
      <w:r w:rsidR="009C6D89" w:rsidRPr="00180A80">
        <w:rPr>
          <w:rFonts w:ascii="Arial" w:eastAsia="Arial" w:hAnsi="Arial" w:cs="Arial"/>
          <w:sz w:val="24"/>
          <w:szCs w:val="24"/>
        </w:rPr>
        <w:t>issue for the law commission.</w:t>
      </w:r>
      <w:r w:rsidR="009D1B41" w:rsidRPr="00180A80">
        <w:rPr>
          <w:rFonts w:ascii="Arial" w:eastAsia="Arial" w:hAnsi="Arial" w:cs="Arial"/>
          <w:sz w:val="24"/>
          <w:szCs w:val="24"/>
        </w:rPr>
        <w:t xml:space="preserve"> </w:t>
      </w:r>
      <w:r w:rsidR="003718DB" w:rsidRPr="00180A80">
        <w:rPr>
          <w:rFonts w:ascii="Arial" w:eastAsia="Arial" w:hAnsi="Arial" w:cs="Arial"/>
          <w:sz w:val="24"/>
          <w:szCs w:val="24"/>
        </w:rPr>
        <w:t>Concerning loss of control o</w:t>
      </w:r>
      <w:r w:rsidR="009D1B41" w:rsidRPr="00180A80">
        <w:rPr>
          <w:rFonts w:ascii="Arial" w:eastAsia="Arial" w:hAnsi="Arial" w:cs="Arial"/>
          <w:sz w:val="24"/>
          <w:szCs w:val="24"/>
        </w:rPr>
        <w:t>ne of the main highlighted issues within th</w:t>
      </w:r>
      <w:r w:rsidR="003718DB" w:rsidRPr="00180A80">
        <w:rPr>
          <w:rFonts w:ascii="Arial" w:eastAsia="Arial" w:hAnsi="Arial" w:cs="Arial"/>
          <w:sz w:val="24"/>
          <w:szCs w:val="24"/>
        </w:rPr>
        <w:t xml:space="preserve">is </w:t>
      </w:r>
      <w:r w:rsidR="009D1B41" w:rsidRPr="00180A80">
        <w:rPr>
          <w:rFonts w:ascii="Arial" w:eastAsia="Arial" w:hAnsi="Arial" w:cs="Arial"/>
          <w:sz w:val="24"/>
          <w:szCs w:val="24"/>
        </w:rPr>
        <w:t xml:space="preserve">defence is down to the point of proving the killing was </w:t>
      </w:r>
      <w:r w:rsidR="007169A0" w:rsidRPr="00180A80">
        <w:rPr>
          <w:rFonts w:ascii="Arial" w:eastAsia="Arial" w:hAnsi="Arial" w:cs="Arial"/>
          <w:sz w:val="24"/>
          <w:szCs w:val="24"/>
        </w:rPr>
        <w:t>caused</w:t>
      </w:r>
      <w:r w:rsidR="009D1B41" w:rsidRPr="00180A80">
        <w:rPr>
          <w:rFonts w:ascii="Arial" w:eastAsia="Arial" w:hAnsi="Arial" w:cs="Arial"/>
          <w:sz w:val="24"/>
          <w:szCs w:val="24"/>
        </w:rPr>
        <w:t xml:space="preserve"> by the defendant’s loss of control. As stated by CPS (2019) In </w:t>
      </w:r>
      <w:r w:rsidR="00582F70" w:rsidRPr="00180A80">
        <w:rPr>
          <w:rFonts w:ascii="Arial" w:eastAsia="Arial" w:hAnsi="Arial" w:cs="Arial"/>
          <w:sz w:val="24"/>
          <w:szCs w:val="24"/>
        </w:rPr>
        <w:t xml:space="preserve">the case of </w:t>
      </w:r>
      <w:r w:rsidR="009D1B41" w:rsidRPr="00180A80">
        <w:rPr>
          <w:rFonts w:ascii="Arial" w:eastAsia="Arial" w:hAnsi="Arial" w:cs="Arial"/>
          <w:sz w:val="24"/>
          <w:szCs w:val="24"/>
        </w:rPr>
        <w:t xml:space="preserve">R v Dawes, Hatter and Bowyer (2013), the defendant pleaded loss of control after killing his partner due to the break-up of their relationship however, the judge ruled this out for the jury as there was no evidence to suggest that the defendant had a loss of control. </w:t>
      </w:r>
      <w:r w:rsidR="007169A0" w:rsidRPr="00180A80">
        <w:rPr>
          <w:rFonts w:ascii="Arial" w:eastAsia="Arial" w:hAnsi="Arial" w:cs="Arial"/>
          <w:sz w:val="24"/>
          <w:szCs w:val="24"/>
        </w:rPr>
        <w:t xml:space="preserve">Legitimately proving loss of control is a very rocky structure henceforth being a key issue within the reform of the law of Homicide. </w:t>
      </w:r>
      <w:r w:rsidR="00486456" w:rsidRPr="00180A80">
        <w:rPr>
          <w:rFonts w:ascii="Arial" w:eastAsia="Arial" w:hAnsi="Arial" w:cs="Arial"/>
          <w:sz w:val="24"/>
          <w:szCs w:val="24"/>
        </w:rPr>
        <w:t>T</w:t>
      </w:r>
      <w:r w:rsidR="00632276" w:rsidRPr="00180A80">
        <w:rPr>
          <w:rFonts w:ascii="Arial" w:eastAsia="Arial" w:hAnsi="Arial" w:cs="Arial"/>
          <w:sz w:val="24"/>
          <w:szCs w:val="24"/>
        </w:rPr>
        <w:t>he next key issue within the reform of the law of Homicide is the controversy around the intent required for murder. The current law</w:t>
      </w:r>
      <w:r w:rsidR="00BE255A" w:rsidRPr="00180A80">
        <w:rPr>
          <w:rFonts w:ascii="Arial" w:eastAsia="Arial" w:hAnsi="Arial" w:cs="Arial"/>
          <w:sz w:val="24"/>
          <w:szCs w:val="24"/>
        </w:rPr>
        <w:t xml:space="preserve"> of murder</w:t>
      </w:r>
      <w:r w:rsidR="00632276" w:rsidRPr="00180A80">
        <w:rPr>
          <w:rFonts w:ascii="Arial" w:eastAsia="Arial" w:hAnsi="Arial" w:cs="Arial"/>
          <w:sz w:val="24"/>
          <w:szCs w:val="24"/>
        </w:rPr>
        <w:t xml:space="preserve"> states that the defendant must have the intent to kill or cause Grievous bodily harm</w:t>
      </w:r>
      <w:r w:rsidR="009818B3" w:rsidRPr="00180A80">
        <w:rPr>
          <w:rFonts w:ascii="Arial" w:eastAsia="Arial" w:hAnsi="Arial" w:cs="Arial"/>
          <w:sz w:val="24"/>
          <w:szCs w:val="24"/>
        </w:rPr>
        <w:t>,</w:t>
      </w:r>
      <w:r w:rsidR="00A66E2A" w:rsidRPr="00180A80">
        <w:rPr>
          <w:rFonts w:ascii="Arial" w:eastAsia="Arial" w:hAnsi="Arial" w:cs="Arial"/>
          <w:sz w:val="24"/>
          <w:szCs w:val="24"/>
        </w:rPr>
        <w:t xml:space="preserve"> the highlighted issue her is the intent to cause grievous bodily harm. </w:t>
      </w:r>
      <w:r w:rsidR="00304EB9" w:rsidRPr="00180A80">
        <w:rPr>
          <w:rFonts w:ascii="Arial" w:eastAsia="Arial" w:hAnsi="Arial" w:cs="Arial"/>
          <w:sz w:val="24"/>
          <w:szCs w:val="24"/>
        </w:rPr>
        <w:t>According to the Law Commission (2006)</w:t>
      </w:r>
      <w:r w:rsidR="008F5C11" w:rsidRPr="00180A80">
        <w:rPr>
          <w:rFonts w:ascii="Arial" w:eastAsia="Arial" w:hAnsi="Arial" w:cs="Arial"/>
          <w:sz w:val="24"/>
          <w:szCs w:val="24"/>
        </w:rPr>
        <w:t>, t</w:t>
      </w:r>
      <w:r w:rsidR="00A66E2A" w:rsidRPr="00180A80">
        <w:rPr>
          <w:rFonts w:ascii="Arial" w:eastAsia="Arial" w:hAnsi="Arial" w:cs="Arial"/>
          <w:sz w:val="24"/>
          <w:szCs w:val="24"/>
        </w:rPr>
        <w:t>his factor is much argue</w:t>
      </w:r>
      <w:r w:rsidR="00FC7D73" w:rsidRPr="00180A80">
        <w:rPr>
          <w:rFonts w:ascii="Arial" w:eastAsia="Arial" w:hAnsi="Arial" w:cs="Arial"/>
          <w:sz w:val="24"/>
          <w:szCs w:val="24"/>
        </w:rPr>
        <w:t xml:space="preserve">d simply because </w:t>
      </w:r>
      <w:r w:rsidR="009F7279" w:rsidRPr="00180A80">
        <w:rPr>
          <w:rFonts w:ascii="Arial" w:eastAsia="Arial" w:hAnsi="Arial" w:cs="Arial"/>
          <w:sz w:val="24"/>
          <w:szCs w:val="24"/>
        </w:rPr>
        <w:t xml:space="preserve">of </w:t>
      </w:r>
      <w:r w:rsidR="009448F4" w:rsidRPr="00180A80">
        <w:rPr>
          <w:rFonts w:ascii="Arial" w:eastAsia="Arial" w:hAnsi="Arial" w:cs="Arial"/>
          <w:sz w:val="24"/>
          <w:szCs w:val="24"/>
        </w:rPr>
        <w:t>scenarios</w:t>
      </w:r>
      <w:r w:rsidR="009F7279" w:rsidRPr="00180A80">
        <w:rPr>
          <w:rFonts w:ascii="Arial" w:eastAsia="Arial" w:hAnsi="Arial" w:cs="Arial"/>
          <w:sz w:val="24"/>
          <w:szCs w:val="24"/>
        </w:rPr>
        <w:t xml:space="preserve"> </w:t>
      </w:r>
      <w:r w:rsidR="00FE6556" w:rsidRPr="00180A80">
        <w:rPr>
          <w:rFonts w:ascii="Arial" w:eastAsia="Arial" w:hAnsi="Arial" w:cs="Arial"/>
          <w:sz w:val="24"/>
          <w:szCs w:val="24"/>
        </w:rPr>
        <w:t xml:space="preserve">such as: a </w:t>
      </w:r>
      <w:r w:rsidR="00FC7D73" w:rsidRPr="00180A80">
        <w:rPr>
          <w:rFonts w:ascii="Arial" w:eastAsia="Arial" w:hAnsi="Arial" w:cs="Arial"/>
          <w:sz w:val="24"/>
          <w:szCs w:val="24"/>
        </w:rPr>
        <w:t>defendant punches a victim</w:t>
      </w:r>
      <w:r w:rsidR="00FE6556" w:rsidRPr="00180A80">
        <w:rPr>
          <w:rFonts w:ascii="Arial" w:eastAsia="Arial" w:hAnsi="Arial" w:cs="Arial"/>
          <w:sz w:val="24"/>
          <w:szCs w:val="24"/>
        </w:rPr>
        <w:t xml:space="preserve"> in the face</w:t>
      </w:r>
      <w:r w:rsidR="00FC7D73" w:rsidRPr="00180A80">
        <w:rPr>
          <w:rFonts w:ascii="Arial" w:eastAsia="Arial" w:hAnsi="Arial" w:cs="Arial"/>
          <w:sz w:val="24"/>
          <w:szCs w:val="24"/>
        </w:rPr>
        <w:t xml:space="preserve">, </w:t>
      </w:r>
      <w:r w:rsidR="00FE6556" w:rsidRPr="00180A80">
        <w:rPr>
          <w:rFonts w:ascii="Arial" w:eastAsia="Arial" w:hAnsi="Arial" w:cs="Arial"/>
          <w:sz w:val="24"/>
          <w:szCs w:val="24"/>
        </w:rPr>
        <w:t>causing a breakage to</w:t>
      </w:r>
      <w:r w:rsidR="00FC7D73" w:rsidRPr="00180A80">
        <w:rPr>
          <w:rFonts w:ascii="Arial" w:eastAsia="Arial" w:hAnsi="Arial" w:cs="Arial"/>
          <w:sz w:val="24"/>
          <w:szCs w:val="24"/>
        </w:rPr>
        <w:t xml:space="preserve"> the </w:t>
      </w:r>
      <w:r w:rsidR="009448F4" w:rsidRPr="00180A80">
        <w:rPr>
          <w:rFonts w:ascii="Arial" w:eastAsia="Arial" w:hAnsi="Arial" w:cs="Arial"/>
          <w:sz w:val="24"/>
          <w:szCs w:val="24"/>
        </w:rPr>
        <w:t>victim’s</w:t>
      </w:r>
      <w:r w:rsidR="00FC7D73" w:rsidRPr="00180A80">
        <w:rPr>
          <w:rFonts w:ascii="Arial" w:eastAsia="Arial" w:hAnsi="Arial" w:cs="Arial"/>
          <w:sz w:val="24"/>
          <w:szCs w:val="24"/>
        </w:rPr>
        <w:t xml:space="preserve"> nose</w:t>
      </w:r>
      <w:r w:rsidR="009F7279" w:rsidRPr="00180A80">
        <w:rPr>
          <w:rFonts w:ascii="Arial" w:eastAsia="Arial" w:hAnsi="Arial" w:cs="Arial"/>
          <w:sz w:val="24"/>
          <w:szCs w:val="24"/>
        </w:rPr>
        <w:t xml:space="preserve"> and causing the victim to fall, hit his head and die</w:t>
      </w:r>
      <w:r w:rsidR="00681516" w:rsidRPr="00180A80">
        <w:rPr>
          <w:rFonts w:ascii="Arial" w:eastAsia="Arial" w:hAnsi="Arial" w:cs="Arial"/>
          <w:sz w:val="24"/>
          <w:szCs w:val="24"/>
        </w:rPr>
        <w:t xml:space="preserve">. This </w:t>
      </w:r>
      <w:r w:rsidR="00A329CD" w:rsidRPr="00180A80">
        <w:rPr>
          <w:rFonts w:ascii="Arial" w:eastAsia="Arial" w:hAnsi="Arial" w:cs="Arial"/>
          <w:sz w:val="24"/>
          <w:szCs w:val="24"/>
        </w:rPr>
        <w:t>defendant’s</w:t>
      </w:r>
      <w:r w:rsidR="00681516" w:rsidRPr="00180A80">
        <w:rPr>
          <w:rFonts w:ascii="Arial" w:eastAsia="Arial" w:hAnsi="Arial" w:cs="Arial"/>
          <w:sz w:val="24"/>
          <w:szCs w:val="24"/>
        </w:rPr>
        <w:t xml:space="preserve"> sentence relies simple on whether the jury deems this </w:t>
      </w:r>
      <w:r w:rsidR="00DE02E0" w:rsidRPr="00180A80">
        <w:rPr>
          <w:rFonts w:ascii="Arial" w:eastAsia="Arial" w:hAnsi="Arial" w:cs="Arial"/>
          <w:sz w:val="24"/>
          <w:szCs w:val="24"/>
        </w:rPr>
        <w:t>act as “serious”, if the jury do review the act as serious the defendant could be serving</w:t>
      </w:r>
      <w:r w:rsidR="00DE08D3" w:rsidRPr="00180A80">
        <w:rPr>
          <w:rFonts w:ascii="Arial" w:eastAsia="Arial" w:hAnsi="Arial" w:cs="Arial"/>
          <w:sz w:val="24"/>
          <w:szCs w:val="24"/>
        </w:rPr>
        <w:t xml:space="preserve"> </w:t>
      </w:r>
      <w:r w:rsidR="00AE3123" w:rsidRPr="00180A80">
        <w:rPr>
          <w:rFonts w:ascii="Arial" w:eastAsia="Arial" w:hAnsi="Arial" w:cs="Arial"/>
          <w:sz w:val="24"/>
          <w:szCs w:val="24"/>
        </w:rPr>
        <w:t>a sentence for murder,</w:t>
      </w:r>
      <w:r w:rsidR="00DE02E0" w:rsidRPr="00180A80">
        <w:rPr>
          <w:rFonts w:ascii="Arial" w:eastAsia="Arial" w:hAnsi="Arial" w:cs="Arial"/>
          <w:sz w:val="24"/>
          <w:szCs w:val="24"/>
        </w:rPr>
        <w:t xml:space="preserve"> the same sentence as a serial killer for an accidental killing. </w:t>
      </w:r>
      <w:r w:rsidR="00DA0CE3" w:rsidRPr="00180A80">
        <w:rPr>
          <w:rFonts w:ascii="Arial" w:eastAsia="Arial" w:hAnsi="Arial" w:cs="Arial"/>
          <w:sz w:val="24"/>
          <w:szCs w:val="24"/>
        </w:rPr>
        <w:t>This rule simply relies on the jury of that court cas</w:t>
      </w:r>
      <w:r w:rsidR="006752FD" w:rsidRPr="00180A80">
        <w:rPr>
          <w:rFonts w:ascii="Arial" w:eastAsia="Arial" w:hAnsi="Arial" w:cs="Arial"/>
          <w:sz w:val="24"/>
          <w:szCs w:val="24"/>
        </w:rPr>
        <w:t xml:space="preserve">e, meaning that </w:t>
      </w:r>
      <w:r w:rsidR="000B4A5B" w:rsidRPr="00180A80">
        <w:rPr>
          <w:rFonts w:ascii="Arial" w:eastAsia="Arial" w:hAnsi="Arial" w:cs="Arial"/>
          <w:sz w:val="24"/>
          <w:szCs w:val="24"/>
        </w:rPr>
        <w:t xml:space="preserve">similar cases cannot rely on </w:t>
      </w:r>
      <w:r w:rsidR="00AE3123" w:rsidRPr="00180A80">
        <w:rPr>
          <w:rFonts w:ascii="Arial" w:eastAsia="Arial" w:hAnsi="Arial" w:cs="Arial"/>
          <w:sz w:val="24"/>
          <w:szCs w:val="24"/>
        </w:rPr>
        <w:t xml:space="preserve">the same outcome because the </w:t>
      </w:r>
      <w:r w:rsidR="00466147" w:rsidRPr="00180A80">
        <w:rPr>
          <w:rFonts w:ascii="Arial" w:eastAsia="Arial" w:hAnsi="Arial" w:cs="Arial"/>
          <w:sz w:val="24"/>
          <w:szCs w:val="24"/>
        </w:rPr>
        <w:t>judgment is determined by the jury that day</w:t>
      </w:r>
      <w:r w:rsidR="00F55A8D" w:rsidRPr="00180A80">
        <w:rPr>
          <w:rFonts w:ascii="Arial" w:eastAsia="Arial" w:hAnsi="Arial" w:cs="Arial"/>
          <w:sz w:val="24"/>
          <w:szCs w:val="24"/>
        </w:rPr>
        <w:t>. This</w:t>
      </w:r>
      <w:r w:rsidR="00466147" w:rsidRPr="00180A80">
        <w:rPr>
          <w:rFonts w:ascii="Arial" w:eastAsia="Arial" w:hAnsi="Arial" w:cs="Arial"/>
          <w:sz w:val="24"/>
          <w:szCs w:val="24"/>
        </w:rPr>
        <w:t xml:space="preserve"> </w:t>
      </w:r>
      <w:r w:rsidR="00F55A8D" w:rsidRPr="00180A80">
        <w:rPr>
          <w:rFonts w:ascii="Arial" w:eastAsia="Arial" w:hAnsi="Arial" w:cs="Arial"/>
          <w:sz w:val="24"/>
          <w:szCs w:val="24"/>
        </w:rPr>
        <w:t xml:space="preserve">factor </w:t>
      </w:r>
      <w:r w:rsidR="00466147" w:rsidRPr="00180A80">
        <w:rPr>
          <w:rFonts w:ascii="Arial" w:eastAsia="Arial" w:hAnsi="Arial" w:cs="Arial"/>
          <w:sz w:val="24"/>
          <w:szCs w:val="24"/>
        </w:rPr>
        <w:t xml:space="preserve">causing this law to be unreliable and simply </w:t>
      </w:r>
      <w:r w:rsidR="00F55A8D" w:rsidRPr="00180A80">
        <w:rPr>
          <w:rFonts w:ascii="Arial" w:eastAsia="Arial" w:hAnsi="Arial" w:cs="Arial"/>
          <w:sz w:val="24"/>
          <w:szCs w:val="24"/>
        </w:rPr>
        <w:t xml:space="preserve">unfair in most </w:t>
      </w:r>
      <w:r w:rsidR="00F55A8D" w:rsidRPr="00180A80">
        <w:rPr>
          <w:rFonts w:ascii="Arial" w:eastAsia="Arial" w:hAnsi="Arial" w:cs="Arial"/>
          <w:sz w:val="24"/>
          <w:szCs w:val="24"/>
        </w:rPr>
        <w:lastRenderedPageBreak/>
        <w:t>cases.</w:t>
      </w:r>
      <w:r w:rsidR="00A13A74" w:rsidRPr="00180A80">
        <w:rPr>
          <w:rFonts w:ascii="Arial" w:eastAsia="Arial" w:hAnsi="Arial" w:cs="Arial"/>
          <w:sz w:val="24"/>
          <w:szCs w:val="24"/>
        </w:rPr>
        <w:t xml:space="preserve"> The </w:t>
      </w:r>
      <w:r w:rsidR="00552CD7" w:rsidRPr="00180A80">
        <w:rPr>
          <w:rFonts w:ascii="Arial" w:eastAsia="Arial" w:hAnsi="Arial" w:cs="Arial"/>
          <w:sz w:val="24"/>
          <w:szCs w:val="24"/>
        </w:rPr>
        <w:t>final</w:t>
      </w:r>
      <w:r w:rsidR="00700B2F" w:rsidRPr="00180A80">
        <w:rPr>
          <w:rFonts w:ascii="Arial" w:eastAsia="Arial" w:hAnsi="Arial" w:cs="Arial"/>
          <w:sz w:val="24"/>
          <w:szCs w:val="24"/>
        </w:rPr>
        <w:t xml:space="preserve"> </w:t>
      </w:r>
      <w:r w:rsidR="00F60936" w:rsidRPr="00180A80">
        <w:rPr>
          <w:rFonts w:ascii="Arial" w:eastAsia="Arial" w:hAnsi="Arial" w:cs="Arial"/>
          <w:sz w:val="24"/>
          <w:szCs w:val="24"/>
        </w:rPr>
        <w:t>key</w:t>
      </w:r>
      <w:r w:rsidR="00552CD7" w:rsidRPr="00180A80">
        <w:rPr>
          <w:rFonts w:ascii="Arial" w:eastAsia="Arial" w:hAnsi="Arial" w:cs="Arial"/>
          <w:sz w:val="24"/>
          <w:szCs w:val="24"/>
        </w:rPr>
        <w:t xml:space="preserve"> issue for the Law Commission on the Homicide Act (1957) is </w:t>
      </w:r>
      <w:r w:rsidR="00197F61" w:rsidRPr="00180A80">
        <w:rPr>
          <w:rFonts w:ascii="Arial" w:eastAsia="Arial" w:hAnsi="Arial" w:cs="Arial"/>
          <w:sz w:val="24"/>
          <w:szCs w:val="24"/>
        </w:rPr>
        <w:t>whether</w:t>
      </w:r>
      <w:r w:rsidR="00552CD7" w:rsidRPr="00180A80">
        <w:rPr>
          <w:rFonts w:ascii="Arial" w:eastAsia="Arial" w:hAnsi="Arial" w:cs="Arial"/>
          <w:sz w:val="24"/>
          <w:szCs w:val="24"/>
        </w:rPr>
        <w:t xml:space="preserve"> the breadth of manslaughter is too broad. </w:t>
      </w:r>
      <w:r w:rsidR="00756D18" w:rsidRPr="00180A80">
        <w:rPr>
          <w:rFonts w:ascii="Arial" w:eastAsia="Arial" w:hAnsi="Arial" w:cs="Arial"/>
          <w:sz w:val="24"/>
          <w:szCs w:val="24"/>
        </w:rPr>
        <w:t xml:space="preserve">Manslaughter is composed by many different attributes such as, Voluntary Manslaughter, Diminished Responsibility, Loss of </w:t>
      </w:r>
      <w:r w:rsidR="000779FA" w:rsidRPr="00180A80">
        <w:rPr>
          <w:rFonts w:ascii="Arial" w:eastAsia="Arial" w:hAnsi="Arial" w:cs="Arial"/>
          <w:sz w:val="24"/>
          <w:szCs w:val="24"/>
        </w:rPr>
        <w:t>Control,</w:t>
      </w:r>
      <w:r w:rsidR="00756D18" w:rsidRPr="00180A80">
        <w:rPr>
          <w:rFonts w:ascii="Arial" w:eastAsia="Arial" w:hAnsi="Arial" w:cs="Arial"/>
          <w:sz w:val="24"/>
          <w:szCs w:val="24"/>
        </w:rPr>
        <w:t xml:space="preserve"> and the Suicide Pact. </w:t>
      </w:r>
      <w:r w:rsidR="004C2781" w:rsidRPr="00180A80">
        <w:rPr>
          <w:rFonts w:ascii="Arial" w:eastAsia="Arial" w:hAnsi="Arial" w:cs="Arial"/>
          <w:sz w:val="24"/>
          <w:szCs w:val="24"/>
        </w:rPr>
        <w:t xml:space="preserve">The issue within this law is whether it is </w:t>
      </w:r>
      <w:r w:rsidR="00752345" w:rsidRPr="00180A80">
        <w:rPr>
          <w:rFonts w:ascii="Arial" w:eastAsia="Arial" w:hAnsi="Arial" w:cs="Arial"/>
          <w:sz w:val="24"/>
          <w:szCs w:val="24"/>
        </w:rPr>
        <w:t>too</w:t>
      </w:r>
      <w:r w:rsidR="00621055" w:rsidRPr="00180A80">
        <w:rPr>
          <w:rFonts w:ascii="Arial" w:eastAsia="Arial" w:hAnsi="Arial" w:cs="Arial"/>
          <w:sz w:val="24"/>
          <w:szCs w:val="24"/>
        </w:rPr>
        <w:t xml:space="preserve"> large a surface and whether the rules and pointers for each </w:t>
      </w:r>
      <w:r w:rsidR="000779FA" w:rsidRPr="00180A80">
        <w:rPr>
          <w:rFonts w:ascii="Arial" w:eastAsia="Arial" w:hAnsi="Arial" w:cs="Arial"/>
          <w:sz w:val="24"/>
          <w:szCs w:val="24"/>
        </w:rPr>
        <w:t>defence could or should be narrowed down to p</w:t>
      </w:r>
      <w:r w:rsidR="006B0506" w:rsidRPr="00180A80">
        <w:rPr>
          <w:rFonts w:ascii="Arial" w:eastAsia="Arial" w:hAnsi="Arial" w:cs="Arial"/>
          <w:sz w:val="24"/>
          <w:szCs w:val="24"/>
        </w:rPr>
        <w:t>erhaps contain the law a bit more</w:t>
      </w:r>
      <w:r w:rsidR="00611B2B" w:rsidRPr="00180A80">
        <w:rPr>
          <w:rFonts w:ascii="Arial" w:eastAsia="Arial" w:hAnsi="Arial" w:cs="Arial"/>
          <w:sz w:val="24"/>
          <w:szCs w:val="24"/>
        </w:rPr>
        <w:t xml:space="preserve">, Taylor (2018). </w:t>
      </w:r>
      <w:r w:rsidR="009B4FC4" w:rsidRPr="00180A80">
        <w:rPr>
          <w:rFonts w:ascii="Arial" w:eastAsia="Arial" w:hAnsi="Arial" w:cs="Arial"/>
          <w:sz w:val="24"/>
          <w:szCs w:val="24"/>
        </w:rPr>
        <w:t>The issues within Manslaughter are the same as those within the partial defences to murder and more.</w:t>
      </w:r>
      <w:r w:rsidR="009B4FC4">
        <w:rPr>
          <w:rFonts w:ascii="Arial" w:eastAsia="Arial" w:hAnsi="Arial" w:cs="Arial"/>
          <w:sz w:val="24"/>
          <w:szCs w:val="24"/>
        </w:rPr>
        <w:t xml:space="preserve"> </w:t>
      </w:r>
    </w:p>
    <w:p w14:paraId="16D2D2C5" w14:textId="77777777" w:rsidR="00506E27" w:rsidRDefault="00506E27" w:rsidP="00E96A6A">
      <w:pPr>
        <w:rPr>
          <w:rFonts w:ascii="Arial" w:eastAsia="Arial" w:hAnsi="Arial" w:cs="Arial"/>
          <w:sz w:val="24"/>
          <w:szCs w:val="24"/>
        </w:rPr>
      </w:pPr>
    </w:p>
    <w:p w14:paraId="7F2C4EFB" w14:textId="30C36CF0" w:rsidR="00506E27" w:rsidRDefault="00F85B71" w:rsidP="00E96A6A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There have been many proposals put forward by the law commission</w:t>
      </w:r>
      <w:r w:rsidR="000C7DAB">
        <w:rPr>
          <w:rFonts w:ascii="Arial" w:eastAsia="Arial" w:hAnsi="Arial" w:cs="Arial"/>
          <w:sz w:val="24"/>
          <w:szCs w:val="24"/>
        </w:rPr>
        <w:t xml:space="preserve"> and other bodies</w:t>
      </w:r>
      <w:r w:rsidR="003165BC">
        <w:rPr>
          <w:rFonts w:ascii="Arial" w:eastAsia="Arial" w:hAnsi="Arial" w:cs="Arial"/>
          <w:sz w:val="24"/>
          <w:szCs w:val="24"/>
        </w:rPr>
        <w:t xml:space="preserve">, some being </w:t>
      </w:r>
      <w:r w:rsidR="00136011">
        <w:rPr>
          <w:rFonts w:ascii="Arial" w:eastAsia="Arial" w:hAnsi="Arial" w:cs="Arial"/>
          <w:sz w:val="24"/>
          <w:szCs w:val="24"/>
        </w:rPr>
        <w:t>accepted,</w:t>
      </w:r>
      <w:r w:rsidR="000C7DAB">
        <w:rPr>
          <w:rFonts w:ascii="Arial" w:eastAsia="Arial" w:hAnsi="Arial" w:cs="Arial"/>
          <w:sz w:val="24"/>
          <w:szCs w:val="24"/>
        </w:rPr>
        <w:t xml:space="preserve"> and some being rejected.</w:t>
      </w:r>
      <w:r w:rsidR="003165BC">
        <w:rPr>
          <w:rFonts w:ascii="Arial" w:eastAsia="Arial" w:hAnsi="Arial" w:cs="Arial"/>
          <w:sz w:val="24"/>
          <w:szCs w:val="24"/>
        </w:rPr>
        <w:t xml:space="preserve"> </w:t>
      </w:r>
      <w:r w:rsidR="00B716BF">
        <w:rPr>
          <w:rFonts w:ascii="Arial" w:eastAsia="Arial" w:hAnsi="Arial" w:cs="Arial"/>
          <w:sz w:val="24"/>
          <w:szCs w:val="24"/>
        </w:rPr>
        <w:t xml:space="preserve">As stated by </w:t>
      </w:r>
      <w:r w:rsidR="000236D5" w:rsidRPr="00180A80">
        <w:rPr>
          <w:rFonts w:ascii="Arial" w:eastAsia="Arial" w:hAnsi="Arial" w:cs="Arial"/>
          <w:sz w:val="24"/>
          <w:szCs w:val="24"/>
        </w:rPr>
        <w:t>Padfield (</w:t>
      </w:r>
      <w:r w:rsidR="00A248E8" w:rsidRPr="00180A80">
        <w:rPr>
          <w:rFonts w:ascii="Arial" w:eastAsia="Arial" w:hAnsi="Arial" w:cs="Arial"/>
          <w:sz w:val="24"/>
          <w:szCs w:val="24"/>
        </w:rPr>
        <w:t>2014)</w:t>
      </w:r>
      <w:r w:rsidR="00A248E8">
        <w:rPr>
          <w:rFonts w:ascii="Arial" w:eastAsia="Arial" w:hAnsi="Arial" w:cs="Arial"/>
          <w:sz w:val="24"/>
          <w:szCs w:val="24"/>
        </w:rPr>
        <w:t xml:space="preserve"> </w:t>
      </w:r>
      <w:r w:rsidR="00B24EFC">
        <w:rPr>
          <w:rFonts w:ascii="Arial" w:eastAsia="Arial" w:hAnsi="Arial" w:cs="Arial"/>
          <w:sz w:val="24"/>
          <w:szCs w:val="24"/>
        </w:rPr>
        <w:t>with</w:t>
      </w:r>
      <w:r w:rsidR="001022CC">
        <w:rPr>
          <w:rFonts w:ascii="Arial" w:eastAsia="Arial" w:hAnsi="Arial" w:cs="Arial"/>
          <w:sz w:val="24"/>
          <w:szCs w:val="24"/>
        </w:rPr>
        <w:t xml:space="preserve">in </w:t>
      </w:r>
      <w:r w:rsidR="00AF00FD">
        <w:rPr>
          <w:rFonts w:ascii="Arial" w:eastAsia="Arial" w:hAnsi="Arial" w:cs="Arial"/>
          <w:sz w:val="24"/>
          <w:szCs w:val="24"/>
        </w:rPr>
        <w:t xml:space="preserve">the consultation paper </w:t>
      </w:r>
      <w:r w:rsidR="00356CE8">
        <w:rPr>
          <w:rFonts w:ascii="Arial" w:eastAsia="Arial" w:hAnsi="Arial" w:cs="Arial"/>
          <w:sz w:val="24"/>
          <w:szCs w:val="24"/>
        </w:rPr>
        <w:t>no. 177 (</w:t>
      </w:r>
      <w:r w:rsidR="001022CC">
        <w:rPr>
          <w:rFonts w:ascii="Arial" w:eastAsia="Arial" w:hAnsi="Arial" w:cs="Arial"/>
          <w:sz w:val="24"/>
          <w:szCs w:val="24"/>
        </w:rPr>
        <w:t>2005</w:t>
      </w:r>
      <w:r w:rsidR="00356CE8">
        <w:rPr>
          <w:rFonts w:ascii="Arial" w:eastAsia="Arial" w:hAnsi="Arial" w:cs="Arial"/>
          <w:sz w:val="24"/>
          <w:szCs w:val="24"/>
        </w:rPr>
        <w:t>)</w:t>
      </w:r>
      <w:r w:rsidR="001022CC">
        <w:rPr>
          <w:rFonts w:ascii="Arial" w:eastAsia="Arial" w:hAnsi="Arial" w:cs="Arial"/>
          <w:sz w:val="24"/>
          <w:szCs w:val="24"/>
        </w:rPr>
        <w:t xml:space="preserve"> the law commission proposed to change</w:t>
      </w:r>
      <w:r w:rsidR="00231BD9">
        <w:rPr>
          <w:rFonts w:ascii="Arial" w:eastAsia="Arial" w:hAnsi="Arial" w:cs="Arial"/>
          <w:sz w:val="24"/>
          <w:szCs w:val="24"/>
        </w:rPr>
        <w:t xml:space="preserve"> the </w:t>
      </w:r>
      <w:r w:rsidR="00A80EA7">
        <w:rPr>
          <w:rFonts w:ascii="Arial" w:eastAsia="Arial" w:hAnsi="Arial" w:cs="Arial"/>
          <w:sz w:val="24"/>
          <w:szCs w:val="24"/>
        </w:rPr>
        <w:t xml:space="preserve">offence of </w:t>
      </w:r>
      <w:r w:rsidR="00CB2F5A">
        <w:rPr>
          <w:rFonts w:ascii="Arial" w:eastAsia="Arial" w:hAnsi="Arial" w:cs="Arial"/>
          <w:sz w:val="24"/>
          <w:szCs w:val="24"/>
        </w:rPr>
        <w:t xml:space="preserve">Manslaughter to the offence of ‘Second Tier Murder’. Within this proposal the law commission proposed to </w:t>
      </w:r>
      <w:r w:rsidR="0062546C">
        <w:rPr>
          <w:rFonts w:ascii="Arial" w:eastAsia="Arial" w:hAnsi="Arial" w:cs="Arial"/>
          <w:sz w:val="24"/>
          <w:szCs w:val="24"/>
        </w:rPr>
        <w:t>change the current</w:t>
      </w:r>
      <w:r w:rsidR="006127F9">
        <w:rPr>
          <w:rFonts w:ascii="Arial" w:eastAsia="Arial" w:hAnsi="Arial" w:cs="Arial"/>
          <w:sz w:val="24"/>
          <w:szCs w:val="24"/>
        </w:rPr>
        <w:t xml:space="preserve"> </w:t>
      </w:r>
      <w:r w:rsidR="0035712B">
        <w:rPr>
          <w:rFonts w:ascii="Arial" w:eastAsia="Arial" w:hAnsi="Arial" w:cs="Arial"/>
          <w:sz w:val="24"/>
          <w:szCs w:val="24"/>
        </w:rPr>
        <w:t xml:space="preserve">criteria </w:t>
      </w:r>
      <w:r w:rsidR="00C06241">
        <w:rPr>
          <w:rFonts w:ascii="Arial" w:eastAsia="Arial" w:hAnsi="Arial" w:cs="Arial"/>
          <w:sz w:val="24"/>
          <w:szCs w:val="24"/>
        </w:rPr>
        <w:t>to</w:t>
      </w:r>
      <w:r w:rsidR="00D45440">
        <w:rPr>
          <w:rFonts w:ascii="Arial" w:eastAsia="Arial" w:hAnsi="Arial" w:cs="Arial"/>
          <w:sz w:val="24"/>
          <w:szCs w:val="24"/>
        </w:rPr>
        <w:t xml:space="preserve">: …with an intention to do serious harm, …with an intention </w:t>
      </w:r>
      <w:r w:rsidR="004C3F81">
        <w:rPr>
          <w:rFonts w:ascii="Arial" w:eastAsia="Arial" w:hAnsi="Arial" w:cs="Arial"/>
          <w:sz w:val="24"/>
          <w:szCs w:val="24"/>
        </w:rPr>
        <w:t xml:space="preserve">to kill but with provocation, …with an intention to kill but with diminished responsibility </w:t>
      </w:r>
      <w:r w:rsidR="00FA5420">
        <w:rPr>
          <w:rFonts w:ascii="Arial" w:eastAsia="Arial" w:hAnsi="Arial" w:cs="Arial"/>
          <w:sz w:val="24"/>
          <w:szCs w:val="24"/>
        </w:rPr>
        <w:t xml:space="preserve">(incorporating what was </w:t>
      </w:r>
      <w:r w:rsidR="00B95954">
        <w:rPr>
          <w:rFonts w:ascii="Arial" w:eastAsia="Arial" w:hAnsi="Arial" w:cs="Arial"/>
          <w:sz w:val="24"/>
          <w:szCs w:val="24"/>
        </w:rPr>
        <w:t xml:space="preserve">before killing within a suicide pact). </w:t>
      </w:r>
      <w:r w:rsidR="00B24EFC">
        <w:rPr>
          <w:rFonts w:ascii="Arial" w:eastAsia="Arial" w:hAnsi="Arial" w:cs="Arial"/>
          <w:sz w:val="24"/>
          <w:szCs w:val="24"/>
        </w:rPr>
        <w:t xml:space="preserve">This proposal however, changed </w:t>
      </w:r>
      <w:r w:rsidR="00356CE8">
        <w:rPr>
          <w:rFonts w:ascii="Arial" w:eastAsia="Arial" w:hAnsi="Arial" w:cs="Arial"/>
          <w:sz w:val="24"/>
          <w:szCs w:val="24"/>
        </w:rPr>
        <w:t>with</w:t>
      </w:r>
      <w:r w:rsidR="00B24EFC">
        <w:rPr>
          <w:rFonts w:ascii="Arial" w:eastAsia="Arial" w:hAnsi="Arial" w:cs="Arial"/>
          <w:sz w:val="24"/>
          <w:szCs w:val="24"/>
        </w:rPr>
        <w:t xml:space="preserve">in </w:t>
      </w:r>
      <w:r w:rsidR="00356CE8">
        <w:rPr>
          <w:rFonts w:ascii="Arial" w:eastAsia="Arial" w:hAnsi="Arial" w:cs="Arial"/>
          <w:sz w:val="24"/>
          <w:szCs w:val="24"/>
        </w:rPr>
        <w:t xml:space="preserve">the recommended structure </w:t>
      </w:r>
      <w:r w:rsidR="00BE0B62">
        <w:rPr>
          <w:rFonts w:ascii="Arial" w:eastAsia="Arial" w:hAnsi="Arial" w:cs="Arial"/>
          <w:sz w:val="24"/>
          <w:szCs w:val="24"/>
        </w:rPr>
        <w:t>in report no. 304 (</w:t>
      </w:r>
      <w:r w:rsidR="00B24EFC">
        <w:rPr>
          <w:rFonts w:ascii="Arial" w:eastAsia="Arial" w:hAnsi="Arial" w:cs="Arial"/>
          <w:sz w:val="24"/>
          <w:szCs w:val="24"/>
        </w:rPr>
        <w:t>2006</w:t>
      </w:r>
      <w:r w:rsidR="00BE0B62">
        <w:rPr>
          <w:rFonts w:ascii="Arial" w:eastAsia="Arial" w:hAnsi="Arial" w:cs="Arial"/>
          <w:sz w:val="24"/>
          <w:szCs w:val="24"/>
        </w:rPr>
        <w:t>)</w:t>
      </w:r>
      <w:r w:rsidR="00B24EFC">
        <w:rPr>
          <w:rFonts w:ascii="Arial" w:eastAsia="Arial" w:hAnsi="Arial" w:cs="Arial"/>
          <w:sz w:val="24"/>
          <w:szCs w:val="24"/>
        </w:rPr>
        <w:t xml:space="preserve"> to </w:t>
      </w:r>
      <w:r w:rsidR="00BE0B62">
        <w:rPr>
          <w:rFonts w:ascii="Arial" w:eastAsia="Arial" w:hAnsi="Arial" w:cs="Arial"/>
          <w:sz w:val="24"/>
          <w:szCs w:val="24"/>
        </w:rPr>
        <w:t xml:space="preserve">‘second degree murder’ </w:t>
      </w:r>
      <w:r w:rsidR="00152B01">
        <w:rPr>
          <w:rFonts w:ascii="Arial" w:eastAsia="Arial" w:hAnsi="Arial" w:cs="Arial"/>
          <w:sz w:val="24"/>
          <w:szCs w:val="24"/>
        </w:rPr>
        <w:t>with the criteria of: …with an intention to do serious injury</w:t>
      </w:r>
      <w:r w:rsidR="005C6E58">
        <w:rPr>
          <w:rFonts w:ascii="Arial" w:eastAsia="Arial" w:hAnsi="Arial" w:cs="Arial"/>
          <w:sz w:val="24"/>
          <w:szCs w:val="24"/>
        </w:rPr>
        <w:t xml:space="preserve"> and …with an intention to cause some injury, or the fear of some injury </w:t>
      </w:r>
      <w:r w:rsidR="00E8378A">
        <w:rPr>
          <w:rFonts w:ascii="Arial" w:eastAsia="Arial" w:hAnsi="Arial" w:cs="Arial"/>
          <w:sz w:val="24"/>
          <w:szCs w:val="24"/>
        </w:rPr>
        <w:t xml:space="preserve">or a risk of some injury whilst </w:t>
      </w:r>
      <w:r w:rsidR="008C0018">
        <w:rPr>
          <w:rFonts w:ascii="Arial" w:eastAsia="Arial" w:hAnsi="Arial" w:cs="Arial"/>
          <w:sz w:val="24"/>
          <w:szCs w:val="24"/>
        </w:rPr>
        <w:t xml:space="preserve">being aware of causing death. </w:t>
      </w:r>
      <w:r w:rsidR="00F04E8A">
        <w:rPr>
          <w:rFonts w:ascii="Arial" w:eastAsia="Arial" w:hAnsi="Arial" w:cs="Arial"/>
          <w:sz w:val="24"/>
          <w:szCs w:val="24"/>
        </w:rPr>
        <w:t xml:space="preserve">Another proposal made by the law commission </w:t>
      </w:r>
      <w:r w:rsidR="00584227">
        <w:rPr>
          <w:rFonts w:ascii="Arial" w:eastAsia="Arial" w:hAnsi="Arial" w:cs="Arial"/>
          <w:sz w:val="24"/>
          <w:szCs w:val="24"/>
        </w:rPr>
        <w:t xml:space="preserve">according to </w:t>
      </w:r>
      <w:r w:rsidR="00584227" w:rsidRPr="00180A80">
        <w:rPr>
          <w:rFonts w:ascii="Arial" w:eastAsia="Arial" w:hAnsi="Arial" w:cs="Arial"/>
          <w:sz w:val="24"/>
          <w:szCs w:val="24"/>
        </w:rPr>
        <w:t>Justice (2021)</w:t>
      </w:r>
      <w:r w:rsidR="00584227">
        <w:rPr>
          <w:rFonts w:ascii="Arial" w:eastAsia="Arial" w:hAnsi="Arial" w:cs="Arial"/>
          <w:sz w:val="24"/>
          <w:szCs w:val="24"/>
        </w:rPr>
        <w:t xml:space="preserve"> </w:t>
      </w:r>
      <w:r w:rsidR="00C75B43">
        <w:rPr>
          <w:rFonts w:ascii="Arial" w:eastAsia="Arial" w:hAnsi="Arial" w:cs="Arial"/>
          <w:sz w:val="24"/>
          <w:szCs w:val="24"/>
        </w:rPr>
        <w:t xml:space="preserve">was </w:t>
      </w:r>
      <w:r w:rsidR="00B75919">
        <w:rPr>
          <w:rFonts w:ascii="Arial" w:eastAsia="Arial" w:hAnsi="Arial" w:cs="Arial"/>
          <w:sz w:val="24"/>
          <w:szCs w:val="24"/>
        </w:rPr>
        <w:t xml:space="preserve">to modernise the term of </w:t>
      </w:r>
      <w:r w:rsidR="00D92020">
        <w:rPr>
          <w:rFonts w:ascii="Arial" w:eastAsia="Arial" w:hAnsi="Arial" w:cs="Arial"/>
          <w:sz w:val="24"/>
          <w:szCs w:val="24"/>
        </w:rPr>
        <w:t>the diminished responsibility defence</w:t>
      </w:r>
      <w:r w:rsidR="000F290B">
        <w:rPr>
          <w:rFonts w:ascii="Arial" w:eastAsia="Arial" w:hAnsi="Arial" w:cs="Arial"/>
          <w:sz w:val="24"/>
          <w:szCs w:val="24"/>
        </w:rPr>
        <w:t xml:space="preserve">, the requirements for this new proposal would be </w:t>
      </w:r>
      <w:r w:rsidR="00B54799">
        <w:rPr>
          <w:rFonts w:ascii="Arial" w:eastAsia="Arial" w:hAnsi="Arial" w:cs="Arial"/>
          <w:sz w:val="24"/>
          <w:szCs w:val="24"/>
        </w:rPr>
        <w:t xml:space="preserve">to include an abnormality of mental functioning which would stem from a recognised mental condition </w:t>
      </w:r>
      <w:r w:rsidR="00A9093C">
        <w:rPr>
          <w:rFonts w:ascii="Arial" w:eastAsia="Arial" w:hAnsi="Arial" w:cs="Arial"/>
          <w:sz w:val="24"/>
          <w:szCs w:val="24"/>
        </w:rPr>
        <w:t xml:space="preserve">and in cases where the defendant is under the age of 18 </w:t>
      </w:r>
      <w:r w:rsidR="00D33003">
        <w:rPr>
          <w:rFonts w:ascii="Arial" w:eastAsia="Arial" w:hAnsi="Arial" w:cs="Arial"/>
          <w:sz w:val="24"/>
          <w:szCs w:val="24"/>
        </w:rPr>
        <w:t>development immaturity</w:t>
      </w:r>
      <w:r w:rsidR="001859A6">
        <w:rPr>
          <w:rFonts w:ascii="Arial" w:eastAsia="Arial" w:hAnsi="Arial" w:cs="Arial"/>
          <w:sz w:val="24"/>
          <w:szCs w:val="24"/>
        </w:rPr>
        <w:t xml:space="preserve">. These partial defences would go on to reduce the </w:t>
      </w:r>
      <w:r w:rsidR="00BA1D1A">
        <w:rPr>
          <w:rFonts w:ascii="Arial" w:eastAsia="Arial" w:hAnsi="Arial" w:cs="Arial"/>
          <w:sz w:val="24"/>
          <w:szCs w:val="24"/>
        </w:rPr>
        <w:t xml:space="preserve">sentencing of first-degree murder to second degree murder as to the current law which would reduce murder to manslaughter. </w:t>
      </w:r>
      <w:r w:rsidR="0055451A">
        <w:rPr>
          <w:rFonts w:ascii="Arial" w:eastAsia="Arial" w:hAnsi="Arial" w:cs="Arial"/>
          <w:sz w:val="24"/>
          <w:szCs w:val="24"/>
        </w:rPr>
        <w:t xml:space="preserve">A proposal put forward by the law commission which was accepted was the proposal of changing the </w:t>
      </w:r>
      <w:r w:rsidR="00922F87">
        <w:rPr>
          <w:rFonts w:ascii="Arial" w:eastAsia="Arial" w:hAnsi="Arial" w:cs="Arial"/>
          <w:sz w:val="24"/>
          <w:szCs w:val="24"/>
        </w:rPr>
        <w:t>Provocation</w:t>
      </w:r>
      <w:r w:rsidR="0055451A">
        <w:rPr>
          <w:rFonts w:ascii="Arial" w:eastAsia="Arial" w:hAnsi="Arial" w:cs="Arial"/>
          <w:sz w:val="24"/>
          <w:szCs w:val="24"/>
        </w:rPr>
        <w:t xml:space="preserve"> defence to the Loss of control defence. </w:t>
      </w:r>
      <w:r w:rsidR="006D121A">
        <w:rPr>
          <w:rFonts w:ascii="Arial" w:eastAsia="Arial" w:hAnsi="Arial" w:cs="Arial"/>
          <w:sz w:val="24"/>
          <w:szCs w:val="24"/>
        </w:rPr>
        <w:t xml:space="preserve">According to the law commission (2006) the defence of provocation was a </w:t>
      </w:r>
      <w:r w:rsidR="00E8207E">
        <w:rPr>
          <w:rFonts w:ascii="Arial" w:eastAsia="Arial" w:hAnsi="Arial" w:cs="Arial"/>
          <w:sz w:val="24"/>
          <w:szCs w:val="24"/>
        </w:rPr>
        <w:t xml:space="preserve">confusing mix of judge-made law and legislative </w:t>
      </w:r>
      <w:r w:rsidR="00972E35">
        <w:rPr>
          <w:rFonts w:ascii="Arial" w:eastAsia="Arial" w:hAnsi="Arial" w:cs="Arial"/>
          <w:sz w:val="24"/>
          <w:szCs w:val="24"/>
        </w:rPr>
        <w:t>provision, it</w:t>
      </w:r>
      <w:r w:rsidR="003458DD">
        <w:rPr>
          <w:rFonts w:ascii="Arial" w:eastAsia="Arial" w:hAnsi="Arial" w:cs="Arial"/>
          <w:sz w:val="24"/>
          <w:szCs w:val="24"/>
        </w:rPr>
        <w:t xml:space="preserve"> is stated the defence has become unclear which henceforth required the </w:t>
      </w:r>
      <w:r w:rsidR="00281E50">
        <w:rPr>
          <w:rFonts w:ascii="Arial" w:eastAsia="Arial" w:hAnsi="Arial" w:cs="Arial"/>
          <w:sz w:val="24"/>
          <w:szCs w:val="24"/>
        </w:rPr>
        <w:t>need for the new proposal of loss of control</w:t>
      </w:r>
      <w:r w:rsidR="006E69FD">
        <w:rPr>
          <w:rFonts w:ascii="Arial" w:eastAsia="Arial" w:hAnsi="Arial" w:cs="Arial"/>
          <w:sz w:val="24"/>
          <w:szCs w:val="24"/>
        </w:rPr>
        <w:t xml:space="preserve">, which came about in 2009. </w:t>
      </w:r>
      <w:r w:rsidR="009442C7">
        <w:rPr>
          <w:rFonts w:ascii="Arial" w:eastAsia="Arial" w:hAnsi="Arial" w:cs="Arial"/>
          <w:sz w:val="24"/>
          <w:szCs w:val="24"/>
        </w:rPr>
        <w:t xml:space="preserve">Although </w:t>
      </w:r>
      <w:r w:rsidR="00AB11E1">
        <w:rPr>
          <w:rFonts w:ascii="Arial" w:eastAsia="Arial" w:hAnsi="Arial" w:cs="Arial"/>
          <w:sz w:val="24"/>
          <w:szCs w:val="24"/>
        </w:rPr>
        <w:t xml:space="preserve">the above shows all positive </w:t>
      </w:r>
      <w:r w:rsidR="00BD3DEC">
        <w:rPr>
          <w:rFonts w:ascii="Arial" w:eastAsia="Arial" w:hAnsi="Arial" w:cs="Arial"/>
          <w:sz w:val="24"/>
          <w:szCs w:val="24"/>
        </w:rPr>
        <w:t>contributing</w:t>
      </w:r>
      <w:r w:rsidR="00AB11E1">
        <w:rPr>
          <w:rFonts w:ascii="Arial" w:eastAsia="Arial" w:hAnsi="Arial" w:cs="Arial"/>
          <w:sz w:val="24"/>
          <w:szCs w:val="24"/>
        </w:rPr>
        <w:t xml:space="preserve"> factors to </w:t>
      </w:r>
      <w:r w:rsidR="009442C7">
        <w:rPr>
          <w:rFonts w:ascii="Arial" w:eastAsia="Arial" w:hAnsi="Arial" w:cs="Arial"/>
          <w:sz w:val="24"/>
          <w:szCs w:val="24"/>
        </w:rPr>
        <w:t xml:space="preserve">the reform of </w:t>
      </w:r>
      <w:r w:rsidR="003726FD">
        <w:rPr>
          <w:rFonts w:ascii="Arial" w:eastAsia="Arial" w:hAnsi="Arial" w:cs="Arial"/>
          <w:sz w:val="24"/>
          <w:szCs w:val="24"/>
        </w:rPr>
        <w:t>Homicide the</w:t>
      </w:r>
      <w:r w:rsidR="003074C1">
        <w:rPr>
          <w:rFonts w:ascii="Arial" w:eastAsia="Arial" w:hAnsi="Arial" w:cs="Arial"/>
          <w:sz w:val="24"/>
          <w:szCs w:val="24"/>
        </w:rPr>
        <w:t xml:space="preserve"> decision goes a lot further than just the Law Commissions opinions, there are many arguments </w:t>
      </w:r>
      <w:r w:rsidR="00193A6D">
        <w:rPr>
          <w:rFonts w:ascii="Arial" w:eastAsia="Arial" w:hAnsi="Arial" w:cs="Arial"/>
          <w:sz w:val="24"/>
          <w:szCs w:val="24"/>
        </w:rPr>
        <w:t>in favour</w:t>
      </w:r>
      <w:r w:rsidR="003074C1">
        <w:rPr>
          <w:rFonts w:ascii="Arial" w:eastAsia="Arial" w:hAnsi="Arial" w:cs="Arial"/>
          <w:sz w:val="24"/>
          <w:szCs w:val="24"/>
        </w:rPr>
        <w:t xml:space="preserve"> and against the proposals </w:t>
      </w:r>
      <w:r w:rsidR="00193A6D">
        <w:rPr>
          <w:rFonts w:ascii="Arial" w:eastAsia="Arial" w:hAnsi="Arial" w:cs="Arial"/>
          <w:sz w:val="24"/>
          <w:szCs w:val="24"/>
        </w:rPr>
        <w:t xml:space="preserve">which have been </w:t>
      </w:r>
      <w:r w:rsidR="003074C1">
        <w:rPr>
          <w:rFonts w:ascii="Arial" w:eastAsia="Arial" w:hAnsi="Arial" w:cs="Arial"/>
          <w:sz w:val="24"/>
          <w:szCs w:val="24"/>
        </w:rPr>
        <w:t xml:space="preserve">set forward. </w:t>
      </w:r>
      <w:r w:rsidR="00193A6D">
        <w:rPr>
          <w:rFonts w:ascii="Arial" w:eastAsia="Arial" w:hAnsi="Arial" w:cs="Arial"/>
          <w:sz w:val="24"/>
          <w:szCs w:val="24"/>
        </w:rPr>
        <w:t xml:space="preserve">For example, according to the Law Commission (2015) </w:t>
      </w:r>
      <w:r w:rsidR="007E225B">
        <w:rPr>
          <w:rFonts w:ascii="Arial" w:eastAsia="Arial" w:hAnsi="Arial" w:cs="Arial"/>
          <w:sz w:val="24"/>
          <w:szCs w:val="24"/>
        </w:rPr>
        <w:t xml:space="preserve">the </w:t>
      </w:r>
      <w:r w:rsidR="00154AFC">
        <w:rPr>
          <w:rFonts w:ascii="Arial" w:eastAsia="Arial" w:hAnsi="Arial" w:cs="Arial"/>
          <w:sz w:val="24"/>
          <w:szCs w:val="24"/>
        </w:rPr>
        <w:t>B</w:t>
      </w:r>
      <w:r w:rsidR="007E225B">
        <w:rPr>
          <w:rFonts w:ascii="Arial" w:eastAsia="Arial" w:hAnsi="Arial" w:cs="Arial"/>
          <w:sz w:val="24"/>
          <w:szCs w:val="24"/>
        </w:rPr>
        <w:t xml:space="preserve">ar </w:t>
      </w:r>
      <w:r w:rsidR="00154AFC">
        <w:rPr>
          <w:rFonts w:ascii="Arial" w:eastAsia="Arial" w:hAnsi="Arial" w:cs="Arial"/>
          <w:sz w:val="24"/>
          <w:szCs w:val="24"/>
        </w:rPr>
        <w:t>C</w:t>
      </w:r>
      <w:r w:rsidR="007E225B">
        <w:rPr>
          <w:rFonts w:ascii="Arial" w:eastAsia="Arial" w:hAnsi="Arial" w:cs="Arial"/>
          <w:sz w:val="24"/>
          <w:szCs w:val="24"/>
        </w:rPr>
        <w:t xml:space="preserve">ouncil and the </w:t>
      </w:r>
      <w:r w:rsidR="00154AFC">
        <w:rPr>
          <w:rFonts w:ascii="Arial" w:eastAsia="Arial" w:hAnsi="Arial" w:cs="Arial"/>
          <w:sz w:val="24"/>
          <w:szCs w:val="24"/>
        </w:rPr>
        <w:t>C</w:t>
      </w:r>
      <w:r w:rsidR="007E225B">
        <w:rPr>
          <w:rFonts w:ascii="Arial" w:eastAsia="Arial" w:hAnsi="Arial" w:cs="Arial"/>
          <w:sz w:val="24"/>
          <w:szCs w:val="24"/>
        </w:rPr>
        <w:t xml:space="preserve">riminal </w:t>
      </w:r>
      <w:r w:rsidR="00154AFC">
        <w:rPr>
          <w:rFonts w:ascii="Arial" w:eastAsia="Arial" w:hAnsi="Arial" w:cs="Arial"/>
          <w:sz w:val="24"/>
          <w:szCs w:val="24"/>
        </w:rPr>
        <w:t>B</w:t>
      </w:r>
      <w:r w:rsidR="007E225B">
        <w:rPr>
          <w:rFonts w:ascii="Arial" w:eastAsia="Arial" w:hAnsi="Arial" w:cs="Arial"/>
          <w:sz w:val="24"/>
          <w:szCs w:val="24"/>
        </w:rPr>
        <w:t xml:space="preserve">ar </w:t>
      </w:r>
      <w:r w:rsidR="00154AFC">
        <w:rPr>
          <w:rFonts w:ascii="Arial" w:eastAsia="Arial" w:hAnsi="Arial" w:cs="Arial"/>
          <w:sz w:val="24"/>
          <w:szCs w:val="24"/>
        </w:rPr>
        <w:t>A</w:t>
      </w:r>
      <w:r w:rsidR="007E225B">
        <w:rPr>
          <w:rFonts w:ascii="Arial" w:eastAsia="Arial" w:hAnsi="Arial" w:cs="Arial"/>
          <w:sz w:val="24"/>
          <w:szCs w:val="24"/>
        </w:rPr>
        <w:t>ssociation</w:t>
      </w:r>
      <w:r w:rsidR="00154AFC">
        <w:rPr>
          <w:rFonts w:ascii="Arial" w:eastAsia="Arial" w:hAnsi="Arial" w:cs="Arial"/>
          <w:sz w:val="24"/>
          <w:szCs w:val="24"/>
        </w:rPr>
        <w:t xml:space="preserve"> have both argued </w:t>
      </w:r>
      <w:r w:rsidR="0051556A">
        <w:rPr>
          <w:rFonts w:ascii="Arial" w:eastAsia="Arial" w:hAnsi="Arial" w:cs="Arial"/>
          <w:sz w:val="24"/>
          <w:szCs w:val="24"/>
        </w:rPr>
        <w:t>against the reform.</w:t>
      </w:r>
      <w:r w:rsidR="00E855EA">
        <w:rPr>
          <w:rFonts w:ascii="Arial" w:eastAsia="Arial" w:hAnsi="Arial" w:cs="Arial"/>
          <w:sz w:val="24"/>
          <w:szCs w:val="24"/>
        </w:rPr>
        <w:t xml:space="preserve"> They believe that </w:t>
      </w:r>
      <w:r w:rsidR="00CE04B6">
        <w:rPr>
          <w:rFonts w:ascii="Arial" w:eastAsia="Arial" w:hAnsi="Arial" w:cs="Arial"/>
          <w:sz w:val="24"/>
          <w:szCs w:val="24"/>
        </w:rPr>
        <w:t xml:space="preserve">the defects within the act where highly theoretical and that </w:t>
      </w:r>
      <w:r w:rsidR="00BE6FA5">
        <w:rPr>
          <w:rFonts w:ascii="Arial" w:eastAsia="Arial" w:hAnsi="Arial" w:cs="Arial"/>
          <w:sz w:val="24"/>
          <w:szCs w:val="24"/>
        </w:rPr>
        <w:t xml:space="preserve">a few offences could be removed however, without the </w:t>
      </w:r>
      <w:r w:rsidR="003726FD">
        <w:rPr>
          <w:rFonts w:ascii="Arial" w:eastAsia="Arial" w:hAnsi="Arial" w:cs="Arial"/>
          <w:sz w:val="24"/>
          <w:szCs w:val="24"/>
        </w:rPr>
        <w:t>requirement f</w:t>
      </w:r>
      <w:r w:rsidR="00BE6FA5">
        <w:rPr>
          <w:rFonts w:ascii="Arial" w:eastAsia="Arial" w:hAnsi="Arial" w:cs="Arial"/>
          <w:sz w:val="24"/>
          <w:szCs w:val="24"/>
        </w:rPr>
        <w:t xml:space="preserve">or comprehensive </w:t>
      </w:r>
      <w:r w:rsidR="003726FD">
        <w:rPr>
          <w:rFonts w:ascii="Arial" w:eastAsia="Arial" w:hAnsi="Arial" w:cs="Arial"/>
          <w:sz w:val="24"/>
          <w:szCs w:val="24"/>
        </w:rPr>
        <w:t>replacement.</w:t>
      </w:r>
      <w:r w:rsidR="00396ABA">
        <w:rPr>
          <w:rFonts w:ascii="Arial" w:eastAsia="Arial" w:hAnsi="Arial" w:cs="Arial"/>
          <w:sz w:val="24"/>
          <w:szCs w:val="24"/>
        </w:rPr>
        <w:t xml:space="preserve"> The Law Commission (2015) also states that </w:t>
      </w:r>
      <w:r w:rsidR="00B3551B">
        <w:rPr>
          <w:rFonts w:ascii="Arial" w:eastAsia="Arial" w:hAnsi="Arial" w:cs="Arial"/>
          <w:sz w:val="24"/>
          <w:szCs w:val="24"/>
        </w:rPr>
        <w:t>a new statute would be hard to draft and will result in many mistakes to come by the new law</w:t>
      </w:r>
      <w:r w:rsidR="00A14C7E">
        <w:rPr>
          <w:rFonts w:ascii="Arial" w:eastAsia="Arial" w:hAnsi="Arial" w:cs="Arial"/>
          <w:sz w:val="24"/>
          <w:szCs w:val="24"/>
        </w:rPr>
        <w:t xml:space="preserve">, this being an argument against that the Law Commission </w:t>
      </w:r>
      <w:r w:rsidR="00BF4203">
        <w:rPr>
          <w:rFonts w:ascii="Arial" w:eastAsia="Arial" w:hAnsi="Arial" w:cs="Arial"/>
          <w:sz w:val="24"/>
          <w:szCs w:val="24"/>
        </w:rPr>
        <w:t>do not find convincing. Although the reform of the law is within the hands of the Law Commission and the opinions of other large bodies are needed</w:t>
      </w:r>
      <w:r w:rsidR="00486181">
        <w:rPr>
          <w:rFonts w:ascii="Arial" w:eastAsia="Arial" w:hAnsi="Arial" w:cs="Arial"/>
          <w:sz w:val="24"/>
          <w:szCs w:val="24"/>
        </w:rPr>
        <w:t>, what is a vital part of the reform is the publics matter of opinion</w:t>
      </w:r>
      <w:r w:rsidR="00832409">
        <w:rPr>
          <w:rFonts w:ascii="Arial" w:eastAsia="Arial" w:hAnsi="Arial" w:cs="Arial"/>
          <w:sz w:val="24"/>
          <w:szCs w:val="24"/>
        </w:rPr>
        <w:t xml:space="preserve"> as in a matter of justice. </w:t>
      </w:r>
    </w:p>
    <w:p w14:paraId="706D9400" w14:textId="77777777" w:rsidR="00747EDC" w:rsidRDefault="00747EDC" w:rsidP="00E96A6A">
      <w:pPr>
        <w:rPr>
          <w:rFonts w:ascii="Arial" w:eastAsia="Arial" w:hAnsi="Arial" w:cs="Arial"/>
          <w:sz w:val="24"/>
          <w:szCs w:val="24"/>
        </w:rPr>
      </w:pPr>
    </w:p>
    <w:p w14:paraId="709A2492" w14:textId="6D5535EB" w:rsidR="00747EDC" w:rsidRDefault="00747EDC" w:rsidP="00E96A6A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In conclusion, the reform of the Homicide Act (1957) is greatly needed due to </w:t>
      </w:r>
      <w:r w:rsidR="007A7411">
        <w:rPr>
          <w:rFonts w:ascii="Arial" w:eastAsia="Arial" w:hAnsi="Arial" w:cs="Arial"/>
          <w:sz w:val="24"/>
          <w:szCs w:val="24"/>
        </w:rPr>
        <w:t xml:space="preserve">its largely out of date laws. </w:t>
      </w:r>
      <w:r w:rsidR="005C1A4D">
        <w:rPr>
          <w:rFonts w:ascii="Arial" w:eastAsia="Arial" w:hAnsi="Arial" w:cs="Arial"/>
          <w:sz w:val="24"/>
          <w:szCs w:val="24"/>
        </w:rPr>
        <w:t xml:space="preserve">The largely speculated </w:t>
      </w:r>
      <w:r w:rsidR="00593859">
        <w:rPr>
          <w:rFonts w:ascii="Arial" w:eastAsia="Arial" w:hAnsi="Arial" w:cs="Arial"/>
          <w:sz w:val="24"/>
          <w:szCs w:val="24"/>
        </w:rPr>
        <w:t xml:space="preserve">proposals are up to date in terms of medical </w:t>
      </w:r>
      <w:r w:rsidR="00FB372A">
        <w:rPr>
          <w:rFonts w:ascii="Arial" w:eastAsia="Arial" w:hAnsi="Arial" w:cs="Arial"/>
          <w:sz w:val="24"/>
          <w:szCs w:val="24"/>
        </w:rPr>
        <w:t>definitions and narrow down the law to</w:t>
      </w:r>
      <w:r w:rsidR="00F71B69">
        <w:rPr>
          <w:rFonts w:ascii="Arial" w:eastAsia="Arial" w:hAnsi="Arial" w:cs="Arial"/>
          <w:sz w:val="24"/>
          <w:szCs w:val="24"/>
        </w:rPr>
        <w:t xml:space="preserve"> providing more appropriate sentencing for those who commit the unlawful act.</w:t>
      </w:r>
      <w:r w:rsidR="002A1DD1">
        <w:rPr>
          <w:rFonts w:ascii="Arial" w:eastAsia="Arial" w:hAnsi="Arial" w:cs="Arial"/>
          <w:sz w:val="24"/>
          <w:szCs w:val="24"/>
        </w:rPr>
        <w:t xml:space="preserve"> Although it is stated the new laws will bring about mistakes leading to </w:t>
      </w:r>
      <w:r w:rsidR="005A1211">
        <w:rPr>
          <w:rFonts w:ascii="Arial" w:eastAsia="Arial" w:hAnsi="Arial" w:cs="Arial"/>
          <w:sz w:val="24"/>
          <w:szCs w:val="24"/>
        </w:rPr>
        <w:t>dealing the wrong sentences, this is all part of change and reform that the law is in dire need of. As stated by the Law commission (2015)</w:t>
      </w:r>
      <w:r w:rsidR="002B5E98">
        <w:rPr>
          <w:rFonts w:ascii="Arial" w:eastAsia="Arial" w:hAnsi="Arial" w:cs="Arial"/>
          <w:sz w:val="24"/>
          <w:szCs w:val="24"/>
        </w:rPr>
        <w:t xml:space="preserve"> Lord Chief Justice; “Work to reform </w:t>
      </w:r>
      <w:r w:rsidR="00EB166B">
        <w:rPr>
          <w:rFonts w:ascii="Arial" w:eastAsia="Arial" w:hAnsi="Arial" w:cs="Arial"/>
          <w:sz w:val="24"/>
          <w:szCs w:val="24"/>
        </w:rPr>
        <w:t>this area would also provide an opportunity to modernise our criminal law</w:t>
      </w:r>
      <w:r w:rsidR="00ED4419">
        <w:rPr>
          <w:rFonts w:ascii="Arial" w:eastAsia="Arial" w:hAnsi="Arial" w:cs="Arial"/>
          <w:sz w:val="24"/>
          <w:szCs w:val="24"/>
        </w:rPr>
        <w:t>”.</w:t>
      </w:r>
    </w:p>
    <w:p w14:paraId="0838A8B8" w14:textId="77777777" w:rsidR="00FC7C3C" w:rsidRDefault="00FC7C3C" w:rsidP="00E96A6A">
      <w:pPr>
        <w:rPr>
          <w:rFonts w:ascii="Arial" w:eastAsia="Arial" w:hAnsi="Arial" w:cs="Arial"/>
          <w:sz w:val="40"/>
          <w:szCs w:val="40"/>
        </w:rPr>
      </w:pPr>
    </w:p>
    <w:p w14:paraId="1590DB38" w14:textId="77777777" w:rsidR="00FC7C3C" w:rsidRDefault="00FC7C3C" w:rsidP="00E96A6A">
      <w:pPr>
        <w:rPr>
          <w:rFonts w:ascii="Arial" w:eastAsia="Arial" w:hAnsi="Arial" w:cs="Arial"/>
          <w:sz w:val="40"/>
          <w:szCs w:val="40"/>
        </w:rPr>
      </w:pPr>
    </w:p>
    <w:p w14:paraId="5B9BC194" w14:textId="77777777" w:rsidR="00FC7C3C" w:rsidRDefault="00FC7C3C" w:rsidP="00E96A6A">
      <w:pPr>
        <w:rPr>
          <w:rFonts w:ascii="Arial" w:eastAsia="Arial" w:hAnsi="Arial" w:cs="Arial"/>
          <w:sz w:val="40"/>
          <w:szCs w:val="40"/>
        </w:rPr>
      </w:pPr>
    </w:p>
    <w:p w14:paraId="14FC90FB" w14:textId="77777777" w:rsidR="00FC7C3C" w:rsidRDefault="00FC7C3C" w:rsidP="00E96A6A">
      <w:pPr>
        <w:rPr>
          <w:rFonts w:ascii="Arial" w:eastAsia="Arial" w:hAnsi="Arial" w:cs="Arial"/>
          <w:sz w:val="40"/>
          <w:szCs w:val="40"/>
        </w:rPr>
      </w:pPr>
    </w:p>
    <w:p w14:paraId="57F26DA6" w14:textId="77777777" w:rsidR="00FC7C3C" w:rsidRDefault="00FC7C3C" w:rsidP="00E96A6A">
      <w:pPr>
        <w:rPr>
          <w:rFonts w:ascii="Arial" w:eastAsia="Arial" w:hAnsi="Arial" w:cs="Arial"/>
          <w:sz w:val="40"/>
          <w:szCs w:val="40"/>
        </w:rPr>
      </w:pPr>
    </w:p>
    <w:p w14:paraId="40DD1A03" w14:textId="77777777" w:rsidR="00773526" w:rsidRDefault="00773526" w:rsidP="00E96A6A">
      <w:pPr>
        <w:rPr>
          <w:rFonts w:ascii="Arial" w:eastAsia="Arial" w:hAnsi="Arial" w:cs="Arial"/>
          <w:sz w:val="40"/>
          <w:szCs w:val="40"/>
        </w:rPr>
      </w:pPr>
    </w:p>
    <w:p w14:paraId="77522B0E" w14:textId="77777777" w:rsidR="00773526" w:rsidRDefault="00773526" w:rsidP="00E96A6A">
      <w:pPr>
        <w:rPr>
          <w:rFonts w:ascii="Arial" w:eastAsia="Arial" w:hAnsi="Arial" w:cs="Arial"/>
          <w:sz w:val="40"/>
          <w:szCs w:val="40"/>
        </w:rPr>
      </w:pPr>
    </w:p>
    <w:p w14:paraId="181D2835" w14:textId="77777777" w:rsidR="00773526" w:rsidRDefault="00773526" w:rsidP="00E96A6A">
      <w:pPr>
        <w:rPr>
          <w:rFonts w:ascii="Arial" w:eastAsia="Arial" w:hAnsi="Arial" w:cs="Arial"/>
          <w:sz w:val="40"/>
          <w:szCs w:val="40"/>
        </w:rPr>
      </w:pPr>
    </w:p>
    <w:p w14:paraId="4FA930E4" w14:textId="77777777" w:rsidR="00773526" w:rsidRDefault="00773526" w:rsidP="00E96A6A">
      <w:pPr>
        <w:rPr>
          <w:rFonts w:ascii="Arial" w:eastAsia="Arial" w:hAnsi="Arial" w:cs="Arial"/>
          <w:sz w:val="40"/>
          <w:szCs w:val="40"/>
        </w:rPr>
      </w:pPr>
    </w:p>
    <w:p w14:paraId="388FC783" w14:textId="77777777" w:rsidR="00773526" w:rsidRDefault="00773526" w:rsidP="00E96A6A">
      <w:pPr>
        <w:rPr>
          <w:rFonts w:ascii="Arial" w:eastAsia="Arial" w:hAnsi="Arial" w:cs="Arial"/>
          <w:sz w:val="40"/>
          <w:szCs w:val="40"/>
        </w:rPr>
      </w:pPr>
    </w:p>
    <w:p w14:paraId="4E482F29" w14:textId="77777777" w:rsidR="00773526" w:rsidRDefault="00773526" w:rsidP="00E96A6A">
      <w:pPr>
        <w:rPr>
          <w:rFonts w:ascii="Arial" w:eastAsia="Arial" w:hAnsi="Arial" w:cs="Arial"/>
          <w:sz w:val="40"/>
          <w:szCs w:val="40"/>
        </w:rPr>
      </w:pPr>
    </w:p>
    <w:p w14:paraId="16599D01" w14:textId="77777777" w:rsidR="00773526" w:rsidRDefault="00773526" w:rsidP="00E96A6A">
      <w:pPr>
        <w:rPr>
          <w:rFonts w:ascii="Arial" w:eastAsia="Arial" w:hAnsi="Arial" w:cs="Arial"/>
          <w:sz w:val="40"/>
          <w:szCs w:val="40"/>
        </w:rPr>
      </w:pPr>
    </w:p>
    <w:p w14:paraId="318C4A2C" w14:textId="77777777" w:rsidR="00773526" w:rsidRDefault="00773526" w:rsidP="00E96A6A">
      <w:pPr>
        <w:rPr>
          <w:rFonts w:ascii="Arial" w:eastAsia="Arial" w:hAnsi="Arial" w:cs="Arial"/>
          <w:sz w:val="40"/>
          <w:szCs w:val="40"/>
        </w:rPr>
      </w:pPr>
    </w:p>
    <w:p w14:paraId="022CA9F4" w14:textId="77777777" w:rsidR="00773526" w:rsidRDefault="00773526" w:rsidP="00E96A6A">
      <w:pPr>
        <w:rPr>
          <w:rFonts w:ascii="Arial" w:eastAsia="Arial" w:hAnsi="Arial" w:cs="Arial"/>
          <w:sz w:val="40"/>
          <w:szCs w:val="40"/>
        </w:rPr>
      </w:pPr>
    </w:p>
    <w:p w14:paraId="0DCB5945" w14:textId="77777777" w:rsidR="00773526" w:rsidRDefault="00773526" w:rsidP="00E96A6A">
      <w:pPr>
        <w:rPr>
          <w:rFonts w:ascii="Arial" w:eastAsia="Arial" w:hAnsi="Arial" w:cs="Arial"/>
          <w:sz w:val="40"/>
          <w:szCs w:val="40"/>
        </w:rPr>
      </w:pPr>
    </w:p>
    <w:p w14:paraId="662ECD18" w14:textId="77777777" w:rsidR="00ED4419" w:rsidRDefault="00ED4419" w:rsidP="00E96A6A">
      <w:pPr>
        <w:rPr>
          <w:rFonts w:ascii="Arial" w:eastAsia="Arial" w:hAnsi="Arial" w:cs="Arial"/>
          <w:sz w:val="40"/>
          <w:szCs w:val="40"/>
        </w:rPr>
      </w:pPr>
    </w:p>
    <w:p w14:paraId="2EED77FD" w14:textId="09F3B9E2" w:rsidR="00CC41BF" w:rsidRDefault="00CC41BF" w:rsidP="00E96A6A">
      <w:pPr>
        <w:rPr>
          <w:rFonts w:ascii="Arial" w:eastAsia="Arial" w:hAnsi="Arial" w:cs="Arial"/>
          <w:sz w:val="40"/>
          <w:szCs w:val="40"/>
        </w:rPr>
      </w:pPr>
      <w:r w:rsidRPr="00CC41BF">
        <w:rPr>
          <w:rFonts w:ascii="Arial" w:eastAsia="Arial" w:hAnsi="Arial" w:cs="Arial"/>
          <w:sz w:val="40"/>
          <w:szCs w:val="40"/>
        </w:rPr>
        <w:lastRenderedPageBreak/>
        <w:t>References</w:t>
      </w:r>
      <w:r>
        <w:rPr>
          <w:rFonts w:ascii="Arial" w:eastAsia="Arial" w:hAnsi="Arial" w:cs="Arial"/>
          <w:sz w:val="40"/>
          <w:szCs w:val="40"/>
        </w:rPr>
        <w:t>:</w:t>
      </w:r>
    </w:p>
    <w:p w14:paraId="67C64FA5" w14:textId="3941DE3A" w:rsidR="00CC41BF" w:rsidRPr="008713B5" w:rsidRDefault="00CC41BF" w:rsidP="00085ED5">
      <w:pPr>
        <w:pStyle w:val="ListParagraph"/>
        <w:numPr>
          <w:ilvl w:val="0"/>
          <w:numId w:val="9"/>
        </w:numPr>
        <w:rPr>
          <w:rStyle w:val="Hyperlink"/>
          <w:rFonts w:ascii="Arial" w:eastAsia="Arial" w:hAnsi="Arial" w:cs="Arial"/>
          <w:i/>
          <w:iCs/>
          <w:color w:val="auto"/>
          <w:sz w:val="24"/>
          <w:szCs w:val="24"/>
          <w:u w:val="none"/>
        </w:rPr>
      </w:pPr>
      <w:r w:rsidRPr="00085ED5">
        <w:rPr>
          <w:rFonts w:ascii="Arial" w:eastAsia="Arial" w:hAnsi="Arial" w:cs="Arial"/>
          <w:sz w:val="24"/>
          <w:szCs w:val="24"/>
        </w:rPr>
        <w:t>The Law Commission (200</w:t>
      </w:r>
      <w:r w:rsidR="003B4D00" w:rsidRPr="00085ED5">
        <w:rPr>
          <w:rFonts w:ascii="Arial" w:eastAsia="Arial" w:hAnsi="Arial" w:cs="Arial"/>
          <w:sz w:val="24"/>
          <w:szCs w:val="24"/>
        </w:rPr>
        <w:t xml:space="preserve">6) </w:t>
      </w:r>
      <w:r w:rsidR="003B4D00" w:rsidRPr="00085ED5">
        <w:rPr>
          <w:rFonts w:ascii="Arial" w:eastAsia="Arial" w:hAnsi="Arial" w:cs="Arial"/>
          <w:i/>
          <w:iCs/>
          <w:sz w:val="24"/>
          <w:szCs w:val="24"/>
        </w:rPr>
        <w:t>murder, manslaughter and infan</w:t>
      </w:r>
      <w:r w:rsidR="005C3333" w:rsidRPr="00085ED5">
        <w:rPr>
          <w:rFonts w:ascii="Arial" w:eastAsia="Arial" w:hAnsi="Arial" w:cs="Arial"/>
          <w:i/>
          <w:iCs/>
          <w:sz w:val="24"/>
          <w:szCs w:val="24"/>
        </w:rPr>
        <w:t>ticide,</w:t>
      </w:r>
      <w:r w:rsidR="003B4D00" w:rsidRPr="00085ED5">
        <w:rPr>
          <w:rFonts w:ascii="Arial" w:eastAsia="Arial" w:hAnsi="Arial" w:cs="Arial"/>
          <w:i/>
          <w:iCs/>
          <w:sz w:val="24"/>
          <w:szCs w:val="24"/>
        </w:rPr>
        <w:t xml:space="preserve"> Project 6 of the Ninth Programme of Law Reform: Homicide</w:t>
      </w:r>
      <w:r w:rsidR="00085ED5" w:rsidRPr="00085ED5">
        <w:rPr>
          <w:rFonts w:ascii="Arial" w:eastAsia="Arial" w:hAnsi="Arial" w:cs="Arial"/>
          <w:i/>
          <w:iCs/>
          <w:sz w:val="24"/>
          <w:szCs w:val="24"/>
        </w:rPr>
        <w:t xml:space="preserve">, </w:t>
      </w:r>
      <w:bookmarkStart w:id="0" w:name="_Hlk87012938"/>
      <w:r w:rsidR="00180A80">
        <w:fldChar w:fldCharType="begin"/>
      </w:r>
      <w:r w:rsidR="00180A80">
        <w:instrText xml:space="preserve"> HYPERLINK "https://www.lawcom.gov.uk/" </w:instrText>
      </w:r>
      <w:r w:rsidR="00180A80">
        <w:fldChar w:fldCharType="separate"/>
      </w:r>
      <w:r w:rsidR="00085ED5" w:rsidRPr="00085ED5">
        <w:rPr>
          <w:rStyle w:val="Hyperlink"/>
          <w:rFonts w:ascii="Arial" w:eastAsia="Arial" w:hAnsi="Arial" w:cs="Arial"/>
          <w:i/>
          <w:iCs/>
          <w:sz w:val="24"/>
          <w:szCs w:val="24"/>
        </w:rPr>
        <w:t>Law Commission</w:t>
      </w:r>
      <w:r w:rsidR="00180A80">
        <w:rPr>
          <w:rStyle w:val="Hyperlink"/>
          <w:rFonts w:ascii="Arial" w:eastAsia="Arial" w:hAnsi="Arial" w:cs="Arial"/>
          <w:i/>
          <w:iCs/>
          <w:sz w:val="24"/>
          <w:szCs w:val="24"/>
        </w:rPr>
        <w:fldChar w:fldCharType="end"/>
      </w:r>
      <w:bookmarkEnd w:id="0"/>
    </w:p>
    <w:p w14:paraId="2EF716FC" w14:textId="6CB0BE68" w:rsidR="008713B5" w:rsidRDefault="008713B5" w:rsidP="00085ED5">
      <w:pPr>
        <w:pStyle w:val="ListParagraph"/>
        <w:numPr>
          <w:ilvl w:val="0"/>
          <w:numId w:val="9"/>
        </w:numPr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>He</w:t>
      </w:r>
      <w:r w:rsidR="005641E4"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>rring J (2019) Criminal law, 11</w:t>
      </w:r>
      <w:r w:rsidR="005641E4" w:rsidRPr="005641E4">
        <w:rPr>
          <w:rStyle w:val="Hyperlink"/>
          <w:rFonts w:ascii="Arial" w:eastAsia="Arial" w:hAnsi="Arial" w:cs="Arial"/>
          <w:color w:val="auto"/>
          <w:sz w:val="24"/>
          <w:szCs w:val="24"/>
          <w:u w:val="none"/>
          <w:vertAlign w:val="superscript"/>
        </w:rPr>
        <w:t>th</w:t>
      </w:r>
      <w:r w:rsidR="005641E4"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 xml:space="preserve"> edition, Red Globe Press, UK</w:t>
      </w:r>
    </w:p>
    <w:p w14:paraId="02C51F04" w14:textId="77777777" w:rsidR="009D1B41" w:rsidRPr="009D1B41" w:rsidRDefault="009D1B41" w:rsidP="009D1B41">
      <w:pPr>
        <w:pStyle w:val="ListParagraph"/>
        <w:numPr>
          <w:ilvl w:val="0"/>
          <w:numId w:val="9"/>
        </w:numPr>
        <w:rPr>
          <w:rFonts w:ascii="Arial" w:eastAsia="Arial" w:hAnsi="Arial" w:cs="Arial"/>
          <w:sz w:val="24"/>
          <w:szCs w:val="24"/>
        </w:rPr>
      </w:pPr>
      <w:r w:rsidRPr="009D1B41">
        <w:rPr>
          <w:rFonts w:ascii="Arial" w:eastAsia="Arial" w:hAnsi="Arial" w:cs="Arial"/>
          <w:sz w:val="24"/>
          <w:szCs w:val="24"/>
        </w:rPr>
        <w:t xml:space="preserve">CPS (2019) </w:t>
      </w:r>
      <w:r w:rsidRPr="009D1B41">
        <w:rPr>
          <w:rFonts w:ascii="Arial" w:eastAsia="Arial" w:hAnsi="Arial" w:cs="Arial"/>
          <w:i/>
          <w:iCs/>
          <w:sz w:val="24"/>
          <w:szCs w:val="24"/>
        </w:rPr>
        <w:t>Legal Guidance, Homicide – Murder and Manslaughter</w:t>
      </w:r>
      <w:r w:rsidRPr="009D1B41">
        <w:rPr>
          <w:rFonts w:ascii="Arial" w:eastAsia="Arial" w:hAnsi="Arial" w:cs="Arial"/>
          <w:sz w:val="24"/>
          <w:szCs w:val="24"/>
        </w:rPr>
        <w:t xml:space="preserve">, </w:t>
      </w:r>
      <w:hyperlink r:id="rId5" w:history="1">
        <w:r w:rsidRPr="009D1B41">
          <w:rPr>
            <w:rStyle w:val="Hyperlink"/>
            <w:rFonts w:ascii="Arial" w:eastAsia="Arial" w:hAnsi="Arial" w:cs="Arial"/>
            <w:sz w:val="24"/>
            <w:szCs w:val="24"/>
          </w:rPr>
          <w:t>Homicide: Murder and Manslaughter | The Crown Prosecution Service (cps.gov.uk)</w:t>
        </w:r>
      </w:hyperlink>
    </w:p>
    <w:p w14:paraId="5385885A" w14:textId="6C3795A2" w:rsidR="009D1B41" w:rsidRPr="00611B2B" w:rsidRDefault="00C34EBD" w:rsidP="00085ED5">
      <w:pPr>
        <w:pStyle w:val="ListParagraph"/>
        <w:numPr>
          <w:ilvl w:val="0"/>
          <w:numId w:val="9"/>
        </w:numPr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 xml:space="preserve">The law commission (2003) Partial defences to murder, </w:t>
      </w:r>
      <w:hyperlink r:id="rId6" w:history="1">
        <w:r w:rsidRPr="00C34EBD">
          <w:rPr>
            <w:rStyle w:val="Hyperlink"/>
            <w:rFonts w:ascii="Arial" w:eastAsia="Arial" w:hAnsi="Arial" w:cs="Arial"/>
            <w:sz w:val="24"/>
            <w:szCs w:val="24"/>
          </w:rPr>
          <w:t>Law-Commission-consultation-paper-173-partial-defences-to-murder.pdf</w:t>
        </w:r>
      </w:hyperlink>
    </w:p>
    <w:p w14:paraId="5B7D42F7" w14:textId="11DE3598" w:rsidR="00611B2B" w:rsidRDefault="00611B2B" w:rsidP="00085ED5">
      <w:pPr>
        <w:pStyle w:val="ListParagraph"/>
        <w:numPr>
          <w:ilvl w:val="0"/>
          <w:numId w:val="9"/>
        </w:numPr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>Taylor L (2018)</w:t>
      </w:r>
      <w:r w:rsidR="00037671"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 xml:space="preserve"> Elliott &amp; Quinn’s Criminal Law</w:t>
      </w:r>
      <w:r w:rsidR="00E9108C"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 xml:space="preserve">, Twelfth Edition, Pearson’s Education limited </w:t>
      </w:r>
    </w:p>
    <w:p w14:paraId="404E4BEA" w14:textId="374C5B48" w:rsidR="00E51E65" w:rsidRDefault="001A3DC8" w:rsidP="00085ED5">
      <w:pPr>
        <w:pStyle w:val="ListParagraph"/>
        <w:numPr>
          <w:ilvl w:val="0"/>
          <w:numId w:val="9"/>
        </w:numPr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>Padfield N (2014) Criminal Law, 9</w:t>
      </w:r>
      <w:r w:rsidRPr="001A3DC8">
        <w:rPr>
          <w:rStyle w:val="Hyperlink"/>
          <w:rFonts w:ascii="Arial" w:eastAsia="Arial" w:hAnsi="Arial" w:cs="Arial"/>
          <w:color w:val="auto"/>
          <w:sz w:val="24"/>
          <w:szCs w:val="24"/>
          <w:u w:val="none"/>
          <w:vertAlign w:val="superscript"/>
        </w:rPr>
        <w:t>th</w:t>
      </w:r>
      <w:r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 xml:space="preserve"> Edition, Oxford University Press </w:t>
      </w:r>
    </w:p>
    <w:p w14:paraId="070EB635" w14:textId="77777777" w:rsidR="00C93939" w:rsidRDefault="0044770F" w:rsidP="000421C7">
      <w:pPr>
        <w:pStyle w:val="ListParagraph"/>
        <w:numPr>
          <w:ilvl w:val="0"/>
          <w:numId w:val="9"/>
        </w:numPr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 xml:space="preserve">Justice (2021) </w:t>
      </w:r>
      <w:r w:rsidR="00584227"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 xml:space="preserve">Homicide Law Reform, </w:t>
      </w:r>
      <w:hyperlink r:id="rId7" w:history="1">
        <w:r w:rsidR="00584227" w:rsidRPr="0068004D">
          <w:rPr>
            <w:rStyle w:val="Hyperlink"/>
            <w:rFonts w:ascii="Arial" w:eastAsia="Arial" w:hAnsi="Arial" w:cs="Arial"/>
            <w:sz w:val="24"/>
            <w:szCs w:val="24"/>
          </w:rPr>
          <w:t>www.Justice.org.uk</w:t>
        </w:r>
      </w:hyperlink>
    </w:p>
    <w:p w14:paraId="3998740E" w14:textId="0F8F49CB" w:rsidR="00EA368C" w:rsidRPr="00251B92" w:rsidRDefault="00BE7D44" w:rsidP="000421C7">
      <w:pPr>
        <w:pStyle w:val="ListParagraph"/>
        <w:numPr>
          <w:ilvl w:val="0"/>
          <w:numId w:val="9"/>
        </w:numPr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</w:pPr>
      <w:r w:rsidRPr="00CF5F59">
        <w:rPr>
          <w:rFonts w:ascii="Arial" w:eastAsia="Arial" w:hAnsi="Arial" w:cs="Arial"/>
          <w:sz w:val="24"/>
          <w:szCs w:val="24"/>
        </w:rPr>
        <w:t>The National Archives (1957)</w:t>
      </w:r>
      <w:r w:rsidRPr="00CF5F59">
        <w:rPr>
          <w:rFonts w:ascii="Arial" w:eastAsia="Arial" w:hAnsi="Arial" w:cs="Arial"/>
          <w:i/>
          <w:iCs/>
          <w:sz w:val="24"/>
          <w:szCs w:val="24"/>
        </w:rPr>
        <w:t xml:space="preserve"> The Homicide Act,</w:t>
      </w:r>
      <w:r w:rsidR="000633B2" w:rsidRPr="000633B2">
        <w:t xml:space="preserve"> </w:t>
      </w:r>
      <w:hyperlink r:id="rId8" w:history="1">
        <w:r w:rsidR="000633B2" w:rsidRPr="00CF5F59">
          <w:rPr>
            <w:rStyle w:val="Hyperlink"/>
            <w:rFonts w:ascii="Arial" w:eastAsia="Arial" w:hAnsi="Arial" w:cs="Arial"/>
            <w:sz w:val="24"/>
            <w:szCs w:val="24"/>
          </w:rPr>
          <w:t>Homicide Act 1957 (legislation.gov.uk)</w:t>
        </w:r>
      </w:hyperlink>
    </w:p>
    <w:p w14:paraId="16ADFA24" w14:textId="2080D240" w:rsidR="00251B92" w:rsidRPr="00CF5F59" w:rsidRDefault="00251B92" w:rsidP="000421C7">
      <w:pPr>
        <w:pStyle w:val="ListParagraph"/>
        <w:numPr>
          <w:ilvl w:val="0"/>
          <w:numId w:val="9"/>
        </w:numPr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</w:pPr>
      <w:r w:rsidRPr="00180A80"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>The Law commi</w:t>
      </w:r>
      <w:r w:rsidR="00180A80" w:rsidRPr="00180A80"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 xml:space="preserve">ssion (2015) </w:t>
      </w:r>
      <w:r w:rsidR="00180A80" w:rsidRPr="00180A80">
        <w:rPr>
          <w:rStyle w:val="Hyperlink"/>
          <w:rFonts w:ascii="Arial" w:eastAsia="Arial" w:hAnsi="Arial" w:cs="Arial"/>
          <w:i/>
          <w:iCs/>
          <w:color w:val="auto"/>
          <w:sz w:val="24"/>
          <w:szCs w:val="24"/>
          <w:u w:val="none"/>
        </w:rPr>
        <w:t>Reform of offences against the person</w:t>
      </w:r>
      <w:r w:rsidR="00180A80" w:rsidRPr="00180A80"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>,</w:t>
      </w:r>
      <w:r w:rsidR="00180A80" w:rsidRPr="00180A80">
        <w:rPr>
          <w:rStyle w:val="Hyperlink"/>
          <w:rFonts w:ascii="Arial" w:eastAsia="Arial" w:hAnsi="Arial" w:cs="Arial"/>
          <w:color w:val="auto"/>
          <w:sz w:val="24"/>
          <w:szCs w:val="24"/>
        </w:rPr>
        <w:t xml:space="preserve"> </w:t>
      </w:r>
      <w:hyperlink r:id="rId9" w:history="1">
        <w:r w:rsidR="00180A80" w:rsidRPr="00180A80">
          <w:rPr>
            <w:rStyle w:val="Hyperlink"/>
            <w:rFonts w:ascii="Arial" w:eastAsia="Arial" w:hAnsi="Arial" w:cs="Arial"/>
            <w:sz w:val="24"/>
            <w:szCs w:val="24"/>
          </w:rPr>
          <w:t>Law Commission</w:t>
        </w:r>
      </w:hyperlink>
    </w:p>
    <w:p w14:paraId="6CD7E757" w14:textId="1DA7B563" w:rsidR="00936CBA" w:rsidRPr="00C93939" w:rsidRDefault="00936CBA" w:rsidP="00C93939">
      <w:pPr>
        <w:pStyle w:val="ListParagraph"/>
        <w:rPr>
          <w:rFonts w:ascii="Arial" w:eastAsia="Arial" w:hAnsi="Arial" w:cs="Arial"/>
          <w:sz w:val="24"/>
          <w:szCs w:val="24"/>
        </w:rPr>
      </w:pPr>
    </w:p>
    <w:sectPr w:rsidR="00936CBA" w:rsidRPr="00C939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14877"/>
    <w:multiLevelType w:val="hybridMultilevel"/>
    <w:tmpl w:val="920442F6"/>
    <w:lvl w:ilvl="0" w:tplc="457C3A0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00749E02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3FAE490A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9B3A92CC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0302A29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2E86534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D0365E56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8026C56C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733AD5A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079E5EAF"/>
    <w:multiLevelType w:val="hybridMultilevel"/>
    <w:tmpl w:val="5FDE5D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2C42BB"/>
    <w:multiLevelType w:val="hybridMultilevel"/>
    <w:tmpl w:val="86C6DE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CB2E43"/>
    <w:multiLevelType w:val="hybridMultilevel"/>
    <w:tmpl w:val="FB849248"/>
    <w:lvl w:ilvl="0" w:tplc="3C6C58B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DCA2BF12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85081DD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20D4E26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E0CA202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F4A2B246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DD686B06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4E6ABEB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0EC0219C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4" w15:restartNumberingAfterBreak="0">
    <w:nsid w:val="39053945"/>
    <w:multiLevelType w:val="hybridMultilevel"/>
    <w:tmpl w:val="A39E8D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F01433"/>
    <w:multiLevelType w:val="hybridMultilevel"/>
    <w:tmpl w:val="3A289286"/>
    <w:lvl w:ilvl="0" w:tplc="8370D882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86C23A8E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AED47FE8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4F1AFB2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E9E23884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728273C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2C4CE4F6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59F2EEE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E73A2BC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6" w15:restartNumberingAfterBreak="0">
    <w:nsid w:val="61413428"/>
    <w:multiLevelType w:val="hybridMultilevel"/>
    <w:tmpl w:val="38F209E8"/>
    <w:lvl w:ilvl="0" w:tplc="08090001">
      <w:start w:val="1"/>
      <w:numFmt w:val="bullet"/>
      <w:lvlText w:val=""/>
      <w:lvlJc w:val="left"/>
      <w:pPr>
        <w:ind w:left="7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abstractNum w:abstractNumId="7" w15:restartNumberingAfterBreak="0">
    <w:nsid w:val="6A1E531B"/>
    <w:multiLevelType w:val="hybridMultilevel"/>
    <w:tmpl w:val="CDB2A3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6A976B2"/>
    <w:multiLevelType w:val="hybridMultilevel"/>
    <w:tmpl w:val="AADEADF2"/>
    <w:lvl w:ilvl="0" w:tplc="90FEF7FC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38B02BF4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8FCCED5E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DE34070A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649E57A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28C6A92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5CEE9D4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BEC4F524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FF587EF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9" w15:restartNumberingAfterBreak="0">
    <w:nsid w:val="7A2D5356"/>
    <w:multiLevelType w:val="hybridMultilevel"/>
    <w:tmpl w:val="C8D8AB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7"/>
  </w:num>
  <w:num w:numId="3">
    <w:abstractNumId w:val="4"/>
  </w:num>
  <w:num w:numId="4">
    <w:abstractNumId w:val="3"/>
  </w:num>
  <w:num w:numId="5">
    <w:abstractNumId w:val="8"/>
  </w:num>
  <w:num w:numId="6">
    <w:abstractNumId w:val="5"/>
  </w:num>
  <w:num w:numId="7">
    <w:abstractNumId w:val="0"/>
  </w:num>
  <w:num w:numId="8">
    <w:abstractNumId w:val="1"/>
  </w:num>
  <w:num w:numId="9">
    <w:abstractNumId w:val="9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3D71"/>
    <w:rsid w:val="00003AF3"/>
    <w:rsid w:val="000236D5"/>
    <w:rsid w:val="00037671"/>
    <w:rsid w:val="000421C7"/>
    <w:rsid w:val="000469BE"/>
    <w:rsid w:val="000504A6"/>
    <w:rsid w:val="0005315A"/>
    <w:rsid w:val="00056268"/>
    <w:rsid w:val="000564FF"/>
    <w:rsid w:val="000633B2"/>
    <w:rsid w:val="000779FA"/>
    <w:rsid w:val="00085ED5"/>
    <w:rsid w:val="000B4A5B"/>
    <w:rsid w:val="000C7DAB"/>
    <w:rsid w:val="000F01B2"/>
    <w:rsid w:val="000F290B"/>
    <w:rsid w:val="001022CC"/>
    <w:rsid w:val="00124E18"/>
    <w:rsid w:val="00127A30"/>
    <w:rsid w:val="00136011"/>
    <w:rsid w:val="0015055E"/>
    <w:rsid w:val="00152B01"/>
    <w:rsid w:val="00154AFC"/>
    <w:rsid w:val="00155EB9"/>
    <w:rsid w:val="00180A80"/>
    <w:rsid w:val="001859A6"/>
    <w:rsid w:val="00193A6D"/>
    <w:rsid w:val="00197F61"/>
    <w:rsid w:val="001A3DC8"/>
    <w:rsid w:val="001B307A"/>
    <w:rsid w:val="001B7945"/>
    <w:rsid w:val="001E40D4"/>
    <w:rsid w:val="001E5548"/>
    <w:rsid w:val="00200D02"/>
    <w:rsid w:val="00216067"/>
    <w:rsid w:val="00216369"/>
    <w:rsid w:val="00222399"/>
    <w:rsid w:val="00231BD9"/>
    <w:rsid w:val="00251B92"/>
    <w:rsid w:val="00266DEA"/>
    <w:rsid w:val="00281E50"/>
    <w:rsid w:val="00281FEC"/>
    <w:rsid w:val="00283D44"/>
    <w:rsid w:val="00287E5D"/>
    <w:rsid w:val="002A1DD1"/>
    <w:rsid w:val="002B5E98"/>
    <w:rsid w:val="002B68F8"/>
    <w:rsid w:val="002B7798"/>
    <w:rsid w:val="002E1F36"/>
    <w:rsid w:val="002E577F"/>
    <w:rsid w:val="002E7869"/>
    <w:rsid w:val="00304EB9"/>
    <w:rsid w:val="003063E8"/>
    <w:rsid w:val="00306ECB"/>
    <w:rsid w:val="003074C1"/>
    <w:rsid w:val="003149BF"/>
    <w:rsid w:val="003165BC"/>
    <w:rsid w:val="003458DD"/>
    <w:rsid w:val="00356CE8"/>
    <w:rsid w:val="0035712B"/>
    <w:rsid w:val="003718DB"/>
    <w:rsid w:val="003726FD"/>
    <w:rsid w:val="00376181"/>
    <w:rsid w:val="00396ABA"/>
    <w:rsid w:val="003B4D00"/>
    <w:rsid w:val="003D494B"/>
    <w:rsid w:val="003E6FCA"/>
    <w:rsid w:val="003F2BA7"/>
    <w:rsid w:val="0040775D"/>
    <w:rsid w:val="00416952"/>
    <w:rsid w:val="004249C7"/>
    <w:rsid w:val="0044770F"/>
    <w:rsid w:val="00466147"/>
    <w:rsid w:val="00473BC8"/>
    <w:rsid w:val="00480765"/>
    <w:rsid w:val="00486181"/>
    <w:rsid w:val="00486456"/>
    <w:rsid w:val="00492742"/>
    <w:rsid w:val="00495BDE"/>
    <w:rsid w:val="004B21A5"/>
    <w:rsid w:val="004B54A6"/>
    <w:rsid w:val="004C2781"/>
    <w:rsid w:val="004C3F81"/>
    <w:rsid w:val="004E7D69"/>
    <w:rsid w:val="00503052"/>
    <w:rsid w:val="00503698"/>
    <w:rsid w:val="00506E27"/>
    <w:rsid w:val="0051556A"/>
    <w:rsid w:val="00530218"/>
    <w:rsid w:val="00552CD7"/>
    <w:rsid w:val="0055451A"/>
    <w:rsid w:val="005641E4"/>
    <w:rsid w:val="0056550E"/>
    <w:rsid w:val="0056600C"/>
    <w:rsid w:val="00580D41"/>
    <w:rsid w:val="00582F70"/>
    <w:rsid w:val="00584227"/>
    <w:rsid w:val="00593859"/>
    <w:rsid w:val="00595BC4"/>
    <w:rsid w:val="005A1211"/>
    <w:rsid w:val="005C1A4D"/>
    <w:rsid w:val="005C3333"/>
    <w:rsid w:val="005C6E58"/>
    <w:rsid w:val="006109D8"/>
    <w:rsid w:val="00611B2B"/>
    <w:rsid w:val="006127F9"/>
    <w:rsid w:val="00620826"/>
    <w:rsid w:val="00621055"/>
    <w:rsid w:val="0062546C"/>
    <w:rsid w:val="00632276"/>
    <w:rsid w:val="006563A6"/>
    <w:rsid w:val="00660CDB"/>
    <w:rsid w:val="00664230"/>
    <w:rsid w:val="00667FE9"/>
    <w:rsid w:val="00671E10"/>
    <w:rsid w:val="006752FD"/>
    <w:rsid w:val="0067771B"/>
    <w:rsid w:val="00681516"/>
    <w:rsid w:val="006945DD"/>
    <w:rsid w:val="006B0506"/>
    <w:rsid w:val="006D121A"/>
    <w:rsid w:val="006E69FD"/>
    <w:rsid w:val="006F7C52"/>
    <w:rsid w:val="00700B2F"/>
    <w:rsid w:val="00702AF3"/>
    <w:rsid w:val="007060A9"/>
    <w:rsid w:val="007169A0"/>
    <w:rsid w:val="007316F4"/>
    <w:rsid w:val="00740601"/>
    <w:rsid w:val="00743FFF"/>
    <w:rsid w:val="00747EDC"/>
    <w:rsid w:val="00752345"/>
    <w:rsid w:val="00756D18"/>
    <w:rsid w:val="00773526"/>
    <w:rsid w:val="0077552C"/>
    <w:rsid w:val="00793596"/>
    <w:rsid w:val="0079653F"/>
    <w:rsid w:val="007A31EF"/>
    <w:rsid w:val="007A7411"/>
    <w:rsid w:val="007B5501"/>
    <w:rsid w:val="007B7159"/>
    <w:rsid w:val="007C4C97"/>
    <w:rsid w:val="007E225B"/>
    <w:rsid w:val="007F75DC"/>
    <w:rsid w:val="00805555"/>
    <w:rsid w:val="00823CD7"/>
    <w:rsid w:val="00832409"/>
    <w:rsid w:val="0083531A"/>
    <w:rsid w:val="008713B5"/>
    <w:rsid w:val="00884404"/>
    <w:rsid w:val="008C0018"/>
    <w:rsid w:val="008C0C54"/>
    <w:rsid w:val="008E6D96"/>
    <w:rsid w:val="008F5C11"/>
    <w:rsid w:val="00922BA1"/>
    <w:rsid w:val="00922F87"/>
    <w:rsid w:val="00936CBA"/>
    <w:rsid w:val="00941D21"/>
    <w:rsid w:val="009442C7"/>
    <w:rsid w:val="009448F4"/>
    <w:rsid w:val="00952C96"/>
    <w:rsid w:val="00972E35"/>
    <w:rsid w:val="009818B3"/>
    <w:rsid w:val="009925CC"/>
    <w:rsid w:val="009A380F"/>
    <w:rsid w:val="009B3DE9"/>
    <w:rsid w:val="009B4FC4"/>
    <w:rsid w:val="009C02DA"/>
    <w:rsid w:val="009C6D89"/>
    <w:rsid w:val="009D1B41"/>
    <w:rsid w:val="009E177F"/>
    <w:rsid w:val="009E1D76"/>
    <w:rsid w:val="009E7F06"/>
    <w:rsid w:val="009F7279"/>
    <w:rsid w:val="00A0165F"/>
    <w:rsid w:val="00A041BE"/>
    <w:rsid w:val="00A13A74"/>
    <w:rsid w:val="00A14C7E"/>
    <w:rsid w:val="00A248E8"/>
    <w:rsid w:val="00A256B8"/>
    <w:rsid w:val="00A329CD"/>
    <w:rsid w:val="00A500E7"/>
    <w:rsid w:val="00A50891"/>
    <w:rsid w:val="00A66E2A"/>
    <w:rsid w:val="00A80EA7"/>
    <w:rsid w:val="00A9093C"/>
    <w:rsid w:val="00AA390A"/>
    <w:rsid w:val="00AB11E1"/>
    <w:rsid w:val="00AC5A57"/>
    <w:rsid w:val="00AE3123"/>
    <w:rsid w:val="00AF00FD"/>
    <w:rsid w:val="00B12499"/>
    <w:rsid w:val="00B172CB"/>
    <w:rsid w:val="00B24EFC"/>
    <w:rsid w:val="00B3551B"/>
    <w:rsid w:val="00B52EDA"/>
    <w:rsid w:val="00B54799"/>
    <w:rsid w:val="00B61C6E"/>
    <w:rsid w:val="00B716BF"/>
    <w:rsid w:val="00B75919"/>
    <w:rsid w:val="00B95954"/>
    <w:rsid w:val="00B97D8B"/>
    <w:rsid w:val="00BA1467"/>
    <w:rsid w:val="00BA1D1A"/>
    <w:rsid w:val="00BD3DEC"/>
    <w:rsid w:val="00BD4012"/>
    <w:rsid w:val="00BE0B62"/>
    <w:rsid w:val="00BE255A"/>
    <w:rsid w:val="00BE6FA5"/>
    <w:rsid w:val="00BE7D44"/>
    <w:rsid w:val="00BF045F"/>
    <w:rsid w:val="00BF4203"/>
    <w:rsid w:val="00C06241"/>
    <w:rsid w:val="00C27FFC"/>
    <w:rsid w:val="00C30FB1"/>
    <w:rsid w:val="00C34EBD"/>
    <w:rsid w:val="00C70D6C"/>
    <w:rsid w:val="00C75B43"/>
    <w:rsid w:val="00C93939"/>
    <w:rsid w:val="00CB2F5A"/>
    <w:rsid w:val="00CC41BF"/>
    <w:rsid w:val="00CE04B6"/>
    <w:rsid w:val="00CF5F59"/>
    <w:rsid w:val="00D33003"/>
    <w:rsid w:val="00D45440"/>
    <w:rsid w:val="00D740C7"/>
    <w:rsid w:val="00D92020"/>
    <w:rsid w:val="00DA0CE3"/>
    <w:rsid w:val="00DB1FA3"/>
    <w:rsid w:val="00DC1807"/>
    <w:rsid w:val="00DC1BBF"/>
    <w:rsid w:val="00DD238B"/>
    <w:rsid w:val="00DE02E0"/>
    <w:rsid w:val="00DE08D3"/>
    <w:rsid w:val="00DE0DC6"/>
    <w:rsid w:val="00E077E7"/>
    <w:rsid w:val="00E11CB6"/>
    <w:rsid w:val="00E51E65"/>
    <w:rsid w:val="00E523A2"/>
    <w:rsid w:val="00E61CDD"/>
    <w:rsid w:val="00E70600"/>
    <w:rsid w:val="00E8207E"/>
    <w:rsid w:val="00E8378A"/>
    <w:rsid w:val="00E855EA"/>
    <w:rsid w:val="00E9108C"/>
    <w:rsid w:val="00E96A6A"/>
    <w:rsid w:val="00E971A3"/>
    <w:rsid w:val="00EA368C"/>
    <w:rsid w:val="00EB05DA"/>
    <w:rsid w:val="00EB166B"/>
    <w:rsid w:val="00ED4419"/>
    <w:rsid w:val="00EE5BC0"/>
    <w:rsid w:val="00F04E8A"/>
    <w:rsid w:val="00F305C0"/>
    <w:rsid w:val="00F3352C"/>
    <w:rsid w:val="00F47D69"/>
    <w:rsid w:val="00F544B8"/>
    <w:rsid w:val="00F55A8D"/>
    <w:rsid w:val="00F60936"/>
    <w:rsid w:val="00F63D71"/>
    <w:rsid w:val="00F71B69"/>
    <w:rsid w:val="00F85B71"/>
    <w:rsid w:val="00FA5420"/>
    <w:rsid w:val="00FB372A"/>
    <w:rsid w:val="00FC7BDB"/>
    <w:rsid w:val="00FC7C3C"/>
    <w:rsid w:val="00FC7D73"/>
    <w:rsid w:val="00FD03E0"/>
    <w:rsid w:val="00FE01FD"/>
    <w:rsid w:val="00FE65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0B5D2E"/>
  <w15:chartTrackingRefBased/>
  <w15:docId w15:val="{0D9E25B2-CC85-469C-9C28-EE1FF41180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1B41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63D7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E78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786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463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32877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568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295680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277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830623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506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1889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Eliz2/5-6/11/enacted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Justice.org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file:///C:\Users\meigo\Downloads\Law%20Assignment%20Resources\Assignment%201\Law-Commission-consultation-paper-173-partial-defences-to-murder.pdf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cps.gov.uk/legal-guidance/homicide-murder-and-manslaughter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lawcom.gov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361</TotalTime>
  <Pages>5</Pages>
  <Words>1386</Words>
  <Characters>7905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meigonpeters123@icloud.com</dc:creator>
  <cp:keywords/>
  <dc:description/>
  <cp:lastModifiedBy>meigonpeters123@icloud.com</cp:lastModifiedBy>
  <cp:revision>138</cp:revision>
  <dcterms:created xsi:type="dcterms:W3CDTF">2021-11-02T17:36:00Z</dcterms:created>
  <dcterms:modified xsi:type="dcterms:W3CDTF">2021-11-05T13:56:00Z</dcterms:modified>
</cp:coreProperties>
</file>