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ajorHAnsi" w:eastAsiaTheme="majorEastAsia" w:hAnsiTheme="majorHAnsi" w:cstheme="majorBidi"/>
          <w:sz w:val="72"/>
          <w:szCs w:val="72"/>
        </w:rPr>
        <w:id w:val="10225376"/>
        <w:docPartObj>
          <w:docPartGallery w:val="Cover Pages"/>
          <w:docPartUnique/>
        </w:docPartObj>
      </w:sdtPr>
      <w:sdtEndPr>
        <w:rPr>
          <w:rFonts w:asciiTheme="minorHAnsi" w:eastAsiaTheme="minorEastAsia" w:hAnsiTheme="minorHAnsi" w:cstheme="minorBidi"/>
          <w:sz w:val="22"/>
          <w:szCs w:val="22"/>
        </w:rPr>
      </w:sdtEndPr>
      <w:sdtContent>
        <w:p w14:paraId="12FE1C89" w14:textId="77777777" w:rsidR="00BE42D3" w:rsidRDefault="00BE42D3" w:rsidP="00BE42D3">
          <w:pPr>
            <w:pStyle w:val="NoSpacing"/>
            <w:rPr>
              <w:rFonts w:asciiTheme="majorHAnsi" w:eastAsiaTheme="majorEastAsia" w:hAnsiTheme="majorHAnsi" w:cstheme="majorBidi"/>
              <w:sz w:val="72"/>
              <w:szCs w:val="72"/>
            </w:rPr>
          </w:pPr>
        </w:p>
        <w:p w14:paraId="39996AB1" w14:textId="77777777" w:rsidR="00BE42D3" w:rsidRDefault="00BE42D3" w:rsidP="00BE42D3">
          <w:pPr>
            <w:pStyle w:val="NoSpacing"/>
            <w:rPr>
              <w:rFonts w:asciiTheme="majorHAnsi" w:eastAsiaTheme="majorEastAsia" w:hAnsiTheme="majorHAnsi" w:cstheme="majorBidi"/>
              <w:sz w:val="72"/>
              <w:szCs w:val="72"/>
            </w:rPr>
          </w:pPr>
        </w:p>
        <w:p w14:paraId="4D9EE79C" w14:textId="77777777" w:rsidR="00BE42D3" w:rsidRDefault="00000000" w:rsidP="00BE42D3">
          <w:pPr>
            <w:pStyle w:val="NoSpacing"/>
            <w:rPr>
              <w:rFonts w:asciiTheme="majorHAnsi" w:eastAsiaTheme="majorEastAsia" w:hAnsiTheme="majorHAnsi" w:cstheme="majorBidi"/>
              <w:sz w:val="72"/>
              <w:szCs w:val="72"/>
            </w:rPr>
          </w:pPr>
          <w:r>
            <w:rPr>
              <w:rFonts w:eastAsiaTheme="majorEastAsia" w:cstheme="majorBidi"/>
              <w:noProof/>
              <w:lang w:eastAsia="zh-TW"/>
            </w:rPr>
            <w:pict w14:anchorId="00483988">
              <v:rect id="_x0000_s1026" style="position:absolute;margin-left:0;margin-top:0;width:641.75pt;height:64pt;z-index:251656192;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Pr>
              <w:rFonts w:eastAsiaTheme="majorEastAsia" w:cstheme="majorBidi"/>
              <w:noProof/>
              <w:lang w:eastAsia="zh-TW"/>
            </w:rPr>
            <w:pict w14:anchorId="6DD3C1F0">
              <v:rect id="_x0000_s1027" style="position:absolute;margin-left:0;margin-top:0;width:7.15pt;height:830.75pt;z-index:251657216;mso-height-percent:1050;mso-position-horizontal:center;mso-position-horizontal-relative:left-margin-area;mso-position-vertical:center;mso-position-vertical-relative:page;mso-height-percent:1050" o:allowincell="f" fillcolor="white [3212]" strokecolor="#31849b [2408]">
                <w10:wrap anchorx="margin" anchory="page"/>
              </v:rect>
            </w:pict>
          </w:r>
          <w:r>
            <w:rPr>
              <w:rFonts w:eastAsiaTheme="majorEastAsia" w:cstheme="majorBidi"/>
              <w:noProof/>
              <w:lang w:eastAsia="zh-TW"/>
            </w:rPr>
            <w:pict w14:anchorId="6FC4027B">
              <v:rect id="_x0000_s1028" style="position:absolute;margin-left:0;margin-top:0;width:7.15pt;height:830.75pt;z-index:251658240;mso-height-percent:1050;mso-position-horizontal:center;mso-position-horizontal-relative:right-margin-area;mso-position-vertical:center;mso-position-vertical-relative:page;mso-height-percent:1050" o:allowincell="f" fillcolor="white [3212]" strokecolor="#31849b [2408]">
                <w10:wrap anchorx="page" anchory="page"/>
              </v:rect>
            </w:pict>
          </w:r>
          <w:r>
            <w:rPr>
              <w:rFonts w:eastAsiaTheme="majorEastAsia" w:cstheme="majorBidi"/>
              <w:noProof/>
              <w:lang w:eastAsia="zh-TW"/>
            </w:rPr>
            <w:pict w14:anchorId="4DA01F4B">
              <v:rect id="_x0000_s1029" style="position:absolute;margin-left:0;margin-top:0;width:641.75pt;height:64pt;z-index:251659264;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Arial" w:hAnsi="Arial" w:cs="Arial"/>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14:paraId="6428274F" w14:textId="77777777" w:rsidR="00BE42D3" w:rsidRDefault="00BE42D3" w:rsidP="00BE42D3">
              <w:pPr>
                <w:pStyle w:val="NoSpacing"/>
                <w:jc w:val="center"/>
                <w:rPr>
                  <w:rFonts w:asciiTheme="majorHAnsi" w:eastAsiaTheme="majorEastAsia" w:hAnsiTheme="majorHAnsi" w:cstheme="majorBidi"/>
                  <w:sz w:val="72"/>
                  <w:szCs w:val="72"/>
                </w:rPr>
              </w:pPr>
              <w:r>
                <w:rPr>
                  <w:rFonts w:ascii="Arial" w:hAnsi="Arial" w:cs="Arial"/>
                  <w:sz w:val="72"/>
                  <w:szCs w:val="72"/>
                </w:rPr>
                <w:t>Written report</w:t>
              </w:r>
            </w:p>
          </w:sdtContent>
        </w:sdt>
        <w:sdt>
          <w:sdtPr>
            <w:rPr>
              <w:rFonts w:asciiTheme="majorHAnsi" w:eastAsiaTheme="majorEastAsia" w:hAnsiTheme="majorHAnsi" w:cstheme="majorBidi"/>
              <w:sz w:val="36"/>
              <w:szCs w:val="36"/>
            </w:rPr>
            <w:alias w:val="Subtitle"/>
            <w:id w:val="14700077"/>
            <w:showingPlcHdr/>
            <w:dataBinding w:prefixMappings="xmlns:ns0='http://schemas.openxmlformats.org/package/2006/metadata/core-properties' xmlns:ns1='http://purl.org/dc/elements/1.1/'" w:xpath="/ns0:coreProperties[1]/ns1:subject[1]" w:storeItemID="{6C3C8BC8-F283-45AE-878A-BAB7291924A1}"/>
            <w:text/>
          </w:sdtPr>
          <w:sdtContent>
            <w:p w14:paraId="7378E128" w14:textId="77777777" w:rsidR="00BE42D3" w:rsidRDefault="00BE42D3" w:rsidP="00BE42D3">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rPr>
                <w:t xml:space="preserve">     </w:t>
              </w:r>
            </w:p>
          </w:sdtContent>
        </w:sdt>
        <w:p w14:paraId="7F62A51A" w14:textId="77777777" w:rsidR="00BE42D3" w:rsidRDefault="00BE42D3" w:rsidP="00BE42D3">
          <w:pPr>
            <w:pStyle w:val="NoSpacing"/>
            <w:rPr>
              <w:rFonts w:asciiTheme="majorHAnsi" w:eastAsiaTheme="majorEastAsia" w:hAnsiTheme="majorHAnsi" w:cstheme="majorBidi"/>
              <w:sz w:val="36"/>
              <w:szCs w:val="36"/>
            </w:rPr>
          </w:pPr>
        </w:p>
        <w:p w14:paraId="0664D41B" w14:textId="77777777" w:rsidR="00BE42D3" w:rsidRDefault="00BE42D3" w:rsidP="00BE42D3">
          <w:pPr>
            <w:pStyle w:val="NoSpacing"/>
            <w:rPr>
              <w:rFonts w:asciiTheme="majorHAnsi" w:eastAsiaTheme="majorEastAsia" w:hAnsiTheme="majorHAnsi" w:cstheme="majorBidi"/>
              <w:sz w:val="36"/>
              <w:szCs w:val="36"/>
            </w:rPr>
          </w:pPr>
        </w:p>
        <w:sdt>
          <w:sdtPr>
            <w:alias w:val="Date"/>
            <w:id w:val="14700083"/>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6529B472" w14:textId="77777777" w:rsidR="00BE42D3" w:rsidRDefault="00BE42D3" w:rsidP="00BE42D3">
              <w:pPr>
                <w:pStyle w:val="NoSpacing"/>
              </w:pPr>
              <w:r>
                <w:t xml:space="preserve">     </w:t>
              </w:r>
            </w:p>
          </w:sdtContent>
        </w:sdt>
        <w:sdt>
          <w:sdtPr>
            <w:alias w:val="Company"/>
            <w:id w:val="14700089"/>
            <w:showingPlcHdr/>
            <w:dataBinding w:prefixMappings="xmlns:ns0='http://schemas.openxmlformats.org/officeDocument/2006/extended-properties'" w:xpath="/ns0:Properties[1]/ns0:Company[1]" w:storeItemID="{6668398D-A668-4E3E-A5EB-62B293D839F1}"/>
            <w:text/>
          </w:sdtPr>
          <w:sdtContent>
            <w:p w14:paraId="0BFC72CD" w14:textId="77777777" w:rsidR="00BE42D3" w:rsidRDefault="00BE42D3" w:rsidP="00BE42D3">
              <w:pPr>
                <w:pStyle w:val="NoSpacing"/>
              </w:pPr>
              <w:r>
                <w:t xml:space="preserve">     </w:t>
              </w:r>
            </w:p>
          </w:sdtContent>
        </w:sdt>
        <w:p w14:paraId="6ECCDFD6" w14:textId="77777777" w:rsidR="00BE42D3" w:rsidRDefault="00BE42D3" w:rsidP="00BE42D3">
          <w:pPr>
            <w:pStyle w:val="NoSpacing"/>
            <w:spacing w:line="360" w:lineRule="auto"/>
            <w:rPr>
              <w:rFonts w:ascii="Arial" w:hAnsi="Arial" w:cs="Arial"/>
              <w:b/>
              <w:sz w:val="24"/>
              <w:szCs w:val="24"/>
            </w:rPr>
          </w:pPr>
          <w:r>
            <w:rPr>
              <w:rFonts w:ascii="Arial" w:hAnsi="Arial" w:cs="Arial"/>
              <w:b/>
              <w:sz w:val="24"/>
              <w:szCs w:val="24"/>
            </w:rPr>
            <w:t xml:space="preserve">  </w:t>
          </w:r>
        </w:p>
        <w:p w14:paraId="44B40BE1" w14:textId="77777777" w:rsidR="00BE42D3" w:rsidRDefault="00BE42D3" w:rsidP="00BE42D3">
          <w:pPr>
            <w:pStyle w:val="NoSpacing"/>
            <w:spacing w:line="360" w:lineRule="auto"/>
            <w:rPr>
              <w:rFonts w:ascii="Arial" w:hAnsi="Arial" w:cs="Arial"/>
              <w:b/>
              <w:sz w:val="24"/>
              <w:szCs w:val="24"/>
            </w:rPr>
          </w:pPr>
        </w:p>
        <w:p w14:paraId="4A388962" w14:textId="77777777" w:rsidR="00BE42D3" w:rsidRDefault="00BE42D3" w:rsidP="00BE42D3">
          <w:pPr>
            <w:pStyle w:val="NoSpacing"/>
            <w:spacing w:line="360" w:lineRule="auto"/>
            <w:rPr>
              <w:rFonts w:ascii="Arial" w:hAnsi="Arial" w:cs="Arial"/>
              <w:b/>
              <w:sz w:val="24"/>
              <w:szCs w:val="24"/>
            </w:rPr>
          </w:pPr>
        </w:p>
        <w:p w14:paraId="75FB5BDA" w14:textId="77777777" w:rsidR="00BE42D3" w:rsidRDefault="00BE42D3" w:rsidP="00BE42D3">
          <w:pPr>
            <w:pStyle w:val="NoSpacing"/>
            <w:spacing w:line="360" w:lineRule="auto"/>
            <w:rPr>
              <w:rFonts w:ascii="Arial" w:hAnsi="Arial" w:cs="Arial"/>
              <w:b/>
              <w:sz w:val="24"/>
              <w:szCs w:val="24"/>
            </w:rPr>
          </w:pPr>
        </w:p>
        <w:p w14:paraId="46FF9F93" w14:textId="77777777" w:rsidR="00BE42D3" w:rsidRDefault="00BE42D3" w:rsidP="00BE42D3">
          <w:pPr>
            <w:pStyle w:val="NoSpacing"/>
            <w:spacing w:line="360" w:lineRule="auto"/>
            <w:rPr>
              <w:rFonts w:ascii="Arial" w:hAnsi="Arial" w:cs="Arial"/>
              <w:b/>
              <w:sz w:val="24"/>
              <w:szCs w:val="24"/>
            </w:rPr>
          </w:pPr>
        </w:p>
        <w:p w14:paraId="57999B19" w14:textId="77777777" w:rsidR="00BE42D3" w:rsidRDefault="00BE42D3" w:rsidP="00BE42D3">
          <w:pPr>
            <w:pStyle w:val="NoSpacing"/>
            <w:spacing w:line="360" w:lineRule="auto"/>
            <w:rPr>
              <w:rFonts w:ascii="Arial" w:hAnsi="Arial" w:cs="Arial"/>
              <w:sz w:val="24"/>
              <w:szCs w:val="24"/>
            </w:rPr>
          </w:pPr>
        </w:p>
        <w:p w14:paraId="3ADFFFF9" w14:textId="77777777" w:rsidR="00BE42D3" w:rsidRDefault="00BE42D3" w:rsidP="00BE42D3">
          <w:pPr>
            <w:pStyle w:val="NoSpacing"/>
            <w:spacing w:line="360" w:lineRule="auto"/>
            <w:rPr>
              <w:rFonts w:ascii="Arial" w:hAnsi="Arial" w:cs="Arial"/>
              <w:sz w:val="24"/>
              <w:szCs w:val="24"/>
            </w:rPr>
          </w:pPr>
        </w:p>
        <w:p w14:paraId="3E6BD0E5" w14:textId="77777777" w:rsidR="00BE42D3" w:rsidRDefault="00BE42D3" w:rsidP="00BE42D3">
          <w:pPr>
            <w:pStyle w:val="NoSpacing"/>
            <w:spacing w:line="360" w:lineRule="auto"/>
            <w:rPr>
              <w:rFonts w:ascii="Arial" w:hAnsi="Arial" w:cs="Arial"/>
              <w:sz w:val="24"/>
              <w:szCs w:val="24"/>
            </w:rPr>
          </w:pPr>
        </w:p>
        <w:p w14:paraId="4939A813" w14:textId="77777777" w:rsidR="00BE42D3" w:rsidRDefault="00BE42D3" w:rsidP="00BE42D3">
          <w:pPr>
            <w:pStyle w:val="NoSpacing"/>
            <w:spacing w:line="360" w:lineRule="auto"/>
            <w:rPr>
              <w:rFonts w:ascii="Arial" w:hAnsi="Arial" w:cs="Arial"/>
              <w:sz w:val="24"/>
              <w:szCs w:val="24"/>
            </w:rPr>
          </w:pPr>
        </w:p>
        <w:p w14:paraId="43F1B44C" w14:textId="77777777" w:rsidR="00BE42D3" w:rsidRPr="006B06D9" w:rsidRDefault="00BE42D3" w:rsidP="00BE42D3">
          <w:pPr>
            <w:pStyle w:val="NoSpacing"/>
            <w:spacing w:line="360" w:lineRule="auto"/>
            <w:rPr>
              <w:rFonts w:ascii="Arial" w:hAnsi="Arial" w:cs="Arial"/>
              <w:sz w:val="24"/>
              <w:szCs w:val="24"/>
            </w:rPr>
          </w:pPr>
          <w:r w:rsidRPr="006B06D9">
            <w:rPr>
              <w:rFonts w:ascii="Arial" w:hAnsi="Arial" w:cs="Arial"/>
              <w:sz w:val="24"/>
              <w:szCs w:val="24"/>
            </w:rPr>
            <w:t>Student name: Ionut Gabriel Gheorghe</w:t>
          </w:r>
        </w:p>
        <w:p w14:paraId="2A9EA7D2" w14:textId="77777777" w:rsidR="00BE42D3" w:rsidRPr="006B06D9" w:rsidRDefault="00BE42D3" w:rsidP="00BE42D3">
          <w:pPr>
            <w:pStyle w:val="NoSpacing"/>
            <w:spacing w:line="360" w:lineRule="auto"/>
            <w:rPr>
              <w:rFonts w:ascii="Arial" w:hAnsi="Arial" w:cs="Arial"/>
              <w:sz w:val="24"/>
              <w:szCs w:val="24"/>
            </w:rPr>
          </w:pPr>
          <w:r w:rsidRPr="006B06D9">
            <w:rPr>
              <w:rFonts w:ascii="Arial" w:hAnsi="Arial" w:cs="Arial"/>
              <w:sz w:val="24"/>
              <w:szCs w:val="24"/>
            </w:rPr>
            <w:t>Student ID: 2222508</w:t>
          </w:r>
        </w:p>
        <w:p w14:paraId="2398DF75" w14:textId="77777777" w:rsidR="00BE42D3" w:rsidRPr="006B06D9" w:rsidRDefault="00BE42D3" w:rsidP="00BE42D3">
          <w:pPr>
            <w:pStyle w:val="NoSpacing"/>
            <w:spacing w:line="360" w:lineRule="auto"/>
            <w:rPr>
              <w:rFonts w:ascii="Arial" w:hAnsi="Arial" w:cs="Arial"/>
              <w:sz w:val="24"/>
              <w:szCs w:val="24"/>
            </w:rPr>
          </w:pPr>
          <w:r w:rsidRPr="006B06D9">
            <w:rPr>
              <w:rFonts w:ascii="Arial" w:hAnsi="Arial" w:cs="Arial"/>
              <w:sz w:val="24"/>
              <w:szCs w:val="24"/>
            </w:rPr>
            <w:t xml:space="preserve">Management &amp; </w:t>
          </w:r>
          <w:proofErr w:type="spellStart"/>
          <w:r w:rsidRPr="006B06D9">
            <w:rPr>
              <w:rFonts w:ascii="Arial" w:hAnsi="Arial" w:cs="Arial"/>
              <w:sz w:val="24"/>
              <w:szCs w:val="24"/>
            </w:rPr>
            <w:t>Organisational</w:t>
          </w:r>
          <w:proofErr w:type="spellEnd"/>
          <w:r w:rsidRPr="006B06D9">
            <w:rPr>
              <w:rFonts w:ascii="Arial" w:hAnsi="Arial" w:cs="Arial"/>
              <w:sz w:val="24"/>
              <w:szCs w:val="24"/>
            </w:rPr>
            <w:t xml:space="preserve"> </w:t>
          </w:r>
          <w:proofErr w:type="spellStart"/>
          <w:r w:rsidRPr="006B06D9">
            <w:rPr>
              <w:rFonts w:ascii="Arial" w:hAnsi="Arial" w:cs="Arial"/>
              <w:sz w:val="24"/>
              <w:szCs w:val="24"/>
            </w:rPr>
            <w:t>Behaviour</w:t>
          </w:r>
          <w:proofErr w:type="spellEnd"/>
          <w:r w:rsidRPr="006B06D9">
            <w:rPr>
              <w:rFonts w:ascii="Arial" w:hAnsi="Arial" w:cs="Arial"/>
              <w:sz w:val="24"/>
              <w:szCs w:val="24"/>
            </w:rPr>
            <w:t xml:space="preserve"> BMIH 5004</w:t>
          </w:r>
        </w:p>
        <w:p w14:paraId="3AC15FE0" w14:textId="77777777" w:rsidR="00BE42D3" w:rsidRPr="006B06D9" w:rsidRDefault="00BE42D3" w:rsidP="00BE42D3">
          <w:pPr>
            <w:pStyle w:val="NoSpacing"/>
            <w:spacing w:line="360" w:lineRule="auto"/>
            <w:rPr>
              <w:rFonts w:ascii="Arial" w:hAnsi="Arial" w:cs="Arial"/>
              <w:sz w:val="24"/>
              <w:szCs w:val="24"/>
            </w:rPr>
          </w:pPr>
          <w:r w:rsidRPr="006B06D9">
            <w:rPr>
              <w:rFonts w:ascii="Arial" w:hAnsi="Arial" w:cs="Arial"/>
              <w:sz w:val="24"/>
              <w:szCs w:val="24"/>
            </w:rPr>
            <w:t>Lecturer: Antoinette Milne</w:t>
          </w:r>
        </w:p>
        <w:p w14:paraId="2787DC15" w14:textId="77777777" w:rsidR="00BE42D3" w:rsidRPr="00E331F8" w:rsidRDefault="00BE42D3" w:rsidP="00BE42D3">
          <w:pPr>
            <w:pStyle w:val="NoSpacing"/>
            <w:spacing w:line="360" w:lineRule="auto"/>
            <w:rPr>
              <w:rFonts w:ascii="Arial" w:hAnsi="Arial" w:cs="Arial"/>
              <w:sz w:val="24"/>
              <w:szCs w:val="24"/>
            </w:rPr>
          </w:pPr>
        </w:p>
        <w:p w14:paraId="2212E4F4" w14:textId="77777777" w:rsidR="00BE42D3" w:rsidRPr="00F442BF" w:rsidRDefault="00BE42D3" w:rsidP="00BE42D3">
          <w:pPr>
            <w:pStyle w:val="NoSpacing"/>
            <w:spacing w:line="360" w:lineRule="auto"/>
            <w:rPr>
              <w:rFonts w:ascii="Arial" w:hAnsi="Arial" w:cs="Arial"/>
              <w:sz w:val="24"/>
              <w:szCs w:val="24"/>
            </w:rPr>
          </w:pPr>
        </w:p>
        <w:p w14:paraId="49E61784" w14:textId="77777777" w:rsidR="00BE42D3" w:rsidRPr="004F775F" w:rsidRDefault="00BE42D3" w:rsidP="00BE42D3">
          <w:pPr>
            <w:pStyle w:val="NoSpacing"/>
            <w:rPr>
              <w:rFonts w:ascii="Arial" w:hAnsi="Arial" w:cs="Arial"/>
              <w:b/>
              <w:sz w:val="28"/>
              <w:szCs w:val="28"/>
            </w:rPr>
          </w:pPr>
          <w:r>
            <w:br w:type="page"/>
          </w:r>
        </w:p>
      </w:sdtContent>
    </w:sdt>
    <w:p w14:paraId="1B21099C" w14:textId="77777777" w:rsidR="00BE42D3" w:rsidRDefault="00BE42D3" w:rsidP="00BE42D3">
      <w:pPr>
        <w:jc w:val="center"/>
        <w:rPr>
          <w:rFonts w:ascii="Arial" w:hAnsi="Arial" w:cs="Arial"/>
          <w:sz w:val="24"/>
          <w:szCs w:val="24"/>
        </w:rPr>
      </w:pPr>
    </w:p>
    <w:p w14:paraId="5D7A534D" w14:textId="77777777" w:rsidR="00BE42D3" w:rsidRDefault="00BE42D3" w:rsidP="00BE42D3">
      <w:pPr>
        <w:jc w:val="center"/>
        <w:rPr>
          <w:rFonts w:ascii="Arial" w:hAnsi="Arial" w:cs="Arial"/>
          <w:sz w:val="24"/>
          <w:szCs w:val="24"/>
        </w:rPr>
      </w:pPr>
      <w:r w:rsidRPr="00315746">
        <w:rPr>
          <w:rFonts w:ascii="Arial" w:hAnsi="Arial" w:cs="Arial"/>
          <w:sz w:val="24"/>
          <w:szCs w:val="24"/>
        </w:rPr>
        <w:t>AI Declaration</w:t>
      </w:r>
    </w:p>
    <w:p w14:paraId="38DAA291" w14:textId="77777777" w:rsidR="00BE42D3" w:rsidRDefault="00BE42D3" w:rsidP="00BE42D3">
      <w:pPr>
        <w:jc w:val="center"/>
        <w:rPr>
          <w:rFonts w:ascii="Arial" w:hAnsi="Arial" w:cs="Arial"/>
          <w:sz w:val="24"/>
          <w:szCs w:val="24"/>
        </w:rPr>
      </w:pPr>
    </w:p>
    <w:p w14:paraId="2A938838" w14:textId="77777777" w:rsidR="00F85314" w:rsidRDefault="00BE42D3" w:rsidP="00CF0B2D">
      <w:pPr>
        <w:spacing w:line="360" w:lineRule="auto"/>
        <w:jc w:val="both"/>
        <w:rPr>
          <w:rFonts w:ascii="Arial" w:hAnsi="Arial" w:cs="Arial"/>
          <w:sz w:val="24"/>
          <w:szCs w:val="24"/>
        </w:rPr>
      </w:pPr>
      <w:r w:rsidRPr="00315746">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rFonts w:ascii="Arial" w:hAnsi="Arial" w:cs="Arial"/>
          <w:sz w:val="24"/>
          <w:szCs w:val="24"/>
        </w:rPr>
        <w:t xml:space="preserve">       </w:t>
      </w:r>
    </w:p>
    <w:p w14:paraId="6A376B01" w14:textId="77777777" w:rsidR="00F85314" w:rsidRDefault="00F85314" w:rsidP="00CF0B2D">
      <w:pPr>
        <w:spacing w:line="360" w:lineRule="auto"/>
        <w:jc w:val="both"/>
        <w:rPr>
          <w:rFonts w:ascii="Arial" w:hAnsi="Arial" w:cs="Arial"/>
          <w:sz w:val="24"/>
          <w:szCs w:val="24"/>
        </w:rPr>
      </w:pPr>
    </w:p>
    <w:p w14:paraId="027A921E" w14:textId="77777777" w:rsidR="00F85314" w:rsidRDefault="00F85314" w:rsidP="00CF0B2D">
      <w:pPr>
        <w:spacing w:line="360" w:lineRule="auto"/>
        <w:jc w:val="both"/>
        <w:rPr>
          <w:rFonts w:ascii="Arial" w:hAnsi="Arial" w:cs="Arial"/>
          <w:sz w:val="24"/>
          <w:szCs w:val="24"/>
        </w:rPr>
      </w:pPr>
    </w:p>
    <w:p w14:paraId="5AC48C72" w14:textId="77777777" w:rsidR="00F85314" w:rsidRDefault="00F85314" w:rsidP="00CF0B2D">
      <w:pPr>
        <w:spacing w:line="360" w:lineRule="auto"/>
        <w:jc w:val="both"/>
        <w:rPr>
          <w:rFonts w:ascii="Arial" w:hAnsi="Arial" w:cs="Arial"/>
          <w:sz w:val="24"/>
          <w:szCs w:val="24"/>
        </w:rPr>
      </w:pPr>
    </w:p>
    <w:p w14:paraId="3CD30F1E" w14:textId="77777777" w:rsidR="00F85314" w:rsidRDefault="00F85314" w:rsidP="00CF0B2D">
      <w:pPr>
        <w:spacing w:line="360" w:lineRule="auto"/>
        <w:jc w:val="both"/>
        <w:rPr>
          <w:rFonts w:ascii="Arial" w:hAnsi="Arial" w:cs="Arial"/>
          <w:sz w:val="24"/>
          <w:szCs w:val="24"/>
        </w:rPr>
      </w:pPr>
    </w:p>
    <w:p w14:paraId="48E27CBC" w14:textId="77777777" w:rsidR="00F85314" w:rsidRDefault="00F85314" w:rsidP="00CF0B2D">
      <w:pPr>
        <w:spacing w:line="360" w:lineRule="auto"/>
        <w:jc w:val="both"/>
        <w:rPr>
          <w:rFonts w:ascii="Arial" w:hAnsi="Arial" w:cs="Arial"/>
          <w:sz w:val="24"/>
          <w:szCs w:val="24"/>
        </w:rPr>
      </w:pPr>
    </w:p>
    <w:p w14:paraId="062AD8A3" w14:textId="77777777" w:rsidR="00F85314" w:rsidRDefault="00F85314" w:rsidP="00CF0B2D">
      <w:pPr>
        <w:spacing w:line="360" w:lineRule="auto"/>
        <w:jc w:val="both"/>
        <w:rPr>
          <w:rFonts w:ascii="Arial" w:hAnsi="Arial" w:cs="Arial"/>
          <w:sz w:val="24"/>
          <w:szCs w:val="24"/>
        </w:rPr>
      </w:pPr>
    </w:p>
    <w:p w14:paraId="1B37B335" w14:textId="77777777" w:rsidR="00F85314" w:rsidRDefault="00F85314" w:rsidP="00CF0B2D">
      <w:pPr>
        <w:spacing w:line="360" w:lineRule="auto"/>
        <w:jc w:val="both"/>
        <w:rPr>
          <w:rFonts w:ascii="Arial" w:hAnsi="Arial" w:cs="Arial"/>
          <w:sz w:val="24"/>
          <w:szCs w:val="24"/>
        </w:rPr>
      </w:pPr>
    </w:p>
    <w:p w14:paraId="10C2A9FE" w14:textId="77777777" w:rsidR="00F85314" w:rsidRDefault="00F85314" w:rsidP="00CF0B2D">
      <w:pPr>
        <w:spacing w:line="360" w:lineRule="auto"/>
        <w:jc w:val="both"/>
        <w:rPr>
          <w:rFonts w:ascii="Arial" w:hAnsi="Arial" w:cs="Arial"/>
          <w:sz w:val="24"/>
          <w:szCs w:val="24"/>
        </w:rPr>
      </w:pPr>
    </w:p>
    <w:p w14:paraId="7BBDC434" w14:textId="77777777" w:rsidR="00F85314" w:rsidRDefault="00F85314" w:rsidP="00CF0B2D">
      <w:pPr>
        <w:spacing w:line="360" w:lineRule="auto"/>
        <w:jc w:val="both"/>
        <w:rPr>
          <w:rFonts w:ascii="Arial" w:hAnsi="Arial" w:cs="Arial"/>
          <w:sz w:val="24"/>
          <w:szCs w:val="24"/>
        </w:rPr>
      </w:pPr>
    </w:p>
    <w:p w14:paraId="053C6FDA" w14:textId="77777777" w:rsidR="00F85314" w:rsidRDefault="00F85314" w:rsidP="00CF0B2D">
      <w:pPr>
        <w:spacing w:line="360" w:lineRule="auto"/>
        <w:jc w:val="both"/>
        <w:rPr>
          <w:rFonts w:ascii="Arial" w:hAnsi="Arial" w:cs="Arial"/>
          <w:sz w:val="24"/>
          <w:szCs w:val="24"/>
        </w:rPr>
      </w:pPr>
    </w:p>
    <w:p w14:paraId="42270337" w14:textId="77777777" w:rsidR="00F85314" w:rsidRDefault="00F85314" w:rsidP="00CF0B2D">
      <w:pPr>
        <w:spacing w:line="360" w:lineRule="auto"/>
        <w:jc w:val="both"/>
        <w:rPr>
          <w:rFonts w:ascii="Arial" w:hAnsi="Arial" w:cs="Arial"/>
          <w:sz w:val="24"/>
          <w:szCs w:val="24"/>
        </w:rPr>
      </w:pPr>
    </w:p>
    <w:p w14:paraId="1045A6E0" w14:textId="77777777" w:rsidR="00F85314" w:rsidRDefault="00F85314" w:rsidP="00CF0B2D">
      <w:pPr>
        <w:spacing w:line="360" w:lineRule="auto"/>
        <w:jc w:val="both"/>
        <w:rPr>
          <w:rFonts w:ascii="Arial" w:hAnsi="Arial" w:cs="Arial"/>
          <w:sz w:val="24"/>
          <w:szCs w:val="24"/>
        </w:rPr>
      </w:pPr>
    </w:p>
    <w:p w14:paraId="662BFD09" w14:textId="77777777" w:rsidR="00F85314" w:rsidRDefault="00F85314" w:rsidP="00CF0B2D">
      <w:pPr>
        <w:spacing w:line="360" w:lineRule="auto"/>
        <w:jc w:val="both"/>
        <w:rPr>
          <w:rFonts w:ascii="Arial" w:hAnsi="Arial" w:cs="Arial"/>
          <w:sz w:val="24"/>
          <w:szCs w:val="24"/>
        </w:rPr>
      </w:pPr>
    </w:p>
    <w:p w14:paraId="04DB3946" w14:textId="77777777" w:rsidR="00F85314" w:rsidRDefault="00F85314" w:rsidP="00CF0B2D">
      <w:pPr>
        <w:spacing w:line="360" w:lineRule="auto"/>
        <w:jc w:val="both"/>
        <w:rPr>
          <w:rFonts w:ascii="Arial" w:hAnsi="Arial" w:cs="Arial"/>
          <w:sz w:val="24"/>
          <w:szCs w:val="24"/>
        </w:rPr>
      </w:pPr>
    </w:p>
    <w:p w14:paraId="11F6DDB8" w14:textId="77777777" w:rsidR="00F85314" w:rsidRDefault="00F85314" w:rsidP="00CF0B2D">
      <w:pPr>
        <w:spacing w:line="360" w:lineRule="auto"/>
        <w:jc w:val="both"/>
        <w:rPr>
          <w:rFonts w:ascii="Arial" w:hAnsi="Arial" w:cs="Arial"/>
          <w:sz w:val="24"/>
          <w:szCs w:val="24"/>
        </w:rPr>
      </w:pPr>
    </w:p>
    <w:p w14:paraId="317FD572" w14:textId="77777777" w:rsidR="00F85314" w:rsidRDefault="00F85314" w:rsidP="00CF0B2D">
      <w:pPr>
        <w:spacing w:line="360" w:lineRule="auto"/>
        <w:jc w:val="both"/>
        <w:rPr>
          <w:rFonts w:ascii="Arial" w:hAnsi="Arial" w:cs="Arial"/>
          <w:sz w:val="24"/>
          <w:szCs w:val="24"/>
        </w:rPr>
      </w:pPr>
    </w:p>
    <w:p w14:paraId="0DD92D41" w14:textId="77777777" w:rsidR="00F85314" w:rsidRDefault="00F85314" w:rsidP="00CF0B2D">
      <w:pPr>
        <w:spacing w:line="360" w:lineRule="auto"/>
        <w:jc w:val="both"/>
        <w:rPr>
          <w:rFonts w:ascii="Arial" w:hAnsi="Arial" w:cs="Arial"/>
          <w:sz w:val="24"/>
          <w:szCs w:val="24"/>
        </w:rPr>
      </w:pPr>
    </w:p>
    <w:p w14:paraId="4C02B6FA" w14:textId="77777777" w:rsidR="00680FCB" w:rsidRPr="003965AC" w:rsidRDefault="00F85314" w:rsidP="003965AC">
      <w:pPr>
        <w:spacing w:line="360" w:lineRule="auto"/>
        <w:jc w:val="both"/>
        <w:rPr>
          <w:rFonts w:ascii="Arial" w:hAnsi="Arial" w:cs="Arial"/>
          <w:sz w:val="24"/>
          <w:szCs w:val="24"/>
        </w:rPr>
      </w:pPr>
      <w:r w:rsidRPr="003965AC">
        <w:rPr>
          <w:rFonts w:ascii="Arial" w:hAnsi="Arial" w:cs="Arial"/>
          <w:sz w:val="24"/>
          <w:szCs w:val="24"/>
        </w:rPr>
        <w:lastRenderedPageBreak/>
        <w:t>Executive Summary</w:t>
      </w:r>
    </w:p>
    <w:p w14:paraId="6D6A33F3" w14:textId="77777777" w:rsidR="00680FCB" w:rsidRPr="003965AC" w:rsidRDefault="00680FCB" w:rsidP="003965AC">
      <w:pPr>
        <w:spacing w:line="360" w:lineRule="auto"/>
        <w:jc w:val="both"/>
        <w:rPr>
          <w:rFonts w:ascii="Arial" w:hAnsi="Arial" w:cs="Arial"/>
          <w:sz w:val="24"/>
          <w:szCs w:val="24"/>
        </w:rPr>
      </w:pPr>
    </w:p>
    <w:p w14:paraId="20F37D33" w14:textId="1F3272C8" w:rsidR="00F85314" w:rsidRPr="003965AC" w:rsidRDefault="00F85314" w:rsidP="003965AC">
      <w:pPr>
        <w:spacing w:line="360" w:lineRule="auto"/>
        <w:jc w:val="both"/>
        <w:rPr>
          <w:rFonts w:ascii="Arial" w:hAnsi="Arial" w:cs="Arial"/>
          <w:sz w:val="24"/>
          <w:szCs w:val="24"/>
        </w:rPr>
      </w:pPr>
      <w:r w:rsidRPr="003965AC">
        <w:rPr>
          <w:rFonts w:ascii="Arial" w:hAnsi="Arial" w:cs="Arial"/>
          <w:sz w:val="24"/>
          <w:szCs w:val="24"/>
        </w:rPr>
        <w:br/>
        <w:t>This report offers a critical analysis of Hilton Hotels &amp; Resorts by examining its organisational structure, culture, strategic goals, and recent change initiatives. Both corporate-level and individual hotel-level perspectives are addressed, applying relevant theories from management and organisational behaviour. The report concludes with practical recommendations intended to support Hilton’s ongoing development and bolster its position in the global hospitality market.</w:t>
      </w:r>
    </w:p>
    <w:p w14:paraId="3816C187" w14:textId="77777777" w:rsidR="00F85314" w:rsidRPr="003965AC" w:rsidRDefault="00F85314" w:rsidP="003965AC">
      <w:pPr>
        <w:spacing w:line="360" w:lineRule="auto"/>
        <w:jc w:val="both"/>
        <w:rPr>
          <w:rFonts w:ascii="Arial" w:hAnsi="Arial" w:cs="Arial"/>
          <w:sz w:val="24"/>
          <w:szCs w:val="24"/>
        </w:rPr>
      </w:pPr>
    </w:p>
    <w:p w14:paraId="5C0B3421" w14:textId="77777777" w:rsidR="00F85314" w:rsidRDefault="00F85314" w:rsidP="00F85314">
      <w:pPr>
        <w:rPr>
          <w:rFonts w:ascii="Arial" w:hAnsi="Arial" w:cs="Arial"/>
        </w:rPr>
      </w:pPr>
    </w:p>
    <w:p w14:paraId="34DBB8E5" w14:textId="77777777" w:rsidR="00F85314" w:rsidRDefault="00F85314" w:rsidP="00F85314">
      <w:pPr>
        <w:rPr>
          <w:rFonts w:ascii="Arial" w:hAnsi="Arial" w:cs="Arial"/>
        </w:rPr>
      </w:pPr>
    </w:p>
    <w:p w14:paraId="6C50FA09" w14:textId="77777777" w:rsidR="00F85314" w:rsidRDefault="00F85314" w:rsidP="00F85314">
      <w:pPr>
        <w:rPr>
          <w:rFonts w:ascii="Arial" w:hAnsi="Arial" w:cs="Arial"/>
        </w:rPr>
      </w:pPr>
    </w:p>
    <w:p w14:paraId="79952B18" w14:textId="77777777" w:rsidR="00F85314" w:rsidRDefault="00F85314" w:rsidP="00F85314">
      <w:pPr>
        <w:rPr>
          <w:rFonts w:ascii="Arial" w:hAnsi="Arial" w:cs="Arial"/>
        </w:rPr>
      </w:pPr>
    </w:p>
    <w:p w14:paraId="6AA3336C" w14:textId="77777777" w:rsidR="00F85314" w:rsidRDefault="00F85314" w:rsidP="00F85314">
      <w:pPr>
        <w:rPr>
          <w:rFonts w:ascii="Arial" w:hAnsi="Arial" w:cs="Arial"/>
        </w:rPr>
      </w:pPr>
    </w:p>
    <w:p w14:paraId="11F8B23E" w14:textId="77777777" w:rsidR="00F85314" w:rsidRDefault="00F85314" w:rsidP="00F85314">
      <w:pPr>
        <w:rPr>
          <w:rFonts w:ascii="Arial" w:hAnsi="Arial" w:cs="Arial"/>
        </w:rPr>
      </w:pPr>
    </w:p>
    <w:p w14:paraId="0CDABF9B" w14:textId="77777777" w:rsidR="00F85314" w:rsidRDefault="00F85314" w:rsidP="00F85314">
      <w:pPr>
        <w:rPr>
          <w:rFonts w:ascii="Arial" w:hAnsi="Arial" w:cs="Arial"/>
        </w:rPr>
      </w:pPr>
    </w:p>
    <w:p w14:paraId="3EF550EF" w14:textId="77777777" w:rsidR="00F85314" w:rsidRDefault="00F85314" w:rsidP="00F85314">
      <w:pPr>
        <w:rPr>
          <w:rFonts w:ascii="Arial" w:hAnsi="Arial" w:cs="Arial"/>
        </w:rPr>
      </w:pPr>
    </w:p>
    <w:p w14:paraId="642EC06E" w14:textId="77777777" w:rsidR="00F85314" w:rsidRDefault="00F85314" w:rsidP="00F85314">
      <w:pPr>
        <w:rPr>
          <w:rFonts w:ascii="Arial" w:hAnsi="Arial" w:cs="Arial"/>
        </w:rPr>
      </w:pPr>
    </w:p>
    <w:p w14:paraId="70993378" w14:textId="77777777" w:rsidR="00F85314" w:rsidRDefault="00F85314" w:rsidP="00F85314">
      <w:pPr>
        <w:rPr>
          <w:rFonts w:ascii="Arial" w:hAnsi="Arial" w:cs="Arial"/>
        </w:rPr>
      </w:pPr>
    </w:p>
    <w:p w14:paraId="405877EF" w14:textId="77777777" w:rsidR="00F85314" w:rsidRDefault="00F85314" w:rsidP="00F85314">
      <w:pPr>
        <w:rPr>
          <w:rFonts w:ascii="Arial" w:hAnsi="Arial" w:cs="Arial"/>
        </w:rPr>
      </w:pPr>
    </w:p>
    <w:p w14:paraId="1CFDD0B0" w14:textId="77777777" w:rsidR="00F85314" w:rsidRDefault="00F85314" w:rsidP="00F85314">
      <w:pPr>
        <w:rPr>
          <w:rFonts w:ascii="Arial" w:hAnsi="Arial" w:cs="Arial"/>
        </w:rPr>
      </w:pPr>
    </w:p>
    <w:p w14:paraId="503BA0A4" w14:textId="77777777" w:rsidR="00F85314" w:rsidRDefault="00F85314" w:rsidP="00F85314">
      <w:pPr>
        <w:rPr>
          <w:rFonts w:ascii="Arial" w:hAnsi="Arial" w:cs="Arial"/>
        </w:rPr>
      </w:pPr>
    </w:p>
    <w:p w14:paraId="1A8E8FF8" w14:textId="77777777" w:rsidR="00F85314" w:rsidRDefault="00F85314" w:rsidP="00F85314">
      <w:pPr>
        <w:rPr>
          <w:rFonts w:ascii="Arial" w:hAnsi="Arial" w:cs="Arial"/>
        </w:rPr>
      </w:pPr>
    </w:p>
    <w:p w14:paraId="6A35CF25" w14:textId="77777777" w:rsidR="00F85314" w:rsidRDefault="00F85314" w:rsidP="00F85314">
      <w:pPr>
        <w:rPr>
          <w:rFonts w:ascii="Arial" w:hAnsi="Arial" w:cs="Arial"/>
        </w:rPr>
      </w:pPr>
    </w:p>
    <w:p w14:paraId="2D58A52B" w14:textId="77777777" w:rsidR="00F85314" w:rsidRDefault="00F85314" w:rsidP="00F85314">
      <w:pPr>
        <w:rPr>
          <w:rFonts w:ascii="Arial" w:hAnsi="Arial" w:cs="Arial"/>
        </w:rPr>
      </w:pPr>
    </w:p>
    <w:p w14:paraId="3CC53D96" w14:textId="77777777" w:rsidR="00F85314" w:rsidRDefault="00F85314" w:rsidP="00F85314">
      <w:pPr>
        <w:rPr>
          <w:rFonts w:ascii="Arial" w:hAnsi="Arial" w:cs="Arial"/>
        </w:rPr>
      </w:pPr>
    </w:p>
    <w:p w14:paraId="75D86A99" w14:textId="77777777" w:rsidR="00F85314" w:rsidRDefault="00F85314" w:rsidP="00F85314">
      <w:pPr>
        <w:rPr>
          <w:rFonts w:ascii="Arial" w:hAnsi="Arial" w:cs="Arial"/>
        </w:rPr>
      </w:pPr>
    </w:p>
    <w:p w14:paraId="0A7E57E3" w14:textId="77777777" w:rsidR="00F85314" w:rsidRDefault="00F85314" w:rsidP="00F85314">
      <w:pPr>
        <w:rPr>
          <w:rFonts w:ascii="Arial" w:hAnsi="Arial" w:cs="Arial"/>
        </w:rPr>
      </w:pPr>
    </w:p>
    <w:p w14:paraId="4D90D19A" w14:textId="77777777" w:rsidR="00F85314" w:rsidRPr="00900DCE" w:rsidRDefault="00F85314" w:rsidP="00E01D80">
      <w:pPr>
        <w:spacing w:line="360" w:lineRule="auto"/>
        <w:rPr>
          <w:rFonts w:ascii="Arial" w:hAnsi="Arial" w:cs="Arial"/>
          <w:sz w:val="24"/>
          <w:szCs w:val="24"/>
        </w:rPr>
      </w:pPr>
      <w:r w:rsidRPr="00900DCE">
        <w:rPr>
          <w:rFonts w:ascii="Arial" w:hAnsi="Arial" w:cs="Arial"/>
          <w:sz w:val="24"/>
          <w:szCs w:val="24"/>
        </w:rPr>
        <w:lastRenderedPageBreak/>
        <w:t>Table of Contents</w:t>
      </w:r>
    </w:p>
    <w:p w14:paraId="47C5E56D" w14:textId="464FD950" w:rsidR="00F85314" w:rsidRPr="00900DCE" w:rsidRDefault="00F85314" w:rsidP="00E01D80">
      <w:pPr>
        <w:numPr>
          <w:ilvl w:val="0"/>
          <w:numId w:val="1"/>
        </w:numPr>
        <w:spacing w:line="360" w:lineRule="auto"/>
        <w:rPr>
          <w:rFonts w:ascii="Arial" w:hAnsi="Arial" w:cs="Arial"/>
          <w:sz w:val="24"/>
          <w:szCs w:val="24"/>
        </w:rPr>
      </w:pPr>
      <w:r w:rsidRPr="00900DCE">
        <w:rPr>
          <w:rFonts w:ascii="Arial" w:hAnsi="Arial" w:cs="Arial"/>
          <w:sz w:val="24"/>
          <w:szCs w:val="24"/>
        </w:rPr>
        <w:t>Introduction</w:t>
      </w:r>
      <w:r w:rsidR="00E01D80">
        <w:rPr>
          <w:rFonts w:ascii="Arial" w:hAnsi="Arial" w:cs="Arial"/>
          <w:sz w:val="24"/>
          <w:szCs w:val="24"/>
        </w:rPr>
        <w:t>………………………………………………………………….4</w:t>
      </w:r>
    </w:p>
    <w:p w14:paraId="0DFF5055" w14:textId="7DCFA165" w:rsidR="00F85314" w:rsidRPr="00900DCE" w:rsidRDefault="00F85314" w:rsidP="00E01D80">
      <w:pPr>
        <w:numPr>
          <w:ilvl w:val="0"/>
          <w:numId w:val="1"/>
        </w:numPr>
        <w:spacing w:line="360" w:lineRule="auto"/>
        <w:rPr>
          <w:rFonts w:ascii="Arial" w:hAnsi="Arial" w:cs="Arial"/>
          <w:sz w:val="24"/>
          <w:szCs w:val="24"/>
        </w:rPr>
      </w:pPr>
      <w:r w:rsidRPr="00900DCE">
        <w:rPr>
          <w:rFonts w:ascii="Arial" w:hAnsi="Arial" w:cs="Arial"/>
          <w:sz w:val="24"/>
          <w:szCs w:val="24"/>
        </w:rPr>
        <w:t>Organisational Structure, Culture, and Goals</w:t>
      </w:r>
      <w:r w:rsidR="00E01D80">
        <w:rPr>
          <w:rFonts w:ascii="Arial" w:hAnsi="Arial" w:cs="Arial"/>
          <w:sz w:val="24"/>
          <w:szCs w:val="24"/>
        </w:rPr>
        <w:t>…………………………...4</w:t>
      </w:r>
      <w:r w:rsidRPr="00900DCE">
        <w:rPr>
          <w:rFonts w:ascii="Arial" w:hAnsi="Arial" w:cs="Arial"/>
          <w:sz w:val="24"/>
          <w:szCs w:val="24"/>
        </w:rPr>
        <w:br/>
        <w:t>2.1. Organisational Structure</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………………4</w:t>
      </w:r>
      <w:r w:rsidRPr="00900DCE">
        <w:rPr>
          <w:rFonts w:ascii="Arial" w:hAnsi="Arial" w:cs="Arial"/>
          <w:sz w:val="24"/>
          <w:szCs w:val="24"/>
        </w:rPr>
        <w:br/>
        <w:t>2.2. Corporate Culture</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5</w:t>
      </w:r>
      <w:r w:rsidRPr="00900DCE">
        <w:rPr>
          <w:rFonts w:ascii="Arial" w:hAnsi="Arial" w:cs="Arial"/>
          <w:sz w:val="24"/>
          <w:szCs w:val="24"/>
        </w:rPr>
        <w:br/>
        <w:t>2.3. Goals at Corporate and Individual Hotel Levels</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………5</w:t>
      </w:r>
    </w:p>
    <w:p w14:paraId="16B9762B" w14:textId="53FBB3BC" w:rsidR="00F85314" w:rsidRPr="00900DCE" w:rsidRDefault="00F85314" w:rsidP="00E01D80">
      <w:pPr>
        <w:numPr>
          <w:ilvl w:val="0"/>
          <w:numId w:val="1"/>
        </w:numPr>
        <w:spacing w:line="360" w:lineRule="auto"/>
        <w:rPr>
          <w:rFonts w:ascii="Arial" w:hAnsi="Arial" w:cs="Arial"/>
          <w:sz w:val="24"/>
          <w:szCs w:val="24"/>
        </w:rPr>
      </w:pPr>
      <w:r w:rsidRPr="00900DCE">
        <w:rPr>
          <w:rFonts w:ascii="Arial" w:hAnsi="Arial" w:cs="Arial"/>
          <w:sz w:val="24"/>
          <w:szCs w:val="24"/>
        </w:rPr>
        <w:t>Recent Change Initiatives</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6</w:t>
      </w:r>
      <w:r w:rsidRPr="00900DCE">
        <w:rPr>
          <w:rFonts w:ascii="Arial" w:hAnsi="Arial" w:cs="Arial"/>
          <w:sz w:val="24"/>
          <w:szCs w:val="24"/>
        </w:rPr>
        <w:br/>
        <w:t>3.1. Key Change Initiatives</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…..6</w:t>
      </w:r>
      <w:r w:rsidRPr="00900DCE">
        <w:rPr>
          <w:rFonts w:ascii="Arial" w:hAnsi="Arial" w:cs="Arial"/>
          <w:sz w:val="24"/>
          <w:szCs w:val="24"/>
        </w:rPr>
        <w:br/>
        <w:t>3.2. Impact Analysis</w:t>
      </w:r>
      <w:r w:rsidR="00E01D80">
        <w:rPr>
          <w:rFonts w:ascii="Arial" w:hAnsi="Arial" w:cs="Arial"/>
          <w:sz w:val="24"/>
          <w:szCs w:val="24"/>
        </w:rPr>
        <w:t>……………………………………………………….6</w:t>
      </w:r>
      <w:r w:rsidRPr="00900DCE">
        <w:rPr>
          <w:rFonts w:ascii="Arial" w:hAnsi="Arial" w:cs="Arial"/>
          <w:sz w:val="24"/>
          <w:szCs w:val="24"/>
        </w:rPr>
        <w:br/>
        <w:t>3.3. Change Management Effectiveness</w:t>
      </w:r>
      <w:r w:rsidR="00E01D80">
        <w:rPr>
          <w:rFonts w:ascii="Arial" w:hAnsi="Arial" w:cs="Arial"/>
          <w:sz w:val="24"/>
          <w:szCs w:val="24"/>
        </w:rPr>
        <w:t>……………………………….7</w:t>
      </w:r>
    </w:p>
    <w:p w14:paraId="63F70651" w14:textId="27EDECD3" w:rsidR="00F85314" w:rsidRPr="00900DCE" w:rsidRDefault="00F85314" w:rsidP="00E01D80">
      <w:pPr>
        <w:numPr>
          <w:ilvl w:val="0"/>
          <w:numId w:val="1"/>
        </w:numPr>
        <w:spacing w:line="360" w:lineRule="auto"/>
        <w:rPr>
          <w:rFonts w:ascii="Arial" w:hAnsi="Arial" w:cs="Arial"/>
          <w:sz w:val="24"/>
          <w:szCs w:val="24"/>
        </w:rPr>
      </w:pPr>
      <w:r w:rsidRPr="00900DCE">
        <w:rPr>
          <w:rFonts w:ascii="Arial" w:hAnsi="Arial" w:cs="Arial"/>
          <w:sz w:val="24"/>
          <w:szCs w:val="24"/>
        </w:rPr>
        <w:t>Strategic Direction</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7</w:t>
      </w:r>
      <w:r w:rsidRPr="00900DCE">
        <w:rPr>
          <w:rFonts w:ascii="Arial" w:hAnsi="Arial" w:cs="Arial"/>
          <w:sz w:val="24"/>
          <w:szCs w:val="24"/>
        </w:rPr>
        <w:br/>
        <w:t>4.1. Long-Term Objectives</w:t>
      </w:r>
      <w:r w:rsidR="00E01D80">
        <w:rPr>
          <w:rFonts w:ascii="Arial" w:hAnsi="Arial" w:cs="Arial"/>
          <w:sz w:val="24"/>
          <w:szCs w:val="24"/>
        </w:rPr>
        <w:t>………………………………………………7</w:t>
      </w:r>
      <w:r w:rsidRPr="00900DCE">
        <w:rPr>
          <w:rFonts w:ascii="Arial" w:hAnsi="Arial" w:cs="Arial"/>
          <w:sz w:val="24"/>
          <w:szCs w:val="24"/>
        </w:rPr>
        <w:br/>
        <w:t>4.2. Strategies for Sustainable Growth</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8</w:t>
      </w:r>
    </w:p>
    <w:p w14:paraId="16BA4232" w14:textId="6DA3123F" w:rsidR="00F85314" w:rsidRPr="00900DCE" w:rsidRDefault="00F85314" w:rsidP="00E01D80">
      <w:pPr>
        <w:numPr>
          <w:ilvl w:val="0"/>
          <w:numId w:val="1"/>
        </w:numPr>
        <w:spacing w:line="360" w:lineRule="auto"/>
        <w:rPr>
          <w:rFonts w:ascii="Arial" w:hAnsi="Arial" w:cs="Arial"/>
          <w:sz w:val="24"/>
          <w:szCs w:val="24"/>
        </w:rPr>
      </w:pPr>
      <w:r w:rsidRPr="00900DCE">
        <w:rPr>
          <w:rFonts w:ascii="Arial" w:hAnsi="Arial" w:cs="Arial"/>
          <w:sz w:val="24"/>
          <w:szCs w:val="24"/>
        </w:rPr>
        <w:t>Recommendations</w:t>
      </w:r>
      <w:r w:rsidR="00E01D80">
        <w:rPr>
          <w:rFonts w:ascii="Arial" w:hAnsi="Arial" w:cs="Arial"/>
          <w:sz w:val="24"/>
          <w:szCs w:val="24"/>
        </w:rPr>
        <w:t>………………………………………………….…...9</w:t>
      </w:r>
    </w:p>
    <w:p w14:paraId="028A39CE" w14:textId="76B3EC46" w:rsidR="00F85314" w:rsidRPr="00900DCE" w:rsidRDefault="00F85314" w:rsidP="00E01D80">
      <w:pPr>
        <w:numPr>
          <w:ilvl w:val="0"/>
          <w:numId w:val="1"/>
        </w:numPr>
        <w:spacing w:line="360" w:lineRule="auto"/>
        <w:rPr>
          <w:rFonts w:ascii="Arial" w:hAnsi="Arial" w:cs="Arial"/>
          <w:sz w:val="24"/>
          <w:szCs w:val="24"/>
        </w:rPr>
      </w:pPr>
      <w:r w:rsidRPr="00900DCE">
        <w:rPr>
          <w:rFonts w:ascii="Arial" w:hAnsi="Arial" w:cs="Arial"/>
          <w:sz w:val="24"/>
          <w:szCs w:val="24"/>
        </w:rPr>
        <w:t>Conclusion</w:t>
      </w:r>
      <w:r w:rsidR="00E01D80">
        <w:rPr>
          <w:rFonts w:ascii="Arial" w:hAnsi="Arial" w:cs="Arial"/>
          <w:sz w:val="24"/>
          <w:szCs w:val="24"/>
        </w:rPr>
        <w:t>………………………………………………………………10</w:t>
      </w:r>
    </w:p>
    <w:p w14:paraId="0BD84BD0" w14:textId="51203706" w:rsidR="00F85314" w:rsidRPr="00900DCE" w:rsidRDefault="00F85314" w:rsidP="00E01D80">
      <w:pPr>
        <w:numPr>
          <w:ilvl w:val="0"/>
          <w:numId w:val="1"/>
        </w:numPr>
        <w:spacing w:line="360" w:lineRule="auto"/>
        <w:rPr>
          <w:rFonts w:ascii="Arial" w:hAnsi="Arial" w:cs="Arial"/>
          <w:sz w:val="24"/>
          <w:szCs w:val="24"/>
        </w:rPr>
      </w:pPr>
      <w:r w:rsidRPr="00900DCE">
        <w:rPr>
          <w:rFonts w:ascii="Arial" w:hAnsi="Arial" w:cs="Arial"/>
          <w:sz w:val="24"/>
          <w:szCs w:val="24"/>
        </w:rPr>
        <w:t>Reference List</w:t>
      </w:r>
      <w:r w:rsidR="00E01D80">
        <w:rPr>
          <w:rFonts w:ascii="Arial" w:hAnsi="Arial" w:cs="Arial"/>
          <w:sz w:val="24"/>
          <w:szCs w:val="24"/>
        </w:rPr>
        <w:t>………………………………………………………</w:t>
      </w:r>
      <w:proofErr w:type="gramStart"/>
      <w:r w:rsidR="00E01D80">
        <w:rPr>
          <w:rFonts w:ascii="Arial" w:hAnsi="Arial" w:cs="Arial"/>
          <w:sz w:val="24"/>
          <w:szCs w:val="24"/>
        </w:rPr>
        <w:t>…..</w:t>
      </w:r>
      <w:proofErr w:type="gramEnd"/>
      <w:r w:rsidR="00E01D80">
        <w:rPr>
          <w:rFonts w:ascii="Arial" w:hAnsi="Arial" w:cs="Arial"/>
          <w:sz w:val="24"/>
          <w:szCs w:val="24"/>
        </w:rPr>
        <w:t>11</w:t>
      </w:r>
    </w:p>
    <w:p w14:paraId="03E111FB" w14:textId="77777777" w:rsidR="00F85314" w:rsidRPr="00900DCE" w:rsidRDefault="00F85314" w:rsidP="00900DCE">
      <w:pPr>
        <w:spacing w:line="360" w:lineRule="auto"/>
        <w:rPr>
          <w:rFonts w:ascii="Arial" w:hAnsi="Arial" w:cs="Arial"/>
          <w:sz w:val="24"/>
          <w:szCs w:val="24"/>
        </w:rPr>
      </w:pPr>
    </w:p>
    <w:p w14:paraId="6C7B831E" w14:textId="77777777" w:rsidR="00F85314" w:rsidRDefault="00F85314" w:rsidP="00F85314">
      <w:pPr>
        <w:rPr>
          <w:rFonts w:ascii="Arial" w:hAnsi="Arial" w:cs="Arial"/>
        </w:rPr>
      </w:pPr>
    </w:p>
    <w:p w14:paraId="596208A4" w14:textId="77777777" w:rsidR="00F85314" w:rsidRDefault="00F85314" w:rsidP="00F85314">
      <w:pPr>
        <w:rPr>
          <w:rFonts w:ascii="Arial" w:hAnsi="Arial" w:cs="Arial"/>
        </w:rPr>
      </w:pPr>
    </w:p>
    <w:p w14:paraId="20F2605C" w14:textId="77777777" w:rsidR="00F85314" w:rsidRDefault="00F85314" w:rsidP="00F85314">
      <w:pPr>
        <w:rPr>
          <w:rFonts w:ascii="Arial" w:hAnsi="Arial" w:cs="Arial"/>
        </w:rPr>
      </w:pPr>
    </w:p>
    <w:p w14:paraId="0D6768AA" w14:textId="77777777" w:rsidR="00F85314" w:rsidRDefault="00F85314" w:rsidP="00F85314">
      <w:pPr>
        <w:rPr>
          <w:rFonts w:ascii="Arial" w:hAnsi="Arial" w:cs="Arial"/>
        </w:rPr>
      </w:pPr>
    </w:p>
    <w:p w14:paraId="532700EC" w14:textId="77777777" w:rsidR="00F85314" w:rsidRDefault="00F85314" w:rsidP="00F85314">
      <w:pPr>
        <w:rPr>
          <w:rFonts w:ascii="Arial" w:hAnsi="Arial" w:cs="Arial"/>
        </w:rPr>
      </w:pPr>
    </w:p>
    <w:p w14:paraId="1A5B3C4C" w14:textId="77777777" w:rsidR="00F85314" w:rsidRDefault="00F85314" w:rsidP="00F85314">
      <w:pPr>
        <w:rPr>
          <w:rFonts w:ascii="Arial" w:hAnsi="Arial" w:cs="Arial"/>
        </w:rPr>
      </w:pPr>
    </w:p>
    <w:p w14:paraId="3924EBED" w14:textId="77777777" w:rsidR="00F85314" w:rsidRDefault="00F85314" w:rsidP="00F85314">
      <w:pPr>
        <w:rPr>
          <w:rFonts w:ascii="Arial" w:hAnsi="Arial" w:cs="Arial"/>
        </w:rPr>
      </w:pPr>
    </w:p>
    <w:p w14:paraId="587BC567" w14:textId="77777777" w:rsidR="00F85314" w:rsidRDefault="00F85314" w:rsidP="00F85314">
      <w:pPr>
        <w:rPr>
          <w:rFonts w:ascii="Arial" w:hAnsi="Arial" w:cs="Arial"/>
        </w:rPr>
      </w:pPr>
    </w:p>
    <w:p w14:paraId="1F50E63F" w14:textId="77777777" w:rsidR="00F85314" w:rsidRDefault="00F85314" w:rsidP="00F85314">
      <w:pPr>
        <w:rPr>
          <w:rFonts w:ascii="Arial" w:hAnsi="Arial" w:cs="Arial"/>
        </w:rPr>
      </w:pPr>
    </w:p>
    <w:p w14:paraId="7D9DD2F4" w14:textId="77777777" w:rsidR="00F85314" w:rsidRDefault="00F85314" w:rsidP="00F85314">
      <w:pPr>
        <w:rPr>
          <w:rFonts w:ascii="Arial" w:hAnsi="Arial" w:cs="Arial"/>
        </w:rPr>
      </w:pPr>
    </w:p>
    <w:p w14:paraId="20E55FFA" w14:textId="6ECD95E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lastRenderedPageBreak/>
        <w:t>1. Introduction</w:t>
      </w:r>
      <w:r w:rsidRPr="00784163">
        <w:rPr>
          <w:rFonts w:ascii="Arial" w:hAnsi="Arial" w:cs="Arial"/>
          <w:sz w:val="24"/>
          <w:szCs w:val="24"/>
        </w:rPr>
        <w:br/>
        <w:t>Hilton Hotels &amp; Resorts, established by Conrad Hilton in 1919, is a prominent brand under the wider umbrella of Hilton Worldwide Holdings Inc. (Mullins, 2023). Over the past century, Hilton has grown substantially, now operating more than 7,000 properties in approximately 120 countries and territories (Hilton Worldwide, 2023). The brand’s core identity is predicated on delivering exceptional service to guests, a goal underpinned by its culture of hospitality, strong employee engagement, and consistent brand standards (Boddy, 2017).</w:t>
      </w:r>
      <w:r w:rsidRPr="00784163">
        <w:rPr>
          <w:rFonts w:ascii="Arial" w:hAnsi="Arial" w:cs="Arial"/>
          <w:sz w:val="24"/>
          <w:szCs w:val="24"/>
        </w:rPr>
        <w:br/>
        <w:t>The principal aim of this report is to assess and evaluate Hilton at both the corporate level and the individual hotel level, focusing on its organisational structure, corporate culture, and goals. Furthermore, the report examines the company’s recent change initiatives and analyses how these initiatives have influenced Hilton’s performance and strategic direction. The concluding sections provide recommendations for future improvement based on established management and organisational behaviour theories.</w:t>
      </w:r>
    </w:p>
    <w:p w14:paraId="1A9FCAE5"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2. Organisational Structure, Culture, and Goals</w:t>
      </w:r>
      <w:r w:rsidRPr="00784163">
        <w:rPr>
          <w:rFonts w:ascii="Arial" w:hAnsi="Arial" w:cs="Arial"/>
          <w:sz w:val="24"/>
          <w:szCs w:val="24"/>
        </w:rPr>
        <w:br/>
        <w:t>2.1. Organisational Structure</w:t>
      </w:r>
      <w:r w:rsidRPr="00784163">
        <w:rPr>
          <w:rFonts w:ascii="Arial" w:hAnsi="Arial" w:cs="Arial"/>
          <w:sz w:val="24"/>
          <w:szCs w:val="24"/>
        </w:rPr>
        <w:br/>
        <w:t>Hilton is mainly known for such an organisational structure called divisional, distinguished along two orientations: geographic regions (Americas, Europe-Middle East-Africa, and Asia-Pacific) and business segments (owned, managed, and franchised hotels) (Buchanan and Huczynski, 2007). This structure permits the corporate headquarters to provide direction on overall strategy while allowing regional sectors to manage local market dynamics (Adair, 2009). More importantly, Hilton operates on an asset-light model where real properties are owned mostly by third parties, thereby having the corporate office manage brand consistency, loyalty programs, and operational standards (Nasdaq/Motley Fool, 2019).</w:t>
      </w:r>
    </w:p>
    <w:p w14:paraId="7F377B32"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 xml:space="preserve">Theoretically speaking, knowing that organisations with decentralized structures can adapt quicker to changes from the outside, Hilton’s divisional model positions it well to cater to cultural, economic, and regulatory variations across each region (Armstrong, 2012). For instance, every property—owned, managed, or franchised alike—would be </w:t>
      </w:r>
      <w:r w:rsidRPr="00784163">
        <w:rPr>
          <w:rFonts w:ascii="Arial" w:hAnsi="Arial" w:cs="Arial"/>
          <w:sz w:val="24"/>
          <w:szCs w:val="24"/>
        </w:rPr>
        <w:lastRenderedPageBreak/>
        <w:t>evaluated on an integrated system of performance measures, with quality, operational excellence, and guest satisfaction as the benchmarks (Lodging Magazine, 2024).</w:t>
      </w:r>
    </w:p>
    <w:p w14:paraId="0E7E1C5C"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2.2. Corporate Culture</w:t>
      </w:r>
      <w:r w:rsidRPr="00784163">
        <w:rPr>
          <w:rFonts w:ascii="Arial" w:hAnsi="Arial" w:cs="Arial"/>
          <w:sz w:val="24"/>
          <w:szCs w:val="24"/>
        </w:rPr>
        <w:br/>
        <w:t>Hilton’s corporate culture centres around service excellence, teamwork, and inclusivity, encapsulated in its mission “to be the most hospitable company in the world” (Hilton Worldwide, 2021). Training initiatives and formal communication channels reinforce these values, with Hilton’s leadership emphasising open dialogue, employee recognition, and shared purpose (Great Place to Work, 2020). As Mullins (2019) explains, a strong organisational culture in the hospitality sector fosters both customer-facing excellence and internal collaboration.</w:t>
      </w:r>
    </w:p>
    <w:p w14:paraId="1712BE2E"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 xml:space="preserve">Technological advancements further enhance this culture. For instance, the development of the Digital Key service and an upgraded Hilton Honors app enable staff to deliver personalised guest experiences (Ivanov and </w:t>
      </w:r>
      <w:proofErr w:type="spellStart"/>
      <w:r w:rsidRPr="00784163">
        <w:rPr>
          <w:rFonts w:ascii="Arial" w:hAnsi="Arial" w:cs="Arial"/>
          <w:sz w:val="24"/>
          <w:szCs w:val="24"/>
        </w:rPr>
        <w:t>Gretzel</w:t>
      </w:r>
      <w:proofErr w:type="spellEnd"/>
      <w:r w:rsidRPr="00784163">
        <w:rPr>
          <w:rFonts w:ascii="Arial" w:hAnsi="Arial" w:cs="Arial"/>
          <w:sz w:val="24"/>
          <w:szCs w:val="24"/>
        </w:rPr>
        <w:t>, 2021). According to Boddy (2017), balancing digital innovation with personal interaction is vital for service-oriented brands. Hilton achieves this balance by coupling technological efficiency with the ‘human touch’ of its teams, thus maintaining high service standards across its properties.</w:t>
      </w:r>
    </w:p>
    <w:p w14:paraId="4516AC7F"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2.3. Goals at Corporate and Individual Hotel Levels</w:t>
      </w:r>
      <w:r w:rsidRPr="00784163">
        <w:rPr>
          <w:rFonts w:ascii="Arial" w:hAnsi="Arial" w:cs="Arial"/>
          <w:sz w:val="24"/>
          <w:szCs w:val="24"/>
        </w:rPr>
        <w:br/>
        <w:t>Hilton’s objectives at the corporate level focus on global expansion, strong financial performance, innovative guest experiences, and leading standards of sustainability (Armstrong, 2021). The company commits to ambitious targets under its Travel with Purpose framework, aiming to halve its environmental footprint by 2030 and boost social impact through community engagement (Global Sustainable Tourism Council, 2022).</w:t>
      </w:r>
    </w:p>
    <w:p w14:paraId="11E47069"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At the individual hotel level, managers are responsible for aligning day-to-day operations with these overarching goals. Properties typically measure performance using metrics such as occupancy rate, RevPAR (Revenue Per Available Room), and Net Promoter Scores (</w:t>
      </w:r>
      <w:proofErr w:type="spellStart"/>
      <w:r w:rsidRPr="00784163">
        <w:rPr>
          <w:rFonts w:ascii="Arial" w:hAnsi="Arial" w:cs="Arial"/>
          <w:sz w:val="24"/>
          <w:szCs w:val="24"/>
        </w:rPr>
        <w:t>Tanford</w:t>
      </w:r>
      <w:proofErr w:type="spellEnd"/>
      <w:r w:rsidRPr="00784163">
        <w:rPr>
          <w:rFonts w:ascii="Arial" w:hAnsi="Arial" w:cs="Arial"/>
          <w:sz w:val="24"/>
          <w:szCs w:val="24"/>
        </w:rPr>
        <w:t>, 2013). By tying local objectives to corporate targets, Hilton ensures that each hotel unit is simultaneously contributing to brand consistency and the company’s long-term aspirations (Mullins, 2023).</w:t>
      </w:r>
    </w:p>
    <w:p w14:paraId="03B931AF" w14:textId="04D8A4C9" w:rsidR="00784163" w:rsidRPr="00784163" w:rsidRDefault="00784163" w:rsidP="00784163">
      <w:pPr>
        <w:spacing w:line="360" w:lineRule="auto"/>
        <w:jc w:val="both"/>
        <w:rPr>
          <w:rFonts w:ascii="Arial" w:hAnsi="Arial" w:cs="Arial"/>
          <w:sz w:val="24"/>
          <w:szCs w:val="24"/>
        </w:rPr>
      </w:pPr>
    </w:p>
    <w:p w14:paraId="72B3A943"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3. Recent Change Initiatives</w:t>
      </w:r>
      <w:r w:rsidRPr="00784163">
        <w:rPr>
          <w:rFonts w:ascii="Arial" w:hAnsi="Arial" w:cs="Arial"/>
          <w:sz w:val="24"/>
          <w:szCs w:val="24"/>
        </w:rPr>
        <w:br/>
        <w:t>3.1. Key Change Initiatives</w:t>
      </w:r>
    </w:p>
    <w:p w14:paraId="7171735C" w14:textId="77777777" w:rsidR="00784163" w:rsidRPr="00784163" w:rsidRDefault="00784163" w:rsidP="00784163">
      <w:pPr>
        <w:numPr>
          <w:ilvl w:val="0"/>
          <w:numId w:val="6"/>
        </w:numPr>
        <w:spacing w:line="360" w:lineRule="auto"/>
        <w:jc w:val="both"/>
        <w:rPr>
          <w:rFonts w:ascii="Arial" w:hAnsi="Arial" w:cs="Arial"/>
          <w:sz w:val="24"/>
          <w:szCs w:val="24"/>
        </w:rPr>
      </w:pPr>
      <w:r w:rsidRPr="00784163">
        <w:rPr>
          <w:rFonts w:ascii="Arial" w:hAnsi="Arial" w:cs="Arial"/>
          <w:sz w:val="24"/>
          <w:szCs w:val="24"/>
        </w:rPr>
        <w:t>Travel with Purpose: This initiative underlines Hilton’s commitment to sustainability and corporate responsibility, encompassing carbon reduction, water conservation, and community outreach (Martínez and del Bosque, 2013). Hilton utilises its in-house Light Stay platform to measure and manage environmental metrics, ensuring the organisation is accountable at every level (Global Sustainable Tourism Council, 2022).</w:t>
      </w:r>
    </w:p>
    <w:p w14:paraId="286392B9" w14:textId="77777777" w:rsidR="00784163" w:rsidRPr="00784163" w:rsidRDefault="00784163" w:rsidP="00784163">
      <w:pPr>
        <w:numPr>
          <w:ilvl w:val="0"/>
          <w:numId w:val="6"/>
        </w:numPr>
        <w:spacing w:line="360" w:lineRule="auto"/>
        <w:jc w:val="both"/>
        <w:rPr>
          <w:rFonts w:ascii="Arial" w:hAnsi="Arial" w:cs="Arial"/>
          <w:sz w:val="24"/>
          <w:szCs w:val="24"/>
        </w:rPr>
      </w:pPr>
      <w:r w:rsidRPr="00784163">
        <w:rPr>
          <w:rFonts w:ascii="Arial" w:hAnsi="Arial" w:cs="Arial"/>
          <w:sz w:val="24"/>
          <w:szCs w:val="24"/>
        </w:rPr>
        <w:t>Digital Transformation: Hilton has continued to integrate innovative technologies such as mobile check-in, Digital Key, and AI-driven personalisation (Brown et al., 2020). These initiatives enhance operational efficiency while offering more frictionless experiences for guests (Deloitte, 2022).</w:t>
      </w:r>
    </w:p>
    <w:p w14:paraId="0F009841" w14:textId="77777777" w:rsidR="00784163" w:rsidRPr="00784163" w:rsidRDefault="00784163" w:rsidP="00784163">
      <w:pPr>
        <w:numPr>
          <w:ilvl w:val="0"/>
          <w:numId w:val="6"/>
        </w:numPr>
        <w:spacing w:line="360" w:lineRule="auto"/>
        <w:jc w:val="both"/>
        <w:rPr>
          <w:rFonts w:ascii="Arial" w:hAnsi="Arial" w:cs="Arial"/>
          <w:sz w:val="24"/>
          <w:szCs w:val="24"/>
        </w:rPr>
      </w:pPr>
      <w:r w:rsidRPr="00784163">
        <w:rPr>
          <w:rFonts w:ascii="Arial" w:hAnsi="Arial" w:cs="Arial"/>
          <w:sz w:val="24"/>
          <w:szCs w:val="24"/>
        </w:rPr>
        <w:t>Pandemic Response and Safety Enhancements: Following the onset of COVID-19, Hilton introduced the Clean Stay programme in collaboration with Lysol and Mayo Clinic, updating hygiene protocols and ensuring guest confidence (Skift, 2021). Changes such as contactless services and extended cancellation policies also helped maintain brand trust (US Chamber Foundation, 2023).</w:t>
      </w:r>
    </w:p>
    <w:p w14:paraId="24DDAF4F"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3.2. Impact Analysis</w:t>
      </w:r>
      <w:r w:rsidRPr="00784163">
        <w:rPr>
          <w:rFonts w:ascii="Arial" w:hAnsi="Arial" w:cs="Arial"/>
          <w:sz w:val="24"/>
          <w:szCs w:val="24"/>
        </w:rPr>
        <w:br/>
        <w:t>The focus on sustainability has proven advantageous in multiple dimensions—lowering operating costs through reduced energy consumption and appealing to environmentally conscious travellers (Martínez and del Bosque, 2013). Implementing Travel with Purpose has bolstered Hilton’s reputation as a socially responsible brand, an important differentiator in a crowded market (Adair, 2009).</w:t>
      </w:r>
    </w:p>
    <w:p w14:paraId="679B3E4B"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 xml:space="preserve">Digital transformation initiatives have likewise enhanced guest loyalty and operational agility (Ivanov and </w:t>
      </w:r>
      <w:proofErr w:type="spellStart"/>
      <w:r w:rsidRPr="00784163">
        <w:rPr>
          <w:rFonts w:ascii="Arial" w:hAnsi="Arial" w:cs="Arial"/>
          <w:sz w:val="24"/>
          <w:szCs w:val="24"/>
        </w:rPr>
        <w:t>Gretzel</w:t>
      </w:r>
      <w:proofErr w:type="spellEnd"/>
      <w:r w:rsidRPr="00784163">
        <w:rPr>
          <w:rFonts w:ascii="Arial" w:hAnsi="Arial" w:cs="Arial"/>
          <w:sz w:val="24"/>
          <w:szCs w:val="24"/>
        </w:rPr>
        <w:t>, 2021). By enabling seamless check-ins and personalised room preferences, Hilton leverages technology to drive higher direct bookings and a stronger relationship with Hilton Honors members (</w:t>
      </w:r>
      <w:proofErr w:type="spellStart"/>
      <w:r w:rsidRPr="00784163">
        <w:rPr>
          <w:rFonts w:ascii="Arial" w:hAnsi="Arial" w:cs="Arial"/>
          <w:sz w:val="24"/>
          <w:szCs w:val="24"/>
        </w:rPr>
        <w:t>Tanford</w:t>
      </w:r>
      <w:proofErr w:type="spellEnd"/>
      <w:r w:rsidRPr="00784163">
        <w:rPr>
          <w:rFonts w:ascii="Arial" w:hAnsi="Arial" w:cs="Arial"/>
          <w:sz w:val="24"/>
          <w:szCs w:val="24"/>
        </w:rPr>
        <w:t xml:space="preserve">, 2013). However, smaller franchisees sometimes struggle to adopt advanced technologies due to cost </w:t>
      </w:r>
      <w:r w:rsidRPr="00784163">
        <w:rPr>
          <w:rFonts w:ascii="Arial" w:hAnsi="Arial" w:cs="Arial"/>
          <w:sz w:val="24"/>
          <w:szCs w:val="24"/>
        </w:rPr>
        <w:lastRenderedPageBreak/>
        <w:t>constraints, pointing to an ongoing need for corporate support (Great Place to Work, 2020).</w:t>
      </w:r>
    </w:p>
    <w:p w14:paraId="49B19FDB"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3.3. Change Management Effectiveness</w:t>
      </w:r>
      <w:r w:rsidRPr="00784163">
        <w:rPr>
          <w:rFonts w:ascii="Arial" w:hAnsi="Arial" w:cs="Arial"/>
          <w:sz w:val="24"/>
          <w:szCs w:val="24"/>
        </w:rPr>
        <w:br/>
        <w:t>Evaluating Hilton’s change management through Kotter’s (1996) framework reveals several strong points. Firstly, executive buy-in has been evident in the clear articulation of urgent goals—particularly in sustainability and digital innovation (Hilton Worldwide, 2021). Clear communication strategies, including internal newsletters, training, and CEO-led updates, have facilitated alignment across different regions (Pearson and Mitroff, 1993). Short-term wins, such as measurable progress in energy savings or increases in digital platform usage, have also served to maintain momentum (Armstrong, 2012).</w:t>
      </w:r>
    </w:p>
    <w:p w14:paraId="64D96F1A" w14:textId="09609F41"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Nevertheless, sustaining change across a portfolio that includes many franchised properties poses challenges. Some hotel owners operate under independent financial constraints that can impede the swift adoption of new sustainability technologies or brand-wide IT systems (Achievers, 2020). As a result, continued support and incentives from corporate leadership remain essential to ensure brand-wide consistency (Lodging Magazine, 2024).</w:t>
      </w:r>
    </w:p>
    <w:p w14:paraId="04881489"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4. Strategic Direction</w:t>
      </w:r>
      <w:r w:rsidRPr="00784163">
        <w:rPr>
          <w:rFonts w:ascii="Arial" w:hAnsi="Arial" w:cs="Arial"/>
          <w:sz w:val="24"/>
          <w:szCs w:val="24"/>
        </w:rPr>
        <w:br/>
        <w:t>4.1. Long-Term Objectives</w:t>
      </w:r>
      <w:r w:rsidRPr="00784163">
        <w:rPr>
          <w:rFonts w:ascii="Arial" w:hAnsi="Arial" w:cs="Arial"/>
          <w:sz w:val="24"/>
          <w:szCs w:val="24"/>
        </w:rPr>
        <w:br/>
        <w:t>Hilton’s long-term objectives align closely with its asset-light approach and its brand-building strategy (Nasdaq/Motley Fool, 2019). By primarily focusing on franchise and management contracts, the company achieves accelerated expansion without bearing large capital investments (Buchanan and Huczynski, 2007). This strategic orientation grants Hilton the agility to develop and refine multiple brands, each targeting a specific segment of the market, from luxury to focused-service offerings (Hilton Worldwide, 2023).</w:t>
      </w:r>
    </w:p>
    <w:p w14:paraId="7388884F"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 xml:space="preserve">As the hospitality industry increasingly embraces ethical practices, Hilton places a strategic emphasis on maintaining strong corporate social responsibility standards. Efforts to reduce carbon emissions and engage in community development programmes underscore the brand’s vision of combining profitability with social impact </w:t>
      </w:r>
      <w:r w:rsidRPr="00784163">
        <w:rPr>
          <w:rFonts w:ascii="Arial" w:hAnsi="Arial" w:cs="Arial"/>
          <w:sz w:val="24"/>
          <w:szCs w:val="24"/>
        </w:rPr>
        <w:lastRenderedPageBreak/>
        <w:t>(World Travel &amp; Tourism Council, 2021). In this respect, Mullins (2023) argues that organisations showcasing ethical awareness are better poised to build customer loyalty and safeguard long-term success.</w:t>
      </w:r>
    </w:p>
    <w:p w14:paraId="57E235E9"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4.2. Strategies for Sustainable Growth</w:t>
      </w:r>
      <w:r w:rsidRPr="00784163">
        <w:rPr>
          <w:rFonts w:ascii="Arial" w:hAnsi="Arial" w:cs="Arial"/>
          <w:sz w:val="24"/>
          <w:szCs w:val="24"/>
        </w:rPr>
        <w:br/>
        <w:t>Several key strategies underpin Hilton’s pursuit of sustainable growth:</w:t>
      </w:r>
    </w:p>
    <w:p w14:paraId="1C3B0530" w14:textId="77777777" w:rsidR="00784163" w:rsidRPr="00784163" w:rsidRDefault="00784163" w:rsidP="00784163">
      <w:pPr>
        <w:numPr>
          <w:ilvl w:val="0"/>
          <w:numId w:val="7"/>
        </w:numPr>
        <w:spacing w:line="360" w:lineRule="auto"/>
        <w:jc w:val="both"/>
        <w:rPr>
          <w:rFonts w:ascii="Arial" w:hAnsi="Arial" w:cs="Arial"/>
          <w:sz w:val="24"/>
          <w:szCs w:val="24"/>
        </w:rPr>
      </w:pPr>
      <w:r w:rsidRPr="00784163">
        <w:rPr>
          <w:rFonts w:ascii="Arial" w:hAnsi="Arial" w:cs="Arial"/>
          <w:sz w:val="24"/>
          <w:szCs w:val="24"/>
        </w:rPr>
        <w:t>Multi-Brand Portfolio: By operating multiple brands (e.g., Hilton Garden Inn, DoubleTree, Waldorf Astoria, etc.), the organisation can effectively appeal to diverse demographics and price points (Mullins, 2019).</w:t>
      </w:r>
    </w:p>
    <w:p w14:paraId="1F42B83D" w14:textId="77777777" w:rsidR="00784163" w:rsidRPr="00784163" w:rsidRDefault="00784163" w:rsidP="00784163">
      <w:pPr>
        <w:numPr>
          <w:ilvl w:val="0"/>
          <w:numId w:val="7"/>
        </w:numPr>
        <w:spacing w:line="360" w:lineRule="auto"/>
        <w:jc w:val="both"/>
        <w:rPr>
          <w:rFonts w:ascii="Arial" w:hAnsi="Arial" w:cs="Arial"/>
          <w:sz w:val="24"/>
          <w:szCs w:val="24"/>
        </w:rPr>
      </w:pPr>
      <w:r w:rsidRPr="00784163">
        <w:rPr>
          <w:rFonts w:ascii="Arial" w:hAnsi="Arial" w:cs="Arial"/>
          <w:sz w:val="24"/>
          <w:szCs w:val="24"/>
        </w:rPr>
        <w:t>Loyalty Programme Development: The Hilton Honors programme incentivises repeat bookings and direct reservations, boosting profitability and refining consumer data insights for enhanced service personalisation (</w:t>
      </w:r>
      <w:proofErr w:type="spellStart"/>
      <w:r w:rsidRPr="00784163">
        <w:rPr>
          <w:rFonts w:ascii="Arial" w:hAnsi="Arial" w:cs="Arial"/>
          <w:sz w:val="24"/>
          <w:szCs w:val="24"/>
        </w:rPr>
        <w:t>Tanford</w:t>
      </w:r>
      <w:proofErr w:type="spellEnd"/>
      <w:r w:rsidRPr="00784163">
        <w:rPr>
          <w:rFonts w:ascii="Arial" w:hAnsi="Arial" w:cs="Arial"/>
          <w:sz w:val="24"/>
          <w:szCs w:val="24"/>
        </w:rPr>
        <w:t>, 2013).</w:t>
      </w:r>
    </w:p>
    <w:p w14:paraId="5DA2BFAB" w14:textId="77777777" w:rsidR="00784163" w:rsidRPr="00784163" w:rsidRDefault="00784163" w:rsidP="00784163">
      <w:pPr>
        <w:numPr>
          <w:ilvl w:val="0"/>
          <w:numId w:val="7"/>
        </w:numPr>
        <w:spacing w:line="360" w:lineRule="auto"/>
        <w:jc w:val="both"/>
        <w:rPr>
          <w:rFonts w:ascii="Arial" w:hAnsi="Arial" w:cs="Arial"/>
          <w:sz w:val="24"/>
          <w:szCs w:val="24"/>
        </w:rPr>
      </w:pPr>
      <w:r w:rsidRPr="00784163">
        <w:rPr>
          <w:rFonts w:ascii="Arial" w:hAnsi="Arial" w:cs="Arial"/>
          <w:sz w:val="24"/>
          <w:szCs w:val="24"/>
        </w:rPr>
        <w:t xml:space="preserve">Technological Advancements: AI-driven personalisation and integrated property management systems boost operational efficiency. By centralising data, Hilton can track guest preferences, ensuring each stay is customised (Ivanov and </w:t>
      </w:r>
      <w:proofErr w:type="spellStart"/>
      <w:r w:rsidRPr="00784163">
        <w:rPr>
          <w:rFonts w:ascii="Arial" w:hAnsi="Arial" w:cs="Arial"/>
          <w:sz w:val="24"/>
          <w:szCs w:val="24"/>
        </w:rPr>
        <w:t>Gretzel</w:t>
      </w:r>
      <w:proofErr w:type="spellEnd"/>
      <w:r w:rsidRPr="00784163">
        <w:rPr>
          <w:rFonts w:ascii="Arial" w:hAnsi="Arial" w:cs="Arial"/>
          <w:sz w:val="24"/>
          <w:szCs w:val="24"/>
        </w:rPr>
        <w:t>, 2021).</w:t>
      </w:r>
    </w:p>
    <w:p w14:paraId="479FF636" w14:textId="77777777" w:rsidR="00784163" w:rsidRPr="00784163" w:rsidRDefault="00784163" w:rsidP="00784163">
      <w:pPr>
        <w:numPr>
          <w:ilvl w:val="0"/>
          <w:numId w:val="7"/>
        </w:numPr>
        <w:spacing w:line="360" w:lineRule="auto"/>
        <w:jc w:val="both"/>
        <w:rPr>
          <w:rFonts w:ascii="Arial" w:hAnsi="Arial" w:cs="Arial"/>
          <w:sz w:val="24"/>
          <w:szCs w:val="24"/>
        </w:rPr>
      </w:pPr>
      <w:r w:rsidRPr="00784163">
        <w:rPr>
          <w:rFonts w:ascii="Arial" w:hAnsi="Arial" w:cs="Arial"/>
          <w:sz w:val="24"/>
          <w:szCs w:val="24"/>
        </w:rPr>
        <w:t xml:space="preserve">Sustainability Focus: Building on the Travel with Purpose framework, Hilton leverages </w:t>
      </w:r>
      <w:proofErr w:type="spellStart"/>
      <w:r w:rsidRPr="00784163">
        <w:rPr>
          <w:rFonts w:ascii="Arial" w:hAnsi="Arial" w:cs="Arial"/>
          <w:sz w:val="24"/>
          <w:szCs w:val="24"/>
        </w:rPr>
        <w:t>LightStay</w:t>
      </w:r>
      <w:proofErr w:type="spellEnd"/>
      <w:r w:rsidRPr="00784163">
        <w:rPr>
          <w:rFonts w:ascii="Arial" w:hAnsi="Arial" w:cs="Arial"/>
          <w:sz w:val="24"/>
          <w:szCs w:val="24"/>
        </w:rPr>
        <w:t xml:space="preserve"> metrics, invests in eco-friendly infrastructure, and promotes local community engagement, thereby strengthening the brand’s responsible tourism reputation (Global Sustainable Tourism Council, 2022).</w:t>
      </w:r>
    </w:p>
    <w:p w14:paraId="6CB60D2C" w14:textId="22289173"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These strategies position Hilton to remain competitive in a hospitality landscape that demands resilience, innovation, and customer-centric approaches (Kotter, 1996).</w:t>
      </w:r>
    </w:p>
    <w:p w14:paraId="1F2450BD"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5. Recommendations</w:t>
      </w:r>
    </w:p>
    <w:p w14:paraId="4F3A30F6" w14:textId="77777777" w:rsidR="00784163" w:rsidRPr="00784163" w:rsidRDefault="00784163" w:rsidP="00784163">
      <w:pPr>
        <w:numPr>
          <w:ilvl w:val="0"/>
          <w:numId w:val="8"/>
        </w:numPr>
        <w:spacing w:line="360" w:lineRule="auto"/>
        <w:jc w:val="both"/>
        <w:rPr>
          <w:rFonts w:ascii="Arial" w:hAnsi="Arial" w:cs="Arial"/>
          <w:sz w:val="24"/>
          <w:szCs w:val="24"/>
        </w:rPr>
      </w:pPr>
      <w:r w:rsidRPr="00784163">
        <w:rPr>
          <w:rFonts w:ascii="Arial" w:hAnsi="Arial" w:cs="Arial"/>
          <w:sz w:val="24"/>
          <w:szCs w:val="24"/>
        </w:rPr>
        <w:t>Strengthen Franchisee Support for Sustainability</w:t>
      </w:r>
      <w:r w:rsidRPr="00784163">
        <w:rPr>
          <w:rFonts w:ascii="Arial" w:hAnsi="Arial" w:cs="Arial"/>
          <w:sz w:val="24"/>
          <w:szCs w:val="24"/>
        </w:rPr>
        <w:br/>
        <w:t xml:space="preserve">Although corporate-led green initiatives have proven beneficial, smaller franchisees often face funding gaps or limited expertise in implementing advanced environmental technologies. Providing financing solutions or co-investment programmes could facilitate more uniform adoption (Global Sustainable Tourism Council, 2022). Demonstrating cost savings and brand </w:t>
      </w:r>
      <w:r w:rsidRPr="00784163">
        <w:rPr>
          <w:rFonts w:ascii="Arial" w:hAnsi="Arial" w:cs="Arial"/>
          <w:sz w:val="24"/>
          <w:szCs w:val="24"/>
        </w:rPr>
        <w:lastRenderedPageBreak/>
        <w:t>enhancement would likely encourage deeper franchisee participation (Martínez and del Bosque, 2013).</w:t>
      </w:r>
    </w:p>
    <w:p w14:paraId="06752018" w14:textId="77777777" w:rsidR="00784163" w:rsidRPr="00784163" w:rsidRDefault="00784163" w:rsidP="00784163">
      <w:pPr>
        <w:numPr>
          <w:ilvl w:val="0"/>
          <w:numId w:val="8"/>
        </w:numPr>
        <w:spacing w:line="360" w:lineRule="auto"/>
        <w:jc w:val="both"/>
        <w:rPr>
          <w:rFonts w:ascii="Arial" w:hAnsi="Arial" w:cs="Arial"/>
          <w:sz w:val="24"/>
          <w:szCs w:val="24"/>
        </w:rPr>
      </w:pPr>
      <w:r w:rsidRPr="00784163">
        <w:rPr>
          <w:rFonts w:ascii="Arial" w:hAnsi="Arial" w:cs="Arial"/>
          <w:sz w:val="24"/>
          <w:szCs w:val="24"/>
        </w:rPr>
        <w:t>Expand Data Analytics for Personalisation</w:t>
      </w:r>
      <w:r w:rsidRPr="00784163">
        <w:rPr>
          <w:rFonts w:ascii="Arial" w:hAnsi="Arial" w:cs="Arial"/>
          <w:sz w:val="24"/>
          <w:szCs w:val="24"/>
        </w:rPr>
        <w:br/>
        <w:t>Hilton should invest further in data analytics to refine guest personalisation efforts. AI-driven insights from loyalty membership can help tailor promotional offers, streamline services, and foster consistent guest engagement (Brown et al., 2020). In doing so, the company must maintain rigorous data protection standards and transparently communicate policies to maintain trust (Deloitte, 2022).</w:t>
      </w:r>
    </w:p>
    <w:p w14:paraId="565CDA36" w14:textId="77777777" w:rsidR="00784163" w:rsidRPr="00784163" w:rsidRDefault="00784163" w:rsidP="00784163">
      <w:pPr>
        <w:numPr>
          <w:ilvl w:val="0"/>
          <w:numId w:val="8"/>
        </w:numPr>
        <w:spacing w:line="360" w:lineRule="auto"/>
        <w:jc w:val="both"/>
        <w:rPr>
          <w:rFonts w:ascii="Arial" w:hAnsi="Arial" w:cs="Arial"/>
          <w:sz w:val="24"/>
          <w:szCs w:val="24"/>
        </w:rPr>
      </w:pPr>
      <w:r w:rsidRPr="00784163">
        <w:rPr>
          <w:rFonts w:ascii="Arial" w:hAnsi="Arial" w:cs="Arial"/>
          <w:sz w:val="24"/>
          <w:szCs w:val="24"/>
        </w:rPr>
        <w:t>Promote Cross-Brand Synergies</w:t>
      </w:r>
      <w:r w:rsidRPr="00784163">
        <w:rPr>
          <w:rFonts w:ascii="Arial" w:hAnsi="Arial" w:cs="Arial"/>
          <w:sz w:val="24"/>
          <w:szCs w:val="24"/>
        </w:rPr>
        <w:br/>
        <w:t>Hilton’s diverse brand range presents opportunities for cross-promotional campaigns. Encouraging guests to explore multiple Hilton brands within a single trip or through loyalty incentives can increase brand stickiness (Armstrong, 2021). Additionally, packaging deals that tie in midscale and luxury properties may appeal to travellers with varied budgets or shifting preferences (Mullins, 2019).</w:t>
      </w:r>
    </w:p>
    <w:p w14:paraId="1075A460" w14:textId="10958213" w:rsidR="00784163" w:rsidRPr="00784163" w:rsidRDefault="00784163" w:rsidP="00784163">
      <w:pPr>
        <w:numPr>
          <w:ilvl w:val="0"/>
          <w:numId w:val="8"/>
        </w:numPr>
        <w:spacing w:line="360" w:lineRule="auto"/>
        <w:jc w:val="both"/>
        <w:rPr>
          <w:rFonts w:ascii="Arial" w:hAnsi="Arial" w:cs="Arial"/>
          <w:sz w:val="24"/>
          <w:szCs w:val="24"/>
        </w:rPr>
      </w:pPr>
      <w:r w:rsidRPr="00784163">
        <w:rPr>
          <w:rFonts w:ascii="Arial" w:hAnsi="Arial" w:cs="Arial"/>
          <w:sz w:val="24"/>
          <w:szCs w:val="24"/>
        </w:rPr>
        <w:t>Enhance Employee Engagement and Career Pathways</w:t>
      </w:r>
      <w:r w:rsidRPr="00784163">
        <w:rPr>
          <w:rFonts w:ascii="Arial" w:hAnsi="Arial" w:cs="Arial"/>
          <w:sz w:val="24"/>
          <w:szCs w:val="24"/>
        </w:rPr>
        <w:br/>
        <w:t>As Heskett et al. (1997) suggest, engaged employees drive higher customer satisfaction. Implementing transparent career ladders, mentorships, and global rotation programmes would help foster loyalty among Hilton’s workforce (Achievers, 2020). Supported and motivated staff are more likely to deliver exceptional guest experiences, thereby reinforcing the brand’s core promise (Great Place to Work, 2020).</w:t>
      </w:r>
    </w:p>
    <w:p w14:paraId="0C2FB7EB"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6. Conclusion</w:t>
      </w:r>
      <w:r w:rsidRPr="00784163">
        <w:rPr>
          <w:rFonts w:ascii="Arial" w:hAnsi="Arial" w:cs="Arial"/>
          <w:sz w:val="24"/>
          <w:szCs w:val="24"/>
        </w:rPr>
        <w:br/>
        <w:t xml:space="preserve">In summary, Hilton Hotels &amp; Resorts exemplifies how a carefully orchestrated organisational structure, supported by a people-centric culture, can lead to a robust global presence. Operating primarily via a divisional model that separates geography and business segments, Hilton benefits from both standardised brand guidelines and sufficient local autonomy to tailor offerings. Underpinned by clear objectives for growth, sustainability, and exceptional guest experiences, the company continues to evolve </w:t>
      </w:r>
      <w:r w:rsidRPr="00784163">
        <w:rPr>
          <w:rFonts w:ascii="Arial" w:hAnsi="Arial" w:cs="Arial"/>
          <w:sz w:val="24"/>
          <w:szCs w:val="24"/>
        </w:rPr>
        <w:lastRenderedPageBreak/>
        <w:t xml:space="preserve">through significant change initiatives, such as the Travel with Purpose framework and digital transformation projects (Hilton Worldwide, 2021). These initiatives reinforce Hilton’s brand standing and appeal to the modern traveller’s demands for convenience, personalisation, and ethical business practices (Ivanov and </w:t>
      </w:r>
      <w:proofErr w:type="spellStart"/>
      <w:r w:rsidRPr="00784163">
        <w:rPr>
          <w:rFonts w:ascii="Arial" w:hAnsi="Arial" w:cs="Arial"/>
          <w:sz w:val="24"/>
          <w:szCs w:val="24"/>
        </w:rPr>
        <w:t>Gretzel</w:t>
      </w:r>
      <w:proofErr w:type="spellEnd"/>
      <w:r w:rsidRPr="00784163">
        <w:rPr>
          <w:rFonts w:ascii="Arial" w:hAnsi="Arial" w:cs="Arial"/>
          <w:sz w:val="24"/>
          <w:szCs w:val="24"/>
        </w:rPr>
        <w:t>, 2021).</w:t>
      </w:r>
    </w:p>
    <w:p w14:paraId="1DAF58F6" w14:textId="77777777" w:rsidR="00784163" w:rsidRPr="00784163" w:rsidRDefault="00784163" w:rsidP="00784163">
      <w:pPr>
        <w:spacing w:line="360" w:lineRule="auto"/>
        <w:jc w:val="both"/>
        <w:rPr>
          <w:rFonts w:ascii="Arial" w:hAnsi="Arial" w:cs="Arial"/>
          <w:sz w:val="24"/>
          <w:szCs w:val="24"/>
        </w:rPr>
      </w:pPr>
      <w:r w:rsidRPr="00784163">
        <w:rPr>
          <w:rFonts w:ascii="Arial" w:hAnsi="Arial" w:cs="Arial"/>
          <w:sz w:val="24"/>
          <w:szCs w:val="24"/>
        </w:rPr>
        <w:t>Looking ahead, Hilton can also focus on building stronger ties with local communities, forging partnerships with educational institutions to develop hospitality talent, and supporting entrepreneurial ventures that complement its brand values. By encouraging staff to volunteer and collaborate with non-profit organisations, Hilton can foster a deeper sense of purpose and commitment within its workforce. Simultaneously, emphasising mental well-being and work-life balance can address potential burnout, ensuring long-term employee satisfaction and retention. Coupled with comprehensive training, these initiatives would further solidify Hilton’s reputation as a company that invests in both people and the destinations it serves across multiple global markets consistently.</w:t>
      </w:r>
    </w:p>
    <w:p w14:paraId="1A8AC48A" w14:textId="77777777" w:rsidR="00784163" w:rsidRDefault="00784163" w:rsidP="00900DCE">
      <w:pPr>
        <w:spacing w:line="360" w:lineRule="auto"/>
        <w:jc w:val="both"/>
        <w:rPr>
          <w:rFonts w:ascii="Arial" w:hAnsi="Arial" w:cs="Arial"/>
          <w:sz w:val="24"/>
          <w:szCs w:val="24"/>
        </w:rPr>
      </w:pPr>
      <w:r w:rsidRPr="00784163">
        <w:rPr>
          <w:rFonts w:ascii="Arial" w:hAnsi="Arial" w:cs="Arial"/>
          <w:sz w:val="24"/>
          <w:szCs w:val="24"/>
        </w:rPr>
        <w:t>Despite these successes, challenges remain, especially in achieving uniform implementation across franchised properties, which have distinct resource levels and operational constraints (Boddy, 2017). By extending further support—financial, training, and advisory—to these properties, Hilton can maintain stronger brand consistency. Furthermore, capitalising on big data analytics, enhancing cross-brand synergies, and prioritising employee engagement will likely help Hilton stay ahead in an ever-competitive hospitality landscape. Through proactive leadership, strategic direction, and continuous alignment with evolving market trends, Hilton is well-positioned to remain a global leader in the hotel industry (Mullins, 2023).</w:t>
      </w:r>
    </w:p>
    <w:p w14:paraId="70D3AD85" w14:textId="77777777" w:rsidR="00784163" w:rsidRDefault="00784163" w:rsidP="00900DCE">
      <w:pPr>
        <w:spacing w:line="360" w:lineRule="auto"/>
        <w:jc w:val="both"/>
        <w:rPr>
          <w:rFonts w:ascii="Arial" w:hAnsi="Arial" w:cs="Arial"/>
          <w:sz w:val="24"/>
          <w:szCs w:val="24"/>
        </w:rPr>
      </w:pPr>
    </w:p>
    <w:p w14:paraId="4A3A20EC" w14:textId="77777777" w:rsidR="00784163" w:rsidRDefault="00784163" w:rsidP="00900DCE">
      <w:pPr>
        <w:spacing w:line="360" w:lineRule="auto"/>
        <w:jc w:val="both"/>
        <w:rPr>
          <w:rFonts w:ascii="Arial" w:hAnsi="Arial" w:cs="Arial"/>
          <w:sz w:val="24"/>
          <w:szCs w:val="24"/>
        </w:rPr>
      </w:pPr>
    </w:p>
    <w:p w14:paraId="344D9D00" w14:textId="77777777" w:rsidR="00784163" w:rsidRDefault="00784163" w:rsidP="00900DCE">
      <w:pPr>
        <w:spacing w:line="360" w:lineRule="auto"/>
        <w:jc w:val="both"/>
        <w:rPr>
          <w:rFonts w:ascii="Arial" w:hAnsi="Arial" w:cs="Arial"/>
          <w:sz w:val="24"/>
          <w:szCs w:val="24"/>
        </w:rPr>
      </w:pPr>
    </w:p>
    <w:p w14:paraId="5474AB7B" w14:textId="77777777" w:rsidR="00784163" w:rsidRDefault="00784163" w:rsidP="00900DCE">
      <w:pPr>
        <w:spacing w:line="360" w:lineRule="auto"/>
        <w:jc w:val="both"/>
        <w:rPr>
          <w:rFonts w:ascii="Arial" w:hAnsi="Arial" w:cs="Arial"/>
          <w:sz w:val="24"/>
          <w:szCs w:val="24"/>
        </w:rPr>
      </w:pPr>
    </w:p>
    <w:p w14:paraId="20D6738D" w14:textId="77777777" w:rsidR="00784163" w:rsidRDefault="00784163" w:rsidP="00900DCE">
      <w:pPr>
        <w:spacing w:line="360" w:lineRule="auto"/>
        <w:jc w:val="both"/>
        <w:rPr>
          <w:rFonts w:ascii="Arial" w:hAnsi="Arial" w:cs="Arial"/>
          <w:sz w:val="24"/>
          <w:szCs w:val="24"/>
        </w:rPr>
      </w:pPr>
    </w:p>
    <w:p w14:paraId="3888522A" w14:textId="1AE36640" w:rsidR="00F85314" w:rsidRPr="00900DCE" w:rsidRDefault="00F85314" w:rsidP="00900DCE">
      <w:pPr>
        <w:spacing w:line="360" w:lineRule="auto"/>
        <w:jc w:val="both"/>
        <w:rPr>
          <w:rFonts w:ascii="Arial" w:hAnsi="Arial" w:cs="Arial"/>
          <w:sz w:val="24"/>
          <w:szCs w:val="24"/>
        </w:rPr>
      </w:pPr>
      <w:r w:rsidRPr="00900DCE">
        <w:rPr>
          <w:rFonts w:ascii="Arial" w:hAnsi="Arial" w:cs="Arial"/>
          <w:sz w:val="24"/>
          <w:szCs w:val="24"/>
        </w:rPr>
        <w:lastRenderedPageBreak/>
        <w:t>7. Reference List</w:t>
      </w:r>
    </w:p>
    <w:p w14:paraId="60C4E102" w14:textId="33BA9184"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Achievers (2020) ‘Employee Engagement and Retention Report’. </w:t>
      </w:r>
      <w:r w:rsidRPr="00900DCE">
        <w:rPr>
          <w:rFonts w:ascii="Arial" w:hAnsi="Arial" w:cs="Arial"/>
          <w:i/>
          <w:iCs/>
          <w:sz w:val="24"/>
          <w:szCs w:val="24"/>
        </w:rPr>
        <w:t>Achievers.com</w:t>
      </w:r>
      <w:r w:rsidRPr="00900DCE">
        <w:rPr>
          <w:rFonts w:ascii="Arial" w:hAnsi="Arial" w:cs="Arial"/>
          <w:sz w:val="24"/>
          <w:szCs w:val="24"/>
        </w:rPr>
        <w:t xml:space="preserve"> [Online]. Available at: </w:t>
      </w:r>
      <w:hyperlink r:id="rId7" w:tgtFrame="_new" w:history="1">
        <w:r w:rsidRPr="00900DCE">
          <w:rPr>
            <w:rStyle w:val="Hyperlink"/>
            <w:rFonts w:ascii="Arial" w:hAnsi="Arial" w:cs="Arial"/>
            <w:sz w:val="24"/>
            <w:szCs w:val="24"/>
          </w:rPr>
          <w:t>https://www.achievers.com</w:t>
        </w:r>
      </w:hyperlink>
      <w:r w:rsidRPr="00900DCE">
        <w:rPr>
          <w:rFonts w:ascii="Arial" w:hAnsi="Arial" w:cs="Arial"/>
          <w:sz w:val="24"/>
          <w:szCs w:val="24"/>
        </w:rPr>
        <w:t xml:space="preserve"> [Accessed 1</w:t>
      </w:r>
      <w:r w:rsidR="00784163">
        <w:rPr>
          <w:rFonts w:ascii="Arial" w:hAnsi="Arial" w:cs="Arial"/>
          <w:sz w:val="24"/>
          <w:szCs w:val="24"/>
        </w:rPr>
        <w:t>0</w:t>
      </w:r>
      <w:r w:rsidRPr="00900DCE">
        <w:rPr>
          <w:rFonts w:ascii="Arial" w:hAnsi="Arial" w:cs="Arial"/>
          <w:sz w:val="24"/>
          <w:szCs w:val="24"/>
        </w:rPr>
        <w:t xml:space="preserve"> Ma</w:t>
      </w:r>
      <w:r w:rsidR="00784163">
        <w:rPr>
          <w:rFonts w:ascii="Arial" w:hAnsi="Arial" w:cs="Arial"/>
          <w:sz w:val="24"/>
          <w:szCs w:val="24"/>
        </w:rPr>
        <w:t>rch</w:t>
      </w:r>
      <w:r w:rsidRPr="00900DCE">
        <w:rPr>
          <w:rFonts w:ascii="Arial" w:hAnsi="Arial" w:cs="Arial"/>
          <w:sz w:val="24"/>
          <w:szCs w:val="24"/>
        </w:rPr>
        <w:t xml:space="preserve"> 2025].</w:t>
      </w:r>
    </w:p>
    <w:p w14:paraId="7BF8FC10"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Adair, J. (2009) </w:t>
      </w:r>
      <w:r w:rsidRPr="00900DCE">
        <w:rPr>
          <w:rFonts w:ascii="Arial" w:hAnsi="Arial" w:cs="Arial"/>
          <w:i/>
          <w:iCs/>
          <w:sz w:val="24"/>
          <w:szCs w:val="24"/>
        </w:rPr>
        <w:t>The Inspirational Leader</w:t>
      </w:r>
      <w:r w:rsidRPr="00900DCE">
        <w:rPr>
          <w:rFonts w:ascii="Arial" w:hAnsi="Arial" w:cs="Arial"/>
          <w:sz w:val="24"/>
          <w:szCs w:val="24"/>
        </w:rPr>
        <w:t xml:space="preserve">. 2nd </w:t>
      </w:r>
      <w:proofErr w:type="spellStart"/>
      <w:r w:rsidRPr="00900DCE">
        <w:rPr>
          <w:rFonts w:ascii="Arial" w:hAnsi="Arial" w:cs="Arial"/>
          <w:sz w:val="24"/>
          <w:szCs w:val="24"/>
        </w:rPr>
        <w:t>edn</w:t>
      </w:r>
      <w:proofErr w:type="spellEnd"/>
      <w:r w:rsidRPr="00900DCE">
        <w:rPr>
          <w:rFonts w:ascii="Arial" w:hAnsi="Arial" w:cs="Arial"/>
          <w:sz w:val="24"/>
          <w:szCs w:val="24"/>
        </w:rPr>
        <w:t>. London: Kogan Page.</w:t>
      </w:r>
    </w:p>
    <w:p w14:paraId="19EAF910"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Armstrong, M. (2012) </w:t>
      </w:r>
      <w:r w:rsidRPr="00900DCE">
        <w:rPr>
          <w:rFonts w:ascii="Arial" w:hAnsi="Arial" w:cs="Arial"/>
          <w:i/>
          <w:iCs/>
          <w:sz w:val="24"/>
          <w:szCs w:val="24"/>
        </w:rPr>
        <w:t>Armstrong’s Handbook of Management and Leadership</w:t>
      </w:r>
      <w:r w:rsidRPr="00900DCE">
        <w:rPr>
          <w:rFonts w:ascii="Arial" w:hAnsi="Arial" w:cs="Arial"/>
          <w:sz w:val="24"/>
          <w:szCs w:val="24"/>
        </w:rPr>
        <w:t xml:space="preserve">. 3rd </w:t>
      </w:r>
      <w:proofErr w:type="spellStart"/>
      <w:r w:rsidRPr="00900DCE">
        <w:rPr>
          <w:rFonts w:ascii="Arial" w:hAnsi="Arial" w:cs="Arial"/>
          <w:sz w:val="24"/>
          <w:szCs w:val="24"/>
        </w:rPr>
        <w:t>edn</w:t>
      </w:r>
      <w:proofErr w:type="spellEnd"/>
      <w:r w:rsidRPr="00900DCE">
        <w:rPr>
          <w:rFonts w:ascii="Arial" w:hAnsi="Arial" w:cs="Arial"/>
          <w:sz w:val="24"/>
          <w:szCs w:val="24"/>
        </w:rPr>
        <w:t>. London: Kogan Page.</w:t>
      </w:r>
    </w:p>
    <w:p w14:paraId="6661890B"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Armstrong, M. (2021) </w:t>
      </w:r>
      <w:r w:rsidRPr="00900DCE">
        <w:rPr>
          <w:rFonts w:ascii="Arial" w:hAnsi="Arial" w:cs="Arial"/>
          <w:i/>
          <w:iCs/>
          <w:sz w:val="24"/>
          <w:szCs w:val="24"/>
        </w:rPr>
        <w:t>Armstrong’s Handbook of Performance Management</w:t>
      </w:r>
      <w:r w:rsidRPr="00900DCE">
        <w:rPr>
          <w:rFonts w:ascii="Arial" w:hAnsi="Arial" w:cs="Arial"/>
          <w:sz w:val="24"/>
          <w:szCs w:val="24"/>
        </w:rPr>
        <w:t xml:space="preserve">. 7th </w:t>
      </w:r>
      <w:proofErr w:type="spellStart"/>
      <w:r w:rsidRPr="00900DCE">
        <w:rPr>
          <w:rFonts w:ascii="Arial" w:hAnsi="Arial" w:cs="Arial"/>
          <w:sz w:val="24"/>
          <w:szCs w:val="24"/>
        </w:rPr>
        <w:t>edn</w:t>
      </w:r>
      <w:proofErr w:type="spellEnd"/>
      <w:r w:rsidRPr="00900DCE">
        <w:rPr>
          <w:rFonts w:ascii="Arial" w:hAnsi="Arial" w:cs="Arial"/>
          <w:sz w:val="24"/>
          <w:szCs w:val="24"/>
        </w:rPr>
        <w:t>. London: Kogan Page.</w:t>
      </w:r>
    </w:p>
    <w:p w14:paraId="46D3479B"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Boddy, D. (2017) </w:t>
      </w:r>
      <w:r w:rsidRPr="00900DCE">
        <w:rPr>
          <w:rFonts w:ascii="Arial" w:hAnsi="Arial" w:cs="Arial"/>
          <w:i/>
          <w:iCs/>
          <w:sz w:val="24"/>
          <w:szCs w:val="24"/>
        </w:rPr>
        <w:t>Management: An Introduction</w:t>
      </w:r>
      <w:r w:rsidRPr="00900DCE">
        <w:rPr>
          <w:rFonts w:ascii="Arial" w:hAnsi="Arial" w:cs="Arial"/>
          <w:sz w:val="24"/>
          <w:szCs w:val="24"/>
        </w:rPr>
        <w:t xml:space="preserve">. 7th </w:t>
      </w:r>
      <w:proofErr w:type="spellStart"/>
      <w:r w:rsidRPr="00900DCE">
        <w:rPr>
          <w:rFonts w:ascii="Arial" w:hAnsi="Arial" w:cs="Arial"/>
          <w:sz w:val="24"/>
          <w:szCs w:val="24"/>
        </w:rPr>
        <w:t>edn</w:t>
      </w:r>
      <w:proofErr w:type="spellEnd"/>
      <w:r w:rsidRPr="00900DCE">
        <w:rPr>
          <w:rFonts w:ascii="Arial" w:hAnsi="Arial" w:cs="Arial"/>
          <w:sz w:val="24"/>
          <w:szCs w:val="24"/>
        </w:rPr>
        <w:t>. Harlow: Pearson.</w:t>
      </w:r>
    </w:p>
    <w:p w14:paraId="326EF2A1"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Brown, K., Thomas, N. and Bosselman, R. (2020) ‘Hospitality technology and human touch: A delicate balance’, </w:t>
      </w:r>
      <w:r w:rsidRPr="00900DCE">
        <w:rPr>
          <w:rFonts w:ascii="Arial" w:hAnsi="Arial" w:cs="Arial"/>
          <w:i/>
          <w:iCs/>
          <w:sz w:val="24"/>
          <w:szCs w:val="24"/>
        </w:rPr>
        <w:t>Journal of Hospitality &amp; Tourism Technology</w:t>
      </w:r>
      <w:r w:rsidRPr="00900DCE">
        <w:rPr>
          <w:rFonts w:ascii="Arial" w:hAnsi="Arial" w:cs="Arial"/>
          <w:sz w:val="24"/>
          <w:szCs w:val="24"/>
        </w:rPr>
        <w:t>, 11(4), pp. 689–694.</w:t>
      </w:r>
    </w:p>
    <w:p w14:paraId="655EE4DA"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Buchanan, D. and Huczynski, A. (2007) </w:t>
      </w:r>
      <w:r w:rsidRPr="00900DCE">
        <w:rPr>
          <w:rFonts w:ascii="Arial" w:hAnsi="Arial" w:cs="Arial"/>
          <w:i/>
          <w:iCs/>
          <w:sz w:val="24"/>
          <w:szCs w:val="24"/>
        </w:rPr>
        <w:t>Organisational Behaviour: An Introductory Text</w:t>
      </w:r>
      <w:r w:rsidRPr="00900DCE">
        <w:rPr>
          <w:rFonts w:ascii="Arial" w:hAnsi="Arial" w:cs="Arial"/>
          <w:sz w:val="24"/>
          <w:szCs w:val="24"/>
        </w:rPr>
        <w:t xml:space="preserve">. 6th </w:t>
      </w:r>
      <w:proofErr w:type="spellStart"/>
      <w:r w:rsidRPr="00900DCE">
        <w:rPr>
          <w:rFonts w:ascii="Arial" w:hAnsi="Arial" w:cs="Arial"/>
          <w:sz w:val="24"/>
          <w:szCs w:val="24"/>
        </w:rPr>
        <w:t>edn</w:t>
      </w:r>
      <w:proofErr w:type="spellEnd"/>
      <w:r w:rsidRPr="00900DCE">
        <w:rPr>
          <w:rFonts w:ascii="Arial" w:hAnsi="Arial" w:cs="Arial"/>
          <w:sz w:val="24"/>
          <w:szCs w:val="24"/>
        </w:rPr>
        <w:t>. Harlow: Prentice Hall.</w:t>
      </w:r>
    </w:p>
    <w:p w14:paraId="047E5B49" w14:textId="21FC6BE3"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Deloitte (2022) </w:t>
      </w:r>
      <w:r w:rsidRPr="00900DCE">
        <w:rPr>
          <w:rFonts w:ascii="Arial" w:hAnsi="Arial" w:cs="Arial"/>
          <w:i/>
          <w:iCs/>
          <w:sz w:val="24"/>
          <w:szCs w:val="24"/>
        </w:rPr>
        <w:t>Hospitality Industry Outlook – 2022</w:t>
      </w:r>
      <w:r w:rsidRPr="00900DCE">
        <w:rPr>
          <w:rFonts w:ascii="Arial" w:hAnsi="Arial" w:cs="Arial"/>
          <w:sz w:val="24"/>
          <w:szCs w:val="24"/>
        </w:rPr>
        <w:t xml:space="preserve">. [Online]. Available at: </w:t>
      </w:r>
      <w:hyperlink r:id="rId8" w:tgtFrame="_new" w:history="1">
        <w:r w:rsidRPr="00900DCE">
          <w:rPr>
            <w:rStyle w:val="Hyperlink"/>
            <w:rFonts w:ascii="Arial" w:hAnsi="Arial" w:cs="Arial"/>
            <w:sz w:val="24"/>
            <w:szCs w:val="24"/>
          </w:rPr>
          <w:t>https://www2.deloitte.com</w:t>
        </w:r>
      </w:hyperlink>
      <w:r w:rsidRPr="00900DCE">
        <w:rPr>
          <w:rFonts w:ascii="Arial" w:hAnsi="Arial" w:cs="Arial"/>
          <w:sz w:val="24"/>
          <w:szCs w:val="24"/>
        </w:rPr>
        <w:t xml:space="preserve"> [Accessed 1</w:t>
      </w:r>
      <w:r w:rsidR="00784163">
        <w:rPr>
          <w:rFonts w:ascii="Arial" w:hAnsi="Arial" w:cs="Arial"/>
          <w:sz w:val="24"/>
          <w:szCs w:val="24"/>
        </w:rPr>
        <w:t>1</w:t>
      </w:r>
      <w:r w:rsidRPr="00900DCE">
        <w:rPr>
          <w:rFonts w:ascii="Arial" w:hAnsi="Arial" w:cs="Arial"/>
          <w:sz w:val="24"/>
          <w:szCs w:val="24"/>
        </w:rPr>
        <w:t xml:space="preserve"> </w:t>
      </w:r>
      <w:proofErr w:type="spellStart"/>
      <w:r w:rsidRPr="00900DCE">
        <w:rPr>
          <w:rFonts w:ascii="Arial" w:hAnsi="Arial" w:cs="Arial"/>
          <w:sz w:val="24"/>
          <w:szCs w:val="24"/>
        </w:rPr>
        <w:t>May</w:t>
      </w:r>
      <w:r w:rsidR="00784163">
        <w:rPr>
          <w:rFonts w:ascii="Arial" w:hAnsi="Arial" w:cs="Arial"/>
          <w:sz w:val="24"/>
          <w:szCs w:val="24"/>
        </w:rPr>
        <w:t>rch</w:t>
      </w:r>
      <w:proofErr w:type="spellEnd"/>
      <w:r w:rsidRPr="00900DCE">
        <w:rPr>
          <w:rFonts w:ascii="Arial" w:hAnsi="Arial" w:cs="Arial"/>
          <w:sz w:val="24"/>
          <w:szCs w:val="24"/>
        </w:rPr>
        <w:t xml:space="preserve"> 2025].</w:t>
      </w:r>
    </w:p>
    <w:p w14:paraId="7E80BC0F" w14:textId="31DC7E80"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Global Sustainable Tourism Council (2022) ‘Hilton </w:t>
      </w:r>
      <w:proofErr w:type="spellStart"/>
      <w:r w:rsidRPr="00900DCE">
        <w:rPr>
          <w:rFonts w:ascii="Arial" w:hAnsi="Arial" w:cs="Arial"/>
          <w:sz w:val="24"/>
          <w:szCs w:val="24"/>
        </w:rPr>
        <w:t>LightStay</w:t>
      </w:r>
      <w:proofErr w:type="spellEnd"/>
      <w:r w:rsidRPr="00900DCE">
        <w:rPr>
          <w:rFonts w:ascii="Arial" w:hAnsi="Arial" w:cs="Arial"/>
          <w:sz w:val="24"/>
          <w:szCs w:val="24"/>
        </w:rPr>
        <w:t xml:space="preserve"> Standard is Now a GSTC-Recognized Standard’. </w:t>
      </w:r>
      <w:r w:rsidRPr="00900DCE">
        <w:rPr>
          <w:rFonts w:ascii="Arial" w:hAnsi="Arial" w:cs="Arial"/>
          <w:i/>
          <w:iCs/>
          <w:sz w:val="24"/>
          <w:szCs w:val="24"/>
        </w:rPr>
        <w:t>Gstcouncil.org</w:t>
      </w:r>
      <w:r w:rsidRPr="00900DCE">
        <w:rPr>
          <w:rFonts w:ascii="Arial" w:hAnsi="Arial" w:cs="Arial"/>
          <w:sz w:val="24"/>
          <w:szCs w:val="24"/>
        </w:rPr>
        <w:t xml:space="preserve"> [Online]. Available at: </w:t>
      </w:r>
      <w:hyperlink r:id="rId9" w:tgtFrame="_new" w:history="1">
        <w:r w:rsidRPr="00900DCE">
          <w:rPr>
            <w:rStyle w:val="Hyperlink"/>
            <w:rFonts w:ascii="Arial" w:hAnsi="Arial" w:cs="Arial"/>
            <w:sz w:val="24"/>
            <w:szCs w:val="24"/>
          </w:rPr>
          <w:t>https://www.gstcouncil.org</w:t>
        </w:r>
      </w:hyperlink>
      <w:r w:rsidRPr="00900DCE">
        <w:rPr>
          <w:rFonts w:ascii="Arial" w:hAnsi="Arial" w:cs="Arial"/>
          <w:sz w:val="24"/>
          <w:szCs w:val="24"/>
        </w:rPr>
        <w:t xml:space="preserve"> [Accessed 1</w:t>
      </w:r>
      <w:r w:rsidR="00784163">
        <w:rPr>
          <w:rFonts w:ascii="Arial" w:hAnsi="Arial" w:cs="Arial"/>
          <w:sz w:val="24"/>
          <w:szCs w:val="24"/>
        </w:rPr>
        <w:t>0</w:t>
      </w:r>
      <w:r w:rsidRPr="00900DCE">
        <w:rPr>
          <w:rFonts w:ascii="Arial" w:hAnsi="Arial" w:cs="Arial"/>
          <w:sz w:val="24"/>
          <w:szCs w:val="24"/>
        </w:rPr>
        <w:t xml:space="preserve"> Ma</w:t>
      </w:r>
      <w:r w:rsidR="00784163">
        <w:rPr>
          <w:rFonts w:ascii="Arial" w:hAnsi="Arial" w:cs="Arial"/>
          <w:sz w:val="24"/>
          <w:szCs w:val="24"/>
        </w:rPr>
        <w:t>rch</w:t>
      </w:r>
      <w:r w:rsidRPr="00900DCE">
        <w:rPr>
          <w:rFonts w:ascii="Arial" w:hAnsi="Arial" w:cs="Arial"/>
          <w:sz w:val="24"/>
          <w:szCs w:val="24"/>
        </w:rPr>
        <w:t xml:space="preserve"> 2025].</w:t>
      </w:r>
    </w:p>
    <w:p w14:paraId="2BBB82A9" w14:textId="54C7DB52"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Great Place to Work (2020) ‘Hilton – #1 Best Company to Work For’. [Online]. Available at: </w:t>
      </w:r>
      <w:hyperlink r:id="rId10" w:tgtFrame="_new" w:history="1">
        <w:r w:rsidRPr="00900DCE">
          <w:rPr>
            <w:rStyle w:val="Hyperlink"/>
            <w:rFonts w:ascii="Arial" w:hAnsi="Arial" w:cs="Arial"/>
            <w:sz w:val="24"/>
            <w:szCs w:val="24"/>
          </w:rPr>
          <w:t>https://www.greatplacetowork.com</w:t>
        </w:r>
      </w:hyperlink>
      <w:r w:rsidRPr="00900DCE">
        <w:rPr>
          <w:rFonts w:ascii="Arial" w:hAnsi="Arial" w:cs="Arial"/>
          <w:sz w:val="24"/>
          <w:szCs w:val="24"/>
        </w:rPr>
        <w:t xml:space="preserve"> [Accessed 1</w:t>
      </w:r>
      <w:r w:rsidR="00784163">
        <w:rPr>
          <w:rFonts w:ascii="Arial" w:hAnsi="Arial" w:cs="Arial"/>
          <w:sz w:val="24"/>
          <w:szCs w:val="24"/>
        </w:rPr>
        <w:t>0</w:t>
      </w:r>
      <w:r w:rsidRPr="00900DCE">
        <w:rPr>
          <w:rFonts w:ascii="Arial" w:hAnsi="Arial" w:cs="Arial"/>
          <w:sz w:val="24"/>
          <w:szCs w:val="24"/>
        </w:rPr>
        <w:t xml:space="preserve"> Ma</w:t>
      </w:r>
      <w:r w:rsidR="00784163">
        <w:rPr>
          <w:rFonts w:ascii="Arial" w:hAnsi="Arial" w:cs="Arial"/>
          <w:sz w:val="24"/>
          <w:szCs w:val="24"/>
        </w:rPr>
        <w:t>rch</w:t>
      </w:r>
      <w:r w:rsidRPr="00900DCE">
        <w:rPr>
          <w:rFonts w:ascii="Arial" w:hAnsi="Arial" w:cs="Arial"/>
          <w:sz w:val="24"/>
          <w:szCs w:val="24"/>
        </w:rPr>
        <w:t xml:space="preserve"> 2025].</w:t>
      </w:r>
    </w:p>
    <w:p w14:paraId="539066EF"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Heskett, J. et al. (1997) </w:t>
      </w:r>
      <w:r w:rsidRPr="00900DCE">
        <w:rPr>
          <w:rFonts w:ascii="Arial" w:hAnsi="Arial" w:cs="Arial"/>
          <w:i/>
          <w:iCs/>
          <w:sz w:val="24"/>
          <w:szCs w:val="24"/>
        </w:rPr>
        <w:t>The Service Profit Chain</w:t>
      </w:r>
      <w:r w:rsidRPr="00900DCE">
        <w:rPr>
          <w:rFonts w:ascii="Arial" w:hAnsi="Arial" w:cs="Arial"/>
          <w:sz w:val="24"/>
          <w:szCs w:val="24"/>
        </w:rPr>
        <w:t>. New York: Free Press.</w:t>
      </w:r>
    </w:p>
    <w:p w14:paraId="65C9BAFC" w14:textId="49B814AE"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Hilton Worldwide (2021) </w:t>
      </w:r>
      <w:r w:rsidRPr="00900DCE">
        <w:rPr>
          <w:rFonts w:ascii="Arial" w:hAnsi="Arial" w:cs="Arial"/>
          <w:i/>
          <w:iCs/>
          <w:sz w:val="24"/>
          <w:szCs w:val="24"/>
        </w:rPr>
        <w:t>Travel with Purpose: 2021 ESG Report</w:t>
      </w:r>
      <w:r w:rsidRPr="00900DCE">
        <w:rPr>
          <w:rFonts w:ascii="Arial" w:hAnsi="Arial" w:cs="Arial"/>
          <w:sz w:val="24"/>
          <w:szCs w:val="24"/>
        </w:rPr>
        <w:t xml:space="preserve">. [Online]. Available at: </w:t>
      </w:r>
      <w:hyperlink r:id="rId11" w:tgtFrame="_new" w:history="1">
        <w:r w:rsidRPr="00900DCE">
          <w:rPr>
            <w:rStyle w:val="Hyperlink"/>
            <w:rFonts w:ascii="Arial" w:hAnsi="Arial" w:cs="Arial"/>
            <w:sz w:val="24"/>
            <w:szCs w:val="24"/>
          </w:rPr>
          <w:t>https://esg.hilton.com</w:t>
        </w:r>
      </w:hyperlink>
      <w:r w:rsidRPr="00900DCE">
        <w:rPr>
          <w:rFonts w:ascii="Arial" w:hAnsi="Arial" w:cs="Arial"/>
          <w:sz w:val="24"/>
          <w:szCs w:val="24"/>
        </w:rPr>
        <w:t xml:space="preserve"> [Accessed </w:t>
      </w:r>
      <w:r w:rsidR="00784163">
        <w:rPr>
          <w:rFonts w:ascii="Arial" w:hAnsi="Arial" w:cs="Arial"/>
          <w:sz w:val="24"/>
          <w:szCs w:val="24"/>
        </w:rPr>
        <w:t>10</w:t>
      </w:r>
      <w:r w:rsidRPr="00900DCE">
        <w:rPr>
          <w:rFonts w:ascii="Arial" w:hAnsi="Arial" w:cs="Arial"/>
          <w:sz w:val="24"/>
          <w:szCs w:val="24"/>
        </w:rPr>
        <w:t xml:space="preserve"> Ma</w:t>
      </w:r>
      <w:r w:rsidR="00784163">
        <w:rPr>
          <w:rFonts w:ascii="Arial" w:hAnsi="Arial" w:cs="Arial"/>
          <w:sz w:val="24"/>
          <w:szCs w:val="24"/>
        </w:rPr>
        <w:t>rch</w:t>
      </w:r>
      <w:r w:rsidRPr="00900DCE">
        <w:rPr>
          <w:rFonts w:ascii="Arial" w:hAnsi="Arial" w:cs="Arial"/>
          <w:sz w:val="24"/>
          <w:szCs w:val="24"/>
        </w:rPr>
        <w:t xml:space="preserve"> 2025].</w:t>
      </w:r>
    </w:p>
    <w:p w14:paraId="07173F6D" w14:textId="648661E9"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Hilton Worldwide (2023) </w:t>
      </w:r>
      <w:r w:rsidRPr="00900DCE">
        <w:rPr>
          <w:rFonts w:ascii="Arial" w:hAnsi="Arial" w:cs="Arial"/>
          <w:i/>
          <w:iCs/>
          <w:sz w:val="24"/>
          <w:szCs w:val="24"/>
        </w:rPr>
        <w:t>Annual Report 2022</w:t>
      </w:r>
      <w:r w:rsidRPr="00900DCE">
        <w:rPr>
          <w:rFonts w:ascii="Arial" w:hAnsi="Arial" w:cs="Arial"/>
          <w:sz w:val="24"/>
          <w:szCs w:val="24"/>
        </w:rPr>
        <w:t>. [Online]. Available at: https://ir.hilton.com [Accessed 1</w:t>
      </w:r>
      <w:r w:rsidR="00784163">
        <w:rPr>
          <w:rFonts w:ascii="Arial" w:hAnsi="Arial" w:cs="Arial"/>
          <w:sz w:val="24"/>
          <w:szCs w:val="24"/>
        </w:rPr>
        <w:t>2</w:t>
      </w:r>
      <w:r w:rsidRPr="00900DCE">
        <w:rPr>
          <w:rFonts w:ascii="Arial" w:hAnsi="Arial" w:cs="Arial"/>
          <w:sz w:val="24"/>
          <w:szCs w:val="24"/>
        </w:rPr>
        <w:t xml:space="preserve"> Ma</w:t>
      </w:r>
      <w:r w:rsidR="00784163">
        <w:rPr>
          <w:rFonts w:ascii="Arial" w:hAnsi="Arial" w:cs="Arial"/>
          <w:sz w:val="24"/>
          <w:szCs w:val="24"/>
        </w:rPr>
        <w:t>rch</w:t>
      </w:r>
      <w:r w:rsidRPr="00900DCE">
        <w:rPr>
          <w:rFonts w:ascii="Arial" w:hAnsi="Arial" w:cs="Arial"/>
          <w:sz w:val="24"/>
          <w:szCs w:val="24"/>
        </w:rPr>
        <w:t xml:space="preserve"> 2025].</w:t>
      </w:r>
    </w:p>
    <w:p w14:paraId="21E8DEF7"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lastRenderedPageBreak/>
        <w:t xml:space="preserve">Ivanov, S. and </w:t>
      </w:r>
      <w:proofErr w:type="spellStart"/>
      <w:r w:rsidRPr="00900DCE">
        <w:rPr>
          <w:rFonts w:ascii="Arial" w:hAnsi="Arial" w:cs="Arial"/>
          <w:sz w:val="24"/>
          <w:szCs w:val="24"/>
        </w:rPr>
        <w:t>Gretzel</w:t>
      </w:r>
      <w:proofErr w:type="spellEnd"/>
      <w:r w:rsidRPr="00900DCE">
        <w:rPr>
          <w:rFonts w:ascii="Arial" w:hAnsi="Arial" w:cs="Arial"/>
          <w:sz w:val="24"/>
          <w:szCs w:val="24"/>
        </w:rPr>
        <w:t xml:space="preserve">, U. (2021) ‘AI and automation in the hospitality industry: Current applications and future trends’, </w:t>
      </w:r>
      <w:r w:rsidRPr="00900DCE">
        <w:rPr>
          <w:rFonts w:ascii="Arial" w:hAnsi="Arial" w:cs="Arial"/>
          <w:i/>
          <w:iCs/>
          <w:sz w:val="24"/>
          <w:szCs w:val="24"/>
        </w:rPr>
        <w:t>Tourism Management</w:t>
      </w:r>
      <w:r w:rsidRPr="00900DCE">
        <w:rPr>
          <w:rFonts w:ascii="Arial" w:hAnsi="Arial" w:cs="Arial"/>
          <w:sz w:val="24"/>
          <w:szCs w:val="24"/>
        </w:rPr>
        <w:t>, 86, 104324.</w:t>
      </w:r>
    </w:p>
    <w:p w14:paraId="7DBE5D34"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Kaplan, R.S. and Norton, D.P. (2001) </w:t>
      </w:r>
      <w:r w:rsidRPr="00900DCE">
        <w:rPr>
          <w:rFonts w:ascii="Arial" w:hAnsi="Arial" w:cs="Arial"/>
          <w:i/>
          <w:iCs/>
          <w:sz w:val="24"/>
          <w:szCs w:val="24"/>
        </w:rPr>
        <w:t>The Strategy-Focused Organization</w:t>
      </w:r>
      <w:r w:rsidRPr="00900DCE">
        <w:rPr>
          <w:rFonts w:ascii="Arial" w:hAnsi="Arial" w:cs="Arial"/>
          <w:sz w:val="24"/>
          <w:szCs w:val="24"/>
        </w:rPr>
        <w:t>. Boston: Harvard Business School Press.</w:t>
      </w:r>
    </w:p>
    <w:p w14:paraId="0B0A8BEE"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Kotter, J.P. (1996) </w:t>
      </w:r>
      <w:r w:rsidRPr="00900DCE">
        <w:rPr>
          <w:rFonts w:ascii="Arial" w:hAnsi="Arial" w:cs="Arial"/>
          <w:i/>
          <w:iCs/>
          <w:sz w:val="24"/>
          <w:szCs w:val="24"/>
        </w:rPr>
        <w:t>Leading Change</w:t>
      </w:r>
      <w:r w:rsidRPr="00900DCE">
        <w:rPr>
          <w:rFonts w:ascii="Arial" w:hAnsi="Arial" w:cs="Arial"/>
          <w:sz w:val="24"/>
          <w:szCs w:val="24"/>
        </w:rPr>
        <w:t>. Boston: Harvard Business School Press.</w:t>
      </w:r>
    </w:p>
    <w:p w14:paraId="2EA6DCA3" w14:textId="12671A23"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Lodging Magazine (2024) ‘Hilton Has Strongest Development Quarter in Company History’, </w:t>
      </w:r>
      <w:r w:rsidRPr="00900DCE">
        <w:rPr>
          <w:rFonts w:ascii="Arial" w:hAnsi="Arial" w:cs="Arial"/>
          <w:i/>
          <w:iCs/>
          <w:sz w:val="24"/>
          <w:szCs w:val="24"/>
        </w:rPr>
        <w:t>Lodging</w:t>
      </w:r>
      <w:r w:rsidRPr="00900DCE">
        <w:rPr>
          <w:rFonts w:ascii="Arial" w:hAnsi="Arial" w:cs="Arial"/>
          <w:sz w:val="24"/>
          <w:szCs w:val="24"/>
        </w:rPr>
        <w:t xml:space="preserve">, </w:t>
      </w:r>
    </w:p>
    <w:p w14:paraId="526B3560"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Martínez, P. and del Bosque, I.R. (2013) ‘CSR and customer loyalty in the hotel industry: The roles of CSR impact on customer service improvements’, </w:t>
      </w:r>
      <w:r w:rsidRPr="00900DCE">
        <w:rPr>
          <w:rFonts w:ascii="Arial" w:hAnsi="Arial" w:cs="Arial"/>
          <w:i/>
          <w:iCs/>
          <w:sz w:val="24"/>
          <w:szCs w:val="24"/>
        </w:rPr>
        <w:t>Journal of Hospitality &amp; Tourism Research</w:t>
      </w:r>
      <w:r w:rsidRPr="00900DCE">
        <w:rPr>
          <w:rFonts w:ascii="Arial" w:hAnsi="Arial" w:cs="Arial"/>
          <w:sz w:val="24"/>
          <w:szCs w:val="24"/>
        </w:rPr>
        <w:t>, 37(2), pp. 206–231.</w:t>
      </w:r>
    </w:p>
    <w:p w14:paraId="75EB8DBF"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Mullins, L. (2019) </w:t>
      </w:r>
      <w:r w:rsidRPr="00900DCE">
        <w:rPr>
          <w:rFonts w:ascii="Arial" w:hAnsi="Arial" w:cs="Arial"/>
          <w:i/>
          <w:iCs/>
          <w:sz w:val="24"/>
          <w:szCs w:val="24"/>
        </w:rPr>
        <w:t>Organisational Behaviour in the Workplace</w:t>
      </w:r>
      <w:r w:rsidRPr="00900DCE">
        <w:rPr>
          <w:rFonts w:ascii="Arial" w:hAnsi="Arial" w:cs="Arial"/>
          <w:sz w:val="24"/>
          <w:szCs w:val="24"/>
        </w:rPr>
        <w:t xml:space="preserve">. 12th </w:t>
      </w:r>
      <w:proofErr w:type="spellStart"/>
      <w:r w:rsidRPr="00900DCE">
        <w:rPr>
          <w:rFonts w:ascii="Arial" w:hAnsi="Arial" w:cs="Arial"/>
          <w:sz w:val="24"/>
          <w:szCs w:val="24"/>
        </w:rPr>
        <w:t>edn</w:t>
      </w:r>
      <w:proofErr w:type="spellEnd"/>
      <w:r w:rsidRPr="00900DCE">
        <w:rPr>
          <w:rFonts w:ascii="Arial" w:hAnsi="Arial" w:cs="Arial"/>
          <w:sz w:val="24"/>
          <w:szCs w:val="24"/>
        </w:rPr>
        <w:t>. Harlow: Pearson.</w:t>
      </w:r>
    </w:p>
    <w:p w14:paraId="68A9CB79"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Mullins, L. (2023) </w:t>
      </w:r>
      <w:r w:rsidRPr="00900DCE">
        <w:rPr>
          <w:rFonts w:ascii="Arial" w:hAnsi="Arial" w:cs="Arial"/>
          <w:i/>
          <w:iCs/>
          <w:sz w:val="24"/>
          <w:szCs w:val="24"/>
        </w:rPr>
        <w:t>Management and Organisational Behaviour</w:t>
      </w:r>
      <w:r w:rsidRPr="00900DCE">
        <w:rPr>
          <w:rFonts w:ascii="Arial" w:hAnsi="Arial" w:cs="Arial"/>
          <w:sz w:val="24"/>
          <w:szCs w:val="24"/>
        </w:rPr>
        <w:t xml:space="preserve">. 13th </w:t>
      </w:r>
      <w:proofErr w:type="spellStart"/>
      <w:r w:rsidRPr="00900DCE">
        <w:rPr>
          <w:rFonts w:ascii="Arial" w:hAnsi="Arial" w:cs="Arial"/>
          <w:sz w:val="24"/>
          <w:szCs w:val="24"/>
        </w:rPr>
        <w:t>edn</w:t>
      </w:r>
      <w:proofErr w:type="spellEnd"/>
      <w:r w:rsidRPr="00900DCE">
        <w:rPr>
          <w:rFonts w:ascii="Arial" w:hAnsi="Arial" w:cs="Arial"/>
          <w:sz w:val="24"/>
          <w:szCs w:val="24"/>
        </w:rPr>
        <w:t>. Harlow: Pearson.</w:t>
      </w:r>
    </w:p>
    <w:p w14:paraId="54EFE129"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Nasdaq/Motley Fool (2019) ‘How Hilton’s Growth Strategy Is Delivering Strong Results’, </w:t>
      </w:r>
      <w:r w:rsidRPr="00900DCE">
        <w:rPr>
          <w:rFonts w:ascii="Arial" w:hAnsi="Arial" w:cs="Arial"/>
          <w:i/>
          <w:iCs/>
          <w:sz w:val="24"/>
          <w:szCs w:val="24"/>
        </w:rPr>
        <w:t>Nasdaq.com</w:t>
      </w:r>
      <w:r w:rsidRPr="00900DCE">
        <w:rPr>
          <w:rFonts w:ascii="Arial" w:hAnsi="Arial" w:cs="Arial"/>
          <w:sz w:val="24"/>
          <w:szCs w:val="24"/>
        </w:rPr>
        <w:t>, 29 November.</w:t>
      </w:r>
    </w:p>
    <w:p w14:paraId="119DB392"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Pearson, C. and Mitroff, I. (1993) ‘From crisis prone to crisis prepared: A framework for crisis management’, </w:t>
      </w:r>
      <w:r w:rsidRPr="00900DCE">
        <w:rPr>
          <w:rFonts w:ascii="Arial" w:hAnsi="Arial" w:cs="Arial"/>
          <w:i/>
          <w:iCs/>
          <w:sz w:val="24"/>
          <w:szCs w:val="24"/>
        </w:rPr>
        <w:t>Academy of Management Perspectives</w:t>
      </w:r>
      <w:r w:rsidRPr="00900DCE">
        <w:rPr>
          <w:rFonts w:ascii="Arial" w:hAnsi="Arial" w:cs="Arial"/>
          <w:sz w:val="24"/>
          <w:szCs w:val="24"/>
        </w:rPr>
        <w:t>, 7(1), pp. 48–59.</w:t>
      </w:r>
    </w:p>
    <w:p w14:paraId="69FE9B10" w14:textId="77777777"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Skift (2021) ‘Hilton Grows Global Footprint Despite Covid-19’, </w:t>
      </w:r>
      <w:r w:rsidRPr="00900DCE">
        <w:rPr>
          <w:rFonts w:ascii="Arial" w:hAnsi="Arial" w:cs="Arial"/>
          <w:i/>
          <w:iCs/>
          <w:sz w:val="24"/>
          <w:szCs w:val="24"/>
        </w:rPr>
        <w:t>Skift.com</w:t>
      </w:r>
      <w:r w:rsidRPr="00900DCE">
        <w:rPr>
          <w:rFonts w:ascii="Arial" w:hAnsi="Arial" w:cs="Arial"/>
          <w:sz w:val="24"/>
          <w:szCs w:val="24"/>
        </w:rPr>
        <w:t>, 25 February.</w:t>
      </w:r>
    </w:p>
    <w:p w14:paraId="678FA966" w14:textId="77777777" w:rsidR="00F85314" w:rsidRPr="00900DCE" w:rsidRDefault="00F85314" w:rsidP="00900DCE">
      <w:pPr>
        <w:numPr>
          <w:ilvl w:val="0"/>
          <w:numId w:val="5"/>
        </w:numPr>
        <w:spacing w:line="360" w:lineRule="auto"/>
        <w:jc w:val="both"/>
        <w:rPr>
          <w:rFonts w:ascii="Arial" w:hAnsi="Arial" w:cs="Arial"/>
          <w:sz w:val="24"/>
          <w:szCs w:val="24"/>
        </w:rPr>
      </w:pPr>
      <w:proofErr w:type="spellStart"/>
      <w:r w:rsidRPr="00900DCE">
        <w:rPr>
          <w:rFonts w:ascii="Arial" w:hAnsi="Arial" w:cs="Arial"/>
          <w:sz w:val="24"/>
          <w:szCs w:val="24"/>
        </w:rPr>
        <w:t>Tanford</w:t>
      </w:r>
      <w:proofErr w:type="spellEnd"/>
      <w:r w:rsidRPr="00900DCE">
        <w:rPr>
          <w:rFonts w:ascii="Arial" w:hAnsi="Arial" w:cs="Arial"/>
          <w:sz w:val="24"/>
          <w:szCs w:val="24"/>
        </w:rPr>
        <w:t xml:space="preserve">, S. (2013) ‘The impact of loyalty programs on guest loyalty: An examination of Hilton Honors’, </w:t>
      </w:r>
      <w:r w:rsidRPr="00900DCE">
        <w:rPr>
          <w:rFonts w:ascii="Arial" w:hAnsi="Arial" w:cs="Arial"/>
          <w:i/>
          <w:iCs/>
          <w:sz w:val="24"/>
          <w:szCs w:val="24"/>
        </w:rPr>
        <w:t>Cornell Hospitality Quarterly</w:t>
      </w:r>
      <w:r w:rsidRPr="00900DCE">
        <w:rPr>
          <w:rFonts w:ascii="Arial" w:hAnsi="Arial" w:cs="Arial"/>
          <w:sz w:val="24"/>
          <w:szCs w:val="24"/>
        </w:rPr>
        <w:t>, 54(3), pp. 239–248.</w:t>
      </w:r>
    </w:p>
    <w:p w14:paraId="0D62A02D" w14:textId="6C2DE02B"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t xml:space="preserve">US Chamber Foundation (2023) ‘How Hilton Upholds Its Legacy Through Employee-Centric Practices’, 2 November. [Online]. Available at: </w:t>
      </w:r>
      <w:hyperlink r:id="rId12" w:tgtFrame="_new" w:history="1">
        <w:r w:rsidRPr="00900DCE">
          <w:rPr>
            <w:rStyle w:val="Hyperlink"/>
            <w:rFonts w:ascii="Arial" w:hAnsi="Arial" w:cs="Arial"/>
            <w:sz w:val="24"/>
            <w:szCs w:val="24"/>
          </w:rPr>
          <w:t>https://www.uschamberfoundation.org</w:t>
        </w:r>
      </w:hyperlink>
      <w:r w:rsidRPr="00900DCE">
        <w:rPr>
          <w:rFonts w:ascii="Arial" w:hAnsi="Arial" w:cs="Arial"/>
          <w:sz w:val="24"/>
          <w:szCs w:val="24"/>
        </w:rPr>
        <w:t xml:space="preserve"> [Accessed 1</w:t>
      </w:r>
      <w:r w:rsidR="00784163">
        <w:rPr>
          <w:rFonts w:ascii="Arial" w:hAnsi="Arial" w:cs="Arial"/>
          <w:sz w:val="24"/>
          <w:szCs w:val="24"/>
        </w:rPr>
        <w:t>2</w:t>
      </w:r>
      <w:r w:rsidRPr="00900DCE">
        <w:rPr>
          <w:rFonts w:ascii="Arial" w:hAnsi="Arial" w:cs="Arial"/>
          <w:sz w:val="24"/>
          <w:szCs w:val="24"/>
        </w:rPr>
        <w:t xml:space="preserve"> Ma</w:t>
      </w:r>
      <w:r w:rsidR="00784163">
        <w:rPr>
          <w:rFonts w:ascii="Arial" w:hAnsi="Arial" w:cs="Arial"/>
          <w:sz w:val="24"/>
          <w:szCs w:val="24"/>
        </w:rPr>
        <w:t>rch</w:t>
      </w:r>
      <w:r w:rsidRPr="00900DCE">
        <w:rPr>
          <w:rFonts w:ascii="Arial" w:hAnsi="Arial" w:cs="Arial"/>
          <w:sz w:val="24"/>
          <w:szCs w:val="24"/>
        </w:rPr>
        <w:t xml:space="preserve"> 2025].</w:t>
      </w:r>
    </w:p>
    <w:p w14:paraId="1BA783F7" w14:textId="042F679C" w:rsidR="00F85314" w:rsidRPr="00900DCE" w:rsidRDefault="00F85314" w:rsidP="00900DCE">
      <w:pPr>
        <w:numPr>
          <w:ilvl w:val="0"/>
          <w:numId w:val="5"/>
        </w:numPr>
        <w:spacing w:line="360" w:lineRule="auto"/>
        <w:jc w:val="both"/>
        <w:rPr>
          <w:rFonts w:ascii="Arial" w:hAnsi="Arial" w:cs="Arial"/>
          <w:sz w:val="24"/>
          <w:szCs w:val="24"/>
        </w:rPr>
      </w:pPr>
      <w:r w:rsidRPr="00900DCE">
        <w:rPr>
          <w:rFonts w:ascii="Arial" w:hAnsi="Arial" w:cs="Arial"/>
          <w:sz w:val="24"/>
          <w:szCs w:val="24"/>
        </w:rPr>
        <w:lastRenderedPageBreak/>
        <w:t xml:space="preserve">World Travel &amp; Tourism Council (2021) </w:t>
      </w:r>
      <w:r w:rsidRPr="00900DCE">
        <w:rPr>
          <w:rFonts w:ascii="Arial" w:hAnsi="Arial" w:cs="Arial"/>
          <w:i/>
          <w:iCs/>
          <w:sz w:val="24"/>
          <w:szCs w:val="24"/>
        </w:rPr>
        <w:t>Economic Impact Reports</w:t>
      </w:r>
      <w:r w:rsidRPr="00900DCE">
        <w:rPr>
          <w:rFonts w:ascii="Arial" w:hAnsi="Arial" w:cs="Arial"/>
          <w:sz w:val="24"/>
          <w:szCs w:val="24"/>
        </w:rPr>
        <w:t xml:space="preserve">. [Online]. Available at: </w:t>
      </w:r>
      <w:hyperlink r:id="rId13" w:tgtFrame="_new" w:history="1">
        <w:r w:rsidRPr="00900DCE">
          <w:rPr>
            <w:rStyle w:val="Hyperlink"/>
            <w:rFonts w:ascii="Arial" w:hAnsi="Arial" w:cs="Arial"/>
            <w:sz w:val="24"/>
            <w:szCs w:val="24"/>
          </w:rPr>
          <w:t>https://wttc.org</w:t>
        </w:r>
      </w:hyperlink>
      <w:r w:rsidRPr="00900DCE">
        <w:rPr>
          <w:rFonts w:ascii="Arial" w:hAnsi="Arial" w:cs="Arial"/>
          <w:sz w:val="24"/>
          <w:szCs w:val="24"/>
        </w:rPr>
        <w:t xml:space="preserve"> [Accessed 15 Ma</w:t>
      </w:r>
      <w:r w:rsidR="00784163">
        <w:rPr>
          <w:rFonts w:ascii="Arial" w:hAnsi="Arial" w:cs="Arial"/>
          <w:sz w:val="24"/>
          <w:szCs w:val="24"/>
        </w:rPr>
        <w:t>rch</w:t>
      </w:r>
      <w:r w:rsidRPr="00900DCE">
        <w:rPr>
          <w:rFonts w:ascii="Arial" w:hAnsi="Arial" w:cs="Arial"/>
          <w:sz w:val="24"/>
          <w:szCs w:val="24"/>
        </w:rPr>
        <w:t xml:space="preserve"> 2025].</w:t>
      </w:r>
    </w:p>
    <w:p w14:paraId="047E5541" w14:textId="77777777" w:rsidR="00F85314" w:rsidRPr="00900DCE" w:rsidRDefault="00F85314" w:rsidP="00900DCE">
      <w:pPr>
        <w:spacing w:line="360" w:lineRule="auto"/>
        <w:jc w:val="both"/>
        <w:rPr>
          <w:rFonts w:ascii="Arial" w:hAnsi="Arial" w:cs="Arial"/>
          <w:sz w:val="24"/>
          <w:szCs w:val="24"/>
        </w:rPr>
      </w:pPr>
    </w:p>
    <w:p w14:paraId="369B563D" w14:textId="102C482A" w:rsidR="00123D8E" w:rsidRPr="00900DCE" w:rsidRDefault="00BE42D3" w:rsidP="00900DCE">
      <w:pPr>
        <w:spacing w:line="360" w:lineRule="auto"/>
        <w:jc w:val="both"/>
        <w:rPr>
          <w:rFonts w:ascii="Arial" w:hAnsi="Arial" w:cs="Arial"/>
          <w:sz w:val="24"/>
          <w:szCs w:val="24"/>
        </w:rPr>
      </w:pPr>
      <w:r w:rsidRPr="00900DCE">
        <w:rPr>
          <w:rFonts w:ascii="Arial" w:hAnsi="Arial" w:cs="Arial"/>
          <w:sz w:val="24"/>
          <w:szCs w:val="24"/>
        </w:rPr>
        <w:t xml:space="preserve">     </w:t>
      </w:r>
      <w:r w:rsidR="00CF0B2D" w:rsidRPr="00900DCE">
        <w:rPr>
          <w:rFonts w:ascii="Arial" w:hAnsi="Arial" w:cs="Arial"/>
          <w:sz w:val="24"/>
          <w:szCs w:val="24"/>
        </w:rPr>
        <w:t xml:space="preserve">                               </w:t>
      </w:r>
    </w:p>
    <w:sectPr w:rsidR="00123D8E" w:rsidRPr="00900DCE" w:rsidSect="00E01D80">
      <w:footerReference w:type="defaul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82A91" w14:textId="77777777" w:rsidR="00EF72FD" w:rsidRDefault="00EF72FD" w:rsidP="00E01D80">
      <w:pPr>
        <w:spacing w:after="0" w:line="240" w:lineRule="auto"/>
      </w:pPr>
      <w:r>
        <w:separator/>
      </w:r>
    </w:p>
  </w:endnote>
  <w:endnote w:type="continuationSeparator" w:id="0">
    <w:p w14:paraId="79F4D2E9" w14:textId="77777777" w:rsidR="00EF72FD" w:rsidRDefault="00EF72FD" w:rsidP="00E01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9839756"/>
      <w:docPartObj>
        <w:docPartGallery w:val="Page Numbers (Bottom of Page)"/>
        <w:docPartUnique/>
      </w:docPartObj>
    </w:sdtPr>
    <w:sdtEndPr>
      <w:rPr>
        <w:noProof/>
      </w:rPr>
    </w:sdtEndPr>
    <w:sdtContent>
      <w:p w14:paraId="66626875" w14:textId="630BB65A" w:rsidR="00E01D80" w:rsidRDefault="00E01D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6792C2" w14:textId="77777777" w:rsidR="00E01D80" w:rsidRDefault="00E01D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DD077C" w14:textId="77777777" w:rsidR="00EF72FD" w:rsidRDefault="00EF72FD" w:rsidP="00E01D80">
      <w:pPr>
        <w:spacing w:after="0" w:line="240" w:lineRule="auto"/>
      </w:pPr>
      <w:r>
        <w:separator/>
      </w:r>
    </w:p>
  </w:footnote>
  <w:footnote w:type="continuationSeparator" w:id="0">
    <w:p w14:paraId="760DD1DC" w14:textId="77777777" w:rsidR="00EF72FD" w:rsidRDefault="00EF72FD" w:rsidP="00E01D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57B7D"/>
    <w:multiLevelType w:val="multilevel"/>
    <w:tmpl w:val="5BDA3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A35DCD"/>
    <w:multiLevelType w:val="multilevel"/>
    <w:tmpl w:val="B686B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D72574"/>
    <w:multiLevelType w:val="multilevel"/>
    <w:tmpl w:val="338E4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0D73A98"/>
    <w:multiLevelType w:val="multilevel"/>
    <w:tmpl w:val="2E2A5F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7C0848"/>
    <w:multiLevelType w:val="multilevel"/>
    <w:tmpl w:val="AE383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22B0F73"/>
    <w:multiLevelType w:val="multilevel"/>
    <w:tmpl w:val="D8D4D0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8C7483"/>
    <w:multiLevelType w:val="multilevel"/>
    <w:tmpl w:val="1B3C4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ED40CD"/>
    <w:multiLevelType w:val="multilevel"/>
    <w:tmpl w:val="6F30E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3962770">
    <w:abstractNumId w:val="5"/>
  </w:num>
  <w:num w:numId="2" w16cid:durableId="2088651190">
    <w:abstractNumId w:val="3"/>
  </w:num>
  <w:num w:numId="3" w16cid:durableId="1267884730">
    <w:abstractNumId w:val="0"/>
  </w:num>
  <w:num w:numId="4" w16cid:durableId="1641111065">
    <w:abstractNumId w:val="2"/>
  </w:num>
  <w:num w:numId="5" w16cid:durableId="313341672">
    <w:abstractNumId w:val="1"/>
  </w:num>
  <w:num w:numId="6" w16cid:durableId="78213153">
    <w:abstractNumId w:val="4"/>
  </w:num>
  <w:num w:numId="7" w16cid:durableId="1376274385">
    <w:abstractNumId w:val="7"/>
  </w:num>
  <w:num w:numId="8" w16cid:durableId="3958615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E42D3"/>
    <w:rsid w:val="000E7073"/>
    <w:rsid w:val="00123D8E"/>
    <w:rsid w:val="00140514"/>
    <w:rsid w:val="003965AC"/>
    <w:rsid w:val="00680FCB"/>
    <w:rsid w:val="00772DE0"/>
    <w:rsid w:val="00784163"/>
    <w:rsid w:val="008A5ED7"/>
    <w:rsid w:val="00900DCE"/>
    <w:rsid w:val="00AE512B"/>
    <w:rsid w:val="00B00932"/>
    <w:rsid w:val="00BE42D3"/>
    <w:rsid w:val="00CF0B2D"/>
    <w:rsid w:val="00E01D80"/>
    <w:rsid w:val="00E54BEA"/>
    <w:rsid w:val="00EF72FD"/>
    <w:rsid w:val="00F85314"/>
    <w:rsid w:val="00FF16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949A5FD"/>
  <w15:docId w15:val="{979C4513-035B-47AA-9F17-9E266834C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42D3"/>
    <w:pPr>
      <w:spacing w:after="160" w:line="259" w:lineRule="auto"/>
    </w:pPr>
    <w:rPr>
      <w:kern w:val="2"/>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E42D3"/>
    <w:pPr>
      <w:spacing w:after="0" w:line="240" w:lineRule="auto"/>
    </w:pPr>
    <w:rPr>
      <w:rFonts w:eastAsiaTheme="minorEastAsia"/>
    </w:rPr>
  </w:style>
  <w:style w:type="character" w:customStyle="1" w:styleId="NoSpacingChar">
    <w:name w:val="No Spacing Char"/>
    <w:basedOn w:val="DefaultParagraphFont"/>
    <w:link w:val="NoSpacing"/>
    <w:uiPriority w:val="1"/>
    <w:rsid w:val="00BE42D3"/>
    <w:rPr>
      <w:rFonts w:eastAsiaTheme="minorEastAsia"/>
    </w:rPr>
  </w:style>
  <w:style w:type="paragraph" w:styleId="BalloonText">
    <w:name w:val="Balloon Text"/>
    <w:basedOn w:val="Normal"/>
    <w:link w:val="BalloonTextChar"/>
    <w:uiPriority w:val="99"/>
    <w:semiHidden/>
    <w:unhideWhenUsed/>
    <w:rsid w:val="00BE42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2D3"/>
    <w:rPr>
      <w:rFonts w:ascii="Tahoma" w:hAnsi="Tahoma" w:cs="Tahoma"/>
      <w:kern w:val="2"/>
      <w:sz w:val="16"/>
      <w:szCs w:val="16"/>
      <w:lang w:val="en-GB"/>
    </w:rPr>
  </w:style>
  <w:style w:type="character" w:styleId="Hyperlink">
    <w:name w:val="Hyperlink"/>
    <w:basedOn w:val="DefaultParagraphFont"/>
    <w:uiPriority w:val="99"/>
    <w:unhideWhenUsed/>
    <w:rsid w:val="00F85314"/>
    <w:rPr>
      <w:color w:val="0000FF" w:themeColor="hyperlink"/>
      <w:u w:val="single"/>
    </w:rPr>
  </w:style>
  <w:style w:type="paragraph" w:styleId="Header">
    <w:name w:val="header"/>
    <w:basedOn w:val="Normal"/>
    <w:link w:val="HeaderChar"/>
    <w:uiPriority w:val="99"/>
    <w:unhideWhenUsed/>
    <w:rsid w:val="00E01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D80"/>
    <w:rPr>
      <w:kern w:val="2"/>
      <w:lang w:val="en-GB"/>
    </w:rPr>
  </w:style>
  <w:style w:type="paragraph" w:styleId="Footer">
    <w:name w:val="footer"/>
    <w:basedOn w:val="Normal"/>
    <w:link w:val="FooterChar"/>
    <w:uiPriority w:val="99"/>
    <w:unhideWhenUsed/>
    <w:rsid w:val="00E01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D80"/>
    <w:rPr>
      <w:kern w:val="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556256">
      <w:bodyDiv w:val="1"/>
      <w:marLeft w:val="0"/>
      <w:marRight w:val="0"/>
      <w:marTop w:val="0"/>
      <w:marBottom w:val="0"/>
      <w:divBdr>
        <w:top w:val="none" w:sz="0" w:space="0" w:color="auto"/>
        <w:left w:val="none" w:sz="0" w:space="0" w:color="auto"/>
        <w:bottom w:val="none" w:sz="0" w:space="0" w:color="auto"/>
        <w:right w:val="none" w:sz="0" w:space="0" w:color="auto"/>
      </w:divBdr>
    </w:div>
    <w:div w:id="872578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ttc.org" TargetMode="External"/><Relationship Id="rId3" Type="http://schemas.openxmlformats.org/officeDocument/2006/relationships/settings" Target="settings.xml"/><Relationship Id="rId7" Type="http://schemas.openxmlformats.org/officeDocument/2006/relationships/hyperlink" Target="https://www.achievers.com" TargetMode="External"/><Relationship Id="rId12" Type="http://schemas.openxmlformats.org/officeDocument/2006/relationships/hyperlink" Target="https://www.uschamberfoundation.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g.hilton.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reatplacetowork.com" TargetMode="External"/><Relationship Id="rId4" Type="http://schemas.openxmlformats.org/officeDocument/2006/relationships/webSettings" Target="webSettings.xml"/><Relationship Id="rId9" Type="http://schemas.openxmlformats.org/officeDocument/2006/relationships/hyperlink" Target="https://www.gstcouncil.or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14</Pages>
  <Words>2916</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Written report</vt:lpstr>
    </vt:vector>
  </TitlesOfParts>
  <Company/>
  <LinksUpToDate>false</LinksUpToDate>
  <CharactersWithSpaces>19504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
  <cp:keywords/>
  <dc:description/>
  <cp:revision>14</cp:revision>
  <dcterms:created xsi:type="dcterms:W3CDTF">2025-03-04T17:34:00Z</dcterms:created>
  <dcterms:modified xsi:type="dcterms:W3CDTF">2025-03-14T23:01:00Z</dcterms:modified>
</cp:coreProperties>
</file>