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14314" w14:textId="1870792F" w:rsidR="00DD5E65" w:rsidRPr="00CA3A7C" w:rsidRDefault="003B3631" w:rsidP="00CA3A7C">
      <w:pPr>
        <w:spacing w:line="360" w:lineRule="auto"/>
        <w:jc w:val="center"/>
        <w:rPr>
          <w:rFonts w:ascii="Arial" w:hAnsi="Arial" w:cs="Arial"/>
          <w:sz w:val="22"/>
          <w:szCs w:val="22"/>
        </w:rPr>
      </w:pPr>
      <w:r w:rsidRPr="0086572B">
        <w:rPr>
          <w:rFonts w:eastAsia="Calibri"/>
          <w:noProof/>
        </w:rPr>
        <mc:AlternateContent>
          <mc:Choice Requires="wpg">
            <w:drawing>
              <wp:inline distT="0" distB="0" distL="0" distR="0" wp14:anchorId="2DE5B98C" wp14:editId="4EFAE9CA">
                <wp:extent cx="5731510" cy="857976"/>
                <wp:effectExtent l="0" t="0" r="2540" b="18415"/>
                <wp:docPr id="50783" name="Group 50783"/>
                <wp:cNvGraphicFramePr/>
                <a:graphic xmlns:a="http://schemas.openxmlformats.org/drawingml/2006/main">
                  <a:graphicData uri="http://schemas.microsoft.com/office/word/2010/wordprocessingGroup">
                    <wpg:wgp>
                      <wpg:cNvGrpSpPr/>
                      <wpg:grpSpPr>
                        <a:xfrm>
                          <a:off x="0" y="0"/>
                          <a:ext cx="5731510" cy="857976"/>
                          <a:chOff x="0" y="0"/>
                          <a:chExt cx="6235954" cy="933700"/>
                        </a:xfrm>
                      </wpg:grpSpPr>
                      <pic:pic xmlns:pic="http://schemas.openxmlformats.org/drawingml/2006/picture">
                        <pic:nvPicPr>
                          <pic:cNvPr id="9" name="Picture 9"/>
                          <pic:cNvPicPr/>
                        </pic:nvPicPr>
                        <pic:blipFill>
                          <a:blip r:embed="rId8"/>
                          <a:stretch>
                            <a:fillRect/>
                          </a:stretch>
                        </pic:blipFill>
                        <pic:spPr>
                          <a:xfrm>
                            <a:off x="5535295" y="41270"/>
                            <a:ext cx="640080" cy="762000"/>
                          </a:xfrm>
                          <a:prstGeom prst="rect">
                            <a:avLst/>
                          </a:prstGeom>
                        </pic:spPr>
                      </pic:pic>
                      <wps:wsp>
                        <wps:cNvPr id="10" name="Rectangle 10"/>
                        <wps:cNvSpPr/>
                        <wps:spPr>
                          <a:xfrm>
                            <a:off x="654177" y="38114"/>
                            <a:ext cx="1486454" cy="211907"/>
                          </a:xfrm>
                          <a:prstGeom prst="rect">
                            <a:avLst/>
                          </a:prstGeom>
                          <a:ln>
                            <a:noFill/>
                          </a:ln>
                        </wps:spPr>
                        <wps:txbx>
                          <w:txbxContent>
                            <w:p w14:paraId="4275EB23" w14:textId="77777777" w:rsidR="003B3631" w:rsidRDefault="003B3631" w:rsidP="003B3631">
                              <w:pPr>
                                <w:spacing w:line="259" w:lineRule="auto"/>
                              </w:pPr>
                              <w:r>
                                <w:rPr>
                                  <w:b/>
                                  <w:sz w:val="28"/>
                                </w:rPr>
                                <w:t>UNIVERSITY</w:t>
                              </w:r>
                            </w:p>
                          </w:txbxContent>
                        </wps:txbx>
                        <wps:bodyPr horzOverflow="overflow" vert="horz" lIns="0" tIns="0" rIns="0" bIns="0" rtlCol="0">
                          <a:noAutofit/>
                        </wps:bodyPr>
                      </wps:wsp>
                      <wps:wsp>
                        <wps:cNvPr id="11" name="Rectangle 11"/>
                        <wps:cNvSpPr/>
                        <wps:spPr>
                          <a:xfrm>
                            <a:off x="1765554" y="38114"/>
                            <a:ext cx="59287" cy="211907"/>
                          </a:xfrm>
                          <a:prstGeom prst="rect">
                            <a:avLst/>
                          </a:prstGeom>
                          <a:ln>
                            <a:noFill/>
                          </a:ln>
                        </wps:spPr>
                        <wps:txbx>
                          <w:txbxContent>
                            <w:p w14:paraId="34112079"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12" name="Rectangle 12"/>
                        <wps:cNvSpPr/>
                        <wps:spPr>
                          <a:xfrm>
                            <a:off x="1809750" y="38114"/>
                            <a:ext cx="329348" cy="211907"/>
                          </a:xfrm>
                          <a:prstGeom prst="rect">
                            <a:avLst/>
                          </a:prstGeom>
                          <a:ln>
                            <a:noFill/>
                          </a:ln>
                        </wps:spPr>
                        <wps:txbx>
                          <w:txbxContent>
                            <w:p w14:paraId="722E7065" w14:textId="77777777" w:rsidR="003B3631" w:rsidRDefault="003B3631" w:rsidP="003B3631">
                              <w:pPr>
                                <w:spacing w:line="259" w:lineRule="auto"/>
                              </w:pPr>
                              <w:r>
                                <w:rPr>
                                  <w:b/>
                                  <w:sz w:val="28"/>
                                </w:rPr>
                                <w:t>OF</w:t>
                              </w:r>
                            </w:p>
                          </w:txbxContent>
                        </wps:txbx>
                        <wps:bodyPr horzOverflow="overflow" vert="horz" lIns="0" tIns="0" rIns="0" bIns="0" rtlCol="0">
                          <a:noAutofit/>
                        </wps:bodyPr>
                      </wps:wsp>
                      <wps:wsp>
                        <wps:cNvPr id="13" name="Rectangle 13"/>
                        <wps:cNvSpPr/>
                        <wps:spPr>
                          <a:xfrm>
                            <a:off x="2050542" y="38114"/>
                            <a:ext cx="59287" cy="211907"/>
                          </a:xfrm>
                          <a:prstGeom prst="rect">
                            <a:avLst/>
                          </a:prstGeom>
                          <a:ln>
                            <a:noFill/>
                          </a:ln>
                        </wps:spPr>
                        <wps:txbx>
                          <w:txbxContent>
                            <w:p w14:paraId="1E3AE827"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14" name="Rectangle 14"/>
                        <wps:cNvSpPr/>
                        <wps:spPr>
                          <a:xfrm>
                            <a:off x="2093214" y="38114"/>
                            <a:ext cx="778562" cy="211907"/>
                          </a:xfrm>
                          <a:prstGeom prst="rect">
                            <a:avLst/>
                          </a:prstGeom>
                          <a:ln>
                            <a:noFill/>
                          </a:ln>
                        </wps:spPr>
                        <wps:txbx>
                          <w:txbxContent>
                            <w:p w14:paraId="06D2072A" w14:textId="77777777" w:rsidR="003B3631" w:rsidRDefault="003B3631" w:rsidP="003B3631">
                              <w:pPr>
                                <w:spacing w:line="259" w:lineRule="auto"/>
                              </w:pPr>
                              <w:r>
                                <w:rPr>
                                  <w:b/>
                                  <w:sz w:val="28"/>
                                </w:rPr>
                                <w:t>WALES</w:t>
                              </w:r>
                            </w:p>
                          </w:txbxContent>
                        </wps:txbx>
                        <wps:bodyPr horzOverflow="overflow" vert="horz" lIns="0" tIns="0" rIns="0" bIns="0" rtlCol="0">
                          <a:noAutofit/>
                        </wps:bodyPr>
                      </wps:wsp>
                      <wps:wsp>
                        <wps:cNvPr id="15" name="Rectangle 15"/>
                        <wps:cNvSpPr/>
                        <wps:spPr>
                          <a:xfrm>
                            <a:off x="2669286" y="38114"/>
                            <a:ext cx="59288" cy="211907"/>
                          </a:xfrm>
                          <a:prstGeom prst="rect">
                            <a:avLst/>
                          </a:prstGeom>
                          <a:ln>
                            <a:noFill/>
                          </a:ln>
                        </wps:spPr>
                        <wps:txbx>
                          <w:txbxContent>
                            <w:p w14:paraId="653A89F3"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16" name="Rectangle 16"/>
                        <wps:cNvSpPr/>
                        <wps:spPr>
                          <a:xfrm>
                            <a:off x="2710434" y="38114"/>
                            <a:ext cx="1011918" cy="211907"/>
                          </a:xfrm>
                          <a:prstGeom prst="rect">
                            <a:avLst/>
                          </a:prstGeom>
                          <a:ln>
                            <a:noFill/>
                          </a:ln>
                        </wps:spPr>
                        <wps:txbx>
                          <w:txbxContent>
                            <w:p w14:paraId="39B2E153" w14:textId="77777777" w:rsidR="003B3631" w:rsidRDefault="003B3631" w:rsidP="003B3631">
                              <w:pPr>
                                <w:spacing w:line="259" w:lineRule="auto"/>
                              </w:pPr>
                              <w:r>
                                <w:rPr>
                                  <w:b/>
                                  <w:sz w:val="28"/>
                                </w:rPr>
                                <w:t>TRINITY</w:t>
                              </w:r>
                            </w:p>
                          </w:txbxContent>
                        </wps:txbx>
                        <wps:bodyPr horzOverflow="overflow" vert="horz" lIns="0" tIns="0" rIns="0" bIns="0" rtlCol="0">
                          <a:noAutofit/>
                        </wps:bodyPr>
                      </wps:wsp>
                      <wps:wsp>
                        <wps:cNvPr id="17" name="Rectangle 17"/>
                        <wps:cNvSpPr/>
                        <wps:spPr>
                          <a:xfrm>
                            <a:off x="3465068" y="38114"/>
                            <a:ext cx="59288" cy="211907"/>
                          </a:xfrm>
                          <a:prstGeom prst="rect">
                            <a:avLst/>
                          </a:prstGeom>
                          <a:ln>
                            <a:noFill/>
                          </a:ln>
                        </wps:spPr>
                        <wps:txbx>
                          <w:txbxContent>
                            <w:p w14:paraId="6E6C6B1A"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18" name="Rectangle 18"/>
                        <wps:cNvSpPr/>
                        <wps:spPr>
                          <a:xfrm>
                            <a:off x="3509264" y="38114"/>
                            <a:ext cx="721409" cy="211907"/>
                          </a:xfrm>
                          <a:prstGeom prst="rect">
                            <a:avLst/>
                          </a:prstGeom>
                          <a:ln>
                            <a:noFill/>
                          </a:ln>
                        </wps:spPr>
                        <wps:txbx>
                          <w:txbxContent>
                            <w:p w14:paraId="02CB040F" w14:textId="77777777" w:rsidR="003B3631" w:rsidRDefault="003B3631" w:rsidP="003B3631">
                              <w:pPr>
                                <w:spacing w:line="259" w:lineRule="auto"/>
                              </w:pPr>
                              <w:r>
                                <w:rPr>
                                  <w:b/>
                                  <w:sz w:val="28"/>
                                </w:rPr>
                                <w:t>SAINT</w:t>
                              </w:r>
                            </w:p>
                          </w:txbxContent>
                        </wps:txbx>
                        <wps:bodyPr horzOverflow="overflow" vert="horz" lIns="0" tIns="0" rIns="0" bIns="0" rtlCol="0">
                          <a:noAutofit/>
                        </wps:bodyPr>
                      </wps:wsp>
                      <wps:wsp>
                        <wps:cNvPr id="19" name="Rectangle 19"/>
                        <wps:cNvSpPr/>
                        <wps:spPr>
                          <a:xfrm>
                            <a:off x="4048760" y="38114"/>
                            <a:ext cx="59288" cy="211907"/>
                          </a:xfrm>
                          <a:prstGeom prst="rect">
                            <a:avLst/>
                          </a:prstGeom>
                          <a:ln>
                            <a:noFill/>
                          </a:ln>
                        </wps:spPr>
                        <wps:txbx>
                          <w:txbxContent>
                            <w:p w14:paraId="376B7DB2"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20" name="Rectangle 20"/>
                        <wps:cNvSpPr/>
                        <wps:spPr>
                          <a:xfrm>
                            <a:off x="4092956" y="38114"/>
                            <a:ext cx="744650" cy="211907"/>
                          </a:xfrm>
                          <a:prstGeom prst="rect">
                            <a:avLst/>
                          </a:prstGeom>
                          <a:ln>
                            <a:noFill/>
                          </a:ln>
                        </wps:spPr>
                        <wps:txbx>
                          <w:txbxContent>
                            <w:p w14:paraId="7567980E" w14:textId="77777777" w:rsidR="003B3631" w:rsidRDefault="003B3631" w:rsidP="003B3631">
                              <w:pPr>
                                <w:spacing w:line="259" w:lineRule="auto"/>
                              </w:pPr>
                              <w:r>
                                <w:rPr>
                                  <w:b/>
                                  <w:sz w:val="28"/>
                                </w:rPr>
                                <w:t>DAVID</w:t>
                              </w:r>
                            </w:p>
                          </w:txbxContent>
                        </wps:txbx>
                        <wps:bodyPr horzOverflow="overflow" vert="horz" lIns="0" tIns="0" rIns="0" bIns="0" rtlCol="0">
                          <a:noAutofit/>
                        </wps:bodyPr>
                      </wps:wsp>
                      <wps:wsp>
                        <wps:cNvPr id="21" name="Rectangle 21"/>
                        <wps:cNvSpPr/>
                        <wps:spPr>
                          <a:xfrm>
                            <a:off x="4652645" y="0"/>
                            <a:ext cx="59288" cy="262525"/>
                          </a:xfrm>
                          <a:prstGeom prst="rect">
                            <a:avLst/>
                          </a:prstGeom>
                          <a:ln>
                            <a:noFill/>
                          </a:ln>
                        </wps:spPr>
                        <wps:txbx>
                          <w:txbxContent>
                            <w:p w14:paraId="3B0CC158"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22" name="Rectangle 22"/>
                        <wps:cNvSpPr/>
                        <wps:spPr>
                          <a:xfrm>
                            <a:off x="1843278" y="446546"/>
                            <a:ext cx="59287" cy="211907"/>
                          </a:xfrm>
                          <a:prstGeom prst="rect">
                            <a:avLst/>
                          </a:prstGeom>
                          <a:ln>
                            <a:noFill/>
                          </a:ln>
                        </wps:spPr>
                        <wps:txbx>
                          <w:txbxContent>
                            <w:p w14:paraId="14782767"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23" name="Rectangle 23"/>
                        <wps:cNvSpPr/>
                        <wps:spPr>
                          <a:xfrm>
                            <a:off x="1887474" y="446546"/>
                            <a:ext cx="1009484" cy="211907"/>
                          </a:xfrm>
                          <a:prstGeom prst="rect">
                            <a:avLst/>
                          </a:prstGeom>
                          <a:ln>
                            <a:noFill/>
                          </a:ln>
                        </wps:spPr>
                        <wps:txbx>
                          <w:txbxContent>
                            <w:p w14:paraId="0571EF61" w14:textId="77777777" w:rsidR="003B3631" w:rsidRDefault="003B3631" w:rsidP="003B3631">
                              <w:pPr>
                                <w:spacing w:line="259" w:lineRule="auto"/>
                              </w:pPr>
                              <w:r>
                                <w:rPr>
                                  <w:b/>
                                  <w:sz w:val="28"/>
                                </w:rPr>
                                <w:t>CAMPUS</w:t>
                              </w:r>
                            </w:p>
                          </w:txbxContent>
                        </wps:txbx>
                        <wps:bodyPr horzOverflow="overflow" vert="horz" lIns="0" tIns="0" rIns="0" bIns="0" rtlCol="0">
                          <a:noAutofit/>
                        </wps:bodyPr>
                      </wps:wsp>
                      <wps:wsp>
                        <wps:cNvPr id="24" name="Rectangle 24"/>
                        <wps:cNvSpPr/>
                        <wps:spPr>
                          <a:xfrm>
                            <a:off x="2646426" y="446546"/>
                            <a:ext cx="59288" cy="211907"/>
                          </a:xfrm>
                          <a:prstGeom prst="rect">
                            <a:avLst/>
                          </a:prstGeom>
                          <a:ln>
                            <a:noFill/>
                          </a:ln>
                        </wps:spPr>
                        <wps:txbx>
                          <w:txbxContent>
                            <w:p w14:paraId="34106ED3"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25" name="Rectangle 25"/>
                        <wps:cNvSpPr/>
                        <wps:spPr>
                          <a:xfrm>
                            <a:off x="2690622" y="446546"/>
                            <a:ext cx="1032550" cy="211907"/>
                          </a:xfrm>
                          <a:prstGeom prst="rect">
                            <a:avLst/>
                          </a:prstGeom>
                          <a:ln>
                            <a:noFill/>
                          </a:ln>
                        </wps:spPr>
                        <wps:txbx>
                          <w:txbxContent>
                            <w:p w14:paraId="288425D3" w14:textId="77777777" w:rsidR="003B3631" w:rsidRDefault="003B3631" w:rsidP="003B3631">
                              <w:pPr>
                                <w:spacing w:line="259" w:lineRule="auto"/>
                              </w:pPr>
                              <w:r>
                                <w:rPr>
                                  <w:b/>
                                  <w:sz w:val="28"/>
                                </w:rPr>
                                <w:t>LONDON</w:t>
                              </w:r>
                            </w:p>
                          </w:txbxContent>
                        </wps:txbx>
                        <wps:bodyPr horzOverflow="overflow" vert="horz" lIns="0" tIns="0" rIns="0" bIns="0" rtlCol="0">
                          <a:noAutofit/>
                        </wps:bodyPr>
                      </wps:wsp>
                      <wps:wsp>
                        <wps:cNvPr id="26" name="Rectangle 26"/>
                        <wps:cNvSpPr/>
                        <wps:spPr>
                          <a:xfrm>
                            <a:off x="3465068" y="408432"/>
                            <a:ext cx="59288" cy="262525"/>
                          </a:xfrm>
                          <a:prstGeom prst="rect">
                            <a:avLst/>
                          </a:prstGeom>
                          <a:ln>
                            <a:noFill/>
                          </a:ln>
                        </wps:spPr>
                        <wps:txbx>
                          <w:txbxContent>
                            <w:p w14:paraId="0E12597C" w14:textId="77777777" w:rsidR="003B3631" w:rsidRDefault="003B3631" w:rsidP="003B3631">
                              <w:pPr>
                                <w:spacing w:line="259" w:lineRule="auto"/>
                              </w:pPr>
                              <w:r>
                                <w:rPr>
                                  <w:b/>
                                  <w:sz w:val="28"/>
                                </w:rPr>
                                <w:t xml:space="preserve"> </w:t>
                              </w:r>
                            </w:p>
                          </w:txbxContent>
                        </wps:txbx>
                        <wps:bodyPr horzOverflow="overflow" vert="horz" lIns="0" tIns="0" rIns="0" bIns="0" rtlCol="0">
                          <a:noAutofit/>
                        </wps:bodyPr>
                      </wps:wsp>
                      <wps:wsp>
                        <wps:cNvPr id="57058" name="Shape 57058"/>
                        <wps:cNvSpPr/>
                        <wps:spPr>
                          <a:xfrm>
                            <a:off x="0" y="924556"/>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DE5B98C" id="Group 50783" o:spid="_x0000_s1026" style="width:451.3pt;height:67.55pt;mso-position-horizontal-relative:char;mso-position-vertical-relative:line" coordsize="62359,93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55352;top:412;width:6401;height:7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">
                  <v:imagedata r:id="rId9" o:title=""/>
                </v:shape>
                <v:rect id="Rectangle 10" o:spid="_x0000_s1028" style="position:absolute;left:6541;top:381;width:1486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4275EB23" w14:textId="77777777" w:rsidR="003B3631" w:rsidRDefault="003B3631" w:rsidP="003B3631">
                        <w:pPr>
                          <w:spacing w:line="259" w:lineRule="auto"/>
                        </w:pPr>
                        <w:r>
                          <w:rPr>
                            <w:b/>
                            <w:sz w:val="28"/>
                          </w:rPr>
                          <w:t>UNIVERSITY</w:t>
                        </w:r>
                      </w:p>
                    </w:txbxContent>
                  </v:textbox>
                </v:rect>
                <v:rect id="Rectangle 11" o:spid="_x0000_s1029" style="position:absolute;left:1765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34112079" w14:textId="77777777" w:rsidR="003B3631" w:rsidRDefault="003B3631" w:rsidP="003B3631">
                        <w:pPr>
                          <w:spacing w:line="259" w:lineRule="auto"/>
                        </w:pPr>
                        <w:r>
                          <w:rPr>
                            <w:b/>
                            <w:sz w:val="28"/>
                          </w:rPr>
                          <w:t xml:space="preserve"> </w:t>
                        </w:r>
                      </w:p>
                    </w:txbxContent>
                  </v:textbox>
                </v:rect>
                <v:rect id="Rectangle 12" o:spid="_x0000_s1030" style="position:absolute;left:18097;top:381;width:32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722E7065" w14:textId="77777777" w:rsidR="003B3631" w:rsidRDefault="003B3631" w:rsidP="003B3631">
                        <w:pPr>
                          <w:spacing w:line="259" w:lineRule="auto"/>
                        </w:pPr>
                        <w:r>
                          <w:rPr>
                            <w:b/>
                            <w:sz w:val="28"/>
                          </w:rPr>
                          <w:t>OF</w:t>
                        </w:r>
                      </w:p>
                    </w:txbxContent>
                  </v:textbox>
                </v:rect>
                <v:rect id="Rectangle 13" o:spid="_x0000_s1031" style="position:absolute;left:2050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1E3AE827" w14:textId="77777777" w:rsidR="003B3631" w:rsidRDefault="003B3631" w:rsidP="003B3631">
                        <w:pPr>
                          <w:spacing w:line="259" w:lineRule="auto"/>
                        </w:pPr>
                        <w:r>
                          <w:rPr>
                            <w:b/>
                            <w:sz w:val="28"/>
                          </w:rPr>
                          <w:t xml:space="preserve"> </w:t>
                        </w:r>
                      </w:p>
                    </w:txbxContent>
                  </v:textbox>
                </v:rect>
                <v:rect id="Rectangle 14" o:spid="_x0000_s1032" style="position:absolute;left:20932;top:381;width:778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06D2072A" w14:textId="77777777" w:rsidR="003B3631" w:rsidRDefault="003B3631" w:rsidP="003B3631">
                        <w:pPr>
                          <w:spacing w:line="259" w:lineRule="auto"/>
                        </w:pPr>
                        <w:r>
                          <w:rPr>
                            <w:b/>
                            <w:sz w:val="28"/>
                          </w:rPr>
                          <w:t>WALES</w:t>
                        </w:r>
                      </w:p>
                    </w:txbxContent>
                  </v:textbox>
                </v:rect>
                <v:rect id="Rectangle 15" o:spid="_x0000_s1033" style="position:absolute;left:26692;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653A89F3" w14:textId="77777777" w:rsidR="003B3631" w:rsidRDefault="003B3631" w:rsidP="003B3631">
                        <w:pPr>
                          <w:spacing w:line="259" w:lineRule="auto"/>
                        </w:pPr>
                        <w:r>
                          <w:rPr>
                            <w:b/>
                            <w:sz w:val="28"/>
                          </w:rPr>
                          <w:t xml:space="preserve"> </w:t>
                        </w:r>
                      </w:p>
                    </w:txbxContent>
                  </v:textbox>
                </v:rect>
                <v:rect id="Rectangle 16" o:spid="_x0000_s1034" style="position:absolute;left:27104;top:381;width:10119;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39B2E153" w14:textId="77777777" w:rsidR="003B3631" w:rsidRDefault="003B3631" w:rsidP="003B3631">
                        <w:pPr>
                          <w:spacing w:line="259" w:lineRule="auto"/>
                        </w:pPr>
                        <w:r>
                          <w:rPr>
                            <w:b/>
                            <w:sz w:val="28"/>
                          </w:rPr>
                          <w:t>TRINITY</w:t>
                        </w:r>
                      </w:p>
                    </w:txbxContent>
                  </v:textbox>
                </v:rect>
                <v:rect id="Rectangle 17" o:spid="_x0000_s1035" style="position:absolute;left:34650;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6E6C6B1A" w14:textId="77777777" w:rsidR="003B3631" w:rsidRDefault="003B3631" w:rsidP="003B3631">
                        <w:pPr>
                          <w:spacing w:line="259" w:lineRule="auto"/>
                        </w:pPr>
                        <w:r>
                          <w:rPr>
                            <w:b/>
                            <w:sz w:val="28"/>
                          </w:rPr>
                          <w:t xml:space="preserve"> </w:t>
                        </w:r>
                      </w:p>
                    </w:txbxContent>
                  </v:textbox>
                </v:rect>
                <v:rect id="Rectangle 18" o:spid="_x0000_s1036" style="position:absolute;left:35092;top:381;width:7214;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02CB040F" w14:textId="77777777" w:rsidR="003B3631" w:rsidRDefault="003B3631" w:rsidP="003B3631">
                        <w:pPr>
                          <w:spacing w:line="259" w:lineRule="auto"/>
                        </w:pPr>
                        <w:r>
                          <w:rPr>
                            <w:b/>
                            <w:sz w:val="28"/>
                          </w:rPr>
                          <w:t>SAINT</w:t>
                        </w:r>
                      </w:p>
                    </w:txbxContent>
                  </v:textbox>
                </v:rect>
                <v:rect id="Rectangle 19" o:spid="_x0000_s1037" style="position:absolute;left:40487;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376B7DB2" w14:textId="77777777" w:rsidR="003B3631" w:rsidRDefault="003B3631" w:rsidP="003B3631">
                        <w:pPr>
                          <w:spacing w:line="259" w:lineRule="auto"/>
                        </w:pPr>
                        <w:r>
                          <w:rPr>
                            <w:b/>
                            <w:sz w:val="28"/>
                          </w:rPr>
                          <w:t xml:space="preserve"> </w:t>
                        </w:r>
                      </w:p>
                    </w:txbxContent>
                  </v:textbox>
                </v:rect>
                <v:rect id="Rectangle 20" o:spid="_x0000_s1038" style="position:absolute;left:40929;top:381;width:7447;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7567980E" w14:textId="77777777" w:rsidR="003B3631" w:rsidRDefault="003B3631" w:rsidP="003B3631">
                        <w:pPr>
                          <w:spacing w:line="259" w:lineRule="auto"/>
                        </w:pPr>
                        <w:r>
                          <w:rPr>
                            <w:b/>
                            <w:sz w:val="28"/>
                          </w:rPr>
                          <w:t>DAVID</w:t>
                        </w:r>
                      </w:p>
                    </w:txbxContent>
                  </v:textbox>
                </v:rect>
                <v:rect id="Rectangle 21" o:spid="_x0000_s1039" style="position:absolute;left:46526;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3B0CC158" w14:textId="77777777" w:rsidR="003B3631" w:rsidRDefault="003B3631" w:rsidP="003B3631">
                        <w:pPr>
                          <w:spacing w:line="259" w:lineRule="auto"/>
                        </w:pPr>
                        <w:r>
                          <w:rPr>
                            <w:b/>
                            <w:sz w:val="28"/>
                          </w:rPr>
                          <w:t xml:space="preserve"> </w:t>
                        </w:r>
                      </w:p>
                    </w:txbxContent>
                  </v:textbox>
                </v:rect>
                <v:rect id="Rectangle 22" o:spid="_x0000_s1040" style="position:absolute;left:18432;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14782767" w14:textId="77777777" w:rsidR="003B3631" w:rsidRDefault="003B3631" w:rsidP="003B3631">
                        <w:pPr>
                          <w:spacing w:line="259" w:lineRule="auto"/>
                        </w:pPr>
                        <w:r>
                          <w:rPr>
                            <w:b/>
                            <w:sz w:val="28"/>
                          </w:rPr>
                          <w:t xml:space="preserve"> </w:t>
                        </w:r>
                      </w:p>
                    </w:txbxContent>
                  </v:textbox>
                </v:rect>
                <v:rect id="Rectangle 23" o:spid="_x0000_s1041" style="position:absolute;left:18874;top:4465;width:1009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0571EF61" w14:textId="77777777" w:rsidR="003B3631" w:rsidRDefault="003B3631" w:rsidP="003B3631">
                        <w:pPr>
                          <w:spacing w:line="259" w:lineRule="auto"/>
                        </w:pPr>
                        <w:r>
                          <w:rPr>
                            <w:b/>
                            <w:sz w:val="28"/>
                          </w:rPr>
                          <w:t>CAMPUS</w:t>
                        </w:r>
                      </w:p>
                    </w:txbxContent>
                  </v:textbox>
                </v:rect>
                <v:rect id="Rectangle 24" o:spid="_x0000_s1042" style="position:absolute;left:26464;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34106ED3" w14:textId="77777777" w:rsidR="003B3631" w:rsidRDefault="003B3631" w:rsidP="003B3631">
                        <w:pPr>
                          <w:spacing w:line="259" w:lineRule="auto"/>
                        </w:pPr>
                        <w:r>
                          <w:rPr>
                            <w:b/>
                            <w:sz w:val="28"/>
                          </w:rPr>
                          <w:t xml:space="preserve"> </w:t>
                        </w:r>
                      </w:p>
                    </w:txbxContent>
                  </v:textbox>
                </v:rect>
                <v:rect id="Rectangle 25" o:spid="_x0000_s1043" style="position:absolute;left:26906;top:4465;width:1032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288425D3" w14:textId="77777777" w:rsidR="003B3631" w:rsidRDefault="003B3631" w:rsidP="003B3631">
                        <w:pPr>
                          <w:spacing w:line="259" w:lineRule="auto"/>
                        </w:pPr>
                        <w:r>
                          <w:rPr>
                            <w:b/>
                            <w:sz w:val="28"/>
                          </w:rPr>
                          <w:t>LONDON</w:t>
                        </w:r>
                      </w:p>
                    </w:txbxContent>
                  </v:textbox>
                </v:rect>
                <v:rect id="Rectangle 26" o:spid="_x0000_s1044" style="position:absolute;left:34650;top:4084;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0E12597C" w14:textId="77777777" w:rsidR="003B3631" w:rsidRDefault="003B3631" w:rsidP="003B3631">
                        <w:pPr>
                          <w:spacing w:line="259" w:lineRule="auto"/>
                        </w:pPr>
                        <w:r>
                          <w:rPr>
                            <w:b/>
                            <w:sz w:val="28"/>
                          </w:rPr>
                          <w:t xml:space="preserve"> </w:t>
                        </w:r>
                      </w:p>
                    </w:txbxContent>
                  </v:textbox>
                </v:rect>
                <v:shape id="Shape 57058" o:spid="_x0000_s1045" style="position:absolute;top:9245;width:62359;height:92;visibility:visible;mso-wrap-style:square;v-text-anchor:top" coordsize="623595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" path="m,l6235954,r,9144l,9144,,e" fillcolor="black" stroked="f" strokeweight="0">
                  <v:stroke miterlimit="83231f" joinstyle="miter"/>
                  <v:path arrowok="t" textboxrect="0,0,6235954,9144"/>
                </v:shape>
                <w10:anchorlock/>
              </v:group>
            </w:pict>
          </mc:Fallback>
        </mc:AlternateContent>
      </w:r>
    </w:p>
    <w:p w14:paraId="51A25AEE" w14:textId="77777777" w:rsidR="00DD5E65" w:rsidRPr="00CA3A7C" w:rsidRDefault="00DD5E65" w:rsidP="00CA3A7C">
      <w:pPr>
        <w:spacing w:line="360" w:lineRule="auto"/>
        <w:jc w:val="center"/>
        <w:rPr>
          <w:rFonts w:ascii="Arial" w:hAnsi="Arial" w:cs="Arial"/>
          <w:sz w:val="22"/>
          <w:szCs w:val="22"/>
        </w:rPr>
      </w:pPr>
    </w:p>
    <w:p w14:paraId="42D66C24" w14:textId="77777777" w:rsidR="00BF4455" w:rsidRPr="00453BBF" w:rsidRDefault="00BF4455" w:rsidP="00BF4455">
      <w:pPr>
        <w:spacing w:after="0"/>
        <w:jc w:val="center"/>
        <w:rPr>
          <w:rFonts w:cs="Arial"/>
        </w:rPr>
      </w:pPr>
      <w:r w:rsidRPr="00453BBF">
        <w:rPr>
          <w:rFonts w:cs="Arial"/>
          <w:b/>
          <w:sz w:val="32"/>
        </w:rPr>
        <w:t>CONTEMPORARY HR CHALLENGES AND PRACTICES</w:t>
      </w:r>
    </w:p>
    <w:p w14:paraId="36FF693C" w14:textId="77777777" w:rsidR="00BF4455" w:rsidRPr="00453BBF" w:rsidRDefault="00BF4455" w:rsidP="00BF4455">
      <w:pPr>
        <w:spacing w:after="360"/>
        <w:jc w:val="center"/>
        <w:rPr>
          <w:rFonts w:cs="Arial"/>
        </w:rPr>
      </w:pPr>
      <w:r w:rsidRPr="00453BBF">
        <w:rPr>
          <w:rFonts w:cs="Arial"/>
          <w:b/>
          <w:sz w:val="32"/>
        </w:rPr>
        <w:t>AT MARKS &amp; SPENCER (M&amp;S)</w:t>
      </w:r>
    </w:p>
    <w:tbl>
      <w:tblPr>
        <w:tblStyle w:val="TableGrid"/>
        <w:tblW w:w="9158" w:type="dxa"/>
        <w:jc w:val="center"/>
        <w:tblLook w:val="04A0" w:firstRow="1" w:lastRow="0" w:firstColumn="1" w:lastColumn="0" w:noHBand="0" w:noVBand="1"/>
      </w:tblPr>
      <w:tblGrid>
        <w:gridCol w:w="4582"/>
        <w:gridCol w:w="4576"/>
      </w:tblGrid>
      <w:tr w:rsidR="00BF4455" w:rsidRPr="00453BBF" w14:paraId="4A894A69" w14:textId="77777777" w:rsidTr="00C5065D">
        <w:trPr>
          <w:trHeight w:val="273"/>
          <w:jc w:val="center"/>
        </w:trPr>
        <w:tc>
          <w:tcPr>
            <w:tcW w:w="4582" w:type="dxa"/>
          </w:tcPr>
          <w:p w14:paraId="7F74F98F" w14:textId="77777777" w:rsidR="00BF4455" w:rsidRPr="00453BBF" w:rsidRDefault="00BF4455" w:rsidP="00446B89">
            <w:pPr>
              <w:rPr>
                <w:rFonts w:cs="Arial"/>
              </w:rPr>
            </w:pPr>
            <w:r w:rsidRPr="00453BBF">
              <w:rPr>
                <w:rFonts w:cs="Arial"/>
                <w:b/>
              </w:rPr>
              <w:t>STUDENT NAME</w:t>
            </w:r>
          </w:p>
        </w:tc>
        <w:tc>
          <w:tcPr>
            <w:tcW w:w="4576" w:type="dxa"/>
          </w:tcPr>
          <w:p w14:paraId="4596F030" w14:textId="77777777" w:rsidR="00BF4455" w:rsidRPr="00453BBF" w:rsidRDefault="00BF4455" w:rsidP="00446B89">
            <w:pPr>
              <w:rPr>
                <w:rFonts w:cs="Arial"/>
              </w:rPr>
            </w:pPr>
            <w:r w:rsidRPr="00453BBF">
              <w:rPr>
                <w:rFonts w:cs="Arial"/>
              </w:rPr>
              <w:t>YUSTINA DA COSTA</w:t>
            </w:r>
          </w:p>
        </w:tc>
      </w:tr>
      <w:tr w:rsidR="00BF4455" w:rsidRPr="00453BBF" w14:paraId="4AE724F2" w14:textId="77777777" w:rsidTr="00C5065D">
        <w:trPr>
          <w:trHeight w:val="273"/>
          <w:jc w:val="center"/>
        </w:trPr>
        <w:tc>
          <w:tcPr>
            <w:tcW w:w="4582" w:type="dxa"/>
          </w:tcPr>
          <w:p w14:paraId="0FF88A58" w14:textId="77777777" w:rsidR="00BF4455" w:rsidRPr="00453BBF" w:rsidRDefault="00BF4455" w:rsidP="00446B89">
            <w:pPr>
              <w:rPr>
                <w:rFonts w:cs="Arial"/>
              </w:rPr>
            </w:pPr>
            <w:r w:rsidRPr="00453BBF">
              <w:rPr>
                <w:rFonts w:cs="Arial"/>
                <w:b/>
              </w:rPr>
              <w:t>STUDENT ID</w:t>
            </w:r>
          </w:p>
        </w:tc>
        <w:tc>
          <w:tcPr>
            <w:tcW w:w="4576" w:type="dxa"/>
          </w:tcPr>
          <w:p w14:paraId="4CE01089" w14:textId="77777777" w:rsidR="00BF4455" w:rsidRPr="00453BBF" w:rsidRDefault="00BF4455" w:rsidP="00446B89">
            <w:pPr>
              <w:rPr>
                <w:rFonts w:cs="Arial"/>
              </w:rPr>
            </w:pPr>
            <w:r w:rsidRPr="00453BBF">
              <w:rPr>
                <w:rFonts w:cs="Arial"/>
              </w:rPr>
              <w:t>2403457</w:t>
            </w:r>
          </w:p>
        </w:tc>
      </w:tr>
      <w:tr w:rsidR="00BF4455" w:rsidRPr="00453BBF" w14:paraId="71A62160" w14:textId="77777777" w:rsidTr="00C5065D">
        <w:trPr>
          <w:trHeight w:val="560"/>
          <w:jc w:val="center"/>
        </w:trPr>
        <w:tc>
          <w:tcPr>
            <w:tcW w:w="4582" w:type="dxa"/>
          </w:tcPr>
          <w:p w14:paraId="20813534" w14:textId="77777777" w:rsidR="00BF4455" w:rsidRPr="00453BBF" w:rsidRDefault="00BF4455" w:rsidP="00446B89">
            <w:pPr>
              <w:rPr>
                <w:rFonts w:cs="Arial"/>
              </w:rPr>
            </w:pPr>
            <w:r w:rsidRPr="00453BBF">
              <w:rPr>
                <w:rFonts w:cs="Arial"/>
                <w:b/>
              </w:rPr>
              <w:t>MODULE</w:t>
            </w:r>
          </w:p>
        </w:tc>
        <w:tc>
          <w:tcPr>
            <w:tcW w:w="4576" w:type="dxa"/>
          </w:tcPr>
          <w:p w14:paraId="17E2C4D7" w14:textId="77777777" w:rsidR="00BF4455" w:rsidRPr="00453BBF" w:rsidRDefault="00BF4455" w:rsidP="00446B89">
            <w:pPr>
              <w:rPr>
                <w:rFonts w:cs="Arial"/>
              </w:rPr>
            </w:pPr>
            <w:r w:rsidRPr="00453BBF">
              <w:rPr>
                <w:rFonts w:cs="Arial"/>
              </w:rPr>
              <w:t>DEVELOPING AND MANAGING INDIVIDUALS AND TEAMS</w:t>
            </w:r>
          </w:p>
        </w:tc>
      </w:tr>
      <w:tr w:rsidR="00BF4455" w:rsidRPr="00453BBF" w14:paraId="2A14861F" w14:textId="77777777" w:rsidTr="00C5065D">
        <w:trPr>
          <w:trHeight w:val="273"/>
          <w:jc w:val="center"/>
        </w:trPr>
        <w:tc>
          <w:tcPr>
            <w:tcW w:w="4582" w:type="dxa"/>
          </w:tcPr>
          <w:p w14:paraId="0D5B65B3" w14:textId="77777777" w:rsidR="00BF4455" w:rsidRPr="00453BBF" w:rsidRDefault="00BF4455" w:rsidP="00446B89">
            <w:pPr>
              <w:rPr>
                <w:rFonts w:cs="Arial"/>
              </w:rPr>
            </w:pPr>
            <w:r w:rsidRPr="00453BBF">
              <w:rPr>
                <w:rFonts w:cs="Arial"/>
                <w:b/>
              </w:rPr>
              <w:t>MODULE CODE</w:t>
            </w:r>
          </w:p>
        </w:tc>
        <w:tc>
          <w:tcPr>
            <w:tcW w:w="4576" w:type="dxa"/>
          </w:tcPr>
          <w:p w14:paraId="06594764" w14:textId="77777777" w:rsidR="00BF4455" w:rsidRPr="00453BBF" w:rsidRDefault="00BF4455" w:rsidP="00446B89">
            <w:pPr>
              <w:rPr>
                <w:rFonts w:cs="Arial"/>
              </w:rPr>
            </w:pPr>
            <w:r w:rsidRPr="00453BBF">
              <w:rPr>
                <w:rFonts w:cs="Arial"/>
              </w:rPr>
              <w:t>LCLM5002</w:t>
            </w:r>
          </w:p>
        </w:tc>
      </w:tr>
      <w:tr w:rsidR="00BF4455" w:rsidRPr="00453BBF" w14:paraId="7A51E03D" w14:textId="77777777" w:rsidTr="00C5065D">
        <w:trPr>
          <w:trHeight w:val="273"/>
          <w:jc w:val="center"/>
        </w:trPr>
        <w:tc>
          <w:tcPr>
            <w:tcW w:w="4582" w:type="dxa"/>
          </w:tcPr>
          <w:p w14:paraId="706A0EFA" w14:textId="77777777" w:rsidR="00BF4455" w:rsidRPr="00453BBF" w:rsidRDefault="00BF4455" w:rsidP="00446B89">
            <w:pPr>
              <w:rPr>
                <w:rFonts w:cs="Arial"/>
              </w:rPr>
            </w:pPr>
            <w:r w:rsidRPr="00453BBF">
              <w:rPr>
                <w:rFonts w:cs="Arial"/>
                <w:b/>
              </w:rPr>
              <w:t>LECTURER</w:t>
            </w:r>
          </w:p>
        </w:tc>
        <w:tc>
          <w:tcPr>
            <w:tcW w:w="4576" w:type="dxa"/>
          </w:tcPr>
          <w:p w14:paraId="2FCD841C" w14:textId="77777777" w:rsidR="00BF4455" w:rsidRPr="00453BBF" w:rsidRDefault="00BF4455" w:rsidP="00446B89">
            <w:pPr>
              <w:rPr>
                <w:rFonts w:cs="Arial"/>
              </w:rPr>
            </w:pPr>
            <w:r w:rsidRPr="00453BBF">
              <w:rPr>
                <w:rFonts w:cs="Arial"/>
              </w:rPr>
              <w:t>DR. FAIZU EDU</w:t>
            </w:r>
          </w:p>
        </w:tc>
      </w:tr>
      <w:tr w:rsidR="00BF5780" w:rsidRPr="00453BBF" w14:paraId="25BA00D8" w14:textId="77777777" w:rsidTr="00C5065D">
        <w:trPr>
          <w:trHeight w:val="273"/>
          <w:jc w:val="center"/>
        </w:trPr>
        <w:tc>
          <w:tcPr>
            <w:tcW w:w="4582" w:type="dxa"/>
          </w:tcPr>
          <w:p w14:paraId="046FE927" w14:textId="13B8470B" w:rsidR="00BF5780" w:rsidRPr="00453BBF" w:rsidRDefault="00BF5780" w:rsidP="00446B89">
            <w:pPr>
              <w:rPr>
                <w:rFonts w:cs="Arial"/>
                <w:b/>
              </w:rPr>
            </w:pPr>
            <w:r>
              <w:rPr>
                <w:rFonts w:cs="Arial"/>
                <w:b/>
              </w:rPr>
              <w:t xml:space="preserve">GROUP </w:t>
            </w:r>
          </w:p>
        </w:tc>
        <w:tc>
          <w:tcPr>
            <w:tcW w:w="4576" w:type="dxa"/>
          </w:tcPr>
          <w:p w14:paraId="54504027" w14:textId="401FB252" w:rsidR="00BF5780" w:rsidRPr="00453BBF" w:rsidRDefault="00BF5780" w:rsidP="00446B89">
            <w:pPr>
              <w:rPr>
                <w:rFonts w:cs="Arial"/>
              </w:rPr>
            </w:pPr>
            <w:r>
              <w:rPr>
                <w:rFonts w:cs="Arial"/>
              </w:rPr>
              <w:t>2 WEEKEND</w:t>
            </w:r>
          </w:p>
        </w:tc>
      </w:tr>
      <w:tr w:rsidR="00BF4455" w:rsidRPr="00453BBF" w14:paraId="79E37D6D" w14:textId="77777777" w:rsidTr="00C5065D">
        <w:trPr>
          <w:trHeight w:val="273"/>
          <w:jc w:val="center"/>
        </w:trPr>
        <w:tc>
          <w:tcPr>
            <w:tcW w:w="4582" w:type="dxa"/>
          </w:tcPr>
          <w:p w14:paraId="32147B99" w14:textId="77777777" w:rsidR="00BF4455" w:rsidRPr="00453BBF" w:rsidRDefault="00BF4455" w:rsidP="00446B89">
            <w:pPr>
              <w:rPr>
                <w:rFonts w:cs="Arial"/>
              </w:rPr>
            </w:pPr>
            <w:r w:rsidRPr="00453BBF">
              <w:rPr>
                <w:rFonts w:cs="Arial"/>
                <w:b/>
              </w:rPr>
              <w:t>ASSIGNMENT</w:t>
            </w:r>
          </w:p>
        </w:tc>
        <w:tc>
          <w:tcPr>
            <w:tcW w:w="4576" w:type="dxa"/>
          </w:tcPr>
          <w:p w14:paraId="56D664BD" w14:textId="77777777" w:rsidR="00BF4455" w:rsidRPr="00453BBF" w:rsidRDefault="00BF4455" w:rsidP="00446B89">
            <w:pPr>
              <w:rPr>
                <w:rFonts w:cs="Arial"/>
              </w:rPr>
            </w:pPr>
            <w:r w:rsidRPr="00453BBF">
              <w:rPr>
                <w:rFonts w:cs="Arial"/>
              </w:rPr>
              <w:t>INDIVIDUAL REPORT</w:t>
            </w:r>
          </w:p>
        </w:tc>
      </w:tr>
    </w:tbl>
    <w:p w14:paraId="274FA57A" w14:textId="77777777" w:rsidR="00BF4455" w:rsidRPr="00453BBF" w:rsidRDefault="00BF4455" w:rsidP="00BF4455">
      <w:pPr>
        <w:rPr>
          <w:rFonts w:cs="Arial"/>
        </w:rPr>
      </w:pPr>
      <w:r w:rsidRPr="00453BBF">
        <w:rPr>
          <w:rFonts w:cs="Arial"/>
        </w:rPr>
        <w:br w:type="page"/>
      </w:r>
    </w:p>
    <w:p w14:paraId="6D218E72" w14:textId="6E7154AA" w:rsidR="00242567" w:rsidRPr="00353DA5" w:rsidRDefault="00242567" w:rsidP="00353DA5">
      <w:pPr>
        <w:spacing w:line="360" w:lineRule="auto"/>
        <w:rPr>
          <w:rFonts w:ascii="Arial" w:hAnsi="Arial" w:cs="Arial"/>
          <w:b/>
          <w:bCs/>
          <w:sz w:val="22"/>
          <w:szCs w:val="22"/>
        </w:rPr>
      </w:pPr>
      <w:r w:rsidRPr="00353DA5">
        <w:rPr>
          <w:rFonts w:ascii="Arial" w:hAnsi="Arial" w:cs="Arial"/>
          <w:b/>
          <w:bCs/>
          <w:sz w:val="22"/>
          <w:szCs w:val="22"/>
        </w:rPr>
        <w:lastRenderedPageBreak/>
        <w:t>Table of Contents</w:t>
      </w:r>
    </w:p>
    <w:p w14:paraId="3B629464" w14:textId="7D0B31AF" w:rsidR="00242567" w:rsidRPr="00353DA5" w:rsidRDefault="00242567" w:rsidP="00353DA5">
      <w:pPr>
        <w:pStyle w:val="ListParagraph"/>
        <w:numPr>
          <w:ilvl w:val="0"/>
          <w:numId w:val="9"/>
        </w:numPr>
        <w:tabs>
          <w:tab w:val="left" w:leader="dot" w:pos="7938"/>
          <w:tab w:val="left" w:leader="dot" w:pos="8820"/>
        </w:tabs>
        <w:spacing w:line="360" w:lineRule="auto"/>
        <w:rPr>
          <w:rFonts w:ascii="Arial" w:hAnsi="Arial" w:cs="Arial"/>
          <w:sz w:val="22"/>
          <w:szCs w:val="22"/>
        </w:rPr>
      </w:pPr>
      <w:r w:rsidRPr="00353DA5">
        <w:rPr>
          <w:rFonts w:ascii="Arial" w:hAnsi="Arial" w:cs="Arial"/>
          <w:sz w:val="22"/>
          <w:szCs w:val="22"/>
        </w:rPr>
        <w:t>Introduction</w:t>
      </w:r>
      <w:r w:rsidR="001559C9" w:rsidRPr="00353DA5">
        <w:rPr>
          <w:rFonts w:ascii="Arial" w:hAnsi="Arial" w:cs="Arial"/>
          <w:sz w:val="22"/>
          <w:szCs w:val="22"/>
        </w:rPr>
        <w:tab/>
      </w:r>
      <w:r w:rsidR="00B82189">
        <w:rPr>
          <w:rFonts w:ascii="Arial" w:hAnsi="Arial" w:cs="Arial"/>
          <w:sz w:val="22"/>
          <w:szCs w:val="22"/>
        </w:rPr>
        <w:t>……...</w:t>
      </w:r>
      <w:r w:rsidR="00E541C1">
        <w:rPr>
          <w:rFonts w:ascii="Arial" w:hAnsi="Arial" w:cs="Arial"/>
          <w:sz w:val="22"/>
          <w:szCs w:val="22"/>
        </w:rPr>
        <w:t>.....</w:t>
      </w:r>
      <w:r w:rsidRPr="00353DA5">
        <w:rPr>
          <w:rFonts w:ascii="Arial" w:hAnsi="Arial" w:cs="Arial"/>
          <w:sz w:val="22"/>
          <w:szCs w:val="22"/>
        </w:rPr>
        <w:t xml:space="preserve">1 </w:t>
      </w:r>
    </w:p>
    <w:p w14:paraId="4FE3863C" w14:textId="5D87BD83" w:rsidR="00242567" w:rsidRPr="00353DA5" w:rsidRDefault="00242567" w:rsidP="00353DA5">
      <w:pPr>
        <w:pStyle w:val="ListParagraph"/>
        <w:numPr>
          <w:ilvl w:val="0"/>
          <w:numId w:val="9"/>
        </w:numPr>
        <w:tabs>
          <w:tab w:val="left" w:leader="dot" w:pos="8640"/>
          <w:tab w:val="left" w:pos="8820"/>
        </w:tabs>
        <w:spacing w:line="360" w:lineRule="auto"/>
        <w:rPr>
          <w:rFonts w:ascii="Arial" w:hAnsi="Arial" w:cs="Arial"/>
          <w:sz w:val="22"/>
          <w:szCs w:val="22"/>
        </w:rPr>
      </w:pPr>
      <w:r w:rsidRPr="00353DA5">
        <w:rPr>
          <w:rFonts w:ascii="Arial" w:hAnsi="Arial" w:cs="Arial"/>
          <w:sz w:val="22"/>
          <w:szCs w:val="22"/>
        </w:rPr>
        <w:t>Factors Affecting HR</w:t>
      </w:r>
      <w:r w:rsidR="0097094F" w:rsidRPr="00353DA5">
        <w:rPr>
          <w:rFonts w:ascii="Arial" w:hAnsi="Arial" w:cs="Arial"/>
          <w:sz w:val="22"/>
          <w:szCs w:val="22"/>
        </w:rPr>
        <w:t>………………………………………………………………</w:t>
      </w:r>
      <w:r w:rsidR="00B82189">
        <w:rPr>
          <w:rFonts w:ascii="Arial" w:hAnsi="Arial" w:cs="Arial"/>
          <w:sz w:val="22"/>
          <w:szCs w:val="22"/>
        </w:rPr>
        <w:t>…</w:t>
      </w:r>
      <w:r w:rsidR="0097094F" w:rsidRPr="00353DA5">
        <w:rPr>
          <w:rFonts w:ascii="Arial" w:hAnsi="Arial" w:cs="Arial"/>
          <w:sz w:val="22"/>
          <w:szCs w:val="22"/>
        </w:rPr>
        <w:t>…</w:t>
      </w:r>
      <w:r w:rsidR="00E541C1">
        <w:rPr>
          <w:rFonts w:ascii="Arial" w:hAnsi="Arial" w:cs="Arial"/>
          <w:sz w:val="22"/>
          <w:szCs w:val="22"/>
        </w:rPr>
        <w:t>…...</w:t>
      </w:r>
      <w:r w:rsidR="00777B91" w:rsidRPr="00353DA5">
        <w:rPr>
          <w:rFonts w:ascii="Arial" w:hAnsi="Arial" w:cs="Arial"/>
          <w:sz w:val="22"/>
          <w:szCs w:val="22"/>
        </w:rPr>
        <w:t>2</w:t>
      </w:r>
      <w:r w:rsidRPr="00353DA5">
        <w:rPr>
          <w:rFonts w:ascii="Arial" w:hAnsi="Arial" w:cs="Arial"/>
          <w:sz w:val="22"/>
          <w:szCs w:val="22"/>
        </w:rPr>
        <w:br/>
      </w:r>
      <w:r w:rsidRPr="00353DA5">
        <w:rPr>
          <w:rFonts w:ascii="Arial" w:hAnsi="Arial" w:cs="Arial"/>
          <w:sz w:val="22"/>
          <w:szCs w:val="22"/>
        </w:rPr>
        <w:t> </w:t>
      </w:r>
      <w:r w:rsidRPr="00353DA5">
        <w:rPr>
          <w:rFonts w:ascii="Arial" w:hAnsi="Arial" w:cs="Arial"/>
          <w:sz w:val="22"/>
          <w:szCs w:val="22"/>
        </w:rPr>
        <w:t>2.1 Technological Advancement</w:t>
      </w:r>
      <w:r w:rsidR="008878C2" w:rsidRPr="00353DA5">
        <w:rPr>
          <w:rFonts w:ascii="Arial" w:hAnsi="Arial" w:cs="Arial"/>
          <w:sz w:val="22"/>
          <w:szCs w:val="22"/>
        </w:rPr>
        <w:t>………………………………………………</w:t>
      </w:r>
      <w:r w:rsidR="00B82189">
        <w:rPr>
          <w:rFonts w:ascii="Arial" w:hAnsi="Arial" w:cs="Arial"/>
          <w:sz w:val="22"/>
          <w:szCs w:val="22"/>
        </w:rPr>
        <w:t>…</w:t>
      </w:r>
      <w:r w:rsidR="008878C2" w:rsidRPr="00353DA5">
        <w:rPr>
          <w:rFonts w:ascii="Arial" w:hAnsi="Arial" w:cs="Arial"/>
          <w:sz w:val="22"/>
          <w:szCs w:val="22"/>
        </w:rPr>
        <w:t>…</w:t>
      </w:r>
      <w:r w:rsidR="00E541C1">
        <w:rPr>
          <w:rFonts w:ascii="Arial" w:hAnsi="Arial" w:cs="Arial"/>
          <w:sz w:val="22"/>
          <w:szCs w:val="22"/>
        </w:rPr>
        <w:t>……</w:t>
      </w:r>
      <w:r w:rsidR="008878C2" w:rsidRPr="00353DA5">
        <w:rPr>
          <w:rFonts w:ascii="Arial" w:hAnsi="Arial" w:cs="Arial"/>
          <w:sz w:val="22"/>
          <w:szCs w:val="22"/>
        </w:rPr>
        <w:t>2</w:t>
      </w:r>
      <w:r w:rsidRPr="00353DA5">
        <w:rPr>
          <w:rFonts w:ascii="Arial" w:hAnsi="Arial" w:cs="Arial"/>
          <w:sz w:val="22"/>
          <w:szCs w:val="22"/>
        </w:rPr>
        <w:br/>
      </w:r>
      <w:r w:rsidRPr="00353DA5">
        <w:rPr>
          <w:rFonts w:ascii="Arial" w:hAnsi="Arial" w:cs="Arial"/>
          <w:sz w:val="22"/>
          <w:szCs w:val="22"/>
        </w:rPr>
        <w:t> </w:t>
      </w:r>
      <w:r w:rsidRPr="00353DA5">
        <w:rPr>
          <w:rFonts w:ascii="Arial" w:hAnsi="Arial" w:cs="Arial"/>
          <w:sz w:val="22"/>
          <w:szCs w:val="22"/>
        </w:rPr>
        <w:t>2.2 Talent Acquisition and Retentio</w:t>
      </w:r>
      <w:r w:rsidR="002476F9" w:rsidRPr="00353DA5">
        <w:rPr>
          <w:rFonts w:ascii="Arial" w:hAnsi="Arial" w:cs="Arial"/>
          <w:sz w:val="22"/>
          <w:szCs w:val="22"/>
        </w:rPr>
        <w:t>n</w:t>
      </w:r>
      <w:r w:rsidR="00A03281" w:rsidRPr="00353DA5">
        <w:rPr>
          <w:rFonts w:ascii="Arial" w:hAnsi="Arial" w:cs="Arial"/>
          <w:sz w:val="22"/>
          <w:szCs w:val="22"/>
        </w:rPr>
        <w:t>……………………………………</w:t>
      </w:r>
      <w:r w:rsidR="00F07034">
        <w:rPr>
          <w:rFonts w:ascii="Arial" w:hAnsi="Arial" w:cs="Arial"/>
          <w:sz w:val="22"/>
          <w:szCs w:val="22"/>
        </w:rPr>
        <w:t>..</w:t>
      </w:r>
      <w:r w:rsidR="00A03281" w:rsidRPr="00353DA5">
        <w:rPr>
          <w:rFonts w:ascii="Arial" w:hAnsi="Arial" w:cs="Arial"/>
          <w:sz w:val="22"/>
          <w:szCs w:val="22"/>
        </w:rPr>
        <w:t>………</w:t>
      </w:r>
      <w:r w:rsidR="0097094F" w:rsidRPr="00353DA5">
        <w:rPr>
          <w:rFonts w:ascii="Arial" w:hAnsi="Arial" w:cs="Arial"/>
          <w:sz w:val="22"/>
          <w:szCs w:val="22"/>
        </w:rPr>
        <w:t>…</w:t>
      </w:r>
      <w:r w:rsidR="000E601D">
        <w:rPr>
          <w:rFonts w:ascii="Arial" w:hAnsi="Arial" w:cs="Arial"/>
          <w:sz w:val="22"/>
          <w:szCs w:val="22"/>
        </w:rPr>
        <w:t>..2-</w:t>
      </w:r>
      <w:r w:rsidR="008878C2" w:rsidRPr="00353DA5">
        <w:rPr>
          <w:rFonts w:ascii="Arial" w:hAnsi="Arial" w:cs="Arial"/>
          <w:sz w:val="22"/>
          <w:szCs w:val="22"/>
        </w:rPr>
        <w:t>3</w:t>
      </w:r>
      <w:r w:rsidRPr="00353DA5">
        <w:rPr>
          <w:rFonts w:ascii="Arial" w:hAnsi="Arial" w:cs="Arial"/>
          <w:sz w:val="22"/>
          <w:szCs w:val="22"/>
        </w:rPr>
        <w:br/>
      </w:r>
      <w:r w:rsidRPr="00353DA5">
        <w:rPr>
          <w:rFonts w:ascii="Arial" w:hAnsi="Arial" w:cs="Arial"/>
          <w:sz w:val="22"/>
          <w:szCs w:val="22"/>
        </w:rPr>
        <w:t> </w:t>
      </w:r>
      <w:r w:rsidRPr="00353DA5">
        <w:rPr>
          <w:rFonts w:ascii="Arial" w:hAnsi="Arial" w:cs="Arial"/>
          <w:sz w:val="22"/>
          <w:szCs w:val="22"/>
        </w:rPr>
        <w:t>2.3 Diversity, Equity and Inclusion (DEI)</w:t>
      </w:r>
      <w:r w:rsidR="002672CF" w:rsidRPr="00353DA5">
        <w:rPr>
          <w:rFonts w:ascii="Arial" w:hAnsi="Arial" w:cs="Arial"/>
          <w:sz w:val="22"/>
          <w:szCs w:val="22"/>
        </w:rPr>
        <w:t>……………………………</w:t>
      </w:r>
      <w:r w:rsidR="00202633">
        <w:rPr>
          <w:rFonts w:ascii="Arial" w:hAnsi="Arial" w:cs="Arial"/>
          <w:sz w:val="22"/>
          <w:szCs w:val="22"/>
        </w:rPr>
        <w:t>…...</w:t>
      </w:r>
      <w:r w:rsidR="00F07034">
        <w:rPr>
          <w:rFonts w:ascii="Arial" w:hAnsi="Arial" w:cs="Arial"/>
          <w:sz w:val="22"/>
          <w:szCs w:val="22"/>
        </w:rPr>
        <w:t>...</w:t>
      </w:r>
      <w:r w:rsidR="00B55EA8" w:rsidRPr="00353DA5">
        <w:rPr>
          <w:rFonts w:ascii="Arial" w:hAnsi="Arial" w:cs="Arial"/>
          <w:sz w:val="22"/>
          <w:szCs w:val="22"/>
        </w:rPr>
        <w:t>…</w:t>
      </w:r>
      <w:r w:rsidR="002672CF" w:rsidRPr="00353DA5">
        <w:rPr>
          <w:rFonts w:ascii="Arial" w:hAnsi="Arial" w:cs="Arial"/>
          <w:sz w:val="22"/>
          <w:szCs w:val="22"/>
        </w:rPr>
        <w:t>…</w:t>
      </w:r>
      <w:r w:rsidR="00E541C1">
        <w:rPr>
          <w:rFonts w:ascii="Arial" w:hAnsi="Arial" w:cs="Arial"/>
          <w:sz w:val="22"/>
          <w:szCs w:val="22"/>
        </w:rPr>
        <w:t>……</w:t>
      </w:r>
      <w:r w:rsidR="00030AC5">
        <w:rPr>
          <w:rFonts w:ascii="Arial" w:hAnsi="Arial" w:cs="Arial"/>
          <w:sz w:val="22"/>
          <w:szCs w:val="22"/>
        </w:rPr>
        <w:t>..</w:t>
      </w:r>
      <w:r w:rsidR="00371EF8" w:rsidRPr="00353DA5">
        <w:rPr>
          <w:rFonts w:ascii="Arial" w:hAnsi="Arial" w:cs="Arial"/>
          <w:sz w:val="22"/>
          <w:szCs w:val="22"/>
        </w:rPr>
        <w:t>3</w:t>
      </w:r>
    </w:p>
    <w:p w14:paraId="66A197B1" w14:textId="630E520C" w:rsidR="00242567" w:rsidRDefault="0029339C" w:rsidP="00353DA5">
      <w:pPr>
        <w:pStyle w:val="Heading1"/>
        <w:numPr>
          <w:ilvl w:val="0"/>
          <w:numId w:val="9"/>
        </w:numPr>
        <w:spacing w:line="360" w:lineRule="auto"/>
        <w:rPr>
          <w:rFonts w:ascii="Arial" w:hAnsi="Arial" w:cs="Arial"/>
          <w:color w:val="auto"/>
          <w:sz w:val="22"/>
          <w:szCs w:val="22"/>
        </w:rPr>
      </w:pPr>
      <w:r w:rsidRPr="00353DA5">
        <w:rPr>
          <w:rFonts w:ascii="Arial" w:hAnsi="Arial" w:cs="Arial"/>
          <w:color w:val="auto"/>
          <w:sz w:val="22"/>
          <w:szCs w:val="22"/>
        </w:rPr>
        <w:t xml:space="preserve">HR Practices Used by Marks &amp; </w:t>
      </w:r>
      <w:r w:rsidR="009728F0" w:rsidRPr="00353DA5">
        <w:rPr>
          <w:rFonts w:ascii="Arial" w:hAnsi="Arial" w:cs="Arial"/>
          <w:color w:val="auto"/>
          <w:sz w:val="22"/>
          <w:szCs w:val="22"/>
        </w:rPr>
        <w:t>Spencer</w:t>
      </w:r>
      <w:r w:rsidR="00C64B99" w:rsidRPr="00353DA5">
        <w:rPr>
          <w:rFonts w:ascii="Arial" w:hAnsi="Arial" w:cs="Arial"/>
          <w:color w:val="auto"/>
          <w:sz w:val="22"/>
          <w:szCs w:val="22"/>
        </w:rPr>
        <w:t>………</w:t>
      </w:r>
      <w:r w:rsidR="00CF6288" w:rsidRPr="00353DA5">
        <w:rPr>
          <w:rFonts w:ascii="Arial" w:hAnsi="Arial" w:cs="Arial"/>
          <w:color w:val="auto"/>
          <w:sz w:val="22"/>
          <w:szCs w:val="22"/>
        </w:rPr>
        <w:t>…</w:t>
      </w:r>
      <w:r w:rsidR="00C64B99" w:rsidRPr="00353DA5">
        <w:rPr>
          <w:rFonts w:ascii="Arial" w:hAnsi="Arial" w:cs="Arial"/>
          <w:color w:val="auto"/>
          <w:sz w:val="22"/>
          <w:szCs w:val="22"/>
        </w:rPr>
        <w:t>…………………</w:t>
      </w:r>
      <w:r w:rsidR="009728F0" w:rsidRPr="00353DA5">
        <w:rPr>
          <w:rFonts w:ascii="Arial" w:hAnsi="Arial" w:cs="Arial"/>
          <w:color w:val="auto"/>
          <w:sz w:val="22"/>
          <w:szCs w:val="22"/>
        </w:rPr>
        <w:t>..</w:t>
      </w:r>
      <w:r w:rsidR="00C64B99" w:rsidRPr="00353DA5">
        <w:rPr>
          <w:rFonts w:ascii="Arial" w:hAnsi="Arial" w:cs="Arial"/>
          <w:color w:val="auto"/>
          <w:sz w:val="22"/>
          <w:szCs w:val="22"/>
        </w:rPr>
        <w:t>……</w:t>
      </w:r>
      <w:r w:rsidR="00F07034">
        <w:rPr>
          <w:rFonts w:ascii="Arial" w:hAnsi="Arial" w:cs="Arial"/>
          <w:color w:val="auto"/>
          <w:sz w:val="22"/>
          <w:szCs w:val="22"/>
        </w:rPr>
        <w:t>….</w:t>
      </w:r>
      <w:r w:rsidR="00863B97">
        <w:rPr>
          <w:rFonts w:ascii="Arial" w:hAnsi="Arial" w:cs="Arial"/>
          <w:color w:val="auto"/>
          <w:sz w:val="22"/>
          <w:szCs w:val="22"/>
        </w:rPr>
        <w:t>.</w:t>
      </w:r>
      <w:r w:rsidR="00C64B99" w:rsidRPr="00353DA5">
        <w:rPr>
          <w:rFonts w:ascii="Arial" w:hAnsi="Arial" w:cs="Arial"/>
          <w:color w:val="auto"/>
          <w:sz w:val="22"/>
          <w:szCs w:val="22"/>
        </w:rPr>
        <w:t>…...</w:t>
      </w:r>
      <w:r w:rsidR="00C64B99" w:rsidRPr="00353DA5">
        <w:rPr>
          <w:rFonts w:ascii="Arial" w:hAnsi="Arial" w:cs="Arial"/>
          <w:sz w:val="22"/>
          <w:szCs w:val="22"/>
        </w:rPr>
        <w:t>.</w:t>
      </w:r>
      <w:r w:rsidR="00A81F71" w:rsidRPr="00353DA5">
        <w:rPr>
          <w:rFonts w:ascii="Arial" w:hAnsi="Arial" w:cs="Arial"/>
          <w:sz w:val="22"/>
          <w:szCs w:val="22"/>
        </w:rPr>
        <w:t>..</w:t>
      </w:r>
      <w:r w:rsidR="00E541C1">
        <w:rPr>
          <w:rFonts w:ascii="Arial" w:hAnsi="Arial" w:cs="Arial"/>
          <w:sz w:val="22"/>
          <w:szCs w:val="22"/>
        </w:rPr>
        <w:t>......</w:t>
      </w:r>
      <w:r w:rsidR="00030AC5">
        <w:rPr>
          <w:rFonts w:ascii="Arial" w:hAnsi="Arial" w:cs="Arial"/>
          <w:color w:val="auto"/>
          <w:sz w:val="22"/>
          <w:szCs w:val="22"/>
        </w:rPr>
        <w:t>3</w:t>
      </w:r>
      <w:r w:rsidR="00242567" w:rsidRPr="00353DA5">
        <w:rPr>
          <w:rFonts w:ascii="Arial" w:hAnsi="Arial" w:cs="Arial"/>
          <w:sz w:val="22"/>
          <w:szCs w:val="22"/>
        </w:rPr>
        <w:br/>
      </w:r>
      <w:r w:rsidR="00242567" w:rsidRPr="00353DA5">
        <w:rPr>
          <w:rFonts w:ascii="Arial" w:hAnsi="Arial" w:cs="Arial"/>
          <w:sz w:val="22"/>
          <w:szCs w:val="22"/>
        </w:rPr>
        <w:t> </w:t>
      </w:r>
      <w:r w:rsidR="00242567" w:rsidRPr="00353DA5">
        <w:rPr>
          <w:rFonts w:ascii="Arial" w:hAnsi="Arial" w:cs="Arial"/>
          <w:color w:val="auto"/>
          <w:sz w:val="22"/>
          <w:szCs w:val="22"/>
        </w:rPr>
        <w:t>3.1 Technological Advancement Practices</w:t>
      </w:r>
      <w:r w:rsidR="00A3673C" w:rsidRPr="00353DA5">
        <w:rPr>
          <w:rFonts w:ascii="Arial" w:hAnsi="Arial" w:cs="Arial"/>
          <w:color w:val="auto"/>
          <w:sz w:val="22"/>
          <w:szCs w:val="22"/>
        </w:rPr>
        <w:t>…………………………………</w:t>
      </w:r>
      <w:r w:rsidR="00863B97">
        <w:rPr>
          <w:rFonts w:ascii="Arial" w:hAnsi="Arial" w:cs="Arial"/>
          <w:color w:val="auto"/>
          <w:sz w:val="22"/>
          <w:szCs w:val="22"/>
        </w:rPr>
        <w:t>..</w:t>
      </w:r>
      <w:r w:rsidR="00A3673C" w:rsidRPr="00353DA5">
        <w:rPr>
          <w:rFonts w:ascii="Arial" w:hAnsi="Arial" w:cs="Arial"/>
          <w:color w:val="auto"/>
          <w:sz w:val="22"/>
          <w:szCs w:val="22"/>
        </w:rPr>
        <w:t>…</w:t>
      </w:r>
      <w:r w:rsidR="00622E54">
        <w:rPr>
          <w:rFonts w:ascii="Arial" w:hAnsi="Arial" w:cs="Arial"/>
          <w:color w:val="auto"/>
          <w:sz w:val="22"/>
          <w:szCs w:val="22"/>
        </w:rPr>
        <w:t>…</w:t>
      </w:r>
      <w:r w:rsidR="00E541C1">
        <w:rPr>
          <w:rFonts w:ascii="Arial" w:hAnsi="Arial" w:cs="Arial"/>
          <w:color w:val="auto"/>
          <w:sz w:val="22"/>
          <w:szCs w:val="22"/>
        </w:rPr>
        <w:t>…</w:t>
      </w:r>
      <w:r w:rsidR="007625B6">
        <w:rPr>
          <w:rFonts w:ascii="Arial" w:hAnsi="Arial" w:cs="Arial"/>
          <w:color w:val="auto"/>
          <w:sz w:val="22"/>
          <w:szCs w:val="22"/>
        </w:rPr>
        <w:t>…3</w:t>
      </w:r>
      <w:r w:rsidR="00242567" w:rsidRPr="00353DA5">
        <w:rPr>
          <w:rFonts w:ascii="Arial" w:hAnsi="Arial" w:cs="Arial"/>
          <w:color w:val="auto"/>
          <w:sz w:val="22"/>
          <w:szCs w:val="22"/>
        </w:rPr>
        <w:br/>
      </w:r>
      <w:r w:rsidR="00242567" w:rsidRPr="00353DA5">
        <w:rPr>
          <w:rFonts w:ascii="Arial" w:hAnsi="Arial" w:cs="Arial"/>
          <w:color w:val="auto"/>
          <w:sz w:val="22"/>
          <w:szCs w:val="22"/>
        </w:rPr>
        <w:t> </w:t>
      </w:r>
      <w:r w:rsidR="00242567" w:rsidRPr="00353DA5">
        <w:rPr>
          <w:rFonts w:ascii="Arial" w:hAnsi="Arial" w:cs="Arial"/>
          <w:color w:val="auto"/>
          <w:sz w:val="22"/>
          <w:szCs w:val="22"/>
        </w:rPr>
        <w:t>3.2 Talent Acquisition and Retention Practices</w:t>
      </w:r>
      <w:r w:rsidR="00A81F71" w:rsidRPr="00353DA5">
        <w:rPr>
          <w:rFonts w:ascii="Arial" w:hAnsi="Arial" w:cs="Arial"/>
          <w:color w:val="auto"/>
          <w:sz w:val="22"/>
          <w:szCs w:val="22"/>
        </w:rPr>
        <w:t>………………………………</w:t>
      </w:r>
      <w:r w:rsidR="00863B97">
        <w:rPr>
          <w:rFonts w:ascii="Arial" w:hAnsi="Arial" w:cs="Arial"/>
          <w:color w:val="auto"/>
          <w:sz w:val="22"/>
          <w:szCs w:val="22"/>
        </w:rPr>
        <w:t>..</w:t>
      </w:r>
      <w:r w:rsidR="00A81F71" w:rsidRPr="00353DA5">
        <w:rPr>
          <w:rFonts w:ascii="Arial" w:hAnsi="Arial" w:cs="Arial"/>
          <w:color w:val="auto"/>
          <w:sz w:val="22"/>
          <w:szCs w:val="22"/>
        </w:rPr>
        <w:t>…</w:t>
      </w:r>
      <w:r w:rsidR="00E541C1">
        <w:rPr>
          <w:rFonts w:ascii="Arial" w:hAnsi="Arial" w:cs="Arial"/>
          <w:color w:val="auto"/>
          <w:sz w:val="22"/>
          <w:szCs w:val="22"/>
        </w:rPr>
        <w:t>….</w:t>
      </w:r>
      <w:r w:rsidR="007625B6">
        <w:rPr>
          <w:rFonts w:ascii="Arial" w:hAnsi="Arial" w:cs="Arial"/>
          <w:color w:val="auto"/>
          <w:sz w:val="22"/>
          <w:szCs w:val="22"/>
        </w:rPr>
        <w:t>3-4</w:t>
      </w:r>
      <w:r w:rsidR="00242567" w:rsidRPr="00353DA5">
        <w:rPr>
          <w:rFonts w:ascii="Arial" w:hAnsi="Arial" w:cs="Arial"/>
          <w:color w:val="auto"/>
          <w:sz w:val="22"/>
          <w:szCs w:val="22"/>
        </w:rPr>
        <w:br/>
      </w:r>
      <w:r w:rsidR="00242567" w:rsidRPr="00353DA5">
        <w:rPr>
          <w:rFonts w:ascii="Arial" w:hAnsi="Arial" w:cs="Arial"/>
          <w:color w:val="auto"/>
          <w:sz w:val="22"/>
          <w:szCs w:val="22"/>
        </w:rPr>
        <w:t> </w:t>
      </w:r>
      <w:r w:rsidR="00242567" w:rsidRPr="00353DA5">
        <w:rPr>
          <w:rFonts w:ascii="Arial" w:hAnsi="Arial" w:cs="Arial"/>
          <w:color w:val="auto"/>
          <w:sz w:val="22"/>
          <w:szCs w:val="22"/>
        </w:rPr>
        <w:t>3.3 Diversity, Equity and Inclusion (DEI) Practices</w:t>
      </w:r>
      <w:r w:rsidR="00B55EA8" w:rsidRPr="002D23F6">
        <w:rPr>
          <w:rFonts w:ascii="Arial" w:hAnsi="Arial" w:cs="Arial"/>
          <w:color w:val="auto"/>
          <w:sz w:val="22"/>
          <w:szCs w:val="22"/>
        </w:rPr>
        <w:t>……………………</w:t>
      </w:r>
      <w:r w:rsidR="00833E24" w:rsidRPr="002D23F6">
        <w:rPr>
          <w:rFonts w:ascii="Arial" w:hAnsi="Arial" w:cs="Arial"/>
          <w:color w:val="auto"/>
          <w:sz w:val="22"/>
          <w:szCs w:val="22"/>
        </w:rPr>
        <w:t>..</w:t>
      </w:r>
      <w:r w:rsidR="00B55EA8" w:rsidRPr="002D23F6">
        <w:rPr>
          <w:rFonts w:ascii="Arial" w:hAnsi="Arial" w:cs="Arial"/>
          <w:color w:val="auto"/>
          <w:sz w:val="22"/>
          <w:szCs w:val="22"/>
        </w:rPr>
        <w:t>……</w:t>
      </w:r>
      <w:r w:rsidR="00863B97">
        <w:rPr>
          <w:rFonts w:ascii="Arial" w:hAnsi="Arial" w:cs="Arial"/>
          <w:color w:val="auto"/>
          <w:sz w:val="22"/>
          <w:szCs w:val="22"/>
        </w:rPr>
        <w:t>.</w:t>
      </w:r>
      <w:r w:rsidR="00B55EA8" w:rsidRPr="002D23F6">
        <w:rPr>
          <w:rFonts w:ascii="Arial" w:hAnsi="Arial" w:cs="Arial"/>
          <w:color w:val="auto"/>
          <w:sz w:val="22"/>
          <w:szCs w:val="22"/>
        </w:rPr>
        <w:t>…</w:t>
      </w:r>
      <w:r w:rsidR="00622E54">
        <w:rPr>
          <w:rFonts w:ascii="Arial" w:hAnsi="Arial" w:cs="Arial"/>
          <w:color w:val="auto"/>
          <w:sz w:val="22"/>
          <w:szCs w:val="22"/>
        </w:rPr>
        <w:t>.</w:t>
      </w:r>
      <w:r w:rsidR="002D23F6" w:rsidRPr="002D23F6">
        <w:rPr>
          <w:rFonts w:ascii="Arial" w:hAnsi="Arial" w:cs="Arial"/>
          <w:color w:val="auto"/>
          <w:sz w:val="22"/>
          <w:szCs w:val="22"/>
        </w:rPr>
        <w:t>.</w:t>
      </w:r>
      <w:r w:rsidR="00833E24" w:rsidRPr="002D23F6">
        <w:rPr>
          <w:rFonts w:ascii="Arial" w:hAnsi="Arial" w:cs="Arial"/>
          <w:color w:val="auto"/>
          <w:sz w:val="22"/>
          <w:szCs w:val="22"/>
        </w:rPr>
        <w:t>.</w:t>
      </w:r>
      <w:r w:rsidR="002E3452" w:rsidRPr="002D23F6">
        <w:rPr>
          <w:rFonts w:ascii="Arial" w:hAnsi="Arial" w:cs="Arial"/>
          <w:color w:val="auto"/>
          <w:sz w:val="22"/>
          <w:szCs w:val="22"/>
        </w:rPr>
        <w:t>..</w:t>
      </w:r>
      <w:r w:rsidR="007625B6">
        <w:rPr>
          <w:rFonts w:ascii="Arial" w:hAnsi="Arial" w:cs="Arial"/>
          <w:color w:val="auto"/>
          <w:sz w:val="22"/>
          <w:szCs w:val="22"/>
        </w:rPr>
        <w:t>4</w:t>
      </w:r>
      <w:r w:rsidR="00811941">
        <w:rPr>
          <w:rFonts w:ascii="Arial" w:hAnsi="Arial" w:cs="Arial"/>
          <w:color w:val="auto"/>
          <w:sz w:val="22"/>
          <w:szCs w:val="22"/>
        </w:rPr>
        <w:t>-5</w:t>
      </w:r>
    </w:p>
    <w:p w14:paraId="07565E81" w14:textId="246684E6" w:rsidR="00613C36" w:rsidRPr="00613C36" w:rsidRDefault="00613C36" w:rsidP="00613C36">
      <w:r>
        <w:t xml:space="preserve">                   3.4</w:t>
      </w:r>
      <w:r w:rsidR="002E0215">
        <w:t xml:space="preserve"> Employee Engagement ……………………………………………………………………5</w:t>
      </w:r>
    </w:p>
    <w:p w14:paraId="604550B8" w14:textId="294451A5" w:rsidR="00242567" w:rsidRPr="00353DA5" w:rsidRDefault="00242567" w:rsidP="00353DA5">
      <w:pPr>
        <w:pStyle w:val="ListParagraph"/>
        <w:numPr>
          <w:ilvl w:val="0"/>
          <w:numId w:val="9"/>
        </w:numPr>
        <w:tabs>
          <w:tab w:val="left" w:leader="dot" w:pos="7938"/>
          <w:tab w:val="left" w:leader="dot" w:pos="8640"/>
        </w:tabs>
        <w:spacing w:line="360" w:lineRule="auto"/>
        <w:rPr>
          <w:rFonts w:ascii="Arial" w:hAnsi="Arial" w:cs="Arial"/>
          <w:sz w:val="22"/>
          <w:szCs w:val="22"/>
        </w:rPr>
      </w:pPr>
      <w:r w:rsidRPr="00353DA5">
        <w:rPr>
          <w:rFonts w:ascii="Arial" w:hAnsi="Arial" w:cs="Arial"/>
          <w:sz w:val="22"/>
          <w:szCs w:val="22"/>
        </w:rPr>
        <w:t>Critical Evaluation: Role of Managers</w:t>
      </w:r>
      <w:r w:rsidR="001559C9" w:rsidRPr="00353DA5">
        <w:rPr>
          <w:rFonts w:ascii="Arial" w:hAnsi="Arial" w:cs="Arial"/>
          <w:sz w:val="22"/>
          <w:szCs w:val="22"/>
        </w:rPr>
        <w:tab/>
      </w:r>
      <w:r w:rsidR="00863B97">
        <w:rPr>
          <w:rFonts w:ascii="Arial" w:hAnsi="Arial" w:cs="Arial"/>
          <w:sz w:val="22"/>
          <w:szCs w:val="22"/>
        </w:rPr>
        <w:t>……</w:t>
      </w:r>
      <w:r w:rsidR="00E541C1">
        <w:rPr>
          <w:rFonts w:ascii="Arial" w:hAnsi="Arial" w:cs="Arial"/>
          <w:sz w:val="22"/>
          <w:szCs w:val="22"/>
        </w:rPr>
        <w:t>….</w:t>
      </w:r>
      <w:r w:rsidR="001F0A49">
        <w:rPr>
          <w:rFonts w:ascii="Arial" w:hAnsi="Arial" w:cs="Arial"/>
          <w:sz w:val="22"/>
          <w:szCs w:val="22"/>
        </w:rPr>
        <w:t>6-</w:t>
      </w:r>
      <w:r w:rsidR="001C32AF" w:rsidRPr="00353DA5">
        <w:rPr>
          <w:rFonts w:ascii="Arial" w:hAnsi="Arial" w:cs="Arial"/>
          <w:sz w:val="22"/>
          <w:szCs w:val="22"/>
        </w:rPr>
        <w:t>7</w:t>
      </w:r>
      <w:r w:rsidRPr="00353DA5">
        <w:rPr>
          <w:rFonts w:ascii="Arial" w:hAnsi="Arial" w:cs="Arial"/>
          <w:sz w:val="22"/>
          <w:szCs w:val="22"/>
        </w:rPr>
        <w:t xml:space="preserve"> </w:t>
      </w:r>
    </w:p>
    <w:p w14:paraId="5E368081" w14:textId="515E86F7" w:rsidR="00242567" w:rsidRPr="00353DA5" w:rsidRDefault="00242567" w:rsidP="00353DA5">
      <w:pPr>
        <w:pStyle w:val="ListParagraph"/>
        <w:numPr>
          <w:ilvl w:val="0"/>
          <w:numId w:val="9"/>
        </w:numPr>
        <w:tabs>
          <w:tab w:val="left" w:leader="dot" w:pos="7938"/>
          <w:tab w:val="left" w:leader="dot" w:pos="8820"/>
        </w:tabs>
        <w:spacing w:line="360" w:lineRule="auto"/>
        <w:rPr>
          <w:rFonts w:ascii="Arial" w:hAnsi="Arial" w:cs="Arial"/>
          <w:sz w:val="22"/>
          <w:szCs w:val="22"/>
        </w:rPr>
      </w:pPr>
      <w:r w:rsidRPr="00353DA5">
        <w:rPr>
          <w:rFonts w:ascii="Arial" w:hAnsi="Arial" w:cs="Arial"/>
          <w:sz w:val="22"/>
          <w:szCs w:val="22"/>
        </w:rPr>
        <w:t>Conclusion</w:t>
      </w:r>
      <w:r w:rsidR="0097094F" w:rsidRPr="00353DA5">
        <w:rPr>
          <w:rFonts w:ascii="Arial" w:hAnsi="Arial" w:cs="Arial"/>
          <w:sz w:val="22"/>
          <w:szCs w:val="22"/>
        </w:rPr>
        <w:t>.</w:t>
      </w:r>
      <w:r w:rsidR="001559C9" w:rsidRPr="00353DA5">
        <w:rPr>
          <w:rFonts w:ascii="Arial" w:hAnsi="Arial" w:cs="Arial"/>
          <w:sz w:val="22"/>
          <w:szCs w:val="22"/>
        </w:rPr>
        <w:tab/>
      </w:r>
      <w:proofErr w:type="gramStart"/>
      <w:r w:rsidR="009551A0" w:rsidRPr="00353DA5">
        <w:rPr>
          <w:rFonts w:ascii="Arial" w:hAnsi="Arial" w:cs="Arial"/>
          <w:sz w:val="22"/>
          <w:szCs w:val="22"/>
        </w:rPr>
        <w:t>…</w:t>
      </w:r>
      <w:r w:rsidR="009551A0">
        <w:rPr>
          <w:rFonts w:ascii="Arial" w:hAnsi="Arial" w:cs="Arial"/>
          <w:sz w:val="22"/>
          <w:szCs w:val="22"/>
        </w:rPr>
        <w:t>.</w:t>
      </w:r>
      <w:r w:rsidR="002E3452" w:rsidRPr="00353DA5">
        <w:rPr>
          <w:rFonts w:ascii="Arial" w:hAnsi="Arial" w:cs="Arial"/>
          <w:sz w:val="22"/>
          <w:szCs w:val="22"/>
        </w:rPr>
        <w:t>…</w:t>
      </w:r>
      <w:r w:rsidR="009551A0">
        <w:rPr>
          <w:rFonts w:ascii="Arial" w:hAnsi="Arial" w:cs="Arial"/>
          <w:sz w:val="22"/>
          <w:szCs w:val="22"/>
        </w:rPr>
        <w:t>..</w:t>
      </w:r>
      <w:proofErr w:type="gramEnd"/>
      <w:r w:rsidR="009551A0" w:rsidRPr="00353DA5">
        <w:rPr>
          <w:rFonts w:ascii="Arial" w:hAnsi="Arial" w:cs="Arial"/>
          <w:sz w:val="22"/>
          <w:szCs w:val="22"/>
        </w:rPr>
        <w:t>…</w:t>
      </w:r>
      <w:r w:rsidR="009551A0">
        <w:rPr>
          <w:rFonts w:ascii="Arial" w:hAnsi="Arial" w:cs="Arial"/>
          <w:sz w:val="22"/>
          <w:szCs w:val="22"/>
        </w:rPr>
        <w:t>.</w:t>
      </w:r>
      <w:r w:rsidR="001F0A49">
        <w:rPr>
          <w:rFonts w:ascii="Arial" w:hAnsi="Arial" w:cs="Arial"/>
          <w:sz w:val="22"/>
          <w:szCs w:val="22"/>
        </w:rPr>
        <w:t>8</w:t>
      </w:r>
    </w:p>
    <w:p w14:paraId="6BECB0A6" w14:textId="0A52A4C8" w:rsidR="00242567" w:rsidRPr="00353DA5" w:rsidRDefault="00242567" w:rsidP="00353DA5">
      <w:pPr>
        <w:pStyle w:val="ListParagraph"/>
        <w:numPr>
          <w:ilvl w:val="0"/>
          <w:numId w:val="9"/>
        </w:numPr>
        <w:tabs>
          <w:tab w:val="left" w:leader="dot" w:pos="7938"/>
          <w:tab w:val="left" w:leader="dot" w:pos="8820"/>
        </w:tabs>
        <w:spacing w:line="360" w:lineRule="auto"/>
        <w:rPr>
          <w:rFonts w:ascii="Arial" w:hAnsi="Arial" w:cs="Arial"/>
          <w:sz w:val="22"/>
          <w:szCs w:val="22"/>
        </w:rPr>
      </w:pPr>
      <w:r w:rsidRPr="00353DA5">
        <w:rPr>
          <w:rFonts w:ascii="Arial" w:hAnsi="Arial" w:cs="Arial"/>
          <w:sz w:val="22"/>
          <w:szCs w:val="22"/>
        </w:rPr>
        <w:t>Recommendation</w:t>
      </w:r>
      <w:r w:rsidR="00863B97">
        <w:rPr>
          <w:rFonts w:ascii="Arial" w:hAnsi="Arial" w:cs="Arial"/>
          <w:sz w:val="22"/>
          <w:szCs w:val="22"/>
        </w:rPr>
        <w:t>…………………………………………………………………………</w:t>
      </w:r>
      <w:r w:rsidR="009551A0">
        <w:rPr>
          <w:rFonts w:ascii="Arial" w:hAnsi="Arial" w:cs="Arial"/>
          <w:sz w:val="22"/>
          <w:szCs w:val="22"/>
        </w:rPr>
        <w:t>…</w:t>
      </w:r>
      <w:r w:rsidR="001F0A49">
        <w:rPr>
          <w:rFonts w:ascii="Arial" w:hAnsi="Arial" w:cs="Arial"/>
          <w:sz w:val="22"/>
          <w:szCs w:val="22"/>
        </w:rPr>
        <w:t>8</w:t>
      </w:r>
      <w:r w:rsidRPr="00353DA5">
        <w:rPr>
          <w:rFonts w:ascii="Arial" w:hAnsi="Arial" w:cs="Arial"/>
          <w:sz w:val="22"/>
          <w:szCs w:val="22"/>
        </w:rPr>
        <w:t xml:space="preserve"> </w:t>
      </w:r>
    </w:p>
    <w:p w14:paraId="7241BDB2" w14:textId="798685CF" w:rsidR="00242567" w:rsidRPr="00353DA5" w:rsidRDefault="00242567" w:rsidP="00353DA5">
      <w:pPr>
        <w:pStyle w:val="ListParagraph"/>
        <w:numPr>
          <w:ilvl w:val="0"/>
          <w:numId w:val="9"/>
        </w:numPr>
        <w:tabs>
          <w:tab w:val="left" w:leader="dot" w:pos="7938"/>
          <w:tab w:val="left" w:leader="dot" w:pos="8820"/>
        </w:tabs>
        <w:spacing w:line="360" w:lineRule="auto"/>
        <w:rPr>
          <w:rFonts w:ascii="Arial" w:hAnsi="Arial" w:cs="Arial"/>
          <w:sz w:val="22"/>
          <w:szCs w:val="22"/>
        </w:rPr>
      </w:pPr>
      <w:r w:rsidRPr="00353DA5">
        <w:rPr>
          <w:rFonts w:ascii="Arial" w:hAnsi="Arial" w:cs="Arial"/>
          <w:sz w:val="22"/>
          <w:szCs w:val="22"/>
        </w:rPr>
        <w:t>Reference List</w:t>
      </w:r>
      <w:r w:rsidR="00863B97">
        <w:rPr>
          <w:rFonts w:ascii="Arial" w:hAnsi="Arial" w:cs="Arial"/>
          <w:sz w:val="22"/>
          <w:szCs w:val="22"/>
        </w:rPr>
        <w:t>……………………………………………………………………………</w:t>
      </w:r>
      <w:r w:rsidR="009551A0">
        <w:rPr>
          <w:rFonts w:ascii="Arial" w:hAnsi="Arial" w:cs="Arial"/>
          <w:sz w:val="22"/>
          <w:szCs w:val="22"/>
        </w:rPr>
        <w:t>…</w:t>
      </w:r>
      <w:r w:rsidR="001F0A49">
        <w:rPr>
          <w:rFonts w:ascii="Arial" w:hAnsi="Arial" w:cs="Arial"/>
          <w:sz w:val="22"/>
          <w:szCs w:val="22"/>
        </w:rPr>
        <w:t>.9</w:t>
      </w:r>
      <w:r w:rsidRPr="00353DA5">
        <w:rPr>
          <w:rFonts w:ascii="Arial" w:hAnsi="Arial" w:cs="Arial"/>
          <w:sz w:val="22"/>
          <w:szCs w:val="22"/>
        </w:rPr>
        <w:t xml:space="preserve"> </w:t>
      </w:r>
    </w:p>
    <w:p w14:paraId="4B9371AB" w14:textId="77777777" w:rsidR="00703C16" w:rsidRPr="00CA3A7C" w:rsidRDefault="00242567" w:rsidP="00353DA5">
      <w:pPr>
        <w:spacing w:line="360" w:lineRule="auto"/>
        <w:rPr>
          <w:rFonts w:ascii="Arial" w:hAnsi="Arial" w:cs="Arial"/>
          <w:sz w:val="22"/>
          <w:szCs w:val="22"/>
        </w:rPr>
        <w:sectPr w:rsidR="00703C16" w:rsidRPr="00CA3A7C" w:rsidSect="00931653">
          <w:footerReference w:type="default" r:id="rId10"/>
          <w:pgSz w:w="11906" w:h="16838"/>
          <w:pgMar w:top="1440" w:right="1440" w:bottom="1440" w:left="1440" w:header="708" w:footer="708" w:gutter="0"/>
          <w:pgNumType w:start="1"/>
          <w:cols w:space="708"/>
          <w:docGrid w:linePitch="360"/>
        </w:sectPr>
      </w:pPr>
      <w:r w:rsidRPr="00353DA5">
        <w:rPr>
          <w:rFonts w:ascii="Arial" w:hAnsi="Arial" w:cs="Arial"/>
          <w:sz w:val="22"/>
          <w:szCs w:val="22"/>
        </w:rPr>
        <w:br w:type="page"/>
      </w:r>
    </w:p>
    <w:p w14:paraId="753D0455" w14:textId="77777777" w:rsidR="0068037C" w:rsidRPr="004F243A" w:rsidRDefault="005F6230" w:rsidP="004F243A">
      <w:pPr>
        <w:pStyle w:val="ListParagraph"/>
        <w:numPr>
          <w:ilvl w:val="0"/>
          <w:numId w:val="10"/>
        </w:numPr>
        <w:spacing w:line="360" w:lineRule="auto"/>
        <w:rPr>
          <w:rFonts w:ascii="Arial" w:hAnsi="Arial" w:cs="Arial"/>
          <w:b/>
          <w:bCs/>
          <w:sz w:val="22"/>
          <w:szCs w:val="22"/>
        </w:rPr>
      </w:pPr>
      <w:r w:rsidRPr="004F243A">
        <w:rPr>
          <w:rFonts w:ascii="Arial" w:hAnsi="Arial" w:cs="Arial"/>
          <w:b/>
          <w:bCs/>
          <w:sz w:val="22"/>
          <w:szCs w:val="22"/>
        </w:rPr>
        <w:lastRenderedPageBreak/>
        <w:t>Introduction</w:t>
      </w:r>
    </w:p>
    <w:p w14:paraId="27C9D705" w14:textId="18A3C0FC" w:rsidR="0068037C" w:rsidRPr="00777F39" w:rsidRDefault="00777F39" w:rsidP="00777F39">
      <w:pPr>
        <w:spacing w:line="360" w:lineRule="auto"/>
        <w:rPr>
          <w:rFonts w:ascii="Arial" w:hAnsi="Arial" w:cs="Arial"/>
          <w:sz w:val="22"/>
          <w:szCs w:val="22"/>
        </w:rPr>
      </w:pPr>
      <w:r>
        <w:rPr>
          <w:rFonts w:ascii="Arial" w:hAnsi="Arial" w:cs="Arial"/>
          <w:sz w:val="22"/>
          <w:szCs w:val="22"/>
        </w:rPr>
        <w:tab/>
      </w:r>
      <w:r w:rsidR="0068037C" w:rsidRPr="00777F39">
        <w:rPr>
          <w:rFonts w:ascii="Arial" w:hAnsi="Arial" w:cs="Arial"/>
          <w:sz w:val="22"/>
          <w:szCs w:val="22"/>
        </w:rPr>
        <w:t>Human Resource Management (HRM) can be described as the heart of organisational success as it links people management to business strategic performance. HRM is not just about administration, recruiting, and training in a competitive retail environment. It also aids organisational change, employee motivation, customer service quality, and long-term competitiveness (Armstrong &amp; Taylor, 2023).</w:t>
      </w:r>
    </w:p>
    <w:p w14:paraId="70776978" w14:textId="5D2F3107" w:rsidR="0068037C" w:rsidRPr="00777F39" w:rsidRDefault="00777F39" w:rsidP="00777F39">
      <w:pPr>
        <w:spacing w:line="360" w:lineRule="auto"/>
        <w:rPr>
          <w:rFonts w:ascii="Arial" w:hAnsi="Arial" w:cs="Arial"/>
          <w:sz w:val="22"/>
          <w:szCs w:val="22"/>
        </w:rPr>
      </w:pPr>
      <w:r>
        <w:rPr>
          <w:rFonts w:ascii="Arial" w:hAnsi="Arial" w:cs="Arial"/>
          <w:sz w:val="22"/>
          <w:szCs w:val="22"/>
        </w:rPr>
        <w:tab/>
      </w:r>
      <w:r w:rsidR="0068037C" w:rsidRPr="00777F39">
        <w:rPr>
          <w:rFonts w:ascii="Arial" w:hAnsi="Arial" w:cs="Arial"/>
          <w:sz w:val="22"/>
          <w:szCs w:val="22"/>
        </w:rPr>
        <w:t xml:space="preserve">Marks and Spencer (M&amp;S) </w:t>
      </w:r>
      <w:r w:rsidR="00EB1DEC" w:rsidRPr="00777F39">
        <w:rPr>
          <w:rFonts w:ascii="Arial" w:hAnsi="Arial" w:cs="Arial"/>
          <w:sz w:val="22"/>
          <w:szCs w:val="22"/>
        </w:rPr>
        <w:t>are</w:t>
      </w:r>
      <w:r w:rsidR="0068037C" w:rsidRPr="00777F39">
        <w:rPr>
          <w:rFonts w:ascii="Arial" w:hAnsi="Arial" w:cs="Arial"/>
          <w:sz w:val="22"/>
          <w:szCs w:val="22"/>
        </w:rPr>
        <w:t xml:space="preserve"> a large British retailer with operations across food, clothing, homeware, and digital retail. According to its 2025 annual report, this is a large and complex business with group revenue of about £13.9 billion, of which about £</w:t>
      </w:r>
      <w:r w:rsidR="001B74E0" w:rsidRPr="00777F39">
        <w:rPr>
          <w:rFonts w:ascii="Arial" w:hAnsi="Arial" w:cs="Arial"/>
          <w:sz w:val="22"/>
          <w:szCs w:val="22"/>
        </w:rPr>
        <w:t>9.0 billion is Food and about £</w:t>
      </w:r>
      <w:r w:rsidR="0068037C" w:rsidRPr="00777F39">
        <w:rPr>
          <w:rFonts w:ascii="Arial" w:hAnsi="Arial" w:cs="Arial"/>
          <w:sz w:val="22"/>
          <w:szCs w:val="22"/>
        </w:rPr>
        <w:t>4.2 billion is Fashion, Home and Beauty (Marks and Spencer Group plc, 2025). These statistics demonstrate the importance of managing people: M&amp;S relies on store colleagues, distribution workers, managers, digital teams, and head-office experts to provide customer service and operational performance.</w:t>
      </w:r>
    </w:p>
    <w:p w14:paraId="5A2B6455" w14:textId="7678BD32" w:rsidR="0068037C" w:rsidRPr="00777F39" w:rsidRDefault="00777F39" w:rsidP="00777F39">
      <w:pPr>
        <w:spacing w:line="360" w:lineRule="auto"/>
        <w:rPr>
          <w:rFonts w:ascii="Arial" w:hAnsi="Arial" w:cs="Arial"/>
          <w:sz w:val="22"/>
          <w:szCs w:val="22"/>
        </w:rPr>
      </w:pPr>
      <w:r>
        <w:rPr>
          <w:rFonts w:ascii="Arial" w:hAnsi="Arial" w:cs="Arial"/>
          <w:sz w:val="22"/>
          <w:szCs w:val="22"/>
        </w:rPr>
        <w:tab/>
      </w:r>
      <w:r w:rsidR="0068037C" w:rsidRPr="00777F39">
        <w:rPr>
          <w:rFonts w:ascii="Arial" w:hAnsi="Arial" w:cs="Arial"/>
          <w:sz w:val="22"/>
          <w:szCs w:val="22"/>
        </w:rPr>
        <w:t xml:space="preserve">This report discusses three current HR issues at </w:t>
      </w:r>
      <w:r w:rsidR="006862C1" w:rsidRPr="00777F39">
        <w:rPr>
          <w:rFonts w:ascii="Arial" w:hAnsi="Arial" w:cs="Arial"/>
          <w:sz w:val="22"/>
          <w:szCs w:val="22"/>
        </w:rPr>
        <w:t>Marks &amp; Spencer: technological change, recruiting and retaining, and diversity, equity,</w:t>
      </w:r>
      <w:r w:rsidR="0068037C" w:rsidRPr="00777F39">
        <w:rPr>
          <w:rFonts w:ascii="Arial" w:hAnsi="Arial" w:cs="Arial"/>
          <w:sz w:val="22"/>
          <w:szCs w:val="22"/>
        </w:rPr>
        <w:t xml:space="preserve"> and inclusion (DEI). All the issues are associated with the corresponding theories and models of HRM, such as socio-technical systems thinking, the change management model by Kotter, the Two-Factor Theory of Herzberg, the Hierarchy of Needs by Maslow, the psychological contract, the Ability-Motivation-Opportunity (AMO) model, and Strategic Human Resource Management (SHRM). </w:t>
      </w:r>
    </w:p>
    <w:p w14:paraId="34211E0A" w14:textId="77777777" w:rsidR="0068037C" w:rsidRPr="00777F39" w:rsidRDefault="0068037C" w:rsidP="00777F39">
      <w:pPr>
        <w:spacing w:line="360" w:lineRule="auto"/>
        <w:rPr>
          <w:rFonts w:ascii="Arial" w:hAnsi="Arial" w:cs="Arial"/>
          <w:sz w:val="22"/>
          <w:szCs w:val="22"/>
        </w:rPr>
      </w:pPr>
    </w:p>
    <w:p w14:paraId="500BA0A9" w14:textId="77777777" w:rsidR="0068037C" w:rsidRPr="00777F39" w:rsidRDefault="0068037C" w:rsidP="00777F39">
      <w:pPr>
        <w:spacing w:line="360" w:lineRule="auto"/>
        <w:rPr>
          <w:rFonts w:ascii="Arial" w:hAnsi="Arial" w:cs="Arial"/>
          <w:sz w:val="22"/>
          <w:szCs w:val="22"/>
        </w:rPr>
      </w:pPr>
    </w:p>
    <w:p w14:paraId="70530EEF" w14:textId="77777777" w:rsidR="0068037C" w:rsidRPr="00777F39" w:rsidRDefault="0068037C" w:rsidP="00777F39">
      <w:pPr>
        <w:spacing w:line="360" w:lineRule="auto"/>
        <w:rPr>
          <w:rFonts w:ascii="Arial" w:hAnsi="Arial" w:cs="Arial"/>
          <w:sz w:val="22"/>
          <w:szCs w:val="22"/>
        </w:rPr>
      </w:pPr>
    </w:p>
    <w:p w14:paraId="2BACF3B6" w14:textId="77777777" w:rsidR="0068037C" w:rsidRPr="00777F39" w:rsidRDefault="0068037C" w:rsidP="00777F39">
      <w:pPr>
        <w:spacing w:line="360" w:lineRule="auto"/>
        <w:rPr>
          <w:rFonts w:ascii="Arial" w:hAnsi="Arial" w:cs="Arial"/>
          <w:sz w:val="22"/>
          <w:szCs w:val="22"/>
        </w:rPr>
      </w:pPr>
    </w:p>
    <w:p w14:paraId="3123DE1F" w14:textId="77777777" w:rsidR="0068037C" w:rsidRPr="004F243A" w:rsidRDefault="0068037C" w:rsidP="004F243A">
      <w:pPr>
        <w:spacing w:line="360" w:lineRule="auto"/>
        <w:ind w:left="360" w:firstLine="360"/>
        <w:rPr>
          <w:rFonts w:ascii="Arial" w:hAnsi="Arial" w:cs="Arial"/>
          <w:sz w:val="22"/>
          <w:szCs w:val="22"/>
        </w:rPr>
      </w:pPr>
    </w:p>
    <w:p w14:paraId="39E8188B" w14:textId="77777777" w:rsidR="0068037C" w:rsidRPr="004F243A" w:rsidRDefault="0068037C" w:rsidP="004F243A">
      <w:pPr>
        <w:spacing w:line="360" w:lineRule="auto"/>
        <w:ind w:left="360" w:firstLine="360"/>
        <w:rPr>
          <w:rFonts w:ascii="Arial" w:hAnsi="Arial" w:cs="Arial"/>
          <w:sz w:val="22"/>
          <w:szCs w:val="22"/>
        </w:rPr>
      </w:pPr>
    </w:p>
    <w:p w14:paraId="2CFD7B5C" w14:textId="77777777" w:rsidR="0068037C" w:rsidRDefault="0068037C" w:rsidP="004F243A">
      <w:pPr>
        <w:spacing w:line="360" w:lineRule="auto"/>
        <w:ind w:left="360" w:firstLine="360"/>
        <w:rPr>
          <w:rFonts w:ascii="Arial" w:hAnsi="Arial" w:cs="Arial"/>
          <w:sz w:val="22"/>
          <w:szCs w:val="22"/>
        </w:rPr>
      </w:pPr>
    </w:p>
    <w:p w14:paraId="007F4A93" w14:textId="77777777" w:rsidR="00007389" w:rsidRDefault="00007389" w:rsidP="004F243A">
      <w:pPr>
        <w:spacing w:line="360" w:lineRule="auto"/>
        <w:ind w:left="360" w:firstLine="360"/>
        <w:rPr>
          <w:rFonts w:ascii="Arial" w:hAnsi="Arial" w:cs="Arial"/>
          <w:sz w:val="22"/>
          <w:szCs w:val="22"/>
        </w:rPr>
      </w:pPr>
    </w:p>
    <w:p w14:paraId="3465399B" w14:textId="77777777" w:rsidR="00007389" w:rsidRDefault="00007389" w:rsidP="004F243A">
      <w:pPr>
        <w:spacing w:line="360" w:lineRule="auto"/>
        <w:ind w:left="360" w:firstLine="360"/>
        <w:rPr>
          <w:rFonts w:ascii="Arial" w:hAnsi="Arial" w:cs="Arial"/>
          <w:sz w:val="22"/>
          <w:szCs w:val="22"/>
        </w:rPr>
      </w:pPr>
    </w:p>
    <w:p w14:paraId="1FFF664E" w14:textId="77777777" w:rsidR="000A0FDE" w:rsidRDefault="000A0FDE" w:rsidP="004F243A">
      <w:pPr>
        <w:spacing w:line="360" w:lineRule="auto"/>
        <w:ind w:left="360" w:firstLine="360"/>
        <w:rPr>
          <w:rFonts w:ascii="Arial" w:hAnsi="Arial" w:cs="Arial"/>
          <w:sz w:val="22"/>
          <w:szCs w:val="22"/>
        </w:rPr>
      </w:pPr>
    </w:p>
    <w:p w14:paraId="1FB734F6" w14:textId="77777777" w:rsidR="0068037C" w:rsidRPr="004F243A" w:rsidRDefault="0068037C" w:rsidP="004F243A">
      <w:pPr>
        <w:spacing w:line="360" w:lineRule="auto"/>
        <w:ind w:left="360" w:firstLine="360"/>
        <w:rPr>
          <w:rFonts w:ascii="Arial" w:hAnsi="Arial" w:cs="Arial"/>
          <w:sz w:val="22"/>
          <w:szCs w:val="22"/>
        </w:rPr>
      </w:pPr>
    </w:p>
    <w:p w14:paraId="24DB71B8" w14:textId="77777777" w:rsidR="00CA3A7C" w:rsidRPr="004F243A" w:rsidRDefault="00CA3A7C" w:rsidP="004F243A">
      <w:pPr>
        <w:spacing w:line="360" w:lineRule="auto"/>
        <w:rPr>
          <w:rFonts w:ascii="Arial" w:hAnsi="Arial" w:cs="Arial"/>
          <w:b/>
          <w:bCs/>
          <w:sz w:val="22"/>
          <w:szCs w:val="22"/>
        </w:rPr>
      </w:pPr>
      <w:r w:rsidRPr="004F243A">
        <w:rPr>
          <w:rFonts w:ascii="Arial" w:hAnsi="Arial" w:cs="Arial"/>
          <w:b/>
          <w:bCs/>
          <w:sz w:val="22"/>
          <w:szCs w:val="22"/>
        </w:rPr>
        <w:lastRenderedPageBreak/>
        <w:t>2. Factors Affecting HR at Marks &amp; Spencer</w:t>
      </w:r>
    </w:p>
    <w:p w14:paraId="43C49BB7" w14:textId="77777777" w:rsidR="003F39C0" w:rsidRDefault="0068037C" w:rsidP="004F243A">
      <w:pPr>
        <w:spacing w:line="360" w:lineRule="auto"/>
        <w:rPr>
          <w:rFonts w:ascii="Arial" w:hAnsi="Arial" w:cs="Arial"/>
          <w:color w:val="000000" w:themeColor="text1"/>
          <w:sz w:val="22"/>
          <w:szCs w:val="22"/>
          <w:u w:val="single"/>
        </w:rPr>
      </w:pPr>
      <w:r w:rsidRPr="00D74110">
        <w:rPr>
          <w:rFonts w:ascii="Arial" w:hAnsi="Arial" w:cs="Arial"/>
          <w:b/>
          <w:bCs/>
          <w:color w:val="000000" w:themeColor="text1"/>
          <w:sz w:val="22"/>
          <w:szCs w:val="22"/>
          <w:u w:val="single"/>
        </w:rPr>
        <w:t xml:space="preserve">2.1 Technological </w:t>
      </w:r>
      <w:r w:rsidR="00BF4455" w:rsidRPr="00D74110">
        <w:rPr>
          <w:rFonts w:ascii="Arial" w:hAnsi="Arial" w:cs="Arial"/>
          <w:b/>
          <w:bCs/>
          <w:color w:val="000000" w:themeColor="text1"/>
          <w:sz w:val="22"/>
          <w:szCs w:val="22"/>
          <w:u w:val="single"/>
        </w:rPr>
        <w:t>Advancement HRM</w:t>
      </w:r>
      <w:r w:rsidRPr="00D74110">
        <w:rPr>
          <w:rFonts w:ascii="Arial" w:hAnsi="Arial" w:cs="Arial"/>
          <w:color w:val="000000" w:themeColor="text1"/>
          <w:sz w:val="22"/>
          <w:szCs w:val="22"/>
          <w:u w:val="single"/>
        </w:rPr>
        <w:t xml:space="preserve"> </w:t>
      </w:r>
    </w:p>
    <w:p w14:paraId="078A214D" w14:textId="2155936B" w:rsidR="003F39C0" w:rsidRPr="00777F39" w:rsidRDefault="00777F39" w:rsidP="00777F39">
      <w:pPr>
        <w:spacing w:line="360" w:lineRule="auto"/>
        <w:rPr>
          <w:rFonts w:ascii="Arial" w:hAnsi="Arial" w:cs="Arial"/>
          <w:sz w:val="22"/>
          <w:szCs w:val="22"/>
        </w:rPr>
      </w:pPr>
      <w:r>
        <w:tab/>
      </w:r>
      <w:r w:rsidR="003F39C0" w:rsidRPr="00777F39">
        <w:rPr>
          <w:rFonts w:ascii="Arial" w:hAnsi="Arial" w:cs="Arial"/>
          <w:sz w:val="22"/>
          <w:szCs w:val="22"/>
        </w:rPr>
        <w:t>HRM is directly influenced by technological advancements, which change employee skills, work structures, and performance measurement. At M&amp;S, technologies such as e-recruitment, online learning, self-checkout, digital payments, and stock-management systems require employees to adapt to new ways of working (Armstrong and Taylor, 2023).</w:t>
      </w:r>
    </w:p>
    <w:p w14:paraId="592C3354" w14:textId="1298057B" w:rsidR="003F39C0" w:rsidRPr="00777F39" w:rsidRDefault="007B31ED" w:rsidP="00777F39">
      <w:pPr>
        <w:spacing w:line="360" w:lineRule="auto"/>
        <w:rPr>
          <w:rFonts w:ascii="Arial" w:hAnsi="Arial" w:cs="Arial"/>
          <w:sz w:val="22"/>
          <w:szCs w:val="22"/>
        </w:rPr>
      </w:pPr>
      <w:r w:rsidRPr="00777F39">
        <w:rPr>
          <w:rFonts w:ascii="Arial" w:hAnsi="Arial" w:cs="Arial"/>
          <w:sz w:val="22"/>
          <w:szCs w:val="22"/>
        </w:rPr>
        <w:tab/>
      </w:r>
      <w:r w:rsidR="003F39C0" w:rsidRPr="00777F39">
        <w:rPr>
          <w:rFonts w:ascii="Arial" w:hAnsi="Arial" w:cs="Arial"/>
          <w:sz w:val="22"/>
          <w:szCs w:val="22"/>
        </w:rPr>
        <w:t>Socio-technical systems theory suggests organisations perform best when technology and people are aligned. At M&amp;S, digital transformation should not be seen only as an IT change. Employees must be trained to use tills, stock systems, and online processes. Without sufficient training, staff may feel uncertain, reducing productivity and customer service quality. In addition, continuous digital training is necessary so employees can keep up with ongoing technological changes rather than treating learning as a one-time activity (Armstrong and Taylor, 2023).</w:t>
      </w:r>
    </w:p>
    <w:p w14:paraId="0FBA0BBD" w14:textId="6D16F481" w:rsidR="003F39C0" w:rsidRPr="00777F39" w:rsidRDefault="007B31ED" w:rsidP="00777F39">
      <w:pPr>
        <w:spacing w:line="360" w:lineRule="auto"/>
        <w:rPr>
          <w:rFonts w:ascii="Arial" w:hAnsi="Arial" w:cs="Arial"/>
          <w:sz w:val="22"/>
          <w:szCs w:val="22"/>
        </w:rPr>
      </w:pPr>
      <w:r w:rsidRPr="00777F39">
        <w:rPr>
          <w:rFonts w:ascii="Arial" w:hAnsi="Arial" w:cs="Arial"/>
          <w:sz w:val="22"/>
          <w:szCs w:val="22"/>
        </w:rPr>
        <w:tab/>
      </w:r>
      <w:r w:rsidR="003F39C0" w:rsidRPr="00777F39">
        <w:rPr>
          <w:rFonts w:ascii="Arial" w:hAnsi="Arial" w:cs="Arial"/>
          <w:sz w:val="22"/>
          <w:szCs w:val="22"/>
        </w:rPr>
        <w:t>Kotter’s change model explains that successful change requires communication, support, and employee involvement (Kotter, 2012). Managers should explain new systems, provide training, and support staff through coaching and feedback to ensure effective adoption. This also helps reduce resistance to change and improves employee confidence when using new technologies.</w:t>
      </w:r>
    </w:p>
    <w:p w14:paraId="6F610C8D" w14:textId="77777777" w:rsidR="003F39C0" w:rsidRPr="00044320" w:rsidRDefault="003F39C0" w:rsidP="003F39C0">
      <w:pPr>
        <w:spacing w:line="360" w:lineRule="auto"/>
        <w:rPr>
          <w:rFonts w:ascii="Arial" w:hAnsi="Arial" w:cs="Arial"/>
          <w:b/>
          <w:bCs/>
          <w:sz w:val="22"/>
          <w:szCs w:val="22"/>
        </w:rPr>
      </w:pPr>
      <w:r w:rsidRPr="00044320">
        <w:rPr>
          <w:rFonts w:ascii="Arial" w:hAnsi="Arial" w:cs="Arial"/>
          <w:b/>
          <w:bCs/>
          <w:sz w:val="22"/>
          <w:szCs w:val="22"/>
        </w:rPr>
        <w:t>2.2 Recruitment and Retention</w:t>
      </w:r>
    </w:p>
    <w:p w14:paraId="792B7495" w14:textId="24AEFB3E"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Recruitment and retention are key HR issues in retail, as organisations compete for employees who can deliver high-quality service and adapt to flexible working conditions. At M&amp;S, employees must support both in-store and online operations, which can increase workload and pressure. Retail jobs often experience high turnover due to working hours, pay competition, and limited career progression (CIPD, 2023).</w:t>
      </w:r>
    </w:p>
    <w:p w14:paraId="13245F9C" w14:textId="34D576D0"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Herzberg’s Two-Factor Theory explains that hygiene factors</w:t>
      </w:r>
      <w:r>
        <w:rPr>
          <w:rFonts w:ascii="Arial" w:hAnsi="Arial" w:cs="Arial"/>
          <w:sz w:val="22"/>
          <w:szCs w:val="22"/>
        </w:rPr>
        <w:t>, such as pay, job security, and working conditions, prevent dissatisfaction, while motivators, such as recognition and development,</w:t>
      </w:r>
      <w:r w:rsidR="003F39C0" w:rsidRPr="00044320">
        <w:rPr>
          <w:rFonts w:ascii="Arial" w:hAnsi="Arial" w:cs="Arial"/>
          <w:sz w:val="22"/>
          <w:szCs w:val="22"/>
        </w:rPr>
        <w:t xml:space="preserve"> improve satisfaction (Herzberg, 1959). At M&amp;S, weak hygiene factors may lead to turnover, while strong motivators can improve retention.</w:t>
      </w:r>
    </w:p>
    <w:p w14:paraId="7574914D" w14:textId="3210A685"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 xml:space="preserve">Maslow’s Hierarchy of Needs shows that employees require both basic security and higher-level needs such as belonging, respect, and development (Maslow, 1943). At M&amp;S, teamwork and recognition can improve motivation, while training and development support career growth. Therefore, retention depends not only on pay but also on employee experience. Furthermore, effective onboarding and mentoring programmes can help new </w:t>
      </w:r>
      <w:r w:rsidR="003F39C0" w:rsidRPr="00044320">
        <w:rPr>
          <w:rFonts w:ascii="Arial" w:hAnsi="Arial" w:cs="Arial"/>
          <w:sz w:val="22"/>
          <w:szCs w:val="22"/>
        </w:rPr>
        <w:lastRenderedPageBreak/>
        <w:t>employees adapt quickly, reducing early turnover and improving long-term retention (Armstrong and Taylor, 2023).</w:t>
      </w:r>
    </w:p>
    <w:p w14:paraId="13F72891" w14:textId="77777777" w:rsidR="003F39C0" w:rsidRPr="00044320" w:rsidRDefault="003F39C0" w:rsidP="003F39C0">
      <w:pPr>
        <w:spacing w:line="360" w:lineRule="auto"/>
        <w:rPr>
          <w:rFonts w:ascii="Arial" w:hAnsi="Arial" w:cs="Arial"/>
          <w:b/>
          <w:bCs/>
          <w:sz w:val="22"/>
          <w:szCs w:val="22"/>
        </w:rPr>
      </w:pPr>
      <w:r w:rsidRPr="00044320">
        <w:rPr>
          <w:rFonts w:ascii="Arial" w:hAnsi="Arial" w:cs="Arial"/>
          <w:b/>
          <w:bCs/>
          <w:sz w:val="22"/>
          <w:szCs w:val="22"/>
        </w:rPr>
        <w:t>2.3 Diversity, Equity and Inclusion (DEI)</w:t>
      </w:r>
    </w:p>
    <w:p w14:paraId="0BDC043E" w14:textId="43D10E37"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DEI is an important HR issue at M&amp;S because it employs a diverse workforce and serves varied customers. Diversity refers to differences, equity ensures fairness, and inclusion creates a sense of belonging (CIPD, 2022).</w:t>
      </w:r>
    </w:p>
    <w:p w14:paraId="129B6F88" w14:textId="461B1BE9"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M&amp;S has introduced initiatives such as employee networks, which support inclusion and employee voice. However, inclusion must also be reflected in daily management practices. Recruitment, promotion, and training decisions should be monitored to reduce bias and ensure fairness (Cox, 2019).</w:t>
      </w:r>
    </w:p>
    <w:p w14:paraId="70125FF0" w14:textId="190AA1DF" w:rsidR="003F39C0" w:rsidRPr="00044320" w:rsidRDefault="007B31ED" w:rsidP="003F39C0">
      <w:pPr>
        <w:spacing w:line="360" w:lineRule="auto"/>
        <w:rPr>
          <w:rFonts w:ascii="Arial" w:hAnsi="Arial" w:cs="Arial"/>
          <w:sz w:val="22"/>
          <w:szCs w:val="22"/>
        </w:rPr>
      </w:pPr>
      <w:r>
        <w:rPr>
          <w:rFonts w:ascii="Arial" w:hAnsi="Arial" w:cs="Arial"/>
          <w:sz w:val="22"/>
          <w:szCs w:val="22"/>
        </w:rPr>
        <w:tab/>
      </w:r>
      <w:r w:rsidR="003F39C0" w:rsidRPr="00044320">
        <w:rPr>
          <w:rFonts w:ascii="Arial" w:hAnsi="Arial" w:cs="Arial"/>
          <w:sz w:val="22"/>
          <w:szCs w:val="22"/>
        </w:rPr>
        <w:t>The difference between equality and equity is important. Equality treats all employees the same, while equity recognises that different support may be needed. For example, flexible working or additional training may be required. By applying equitable practices, M&amp;S can improve employee satisfaction and create a more inclusive workplace. Strong DEI practices can also enhance organisational reputation and help attract a wider and more diverse talent pool (CIPD, 2022).</w:t>
      </w:r>
    </w:p>
    <w:p w14:paraId="079FAEFA" w14:textId="77777777" w:rsidR="000B0BEC" w:rsidRPr="007E6AEC" w:rsidRDefault="000B0BEC" w:rsidP="000B0BEC">
      <w:pPr>
        <w:spacing w:line="360" w:lineRule="auto"/>
        <w:rPr>
          <w:rFonts w:ascii="Arial" w:hAnsi="Arial" w:cs="Arial"/>
          <w:b/>
          <w:bCs/>
          <w:sz w:val="22"/>
          <w:szCs w:val="22"/>
        </w:rPr>
      </w:pPr>
      <w:r w:rsidRPr="007E6AEC">
        <w:rPr>
          <w:rFonts w:ascii="Arial" w:hAnsi="Arial" w:cs="Arial"/>
          <w:b/>
          <w:bCs/>
          <w:sz w:val="22"/>
          <w:szCs w:val="22"/>
        </w:rPr>
        <w:t>3. Evaluation of Contemporary HR Practices Used by Marks &amp; Spencer</w:t>
      </w:r>
    </w:p>
    <w:p w14:paraId="14086804" w14:textId="714C51B3" w:rsidR="000B0BEC" w:rsidRPr="007E6AEC" w:rsidRDefault="007E6AEC"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Modern HRM practices at M&amp;S aim to address key issues such as technological change, recruitment and retention, and diversity, equity, and inclusion (DEI). These practices help improve organisational performance and competitiveness. However, their success depends on effective implementation, employee engagement, and alignment with organisational needs.</w:t>
      </w:r>
    </w:p>
    <w:p w14:paraId="218B27F6" w14:textId="77777777" w:rsidR="000B0BEC" w:rsidRPr="007E6AEC" w:rsidRDefault="000B0BEC" w:rsidP="000B0BEC">
      <w:pPr>
        <w:spacing w:line="360" w:lineRule="auto"/>
        <w:rPr>
          <w:rFonts w:ascii="Arial" w:hAnsi="Arial" w:cs="Arial"/>
          <w:b/>
          <w:bCs/>
          <w:sz w:val="22"/>
          <w:szCs w:val="22"/>
        </w:rPr>
      </w:pPr>
      <w:r w:rsidRPr="007E6AEC">
        <w:rPr>
          <w:rFonts w:ascii="Arial" w:hAnsi="Arial" w:cs="Arial"/>
          <w:b/>
          <w:bCs/>
          <w:sz w:val="22"/>
          <w:szCs w:val="22"/>
        </w:rPr>
        <w:t>3.1 Technological Advancement Practices</w:t>
      </w:r>
    </w:p>
    <w:p w14:paraId="7288DF48" w14:textId="77EB8A08" w:rsidR="000B0BEC" w:rsidRPr="007E6AEC" w:rsidRDefault="007E6AEC"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M</w:t>
      </w:r>
      <w:r w:rsidR="00C91073">
        <w:rPr>
          <w:rFonts w:ascii="Arial" w:hAnsi="Arial" w:cs="Arial"/>
          <w:sz w:val="22"/>
          <w:szCs w:val="22"/>
        </w:rPr>
        <w:t xml:space="preserve">arks </w:t>
      </w:r>
      <w:r w:rsidR="000B0BEC" w:rsidRPr="007E6AEC">
        <w:rPr>
          <w:rFonts w:ascii="Arial" w:hAnsi="Arial" w:cs="Arial"/>
          <w:sz w:val="22"/>
          <w:szCs w:val="22"/>
        </w:rPr>
        <w:t>&amp;</w:t>
      </w:r>
      <w:r w:rsidR="00C91073">
        <w:rPr>
          <w:rFonts w:ascii="Arial" w:hAnsi="Arial" w:cs="Arial"/>
          <w:sz w:val="22"/>
          <w:szCs w:val="22"/>
        </w:rPr>
        <w:t xml:space="preserve"> </w:t>
      </w:r>
      <w:r w:rsidR="000B0BEC" w:rsidRPr="007E6AEC">
        <w:rPr>
          <w:rFonts w:ascii="Arial" w:hAnsi="Arial" w:cs="Arial"/>
          <w:sz w:val="22"/>
          <w:szCs w:val="22"/>
        </w:rPr>
        <w:t>S</w:t>
      </w:r>
      <w:r w:rsidR="00C91073">
        <w:rPr>
          <w:rFonts w:ascii="Arial" w:hAnsi="Arial" w:cs="Arial"/>
          <w:sz w:val="22"/>
          <w:szCs w:val="22"/>
        </w:rPr>
        <w:t xml:space="preserve">pencer </w:t>
      </w:r>
      <w:r w:rsidR="000B0BEC" w:rsidRPr="007E6AEC">
        <w:rPr>
          <w:rFonts w:ascii="Arial" w:hAnsi="Arial" w:cs="Arial"/>
          <w:sz w:val="22"/>
          <w:szCs w:val="22"/>
        </w:rPr>
        <w:t>uses HR practices such as online recruitment, digital learning, and HR analytics to improve efficiency. The Ability-Motivation-Opportunity (AMO) model explains that employee performance improves when individuals have the skills, motivation, and opportunity to contribute (Armstrong and Taylor, 2023).</w:t>
      </w:r>
    </w:p>
    <w:p w14:paraId="07EAC1F9" w14:textId="0BD4BF38"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 xml:space="preserve">At M&amp;S, digital training helps employees </w:t>
      </w:r>
      <w:r w:rsidR="00C91073">
        <w:rPr>
          <w:rFonts w:ascii="Arial" w:hAnsi="Arial" w:cs="Arial"/>
          <w:sz w:val="22"/>
          <w:szCs w:val="22"/>
        </w:rPr>
        <w:t>learn</w:t>
      </w:r>
      <w:r w:rsidR="000B0BEC" w:rsidRPr="007E6AEC">
        <w:rPr>
          <w:rFonts w:ascii="Arial" w:hAnsi="Arial" w:cs="Arial"/>
          <w:sz w:val="22"/>
          <w:szCs w:val="22"/>
        </w:rPr>
        <w:t xml:space="preserve"> to use systems such as self-checkout and stock management. Motivation is supported when employees understand how digital skills improve customer service and career development. Opportunity is provided when staff can use systems, share feedback, and engage in problem-solving. Therefore, technological HR practices should be evaluated not only by system use but also by employee engagement and confidence (Dessler, 2020).</w:t>
      </w:r>
    </w:p>
    <w:p w14:paraId="542027D3" w14:textId="7BB880BC" w:rsidR="000B0BEC" w:rsidRPr="007E6AEC" w:rsidRDefault="00000C7F" w:rsidP="000B0BEC">
      <w:pPr>
        <w:spacing w:line="360" w:lineRule="auto"/>
        <w:rPr>
          <w:rFonts w:ascii="Arial" w:hAnsi="Arial" w:cs="Arial"/>
          <w:sz w:val="22"/>
          <w:szCs w:val="22"/>
        </w:rPr>
      </w:pPr>
      <w:r>
        <w:rPr>
          <w:rFonts w:ascii="Arial" w:hAnsi="Arial" w:cs="Arial"/>
          <w:sz w:val="22"/>
          <w:szCs w:val="22"/>
        </w:rPr>
        <w:lastRenderedPageBreak/>
        <w:tab/>
      </w:r>
      <w:r w:rsidR="000B0BEC" w:rsidRPr="007E6AEC">
        <w:rPr>
          <w:rFonts w:ascii="Arial" w:hAnsi="Arial" w:cs="Arial"/>
          <w:sz w:val="22"/>
          <w:szCs w:val="22"/>
        </w:rPr>
        <w:t>HR analytics further supports decision-making by analysing data such as turnover, attendance, and training completion. For example, high turnover in a store may indicate issues with workload, management, or training. This reflects evidence-based HRM, where decisions are guided by data rather than assumptions (Ulrich, 2017).</w:t>
      </w:r>
    </w:p>
    <w:p w14:paraId="70A4B698" w14:textId="702FB1BE"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However, technological practices also have limitations. Increased reliance on digital systems may reduce personal interaction and support. Therefore, M&amp;S should combine digital tools with manager coaching and on-the-job learning, particularly for employees with lower digital confidence (Armstrong and Taylor, 2023).</w:t>
      </w:r>
    </w:p>
    <w:p w14:paraId="79FDE977" w14:textId="77777777" w:rsidR="000B0BEC" w:rsidRPr="007E6AEC" w:rsidRDefault="000B0BEC" w:rsidP="000B0BEC">
      <w:pPr>
        <w:spacing w:line="360" w:lineRule="auto"/>
        <w:rPr>
          <w:rFonts w:ascii="Arial" w:hAnsi="Arial" w:cs="Arial"/>
          <w:b/>
          <w:bCs/>
          <w:sz w:val="22"/>
          <w:szCs w:val="22"/>
        </w:rPr>
      </w:pPr>
      <w:r w:rsidRPr="007E6AEC">
        <w:rPr>
          <w:rFonts w:ascii="Arial" w:hAnsi="Arial" w:cs="Arial"/>
          <w:b/>
          <w:bCs/>
          <w:sz w:val="22"/>
          <w:szCs w:val="22"/>
        </w:rPr>
        <w:t>3.2 Talent Acquisition and Retention Practices</w:t>
      </w:r>
    </w:p>
    <w:p w14:paraId="1CF26B00" w14:textId="70C2B331"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M&amp;S uses employer branding, flexible working, training, and recognition programmes to attract and retain employees. Employer branding is important because applicants compare organisations before applying. M&amp;S promotes a range of career opportunities, helping position itself as a long-term employer rather than a temporary retail job (CIPD, 2023).</w:t>
      </w:r>
    </w:p>
    <w:p w14:paraId="1AFFA0B7" w14:textId="786151AA"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The resource-based view suggests employees can create competitive advantage when their skills and knowledge are valuable and well developed (Boxall and Purcell, 2016). At M&amp;S, experienced staff contribute to customer service quality and operational efficiency. Retaining these employees reduces training costs and supports business stability.</w:t>
      </w:r>
    </w:p>
    <w:p w14:paraId="5BC54B6B" w14:textId="4886D221"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Herzberg’s theory highlights that motivators such as recognition and career development improve job satisfaction (Herzberg, 1959). At M&amp;S, clear promotion pathways and recognition programmes can increase motivation. However, these practices must be applied consistently across stores to maintain trust (Armstrong and Taylor, 2023).</w:t>
      </w:r>
    </w:p>
    <w:p w14:paraId="3AEB37E4" w14:textId="77382110"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Flexible working also supports the psychological contract by recognising employees’ personal needs. However, retail operations require evening and weekend work, making flexibility challenging. M&amp;S should communicate clearly, involve employees in scheduling where possible, and use HR analytics to balance business needs with fairness (Rousseau, 1995).</w:t>
      </w:r>
    </w:p>
    <w:p w14:paraId="6CCBEE82" w14:textId="77777777" w:rsidR="000B0BEC" w:rsidRPr="007E6AEC" w:rsidRDefault="000B0BEC" w:rsidP="000B0BEC">
      <w:pPr>
        <w:spacing w:line="360" w:lineRule="auto"/>
        <w:rPr>
          <w:rFonts w:ascii="Arial" w:hAnsi="Arial" w:cs="Arial"/>
          <w:b/>
          <w:bCs/>
          <w:sz w:val="22"/>
          <w:szCs w:val="22"/>
        </w:rPr>
      </w:pPr>
      <w:r w:rsidRPr="007E6AEC">
        <w:rPr>
          <w:rFonts w:ascii="Arial" w:hAnsi="Arial" w:cs="Arial"/>
          <w:b/>
          <w:bCs/>
          <w:sz w:val="22"/>
          <w:szCs w:val="22"/>
        </w:rPr>
        <w:t>3.3 Diversity, Equity and Inclusion Practices</w:t>
      </w:r>
    </w:p>
    <w:p w14:paraId="6689D268" w14:textId="3F59644A" w:rsidR="000B0BEC" w:rsidRPr="007E6AEC" w:rsidRDefault="00000C7F"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M&amp;S applies DEI practices such as inclusive recruitment, equal opportunity policies, colleague networks, and diversity training. Inclusive leadership theory suggests that employees perform better when they feel respected, valued, and included (Shore et al., 2011).</w:t>
      </w:r>
    </w:p>
    <w:p w14:paraId="5059D03F" w14:textId="77777777" w:rsidR="000B0BEC" w:rsidRPr="007E6AEC" w:rsidRDefault="000B0BEC" w:rsidP="000B0BEC">
      <w:pPr>
        <w:spacing w:line="360" w:lineRule="auto"/>
        <w:rPr>
          <w:rFonts w:ascii="Arial" w:hAnsi="Arial" w:cs="Arial"/>
          <w:sz w:val="22"/>
          <w:szCs w:val="22"/>
        </w:rPr>
      </w:pPr>
      <w:r w:rsidRPr="007E6AEC">
        <w:rPr>
          <w:rFonts w:ascii="Arial" w:hAnsi="Arial" w:cs="Arial"/>
          <w:sz w:val="22"/>
          <w:szCs w:val="22"/>
        </w:rPr>
        <w:lastRenderedPageBreak/>
        <w:t>At M&amp;S, inclusive recruitment involves fair job criteria and equal access to opportunities. Promotion and development should also be monitored to ensure fairness. In daily operations, managers must address discrimination and ensure respectful behaviour (CIPD, 2022).</w:t>
      </w:r>
    </w:p>
    <w:p w14:paraId="2096F361" w14:textId="3CFE473C" w:rsidR="000B0BEC" w:rsidRPr="007E6AEC" w:rsidRDefault="00766830"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Colleague networks support inclusion by allowing employees to share experiences and provide feedback. This helps M&amp;S understand employee needs and improve organisational practices. In addition, a diverse workforce can improve customer understanding, innovation, and service quality (Cox, 2019).</w:t>
      </w:r>
    </w:p>
    <w:p w14:paraId="5A0398B1" w14:textId="01FFA989" w:rsidR="000B0BEC" w:rsidRDefault="00766830" w:rsidP="000B0BEC">
      <w:pPr>
        <w:spacing w:line="360" w:lineRule="auto"/>
        <w:rPr>
          <w:rFonts w:ascii="Arial" w:hAnsi="Arial" w:cs="Arial"/>
          <w:sz w:val="22"/>
          <w:szCs w:val="22"/>
        </w:rPr>
      </w:pPr>
      <w:r>
        <w:rPr>
          <w:rFonts w:ascii="Arial" w:hAnsi="Arial" w:cs="Arial"/>
          <w:sz w:val="22"/>
          <w:szCs w:val="22"/>
        </w:rPr>
        <w:tab/>
      </w:r>
      <w:r w:rsidR="000B0BEC" w:rsidRPr="007E6AEC">
        <w:rPr>
          <w:rFonts w:ascii="Arial" w:hAnsi="Arial" w:cs="Arial"/>
          <w:sz w:val="22"/>
          <w:szCs w:val="22"/>
        </w:rPr>
        <w:t>However, DEI practices may be ineffective if they are only symbolic. Training alone is not enough without real behavioural change. Therefore, M&amp;S should use measurable indicators such as recruitment outcomes, promotion data, and employee feedback to evaluate success. Managers should also be assessed on their people management and inclusive behaviours, not only on operational performance (Noon, 2018).</w:t>
      </w:r>
    </w:p>
    <w:p w14:paraId="6A4274CC" w14:textId="7FD905B5" w:rsidR="00DC741A" w:rsidRPr="00DC741A" w:rsidRDefault="00DC741A" w:rsidP="000B0BEC">
      <w:pPr>
        <w:spacing w:line="360" w:lineRule="auto"/>
        <w:rPr>
          <w:rFonts w:ascii="Arial" w:hAnsi="Arial" w:cs="Arial"/>
          <w:b/>
          <w:bCs/>
          <w:sz w:val="22"/>
          <w:szCs w:val="22"/>
        </w:rPr>
      </w:pPr>
      <w:r w:rsidRPr="00DC741A">
        <w:rPr>
          <w:rFonts w:ascii="Arial" w:hAnsi="Arial" w:cs="Arial"/>
          <w:b/>
          <w:bCs/>
          <w:sz w:val="22"/>
          <w:szCs w:val="22"/>
        </w:rPr>
        <w:t>3.4 Employee Engagement</w:t>
      </w:r>
    </w:p>
    <w:p w14:paraId="4BCF0805" w14:textId="012936CF" w:rsidR="00CC1FC9" w:rsidRPr="0008497E" w:rsidRDefault="00CC1FC9" w:rsidP="00CC1FC9">
      <w:pPr>
        <w:spacing w:line="360" w:lineRule="auto"/>
        <w:rPr>
          <w:rFonts w:ascii="Arial" w:hAnsi="Arial" w:cs="Arial"/>
          <w:sz w:val="22"/>
          <w:szCs w:val="22"/>
        </w:rPr>
      </w:pPr>
      <w:r>
        <w:rPr>
          <w:rFonts w:ascii="Arial" w:hAnsi="Arial" w:cs="Arial"/>
          <w:sz w:val="22"/>
          <w:szCs w:val="22"/>
        </w:rPr>
        <w:tab/>
      </w:r>
      <w:r w:rsidRPr="0008497E">
        <w:rPr>
          <w:rFonts w:ascii="Arial" w:hAnsi="Arial" w:cs="Arial"/>
          <w:sz w:val="22"/>
          <w:szCs w:val="22"/>
        </w:rPr>
        <w:t xml:space="preserve">In addition to the practices discussed, employee engagement is a crucial factor influencing the success of HRM at Marks &amp; Spencer. Employee engagement refers to the level of commitment, motivation, and emotional connection employees have with their organisation (Armstrong </w:t>
      </w:r>
      <w:r w:rsidR="00E00103">
        <w:rPr>
          <w:rFonts w:ascii="Arial" w:hAnsi="Arial" w:cs="Arial"/>
          <w:sz w:val="22"/>
          <w:szCs w:val="22"/>
        </w:rPr>
        <w:t>&amp;</w:t>
      </w:r>
      <w:r w:rsidRPr="0008497E">
        <w:rPr>
          <w:rFonts w:ascii="Arial" w:hAnsi="Arial" w:cs="Arial"/>
          <w:sz w:val="22"/>
          <w:szCs w:val="22"/>
        </w:rPr>
        <w:t xml:space="preserve"> Taylor, 2023). In a retail environment such as M&amp;S, engaged employees are more likely to provide high-quality customer service, contribute to team performance, and support organisational goals.</w:t>
      </w:r>
    </w:p>
    <w:p w14:paraId="6073822E" w14:textId="49E05AD7" w:rsidR="00CC1FC9" w:rsidRPr="0008497E" w:rsidRDefault="00CC1FC9" w:rsidP="00CC1FC9">
      <w:pPr>
        <w:spacing w:line="360" w:lineRule="auto"/>
        <w:rPr>
          <w:rFonts w:ascii="Arial" w:hAnsi="Arial" w:cs="Arial"/>
          <w:sz w:val="22"/>
          <w:szCs w:val="22"/>
        </w:rPr>
      </w:pPr>
      <w:r>
        <w:rPr>
          <w:rFonts w:ascii="Arial" w:hAnsi="Arial" w:cs="Arial"/>
          <w:sz w:val="22"/>
          <w:szCs w:val="22"/>
        </w:rPr>
        <w:tab/>
      </w:r>
      <w:r w:rsidRPr="0008497E">
        <w:rPr>
          <w:rFonts w:ascii="Arial" w:hAnsi="Arial" w:cs="Arial"/>
          <w:sz w:val="22"/>
          <w:szCs w:val="22"/>
        </w:rPr>
        <w:t>Engagement can be strengthened through effective communication, recognition, and involvement in decision-making. For example, when employees are encouraged to share feedback on store operations or digital systems, they feel valued and more committed to their roles. This links to the AMO model, where providing employees with opportunities to contribute can enhance performance (Dessler, 2020).</w:t>
      </w:r>
    </w:p>
    <w:p w14:paraId="4A55FACC" w14:textId="3F09C43F" w:rsidR="00CC1FC9" w:rsidRPr="0008497E" w:rsidRDefault="00CC1FC9" w:rsidP="00CC1FC9">
      <w:pPr>
        <w:spacing w:line="360" w:lineRule="auto"/>
        <w:rPr>
          <w:rFonts w:ascii="Arial" w:hAnsi="Arial" w:cs="Arial"/>
          <w:sz w:val="22"/>
          <w:szCs w:val="22"/>
        </w:rPr>
      </w:pPr>
      <w:r>
        <w:rPr>
          <w:rFonts w:ascii="Arial" w:hAnsi="Arial" w:cs="Arial"/>
          <w:sz w:val="22"/>
          <w:szCs w:val="22"/>
        </w:rPr>
        <w:tab/>
      </w:r>
      <w:r w:rsidRPr="0008497E">
        <w:rPr>
          <w:rFonts w:ascii="Arial" w:hAnsi="Arial" w:cs="Arial"/>
          <w:sz w:val="22"/>
          <w:szCs w:val="22"/>
        </w:rPr>
        <w:t>However, maintaining engagement in retail can be challenging due to high workloads, shift patterns, and performance pressure. If employees feel overworked or unsupported, engagement may decrease, leading to lower productivity and higher turnover. Therefore, M&amp;S managers must actively monitor employee wellbeing and provide regular feedback, support, and recognition.</w:t>
      </w:r>
    </w:p>
    <w:p w14:paraId="7566AB63" w14:textId="4B32E559" w:rsidR="003F39C0" w:rsidRPr="00CB5E94" w:rsidRDefault="00CC1FC9" w:rsidP="004F243A">
      <w:pPr>
        <w:spacing w:line="360" w:lineRule="auto"/>
        <w:rPr>
          <w:rFonts w:ascii="Arial" w:hAnsi="Arial" w:cs="Arial"/>
          <w:sz w:val="22"/>
          <w:szCs w:val="22"/>
        </w:rPr>
      </w:pPr>
      <w:r>
        <w:rPr>
          <w:rFonts w:ascii="Arial" w:hAnsi="Arial" w:cs="Arial"/>
          <w:sz w:val="22"/>
          <w:szCs w:val="22"/>
        </w:rPr>
        <w:tab/>
      </w:r>
      <w:r w:rsidRPr="0008497E">
        <w:rPr>
          <w:rFonts w:ascii="Arial" w:hAnsi="Arial" w:cs="Arial"/>
          <w:sz w:val="22"/>
          <w:szCs w:val="22"/>
        </w:rPr>
        <w:t>Furthermore, engagement is closely linked to organisational culture. A positive and inclusive culture at M&amp;S can improve teamwork, communication, and trust between employees and managers. This supports long-term retention and helps the organisation remain competitive in the retail sector.</w:t>
      </w:r>
    </w:p>
    <w:p w14:paraId="75B95923" w14:textId="54888D3C" w:rsidR="004F243A" w:rsidRDefault="00CA3A7C" w:rsidP="000D489F">
      <w:pPr>
        <w:spacing w:line="360" w:lineRule="auto"/>
        <w:jc w:val="both"/>
        <w:rPr>
          <w:rFonts w:ascii="Arial" w:hAnsi="Arial" w:cs="Arial"/>
          <w:sz w:val="22"/>
          <w:szCs w:val="22"/>
        </w:rPr>
      </w:pPr>
      <w:r w:rsidRPr="004F243A">
        <w:rPr>
          <w:rFonts w:ascii="Arial" w:hAnsi="Arial" w:cs="Arial"/>
          <w:b/>
          <w:bCs/>
          <w:sz w:val="22"/>
          <w:szCs w:val="22"/>
        </w:rPr>
        <w:lastRenderedPageBreak/>
        <w:t xml:space="preserve">4. </w:t>
      </w:r>
      <w:r w:rsidR="00E02FCE">
        <w:rPr>
          <w:rFonts w:ascii="Arial" w:hAnsi="Arial" w:cs="Arial"/>
          <w:b/>
          <w:bCs/>
          <w:sz w:val="22"/>
          <w:szCs w:val="22"/>
        </w:rPr>
        <w:t xml:space="preserve">CRITICAL </w:t>
      </w:r>
    </w:p>
    <w:p w14:paraId="159F2339" w14:textId="2DDF6A66"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Line managers play an important role in implementing HR policy in practice. In Marks &amp; Spencer, HR can develop policies on recruitment, training, digital learning, DEI, and engagement, but store and department managers determine whether employees have a positive experience. This reflects Strategic Human Resource Management, which states that HR practices must align with business strategy and be consistently applied to improve performance (Boxall and Purcell, 2016). In this context, line managers act as the link between HR strategy and daily operations, making their role critical to organisational success.</w:t>
      </w:r>
    </w:p>
    <w:p w14:paraId="1516EED1" w14:textId="6F019E73"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To start with, managers act as change agents during technological change. According to Kotter’s model, managers should explain the need for change, motivate employees, remove barriers, and support new behaviours (Kotter, 2012). At M&amp;S, this includes training staff in self-checkout, online orders, and stock systems. If change is introduced too quickly without support, employees may resist or make mistakes. Therefore, effective change management requires both efficiency and empathy. Managers must also provide continuous guidance and reassurance to ensure employees feel confident using new systems. This reduces resistance and improves adoption of new technologies.</w:t>
      </w:r>
    </w:p>
    <w:p w14:paraId="2BD488BE" w14:textId="2C2881FD"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Second, managers influence motivation and retention. Herzberg’s theory suggests managers must ensure hygiene factors are in place while also providing motivators (Armstrong and Taylor, 2023). Although M&amp;S managers may not control pay, they influence recognition, feedback, development, and team culture. Managers who support and recognise employees can improve commitment, while those focused only on targets may reduce morale. Regular communication and encouragement can further strengthen employee engagement and job satisfaction.</w:t>
      </w:r>
    </w:p>
    <w:p w14:paraId="138E9913" w14:textId="069B4A34"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 xml:space="preserve">Third, the psychological contract is shaped by managers. Employees often judge the organisation based on their direct manager. If managers communicate poorly, ignore concerns, or apply rules unfairly, employees may feel the organisation has failed them, </w:t>
      </w:r>
      <w:r>
        <w:rPr>
          <w:rFonts w:ascii="Arial" w:hAnsi="Arial" w:cs="Arial"/>
          <w:sz w:val="22"/>
          <w:szCs w:val="22"/>
        </w:rPr>
        <w:t>which can increase</w:t>
      </w:r>
      <w:r w:rsidRPr="00E02FCE">
        <w:rPr>
          <w:rFonts w:ascii="Arial" w:hAnsi="Arial" w:cs="Arial"/>
          <w:sz w:val="22"/>
          <w:szCs w:val="22"/>
        </w:rPr>
        <w:t xml:space="preserve"> turnover (Rousseau, 1995). Maintaining trust requires consistency, fairness, and open communication in everyday management practices. This helps build stronger relationships between employees and the organisation.</w:t>
      </w:r>
    </w:p>
    <w:p w14:paraId="60931C48" w14:textId="63FD18F8"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 xml:space="preserve">Fourth, managers are responsible for applying DEI in practice. Inclusive leadership at M&amp;S involves respect, fairness, and equal access to opportunities (Shore et al., 2011). In a fast-paced retail environment, inclusion supports teamwork and service quality. When employees feel </w:t>
      </w:r>
      <w:r>
        <w:rPr>
          <w:rFonts w:ascii="Arial" w:hAnsi="Arial" w:cs="Arial"/>
          <w:sz w:val="22"/>
          <w:szCs w:val="22"/>
        </w:rPr>
        <w:t xml:space="preserve">they are being </w:t>
      </w:r>
      <w:r w:rsidRPr="00E02FCE">
        <w:rPr>
          <w:rFonts w:ascii="Arial" w:hAnsi="Arial" w:cs="Arial"/>
          <w:sz w:val="22"/>
          <w:szCs w:val="22"/>
        </w:rPr>
        <w:t xml:space="preserve">treated unfairly, performance may decline. Managers should </w:t>
      </w:r>
      <w:r w:rsidRPr="00E02FCE">
        <w:rPr>
          <w:rFonts w:ascii="Arial" w:hAnsi="Arial" w:cs="Arial"/>
          <w:sz w:val="22"/>
          <w:szCs w:val="22"/>
        </w:rPr>
        <w:lastRenderedPageBreak/>
        <w:t>actively promote diversity and ensure all employees feel valued and supported. This also strengthens collaboration within teams.</w:t>
      </w:r>
    </w:p>
    <w:p w14:paraId="06B0E0B5" w14:textId="5F3147CD"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 xml:space="preserve">Fifth, managers must balance performance management and wellbeing. KPIs such as sales and productivity improve accountability, but excessive pressure can reduce motivation. The AMO model highlights that employees need ability, motivation, and opportunity to perform effectively (Armstrong </w:t>
      </w:r>
      <w:r>
        <w:rPr>
          <w:rFonts w:ascii="Arial" w:hAnsi="Arial" w:cs="Arial"/>
          <w:sz w:val="22"/>
          <w:szCs w:val="22"/>
        </w:rPr>
        <w:t>&amp;</w:t>
      </w:r>
      <w:r w:rsidRPr="00E02FCE">
        <w:rPr>
          <w:rFonts w:ascii="Arial" w:hAnsi="Arial" w:cs="Arial"/>
          <w:sz w:val="22"/>
          <w:szCs w:val="22"/>
        </w:rPr>
        <w:t xml:space="preserve"> Taylor, 2023). Managers should use performance data for coaching rather than control, helping employees improve without creating stress. This approach supports sustainable performance over time.</w:t>
      </w:r>
    </w:p>
    <w:p w14:paraId="4AA93E78" w14:textId="3D454F0E" w:rsidR="00E02FCE" w:rsidRPr="00E02FCE" w:rsidRDefault="00E02FCE" w:rsidP="00E02FCE">
      <w:pPr>
        <w:spacing w:line="360" w:lineRule="auto"/>
        <w:rPr>
          <w:rFonts w:ascii="Arial" w:hAnsi="Arial" w:cs="Arial"/>
          <w:sz w:val="22"/>
          <w:szCs w:val="22"/>
        </w:rPr>
      </w:pPr>
      <w:r>
        <w:rPr>
          <w:rFonts w:ascii="Arial" w:hAnsi="Arial" w:cs="Arial"/>
          <w:sz w:val="22"/>
          <w:szCs w:val="22"/>
        </w:rPr>
        <w:tab/>
      </w:r>
      <w:r w:rsidRPr="00E02FCE">
        <w:rPr>
          <w:rFonts w:ascii="Arial" w:hAnsi="Arial" w:cs="Arial"/>
          <w:sz w:val="22"/>
          <w:szCs w:val="22"/>
        </w:rPr>
        <w:t>Overall, these theories explain how HR practices operate in M&amp;S. Herzberg shows why pay alone is not enough for retention, while Maslow highlights the importance of belonging and development. Social identity and inclusive leadership explain the role of DEI in daily behaviour. Applying these theories helps M&amp;S improve employee engagement, customer service, and long-term competitiveness.</w:t>
      </w:r>
    </w:p>
    <w:p w14:paraId="59CE5CB5" w14:textId="77777777" w:rsidR="00E02FCE" w:rsidRPr="00E02FCE" w:rsidRDefault="00E02FCE" w:rsidP="00E02FCE">
      <w:pPr>
        <w:spacing w:line="360" w:lineRule="auto"/>
        <w:rPr>
          <w:rFonts w:ascii="Arial" w:hAnsi="Arial" w:cs="Arial"/>
          <w:sz w:val="22"/>
          <w:szCs w:val="22"/>
        </w:rPr>
      </w:pPr>
    </w:p>
    <w:p w14:paraId="3CFBDDEB" w14:textId="77777777" w:rsidR="004F243A" w:rsidRDefault="004F243A" w:rsidP="004F243A">
      <w:pPr>
        <w:spacing w:line="360" w:lineRule="auto"/>
        <w:rPr>
          <w:rFonts w:ascii="Arial" w:hAnsi="Arial" w:cs="Arial"/>
          <w:sz w:val="22"/>
          <w:szCs w:val="22"/>
        </w:rPr>
      </w:pPr>
    </w:p>
    <w:p w14:paraId="34801048" w14:textId="77777777" w:rsidR="00FC2F32" w:rsidRDefault="00FC2F32" w:rsidP="004F243A">
      <w:pPr>
        <w:spacing w:line="360" w:lineRule="auto"/>
        <w:rPr>
          <w:rFonts w:ascii="Arial" w:hAnsi="Arial" w:cs="Arial"/>
          <w:sz w:val="22"/>
          <w:szCs w:val="22"/>
        </w:rPr>
      </w:pPr>
    </w:p>
    <w:p w14:paraId="25753C0F" w14:textId="77777777" w:rsidR="00FC2F32" w:rsidRDefault="00FC2F32" w:rsidP="004F243A">
      <w:pPr>
        <w:spacing w:line="360" w:lineRule="auto"/>
        <w:rPr>
          <w:rFonts w:ascii="Arial" w:hAnsi="Arial" w:cs="Arial"/>
          <w:sz w:val="22"/>
          <w:szCs w:val="22"/>
        </w:rPr>
      </w:pPr>
    </w:p>
    <w:p w14:paraId="6BBE7158" w14:textId="77777777" w:rsidR="009D6D69" w:rsidRDefault="009D6D69" w:rsidP="004F243A">
      <w:pPr>
        <w:spacing w:line="360" w:lineRule="auto"/>
        <w:rPr>
          <w:rFonts w:ascii="Arial" w:hAnsi="Arial" w:cs="Arial"/>
          <w:sz w:val="22"/>
          <w:szCs w:val="22"/>
        </w:rPr>
      </w:pPr>
    </w:p>
    <w:p w14:paraId="52C82AEA" w14:textId="77777777" w:rsidR="009D6D69" w:rsidRDefault="009D6D69" w:rsidP="004F243A">
      <w:pPr>
        <w:spacing w:line="360" w:lineRule="auto"/>
        <w:rPr>
          <w:rFonts w:ascii="Arial" w:hAnsi="Arial" w:cs="Arial"/>
          <w:sz w:val="22"/>
          <w:szCs w:val="22"/>
        </w:rPr>
      </w:pPr>
    </w:p>
    <w:p w14:paraId="32DB8542" w14:textId="77777777" w:rsidR="009D6D69" w:rsidRDefault="009D6D69" w:rsidP="004F243A">
      <w:pPr>
        <w:spacing w:line="360" w:lineRule="auto"/>
        <w:rPr>
          <w:rFonts w:ascii="Arial" w:hAnsi="Arial" w:cs="Arial"/>
          <w:sz w:val="22"/>
          <w:szCs w:val="22"/>
        </w:rPr>
      </w:pPr>
    </w:p>
    <w:p w14:paraId="0A883671" w14:textId="77777777" w:rsidR="009D6D69" w:rsidRDefault="009D6D69" w:rsidP="004F243A">
      <w:pPr>
        <w:spacing w:line="360" w:lineRule="auto"/>
        <w:rPr>
          <w:rFonts w:ascii="Arial" w:hAnsi="Arial" w:cs="Arial"/>
          <w:sz w:val="22"/>
          <w:szCs w:val="22"/>
        </w:rPr>
      </w:pPr>
    </w:p>
    <w:p w14:paraId="796DF076" w14:textId="77777777" w:rsidR="009D6D69" w:rsidRDefault="009D6D69" w:rsidP="004F243A">
      <w:pPr>
        <w:spacing w:line="360" w:lineRule="auto"/>
        <w:rPr>
          <w:rFonts w:ascii="Arial" w:hAnsi="Arial" w:cs="Arial"/>
          <w:sz w:val="22"/>
          <w:szCs w:val="22"/>
        </w:rPr>
      </w:pPr>
    </w:p>
    <w:p w14:paraId="1548E05C" w14:textId="77777777" w:rsidR="009D6D69" w:rsidRDefault="009D6D69" w:rsidP="004F243A">
      <w:pPr>
        <w:spacing w:line="360" w:lineRule="auto"/>
        <w:rPr>
          <w:rFonts w:ascii="Arial" w:hAnsi="Arial" w:cs="Arial"/>
          <w:sz w:val="22"/>
          <w:szCs w:val="22"/>
        </w:rPr>
      </w:pPr>
    </w:p>
    <w:p w14:paraId="078041B4" w14:textId="77777777" w:rsidR="009D6D69" w:rsidRDefault="009D6D69" w:rsidP="004F243A">
      <w:pPr>
        <w:spacing w:line="360" w:lineRule="auto"/>
        <w:rPr>
          <w:rFonts w:ascii="Arial" w:hAnsi="Arial" w:cs="Arial"/>
          <w:sz w:val="22"/>
          <w:szCs w:val="22"/>
        </w:rPr>
      </w:pPr>
    </w:p>
    <w:p w14:paraId="571535D2" w14:textId="77777777" w:rsidR="002E0215" w:rsidRDefault="002E0215" w:rsidP="004F243A">
      <w:pPr>
        <w:spacing w:line="360" w:lineRule="auto"/>
        <w:rPr>
          <w:rFonts w:ascii="Arial" w:hAnsi="Arial" w:cs="Arial"/>
          <w:sz w:val="22"/>
          <w:szCs w:val="22"/>
        </w:rPr>
      </w:pPr>
    </w:p>
    <w:p w14:paraId="6D798AB5" w14:textId="77777777" w:rsidR="009D6D69" w:rsidRDefault="009D6D69" w:rsidP="004F243A">
      <w:pPr>
        <w:spacing w:line="360" w:lineRule="auto"/>
        <w:rPr>
          <w:rFonts w:ascii="Arial" w:hAnsi="Arial" w:cs="Arial"/>
          <w:sz w:val="22"/>
          <w:szCs w:val="22"/>
        </w:rPr>
      </w:pPr>
    </w:p>
    <w:p w14:paraId="115DD4F6" w14:textId="77777777" w:rsidR="009D6D69" w:rsidRPr="00E02FCE" w:rsidRDefault="009D6D69" w:rsidP="004F243A">
      <w:pPr>
        <w:spacing w:line="360" w:lineRule="auto"/>
        <w:rPr>
          <w:rFonts w:ascii="Arial" w:hAnsi="Arial" w:cs="Arial"/>
          <w:sz w:val="22"/>
          <w:szCs w:val="22"/>
        </w:rPr>
      </w:pPr>
    </w:p>
    <w:p w14:paraId="2211E8A4" w14:textId="7961C6D8" w:rsidR="00CA3A7C" w:rsidRDefault="00412F62" w:rsidP="004F243A">
      <w:pPr>
        <w:pStyle w:val="Heading1"/>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5. </w:t>
      </w:r>
      <w:r w:rsidR="00CA3A7C" w:rsidRPr="004F243A">
        <w:rPr>
          <w:rFonts w:ascii="Arial" w:hAnsi="Arial" w:cs="Arial"/>
          <w:b/>
          <w:bCs/>
          <w:color w:val="auto"/>
          <w:sz w:val="22"/>
          <w:szCs w:val="22"/>
        </w:rPr>
        <w:t>Conclusion</w:t>
      </w:r>
    </w:p>
    <w:p w14:paraId="616DB0AA" w14:textId="1B779C3B" w:rsidR="00D26922" w:rsidRPr="00D26922" w:rsidRDefault="00EA4AAA" w:rsidP="00D26922">
      <w:pPr>
        <w:spacing w:line="360" w:lineRule="auto"/>
        <w:rPr>
          <w:rFonts w:ascii="Arial" w:hAnsi="Arial" w:cs="Arial"/>
          <w:sz w:val="22"/>
          <w:szCs w:val="22"/>
        </w:rPr>
      </w:pPr>
      <w:r>
        <w:rPr>
          <w:rFonts w:ascii="Arial" w:hAnsi="Arial" w:cs="Arial"/>
          <w:sz w:val="22"/>
          <w:szCs w:val="22"/>
        </w:rPr>
        <w:tab/>
      </w:r>
      <w:r w:rsidR="00D26922" w:rsidRPr="00D26922">
        <w:rPr>
          <w:rFonts w:ascii="Arial" w:hAnsi="Arial" w:cs="Arial"/>
          <w:sz w:val="22"/>
          <w:szCs w:val="22"/>
        </w:rPr>
        <w:t>This report shows that HR issues at Marks &amp; Spencer can be understood by applying theory to practice. Technological change requires employees to develop new skills, supported by training and communication. Recruitment and retention depend on fair treatment, recognition, and career development.</w:t>
      </w:r>
    </w:p>
    <w:p w14:paraId="481F57E7" w14:textId="77777777" w:rsidR="00D26922" w:rsidRPr="00D26922" w:rsidRDefault="00D26922" w:rsidP="00D26922">
      <w:pPr>
        <w:spacing w:line="360" w:lineRule="auto"/>
        <w:rPr>
          <w:rFonts w:ascii="Arial" w:hAnsi="Arial" w:cs="Arial"/>
          <w:sz w:val="22"/>
          <w:szCs w:val="22"/>
        </w:rPr>
      </w:pPr>
      <w:r w:rsidRPr="00D26922">
        <w:rPr>
          <w:rFonts w:ascii="Arial" w:hAnsi="Arial" w:cs="Arial"/>
          <w:sz w:val="22"/>
          <w:szCs w:val="22"/>
        </w:rPr>
        <w:t>DEI is also important, as employees perform better when they feel respected and included. Overall, effective HR management requires strong line managers who can balance business needs and employee wellbeing, leading to improved performance and competitiveness.</w:t>
      </w:r>
    </w:p>
    <w:p w14:paraId="757C1334" w14:textId="77777777" w:rsidR="00D26922" w:rsidRPr="00EA4AAA" w:rsidRDefault="00D26922" w:rsidP="00D26922">
      <w:pPr>
        <w:spacing w:line="360" w:lineRule="auto"/>
        <w:rPr>
          <w:rFonts w:ascii="Arial" w:hAnsi="Arial" w:cs="Arial"/>
          <w:b/>
          <w:bCs/>
          <w:sz w:val="22"/>
          <w:szCs w:val="22"/>
        </w:rPr>
      </w:pPr>
      <w:r w:rsidRPr="00EA4AAA">
        <w:rPr>
          <w:rFonts w:ascii="Arial" w:hAnsi="Arial" w:cs="Arial"/>
          <w:b/>
          <w:bCs/>
          <w:sz w:val="22"/>
          <w:szCs w:val="22"/>
        </w:rPr>
        <w:t>6. Recommendations</w:t>
      </w:r>
    </w:p>
    <w:p w14:paraId="33F9AD60" w14:textId="1B66A8F5" w:rsidR="00D26922" w:rsidRPr="00D26922" w:rsidRDefault="001F0A49" w:rsidP="00D26922">
      <w:pPr>
        <w:spacing w:line="360" w:lineRule="auto"/>
        <w:rPr>
          <w:rFonts w:ascii="Arial" w:hAnsi="Arial" w:cs="Arial"/>
          <w:sz w:val="22"/>
          <w:szCs w:val="22"/>
        </w:rPr>
      </w:pPr>
      <w:r>
        <w:rPr>
          <w:rFonts w:ascii="Arial" w:hAnsi="Arial" w:cs="Arial"/>
          <w:sz w:val="22"/>
          <w:szCs w:val="22"/>
        </w:rPr>
        <w:tab/>
      </w:r>
      <w:r w:rsidR="00D26922" w:rsidRPr="00D26922">
        <w:rPr>
          <w:rFonts w:ascii="Arial" w:hAnsi="Arial" w:cs="Arial"/>
          <w:sz w:val="22"/>
          <w:szCs w:val="22"/>
        </w:rPr>
        <w:t>To improve organisational performance and employee satisfaction, Marks &amp; Spencer should focus on practical HR strategies:</w:t>
      </w:r>
    </w:p>
    <w:p w14:paraId="0C7CFC8B" w14:textId="77777777" w:rsidR="00D26922" w:rsidRPr="00D26922" w:rsidRDefault="00D26922" w:rsidP="00D26922">
      <w:pPr>
        <w:numPr>
          <w:ilvl w:val="0"/>
          <w:numId w:val="14"/>
        </w:numPr>
        <w:spacing w:line="360" w:lineRule="auto"/>
        <w:rPr>
          <w:rFonts w:ascii="Arial" w:hAnsi="Arial" w:cs="Arial"/>
          <w:sz w:val="22"/>
          <w:szCs w:val="22"/>
        </w:rPr>
      </w:pPr>
      <w:r w:rsidRPr="00D26922">
        <w:rPr>
          <w:rFonts w:ascii="Arial" w:hAnsi="Arial" w:cs="Arial"/>
          <w:sz w:val="22"/>
          <w:szCs w:val="22"/>
        </w:rPr>
        <w:t xml:space="preserve">Provide continuous digital training – Improve staff confidence and customer service. </w:t>
      </w:r>
    </w:p>
    <w:p w14:paraId="31F10A9B" w14:textId="77777777" w:rsidR="00D26922" w:rsidRPr="00D26922" w:rsidRDefault="00D26922" w:rsidP="00D26922">
      <w:pPr>
        <w:numPr>
          <w:ilvl w:val="0"/>
          <w:numId w:val="14"/>
        </w:numPr>
        <w:spacing w:line="360" w:lineRule="auto"/>
        <w:rPr>
          <w:rFonts w:ascii="Arial" w:hAnsi="Arial" w:cs="Arial"/>
          <w:sz w:val="22"/>
          <w:szCs w:val="22"/>
        </w:rPr>
      </w:pPr>
      <w:r w:rsidRPr="00D26922">
        <w:rPr>
          <w:rFonts w:ascii="Arial" w:hAnsi="Arial" w:cs="Arial"/>
          <w:sz w:val="22"/>
          <w:szCs w:val="22"/>
        </w:rPr>
        <w:t xml:space="preserve">Improve career development – Offer recognition and clear promotion pathways. </w:t>
      </w:r>
    </w:p>
    <w:p w14:paraId="0730B94C" w14:textId="77777777" w:rsidR="00D26922" w:rsidRPr="00D26922" w:rsidRDefault="00D26922" w:rsidP="00D26922">
      <w:pPr>
        <w:numPr>
          <w:ilvl w:val="0"/>
          <w:numId w:val="14"/>
        </w:numPr>
        <w:spacing w:line="360" w:lineRule="auto"/>
        <w:rPr>
          <w:rFonts w:ascii="Arial" w:hAnsi="Arial" w:cs="Arial"/>
          <w:sz w:val="22"/>
          <w:szCs w:val="22"/>
        </w:rPr>
      </w:pPr>
      <w:r w:rsidRPr="00D26922">
        <w:rPr>
          <w:rFonts w:ascii="Arial" w:hAnsi="Arial" w:cs="Arial"/>
          <w:sz w:val="22"/>
          <w:szCs w:val="22"/>
        </w:rPr>
        <w:t xml:space="preserve">Maintain psychological contract – Ensure clear and fair communication. </w:t>
      </w:r>
    </w:p>
    <w:p w14:paraId="73415C0B" w14:textId="77777777" w:rsidR="00D26922" w:rsidRPr="00D26922" w:rsidRDefault="00D26922" w:rsidP="00D26922">
      <w:pPr>
        <w:numPr>
          <w:ilvl w:val="0"/>
          <w:numId w:val="14"/>
        </w:numPr>
        <w:spacing w:line="360" w:lineRule="auto"/>
        <w:rPr>
          <w:rFonts w:ascii="Arial" w:hAnsi="Arial" w:cs="Arial"/>
          <w:sz w:val="22"/>
          <w:szCs w:val="22"/>
        </w:rPr>
      </w:pPr>
      <w:r w:rsidRPr="00D26922">
        <w:rPr>
          <w:rFonts w:ascii="Arial" w:hAnsi="Arial" w:cs="Arial"/>
          <w:sz w:val="22"/>
          <w:szCs w:val="22"/>
        </w:rPr>
        <w:t xml:space="preserve">Use HR analytics – Support better workforce planning and decisions. </w:t>
      </w:r>
    </w:p>
    <w:p w14:paraId="2D74FE1E" w14:textId="77777777" w:rsidR="00D26922" w:rsidRPr="00D26922" w:rsidRDefault="00D26922" w:rsidP="00D26922">
      <w:pPr>
        <w:numPr>
          <w:ilvl w:val="0"/>
          <w:numId w:val="14"/>
        </w:numPr>
        <w:spacing w:line="360" w:lineRule="auto"/>
        <w:rPr>
          <w:rFonts w:ascii="Arial" w:hAnsi="Arial" w:cs="Arial"/>
          <w:sz w:val="22"/>
          <w:szCs w:val="22"/>
        </w:rPr>
      </w:pPr>
      <w:r w:rsidRPr="00D26922">
        <w:rPr>
          <w:rFonts w:ascii="Arial" w:hAnsi="Arial" w:cs="Arial"/>
          <w:sz w:val="22"/>
          <w:szCs w:val="22"/>
        </w:rPr>
        <w:t xml:space="preserve">Embed DEI in practice – Ensure fairness and inclusion in all HR activities. </w:t>
      </w:r>
    </w:p>
    <w:p w14:paraId="4E7BA20F" w14:textId="77777777" w:rsidR="00D26922" w:rsidRPr="00D26922" w:rsidRDefault="00D26922" w:rsidP="00D26922">
      <w:pPr>
        <w:spacing w:line="360" w:lineRule="auto"/>
        <w:rPr>
          <w:rFonts w:ascii="Arial" w:hAnsi="Arial" w:cs="Arial"/>
          <w:sz w:val="22"/>
          <w:szCs w:val="22"/>
        </w:rPr>
      </w:pPr>
    </w:p>
    <w:p w14:paraId="22119527" w14:textId="77777777" w:rsidR="00D26922" w:rsidRPr="00D26922" w:rsidRDefault="00D26922" w:rsidP="00D26922">
      <w:pPr>
        <w:spacing w:line="360" w:lineRule="auto"/>
        <w:rPr>
          <w:rFonts w:ascii="Arial" w:hAnsi="Arial" w:cs="Arial"/>
          <w:sz w:val="22"/>
          <w:szCs w:val="22"/>
        </w:rPr>
      </w:pPr>
    </w:p>
    <w:p w14:paraId="1B217BC6" w14:textId="77777777" w:rsidR="00D26922" w:rsidRPr="00D26922" w:rsidRDefault="00D26922" w:rsidP="00D26922">
      <w:pPr>
        <w:spacing w:line="360" w:lineRule="auto"/>
        <w:rPr>
          <w:rFonts w:ascii="Arial" w:hAnsi="Arial" w:cs="Arial"/>
          <w:sz w:val="22"/>
          <w:szCs w:val="22"/>
        </w:rPr>
      </w:pPr>
    </w:p>
    <w:p w14:paraId="10FDB790" w14:textId="77777777" w:rsidR="00D26922" w:rsidRPr="00D26922" w:rsidRDefault="00D26922" w:rsidP="00D26922">
      <w:pPr>
        <w:spacing w:line="360" w:lineRule="auto"/>
        <w:rPr>
          <w:rFonts w:ascii="Arial" w:hAnsi="Arial" w:cs="Arial"/>
          <w:sz w:val="22"/>
          <w:szCs w:val="22"/>
        </w:rPr>
      </w:pPr>
    </w:p>
    <w:p w14:paraId="406F6EEA" w14:textId="77777777" w:rsidR="00D26922" w:rsidRPr="00D26922" w:rsidRDefault="00D26922" w:rsidP="00D26922">
      <w:pPr>
        <w:spacing w:line="360" w:lineRule="auto"/>
        <w:rPr>
          <w:rFonts w:ascii="Arial" w:hAnsi="Arial" w:cs="Arial"/>
          <w:sz w:val="22"/>
          <w:szCs w:val="22"/>
        </w:rPr>
      </w:pPr>
    </w:p>
    <w:p w14:paraId="03E84ED2" w14:textId="77777777" w:rsidR="00D26922" w:rsidRPr="00D26922" w:rsidRDefault="00D26922" w:rsidP="00D26922">
      <w:pPr>
        <w:spacing w:line="360" w:lineRule="auto"/>
        <w:rPr>
          <w:rFonts w:ascii="Arial" w:hAnsi="Arial" w:cs="Arial"/>
          <w:sz w:val="22"/>
          <w:szCs w:val="22"/>
        </w:rPr>
      </w:pPr>
    </w:p>
    <w:p w14:paraId="4EA141B8" w14:textId="77777777" w:rsidR="00D26922" w:rsidRPr="00D26922" w:rsidRDefault="00D26922" w:rsidP="00D26922">
      <w:pPr>
        <w:spacing w:line="360" w:lineRule="auto"/>
        <w:rPr>
          <w:rFonts w:ascii="Arial" w:hAnsi="Arial" w:cs="Arial"/>
          <w:sz w:val="22"/>
          <w:szCs w:val="22"/>
        </w:rPr>
      </w:pPr>
    </w:p>
    <w:p w14:paraId="40D66E7E" w14:textId="77777777" w:rsidR="00D26922" w:rsidRPr="00D26922" w:rsidRDefault="00D26922" w:rsidP="00D26922">
      <w:pPr>
        <w:spacing w:line="360" w:lineRule="auto"/>
        <w:rPr>
          <w:rFonts w:ascii="Arial" w:hAnsi="Arial" w:cs="Arial"/>
          <w:sz w:val="22"/>
          <w:szCs w:val="22"/>
        </w:rPr>
      </w:pPr>
    </w:p>
    <w:p w14:paraId="73A99518" w14:textId="77777777" w:rsidR="00D26922" w:rsidRDefault="00D26922" w:rsidP="00D26922"/>
    <w:p w14:paraId="13A0F37C" w14:textId="77777777" w:rsidR="00D26922" w:rsidRDefault="00D26922" w:rsidP="00D26922"/>
    <w:p w14:paraId="2E58EAB6" w14:textId="77777777" w:rsidR="00D26922" w:rsidRDefault="00D26922" w:rsidP="00D26922"/>
    <w:p w14:paraId="69131056" w14:textId="77777777" w:rsidR="001F0A49" w:rsidRPr="00D26922" w:rsidRDefault="001F0A49" w:rsidP="00D26922"/>
    <w:p w14:paraId="01295152" w14:textId="7F2A5224" w:rsidR="00242567" w:rsidRPr="003B3631" w:rsidRDefault="00937647" w:rsidP="00D26922">
      <w:pPr>
        <w:spacing w:line="360" w:lineRule="auto"/>
        <w:rPr>
          <w:rFonts w:ascii="Arial" w:hAnsi="Arial" w:cs="Arial"/>
          <w:b/>
          <w:bCs/>
          <w:sz w:val="22"/>
          <w:szCs w:val="22"/>
        </w:rPr>
      </w:pPr>
      <w:r w:rsidRPr="004F243A">
        <w:rPr>
          <w:rFonts w:ascii="Arial" w:hAnsi="Arial" w:cs="Arial"/>
          <w:sz w:val="22"/>
          <w:szCs w:val="22"/>
        </w:rPr>
        <w:lastRenderedPageBreak/>
        <w:tab/>
      </w:r>
      <w:r w:rsidR="00242567" w:rsidRPr="003B3631">
        <w:rPr>
          <w:rFonts w:ascii="Arial" w:hAnsi="Arial" w:cs="Arial"/>
          <w:b/>
          <w:bCs/>
          <w:sz w:val="22"/>
          <w:szCs w:val="22"/>
        </w:rPr>
        <w:t>Reference List</w:t>
      </w:r>
    </w:p>
    <w:p w14:paraId="2921628D" w14:textId="7C4365E7" w:rsidR="00242567" w:rsidRPr="003B3631" w:rsidRDefault="00C355A6" w:rsidP="003B3631">
      <w:pPr>
        <w:spacing w:line="360" w:lineRule="auto"/>
        <w:ind w:left="360"/>
        <w:jc w:val="both"/>
        <w:rPr>
          <w:rFonts w:ascii="Arial" w:hAnsi="Arial" w:cs="Arial"/>
          <w:i/>
          <w:iCs/>
          <w:sz w:val="22"/>
          <w:szCs w:val="22"/>
        </w:rPr>
      </w:pPr>
      <w:r w:rsidRPr="003B3631">
        <w:rPr>
          <w:rFonts w:ascii="Arial" w:hAnsi="Arial" w:cs="Arial"/>
          <w:sz w:val="22"/>
          <w:szCs w:val="22"/>
        </w:rPr>
        <w:t xml:space="preserve">Armstrong, M. </w:t>
      </w:r>
      <w:r w:rsidR="001B74E0">
        <w:rPr>
          <w:rFonts w:ascii="Arial" w:hAnsi="Arial" w:cs="Arial"/>
          <w:sz w:val="22"/>
          <w:szCs w:val="22"/>
        </w:rPr>
        <w:t>&amp;</w:t>
      </w:r>
      <w:r w:rsidRPr="003B3631">
        <w:rPr>
          <w:rFonts w:ascii="Arial" w:hAnsi="Arial" w:cs="Arial"/>
          <w:sz w:val="22"/>
          <w:szCs w:val="22"/>
        </w:rPr>
        <w:t xml:space="preserve"> Taylor</w:t>
      </w:r>
      <w:r w:rsidRPr="003B3631">
        <w:rPr>
          <w:rFonts w:ascii="Arial" w:hAnsi="Arial" w:cs="Arial"/>
          <w:i/>
          <w:iCs/>
          <w:sz w:val="22"/>
          <w:szCs w:val="22"/>
        </w:rPr>
        <w:t>, S. (2023)</w:t>
      </w:r>
      <w:r w:rsidR="001B74E0">
        <w:rPr>
          <w:rFonts w:ascii="Arial" w:hAnsi="Arial" w:cs="Arial"/>
          <w:i/>
          <w:iCs/>
          <w:sz w:val="22"/>
          <w:szCs w:val="22"/>
        </w:rPr>
        <w:t>.</w:t>
      </w:r>
      <w:r w:rsidRPr="003B3631">
        <w:rPr>
          <w:rFonts w:ascii="Arial" w:hAnsi="Arial" w:cs="Arial"/>
          <w:i/>
          <w:iCs/>
          <w:sz w:val="22"/>
          <w:szCs w:val="22"/>
        </w:rPr>
        <w:t xml:space="preserve"> Armstrong’s Handbook of Human Resource Management Practice. </w:t>
      </w:r>
      <w:r w:rsidRPr="003B3631">
        <w:rPr>
          <w:rFonts w:ascii="Arial" w:hAnsi="Arial" w:cs="Arial"/>
          <w:sz w:val="22"/>
          <w:szCs w:val="22"/>
        </w:rPr>
        <w:t xml:space="preserve">16th </w:t>
      </w:r>
      <w:proofErr w:type="spellStart"/>
      <w:r w:rsidRPr="003B3631">
        <w:rPr>
          <w:rFonts w:ascii="Arial" w:hAnsi="Arial" w:cs="Arial"/>
          <w:sz w:val="22"/>
          <w:szCs w:val="22"/>
        </w:rPr>
        <w:t>edn</w:t>
      </w:r>
      <w:proofErr w:type="spellEnd"/>
      <w:r w:rsidRPr="003B3631">
        <w:rPr>
          <w:rFonts w:ascii="Arial" w:hAnsi="Arial" w:cs="Arial"/>
          <w:sz w:val="22"/>
          <w:szCs w:val="22"/>
        </w:rPr>
        <w:t>. London: Kogan Page.</w:t>
      </w:r>
    </w:p>
    <w:p w14:paraId="00CE71B3" w14:textId="3A8E7177"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Binns, R. (2018)</w:t>
      </w:r>
      <w:r w:rsidR="001B74E0">
        <w:rPr>
          <w:rFonts w:ascii="Arial" w:hAnsi="Arial" w:cs="Arial"/>
          <w:sz w:val="22"/>
          <w:szCs w:val="22"/>
        </w:rPr>
        <w:t>.</w:t>
      </w:r>
      <w:r w:rsidRPr="003B3631">
        <w:rPr>
          <w:rFonts w:ascii="Arial" w:hAnsi="Arial" w:cs="Arial"/>
          <w:sz w:val="22"/>
          <w:szCs w:val="22"/>
        </w:rPr>
        <w:t xml:space="preserve"> ‘Fairness in machine learning: Lessons from political philosophy’, </w:t>
      </w:r>
      <w:r w:rsidRPr="003B3631">
        <w:rPr>
          <w:rFonts w:ascii="Arial" w:hAnsi="Arial" w:cs="Arial"/>
          <w:i/>
          <w:iCs/>
          <w:sz w:val="22"/>
          <w:szCs w:val="22"/>
        </w:rPr>
        <w:t>Proceedings of Machine Learning Research</w:t>
      </w:r>
      <w:r w:rsidRPr="003B3631">
        <w:rPr>
          <w:rFonts w:ascii="Arial" w:hAnsi="Arial" w:cs="Arial"/>
          <w:sz w:val="22"/>
          <w:szCs w:val="22"/>
        </w:rPr>
        <w:t>, 81, pp. 1–11.</w:t>
      </w:r>
    </w:p>
    <w:p w14:paraId="0AECA108" w14:textId="2D7007CF"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 xml:space="preserve">Boxall, P. </w:t>
      </w:r>
      <w:r w:rsidR="001B74E0">
        <w:rPr>
          <w:rFonts w:ascii="Arial" w:hAnsi="Arial" w:cs="Arial"/>
          <w:sz w:val="22"/>
          <w:szCs w:val="22"/>
        </w:rPr>
        <w:t>&amp;</w:t>
      </w:r>
      <w:r w:rsidRPr="003B3631">
        <w:rPr>
          <w:rFonts w:ascii="Arial" w:hAnsi="Arial" w:cs="Arial"/>
          <w:sz w:val="22"/>
          <w:szCs w:val="22"/>
        </w:rPr>
        <w:t xml:space="preserve"> Purcell, J. (2016)</w:t>
      </w:r>
      <w:r w:rsidR="001B74E0">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Strategy and Human Resource Management</w:t>
      </w:r>
      <w:r w:rsidRPr="003B3631">
        <w:rPr>
          <w:rFonts w:ascii="Arial" w:hAnsi="Arial" w:cs="Arial"/>
          <w:sz w:val="22"/>
          <w:szCs w:val="22"/>
        </w:rPr>
        <w:t xml:space="preserve">. 4th </w:t>
      </w:r>
      <w:proofErr w:type="spellStart"/>
      <w:r w:rsidRPr="003B3631">
        <w:rPr>
          <w:rFonts w:ascii="Arial" w:hAnsi="Arial" w:cs="Arial"/>
          <w:sz w:val="22"/>
          <w:szCs w:val="22"/>
        </w:rPr>
        <w:t>edn</w:t>
      </w:r>
      <w:proofErr w:type="spellEnd"/>
      <w:r w:rsidRPr="003B3631">
        <w:rPr>
          <w:rFonts w:ascii="Arial" w:hAnsi="Arial" w:cs="Arial"/>
          <w:sz w:val="22"/>
          <w:szCs w:val="22"/>
        </w:rPr>
        <w:t>. London: Palgrave Macmillan.</w:t>
      </w:r>
    </w:p>
    <w:p w14:paraId="32EA6632" w14:textId="77777777"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 xml:space="preserve">Chartered Institute of Personnel and Development (CIPD) (2022) </w:t>
      </w:r>
      <w:r w:rsidRPr="003B3631">
        <w:rPr>
          <w:rFonts w:ascii="Arial" w:hAnsi="Arial" w:cs="Arial"/>
          <w:i/>
          <w:iCs/>
          <w:sz w:val="22"/>
          <w:szCs w:val="22"/>
        </w:rPr>
        <w:t>Diversity and inclusion at work</w:t>
      </w:r>
      <w:r w:rsidRPr="003B3631">
        <w:rPr>
          <w:rFonts w:ascii="Arial" w:hAnsi="Arial" w:cs="Arial"/>
          <w:sz w:val="22"/>
          <w:szCs w:val="22"/>
        </w:rPr>
        <w:t xml:space="preserve">. Available at: </w:t>
      </w:r>
      <w:hyperlink r:id="rId11" w:tgtFrame="_new" w:history="1">
        <w:r w:rsidRPr="003B3631">
          <w:rPr>
            <w:rStyle w:val="Hyperlink"/>
            <w:rFonts w:ascii="Arial" w:hAnsi="Arial" w:cs="Arial"/>
            <w:sz w:val="22"/>
            <w:szCs w:val="22"/>
          </w:rPr>
          <w:t>https://www.cipd.co.uk</w:t>
        </w:r>
      </w:hyperlink>
    </w:p>
    <w:p w14:paraId="655F4EEC" w14:textId="77777777"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 xml:space="preserve">Chartered Institute of Personnel and Development (CIPD) (2023) </w:t>
      </w:r>
      <w:r w:rsidRPr="003B3631">
        <w:rPr>
          <w:rFonts w:ascii="Arial" w:hAnsi="Arial" w:cs="Arial"/>
          <w:i/>
          <w:iCs/>
          <w:sz w:val="22"/>
          <w:szCs w:val="22"/>
        </w:rPr>
        <w:t>Labour Market Outlook</w:t>
      </w:r>
      <w:r w:rsidRPr="003B3631">
        <w:rPr>
          <w:rFonts w:ascii="Arial" w:hAnsi="Arial" w:cs="Arial"/>
          <w:sz w:val="22"/>
          <w:szCs w:val="22"/>
        </w:rPr>
        <w:t xml:space="preserve">. Available at: </w:t>
      </w:r>
      <w:hyperlink r:id="rId12" w:tgtFrame="_new" w:history="1">
        <w:r w:rsidRPr="003B3631">
          <w:rPr>
            <w:rStyle w:val="Hyperlink"/>
            <w:rFonts w:ascii="Arial" w:hAnsi="Arial" w:cs="Arial"/>
            <w:sz w:val="22"/>
            <w:szCs w:val="22"/>
          </w:rPr>
          <w:t>https://www.cipd.co.uk</w:t>
        </w:r>
      </w:hyperlink>
    </w:p>
    <w:p w14:paraId="1463ADDF" w14:textId="4C8EF515"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Cox, T. (2019)</w:t>
      </w:r>
      <w:r w:rsidR="00251B95" w:rsidRPr="003B3631">
        <w:rPr>
          <w:rFonts w:ascii="Arial" w:hAnsi="Arial" w:cs="Arial"/>
          <w:sz w:val="22"/>
          <w:szCs w:val="22"/>
        </w:rPr>
        <w:t>. Cultural Diversity in Organisations</w:t>
      </w:r>
      <w:r w:rsidRPr="003B3631">
        <w:rPr>
          <w:rFonts w:ascii="Arial" w:hAnsi="Arial" w:cs="Arial"/>
          <w:i/>
          <w:iCs/>
          <w:sz w:val="22"/>
          <w:szCs w:val="22"/>
        </w:rPr>
        <w:t>: Theory, Research and Practice</w:t>
      </w:r>
      <w:r w:rsidRPr="003B3631">
        <w:rPr>
          <w:rFonts w:ascii="Arial" w:hAnsi="Arial" w:cs="Arial"/>
          <w:sz w:val="22"/>
          <w:szCs w:val="22"/>
        </w:rPr>
        <w:t xml:space="preserve">. 3rd </w:t>
      </w:r>
      <w:proofErr w:type="spellStart"/>
      <w:r w:rsidRPr="003B3631">
        <w:rPr>
          <w:rFonts w:ascii="Arial" w:hAnsi="Arial" w:cs="Arial"/>
          <w:sz w:val="22"/>
          <w:szCs w:val="22"/>
        </w:rPr>
        <w:t>edn</w:t>
      </w:r>
      <w:proofErr w:type="spellEnd"/>
      <w:r w:rsidRPr="003B3631">
        <w:rPr>
          <w:rFonts w:ascii="Arial" w:hAnsi="Arial" w:cs="Arial"/>
          <w:sz w:val="22"/>
          <w:szCs w:val="22"/>
        </w:rPr>
        <w:t>. San Francisco: Berrett-Koehler.</w:t>
      </w:r>
    </w:p>
    <w:p w14:paraId="4F11FA56" w14:textId="44D51FAB"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Dessler, G. (2020)</w:t>
      </w:r>
      <w:r w:rsidR="001B74E0">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Human Resource Management</w:t>
      </w:r>
      <w:r w:rsidRPr="003B3631">
        <w:rPr>
          <w:rFonts w:ascii="Arial" w:hAnsi="Arial" w:cs="Arial"/>
          <w:sz w:val="22"/>
          <w:szCs w:val="22"/>
        </w:rPr>
        <w:t xml:space="preserve">. 16th </w:t>
      </w:r>
      <w:proofErr w:type="spellStart"/>
      <w:r w:rsidRPr="003B3631">
        <w:rPr>
          <w:rFonts w:ascii="Arial" w:hAnsi="Arial" w:cs="Arial"/>
          <w:sz w:val="22"/>
          <w:szCs w:val="22"/>
        </w:rPr>
        <w:t>edn</w:t>
      </w:r>
      <w:proofErr w:type="spellEnd"/>
      <w:r w:rsidRPr="003B3631">
        <w:rPr>
          <w:rFonts w:ascii="Arial" w:hAnsi="Arial" w:cs="Arial"/>
          <w:sz w:val="22"/>
          <w:szCs w:val="22"/>
        </w:rPr>
        <w:t>. Harlow: Pearson.</w:t>
      </w:r>
    </w:p>
    <w:p w14:paraId="7FBD832A" w14:textId="3766B473"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Kahn, W.A. (1990)</w:t>
      </w:r>
      <w:r w:rsidR="001B74E0">
        <w:rPr>
          <w:rFonts w:ascii="Arial" w:hAnsi="Arial" w:cs="Arial"/>
          <w:sz w:val="22"/>
          <w:szCs w:val="22"/>
        </w:rPr>
        <w:t>.</w:t>
      </w:r>
      <w:r w:rsidRPr="003B3631">
        <w:rPr>
          <w:rFonts w:ascii="Arial" w:hAnsi="Arial" w:cs="Arial"/>
          <w:sz w:val="22"/>
          <w:szCs w:val="22"/>
        </w:rPr>
        <w:t xml:space="preserve"> ‘Psychological conditions of personal engagement and disengagement at work’, </w:t>
      </w:r>
      <w:r w:rsidRPr="003B3631">
        <w:rPr>
          <w:rFonts w:ascii="Arial" w:hAnsi="Arial" w:cs="Arial"/>
          <w:i/>
          <w:iCs/>
          <w:sz w:val="22"/>
          <w:szCs w:val="22"/>
        </w:rPr>
        <w:t>Academy of Management Journal</w:t>
      </w:r>
      <w:r w:rsidRPr="003B3631">
        <w:rPr>
          <w:rFonts w:ascii="Arial" w:hAnsi="Arial" w:cs="Arial"/>
          <w:sz w:val="22"/>
          <w:szCs w:val="22"/>
        </w:rPr>
        <w:t>, 33(4), pp. 692–724.</w:t>
      </w:r>
    </w:p>
    <w:p w14:paraId="245DDEDE" w14:textId="475B2887"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Kotter, J.P. (2012)</w:t>
      </w:r>
      <w:r w:rsidR="00251B95" w:rsidRPr="003B3631">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Leading Change</w:t>
      </w:r>
      <w:r w:rsidRPr="003B3631">
        <w:rPr>
          <w:rFonts w:ascii="Arial" w:hAnsi="Arial" w:cs="Arial"/>
          <w:sz w:val="22"/>
          <w:szCs w:val="22"/>
        </w:rPr>
        <w:t>. Boston: Harvard Business Review Press.</w:t>
      </w:r>
    </w:p>
    <w:p w14:paraId="403BA0D2" w14:textId="558A93F5"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Noon, M. (2018)</w:t>
      </w:r>
      <w:r w:rsidR="001B74E0">
        <w:rPr>
          <w:rFonts w:ascii="Arial" w:hAnsi="Arial" w:cs="Arial"/>
          <w:sz w:val="22"/>
          <w:szCs w:val="22"/>
        </w:rPr>
        <w:t>.</w:t>
      </w:r>
      <w:r w:rsidRPr="003B3631">
        <w:rPr>
          <w:rFonts w:ascii="Arial" w:hAnsi="Arial" w:cs="Arial"/>
          <w:sz w:val="22"/>
          <w:szCs w:val="22"/>
        </w:rPr>
        <w:t xml:space="preserve"> ‘Pointless diversity training: Unconscious bias, new racism and agency’, </w:t>
      </w:r>
      <w:r w:rsidRPr="003B3631">
        <w:rPr>
          <w:rFonts w:ascii="Arial" w:hAnsi="Arial" w:cs="Arial"/>
          <w:i/>
          <w:iCs/>
          <w:sz w:val="22"/>
          <w:szCs w:val="22"/>
        </w:rPr>
        <w:t>Work, Employment and Society</w:t>
      </w:r>
      <w:r w:rsidRPr="003B3631">
        <w:rPr>
          <w:rFonts w:ascii="Arial" w:hAnsi="Arial" w:cs="Arial"/>
          <w:sz w:val="22"/>
          <w:szCs w:val="22"/>
        </w:rPr>
        <w:t>, 32(1), pp. 198–209.</w:t>
      </w:r>
    </w:p>
    <w:p w14:paraId="4A957EA4" w14:textId="7F2A9AAB"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Rousseau, D.M. (1995)</w:t>
      </w:r>
      <w:r w:rsidR="001B74E0">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 xml:space="preserve">Psychological Contracts in </w:t>
      </w:r>
      <w:r w:rsidR="00251B95" w:rsidRPr="003B3631">
        <w:rPr>
          <w:rFonts w:ascii="Arial" w:hAnsi="Arial" w:cs="Arial"/>
          <w:i/>
          <w:iCs/>
          <w:sz w:val="22"/>
          <w:szCs w:val="22"/>
        </w:rPr>
        <w:t>Organisations</w:t>
      </w:r>
      <w:r w:rsidRPr="003B3631">
        <w:rPr>
          <w:rFonts w:ascii="Arial" w:hAnsi="Arial" w:cs="Arial"/>
          <w:sz w:val="22"/>
          <w:szCs w:val="22"/>
        </w:rPr>
        <w:t>. Thousand Oaks: Sage.</w:t>
      </w:r>
    </w:p>
    <w:p w14:paraId="64283810" w14:textId="1C91CB92"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Shore, L.M. et al. (2011)</w:t>
      </w:r>
      <w:r w:rsidR="001B74E0">
        <w:rPr>
          <w:rFonts w:ascii="Arial" w:hAnsi="Arial" w:cs="Arial"/>
          <w:sz w:val="22"/>
          <w:szCs w:val="22"/>
        </w:rPr>
        <w:t>.</w:t>
      </w:r>
      <w:r w:rsidRPr="003B3631">
        <w:rPr>
          <w:rFonts w:ascii="Arial" w:hAnsi="Arial" w:cs="Arial"/>
          <w:sz w:val="22"/>
          <w:szCs w:val="22"/>
        </w:rPr>
        <w:t xml:space="preserve"> ‘Inclusion and diversity in work groups’, </w:t>
      </w:r>
      <w:r w:rsidRPr="003B3631">
        <w:rPr>
          <w:rFonts w:ascii="Arial" w:hAnsi="Arial" w:cs="Arial"/>
          <w:i/>
          <w:iCs/>
          <w:sz w:val="22"/>
          <w:szCs w:val="22"/>
        </w:rPr>
        <w:t>Journal of Management</w:t>
      </w:r>
      <w:r w:rsidRPr="003B3631">
        <w:rPr>
          <w:rFonts w:ascii="Arial" w:hAnsi="Arial" w:cs="Arial"/>
          <w:sz w:val="22"/>
          <w:szCs w:val="22"/>
        </w:rPr>
        <w:t>, 37(4), pp. 1262–1289.</w:t>
      </w:r>
    </w:p>
    <w:p w14:paraId="75FB9986" w14:textId="66A43E8E"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 xml:space="preserve">Torrington, D., Hall, L., Taylor, S. </w:t>
      </w:r>
      <w:r w:rsidR="001B74E0">
        <w:rPr>
          <w:rFonts w:ascii="Arial" w:hAnsi="Arial" w:cs="Arial"/>
          <w:sz w:val="22"/>
          <w:szCs w:val="22"/>
        </w:rPr>
        <w:t>&amp;</w:t>
      </w:r>
      <w:r w:rsidRPr="003B3631">
        <w:rPr>
          <w:rFonts w:ascii="Arial" w:hAnsi="Arial" w:cs="Arial"/>
          <w:sz w:val="22"/>
          <w:szCs w:val="22"/>
        </w:rPr>
        <w:t xml:space="preserve"> Atkinson, C. (2020)</w:t>
      </w:r>
      <w:r w:rsidR="00251B95" w:rsidRPr="003B3631">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Human Resource Management</w:t>
      </w:r>
      <w:r w:rsidRPr="003B3631">
        <w:rPr>
          <w:rFonts w:ascii="Arial" w:hAnsi="Arial" w:cs="Arial"/>
          <w:sz w:val="22"/>
          <w:szCs w:val="22"/>
        </w:rPr>
        <w:t xml:space="preserve">. 11th </w:t>
      </w:r>
      <w:proofErr w:type="spellStart"/>
      <w:r w:rsidRPr="003B3631">
        <w:rPr>
          <w:rFonts w:ascii="Arial" w:hAnsi="Arial" w:cs="Arial"/>
          <w:sz w:val="22"/>
          <w:szCs w:val="22"/>
        </w:rPr>
        <w:t>edn</w:t>
      </w:r>
      <w:proofErr w:type="spellEnd"/>
      <w:r w:rsidRPr="003B3631">
        <w:rPr>
          <w:rFonts w:ascii="Arial" w:hAnsi="Arial" w:cs="Arial"/>
          <w:sz w:val="22"/>
          <w:szCs w:val="22"/>
        </w:rPr>
        <w:t>. Harlow: Pearson.</w:t>
      </w:r>
    </w:p>
    <w:p w14:paraId="503D901B" w14:textId="680E4581" w:rsidR="00242567" w:rsidRPr="003B3631" w:rsidRDefault="00242567" w:rsidP="003B3631">
      <w:pPr>
        <w:spacing w:line="360" w:lineRule="auto"/>
        <w:ind w:left="360"/>
        <w:jc w:val="both"/>
        <w:rPr>
          <w:rFonts w:ascii="Arial" w:hAnsi="Arial" w:cs="Arial"/>
          <w:sz w:val="22"/>
          <w:szCs w:val="22"/>
        </w:rPr>
      </w:pPr>
      <w:r w:rsidRPr="003B3631">
        <w:rPr>
          <w:rFonts w:ascii="Arial" w:hAnsi="Arial" w:cs="Arial"/>
          <w:sz w:val="22"/>
          <w:szCs w:val="22"/>
        </w:rPr>
        <w:t>Ulrich, D. (2017)</w:t>
      </w:r>
      <w:r w:rsidR="001B74E0">
        <w:rPr>
          <w:rFonts w:ascii="Arial" w:hAnsi="Arial" w:cs="Arial"/>
          <w:sz w:val="22"/>
          <w:szCs w:val="22"/>
        </w:rPr>
        <w:t>.</w:t>
      </w:r>
      <w:r w:rsidRPr="003B3631">
        <w:rPr>
          <w:rFonts w:ascii="Arial" w:hAnsi="Arial" w:cs="Arial"/>
          <w:sz w:val="22"/>
          <w:szCs w:val="22"/>
        </w:rPr>
        <w:t xml:space="preserve"> </w:t>
      </w:r>
      <w:r w:rsidRPr="003B3631">
        <w:rPr>
          <w:rFonts w:ascii="Arial" w:hAnsi="Arial" w:cs="Arial"/>
          <w:i/>
          <w:iCs/>
          <w:sz w:val="22"/>
          <w:szCs w:val="22"/>
        </w:rPr>
        <w:t>HR from the Outside In</w:t>
      </w:r>
      <w:r w:rsidRPr="003B3631">
        <w:rPr>
          <w:rFonts w:ascii="Arial" w:hAnsi="Arial" w:cs="Arial"/>
          <w:sz w:val="22"/>
          <w:szCs w:val="22"/>
        </w:rPr>
        <w:t>. New York: McGraw-Hill.</w:t>
      </w:r>
    </w:p>
    <w:p w14:paraId="3799F877" w14:textId="77777777" w:rsidR="005F6230" w:rsidRPr="003B3631" w:rsidRDefault="005F6230" w:rsidP="003B3631">
      <w:pPr>
        <w:spacing w:line="360" w:lineRule="auto"/>
        <w:jc w:val="both"/>
        <w:rPr>
          <w:rFonts w:ascii="Arial" w:hAnsi="Arial" w:cs="Arial"/>
          <w:sz w:val="22"/>
          <w:szCs w:val="22"/>
        </w:rPr>
      </w:pPr>
    </w:p>
    <w:sectPr w:rsidR="005F6230" w:rsidRPr="003B3631" w:rsidSect="00931653">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6913D" w14:textId="77777777" w:rsidR="00CF1104" w:rsidRDefault="00CF1104" w:rsidP="00931653">
      <w:pPr>
        <w:spacing w:after="0" w:line="240" w:lineRule="auto"/>
      </w:pPr>
      <w:r>
        <w:separator/>
      </w:r>
    </w:p>
  </w:endnote>
  <w:endnote w:type="continuationSeparator" w:id="0">
    <w:p w14:paraId="66C8EC7A" w14:textId="77777777" w:rsidR="00CF1104" w:rsidRDefault="00CF1104" w:rsidP="00931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A1520" w14:textId="5FBFCF12" w:rsidR="00931653" w:rsidRDefault="00931653" w:rsidP="00F17E5D">
    <w:pPr>
      <w:pStyle w:val="Footer"/>
    </w:pPr>
  </w:p>
  <w:p w14:paraId="185234A9" w14:textId="77777777" w:rsidR="00931653" w:rsidRDefault="00931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020824"/>
      <w:docPartObj>
        <w:docPartGallery w:val="Page Numbers (Bottom of Page)"/>
        <w:docPartUnique/>
      </w:docPartObj>
    </w:sdtPr>
    <w:sdtEndPr>
      <w:rPr>
        <w:noProof/>
      </w:rPr>
    </w:sdtEndPr>
    <w:sdtContent>
      <w:p w14:paraId="66229910" w14:textId="1711B1DE" w:rsidR="00703C16" w:rsidRDefault="00703C16">
        <w:pPr>
          <w:pStyle w:val="Footer"/>
          <w:jc w:val="center"/>
        </w:pPr>
        <w:r>
          <w:fldChar w:fldCharType="begin"/>
        </w:r>
        <w:r>
          <w:instrText xml:space="preserve"> PAGE   \* MERGEFORMAT </w:instrText>
        </w:r>
        <w:r>
          <w:fldChar w:fldCharType="separate"/>
        </w:r>
        <w:r w:rsidR="002B0F22">
          <w:rPr>
            <w:noProof/>
          </w:rPr>
          <w:t>8</w:t>
        </w:r>
        <w:r>
          <w:rPr>
            <w:noProof/>
          </w:rPr>
          <w:fldChar w:fldCharType="end"/>
        </w:r>
      </w:p>
    </w:sdtContent>
  </w:sdt>
  <w:p w14:paraId="055CA431" w14:textId="77777777" w:rsidR="00703C16" w:rsidRDefault="00703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B34A7" w14:textId="77777777" w:rsidR="00CF1104" w:rsidRDefault="00CF1104" w:rsidP="00931653">
      <w:pPr>
        <w:spacing w:after="0" w:line="240" w:lineRule="auto"/>
      </w:pPr>
      <w:r>
        <w:separator/>
      </w:r>
    </w:p>
  </w:footnote>
  <w:footnote w:type="continuationSeparator" w:id="0">
    <w:p w14:paraId="2506A43F" w14:textId="77777777" w:rsidR="00CF1104" w:rsidRDefault="00CF1104" w:rsidP="009316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E00"/>
    <w:multiLevelType w:val="hybridMultilevel"/>
    <w:tmpl w:val="99D4D8CE"/>
    <w:lvl w:ilvl="0" w:tplc="0809000F">
      <w:start w:val="1"/>
      <w:numFmt w:val="decimal"/>
      <w:lvlText w:val="%1."/>
      <w:lvlJc w:val="left"/>
      <w:pPr>
        <w:ind w:left="436" w:hanging="360"/>
      </w:p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4EA2BA9"/>
    <w:multiLevelType w:val="hybridMultilevel"/>
    <w:tmpl w:val="7CD223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DB720E7"/>
    <w:multiLevelType w:val="multilevel"/>
    <w:tmpl w:val="104A4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8E3F9A"/>
    <w:multiLevelType w:val="hybridMultilevel"/>
    <w:tmpl w:val="7A16F8B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37E6B"/>
    <w:multiLevelType w:val="hybridMultilevel"/>
    <w:tmpl w:val="2CC83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81574"/>
    <w:multiLevelType w:val="hybridMultilevel"/>
    <w:tmpl w:val="090C6BD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A0706C3A">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D770B2"/>
    <w:multiLevelType w:val="hybridMultilevel"/>
    <w:tmpl w:val="8B6EA47A"/>
    <w:lvl w:ilvl="0" w:tplc="63EE0976">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6B486C"/>
    <w:multiLevelType w:val="hybridMultilevel"/>
    <w:tmpl w:val="37503EDA"/>
    <w:lvl w:ilvl="0" w:tplc="0809000B">
      <w:start w:val="1"/>
      <w:numFmt w:val="bullet"/>
      <w:lvlText w:val=""/>
      <w:lvlJc w:val="left"/>
      <w:pPr>
        <w:ind w:left="502" w:hanging="360"/>
      </w:pPr>
      <w:rPr>
        <w:rFonts w:ascii="Wingdings" w:hAnsi="Wingdings" w:hint="default"/>
      </w:rPr>
    </w:lvl>
    <w:lvl w:ilvl="1" w:tplc="ACA245C8">
      <w:numFmt w:val="bullet"/>
      <w:lvlText w:val="•"/>
      <w:lvlJc w:val="left"/>
      <w:pPr>
        <w:ind w:left="1440" w:hanging="360"/>
      </w:pPr>
      <w:rPr>
        <w:rFonts w:ascii="Arial" w:eastAsiaTheme="maj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C6599C"/>
    <w:multiLevelType w:val="hybridMultilevel"/>
    <w:tmpl w:val="FFF4E2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CB1FA3"/>
    <w:multiLevelType w:val="hybridMultilevel"/>
    <w:tmpl w:val="DD80F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872AA9"/>
    <w:multiLevelType w:val="multilevel"/>
    <w:tmpl w:val="B27C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E12F47"/>
    <w:multiLevelType w:val="hybridMultilevel"/>
    <w:tmpl w:val="D536171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680F4F"/>
    <w:multiLevelType w:val="multilevel"/>
    <w:tmpl w:val="D87E1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A53BE9"/>
    <w:multiLevelType w:val="hybridMultilevel"/>
    <w:tmpl w:val="14A68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6855268">
    <w:abstractNumId w:val="2"/>
  </w:num>
  <w:num w:numId="2" w16cid:durableId="1295284768">
    <w:abstractNumId w:val="13"/>
  </w:num>
  <w:num w:numId="3" w16cid:durableId="988288593">
    <w:abstractNumId w:val="0"/>
  </w:num>
  <w:num w:numId="4" w16cid:durableId="1280993221">
    <w:abstractNumId w:val="5"/>
  </w:num>
  <w:num w:numId="5" w16cid:durableId="912355190">
    <w:abstractNumId w:val="3"/>
  </w:num>
  <w:num w:numId="6" w16cid:durableId="1693259424">
    <w:abstractNumId w:val="11"/>
  </w:num>
  <w:num w:numId="7" w16cid:durableId="1820875114">
    <w:abstractNumId w:val="9"/>
  </w:num>
  <w:num w:numId="8" w16cid:durableId="396170843">
    <w:abstractNumId w:val="4"/>
  </w:num>
  <w:num w:numId="9" w16cid:durableId="1751779030">
    <w:abstractNumId w:val="6"/>
  </w:num>
  <w:num w:numId="10" w16cid:durableId="790050287">
    <w:abstractNumId w:val="1"/>
  </w:num>
  <w:num w:numId="11" w16cid:durableId="2097895007">
    <w:abstractNumId w:val="7"/>
  </w:num>
  <w:num w:numId="12" w16cid:durableId="628632041">
    <w:abstractNumId w:val="10"/>
  </w:num>
  <w:num w:numId="13" w16cid:durableId="1450658659">
    <w:abstractNumId w:val="8"/>
  </w:num>
  <w:num w:numId="14" w16cid:durableId="15981749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230"/>
    <w:rsid w:val="00000C7F"/>
    <w:rsid w:val="00007389"/>
    <w:rsid w:val="000302A0"/>
    <w:rsid w:val="00030AC5"/>
    <w:rsid w:val="00044320"/>
    <w:rsid w:val="00060FD4"/>
    <w:rsid w:val="000867B5"/>
    <w:rsid w:val="000A0FDE"/>
    <w:rsid w:val="000A1DD1"/>
    <w:rsid w:val="000B0BEC"/>
    <w:rsid w:val="000D489F"/>
    <w:rsid w:val="000E1C4C"/>
    <w:rsid w:val="000E601D"/>
    <w:rsid w:val="00116378"/>
    <w:rsid w:val="00135CB1"/>
    <w:rsid w:val="00141567"/>
    <w:rsid w:val="001559C9"/>
    <w:rsid w:val="00155A4E"/>
    <w:rsid w:val="00166C6F"/>
    <w:rsid w:val="00180964"/>
    <w:rsid w:val="00186628"/>
    <w:rsid w:val="001A013C"/>
    <w:rsid w:val="001B74E0"/>
    <w:rsid w:val="001C28DB"/>
    <w:rsid w:val="001C32AF"/>
    <w:rsid w:val="001D66EC"/>
    <w:rsid w:val="001E68DE"/>
    <w:rsid w:val="001F0A49"/>
    <w:rsid w:val="00202633"/>
    <w:rsid w:val="002037CB"/>
    <w:rsid w:val="0021508C"/>
    <w:rsid w:val="00231C2F"/>
    <w:rsid w:val="00231E55"/>
    <w:rsid w:val="0023236C"/>
    <w:rsid w:val="00242567"/>
    <w:rsid w:val="002476F9"/>
    <w:rsid w:val="00251B95"/>
    <w:rsid w:val="002672CF"/>
    <w:rsid w:val="00273671"/>
    <w:rsid w:val="00276B04"/>
    <w:rsid w:val="0029339C"/>
    <w:rsid w:val="002949E1"/>
    <w:rsid w:val="00297B7F"/>
    <w:rsid w:val="002B0F22"/>
    <w:rsid w:val="002C2079"/>
    <w:rsid w:val="002D23F6"/>
    <w:rsid w:val="002E0215"/>
    <w:rsid w:val="002E3452"/>
    <w:rsid w:val="00341CC8"/>
    <w:rsid w:val="00353DA5"/>
    <w:rsid w:val="00371EF8"/>
    <w:rsid w:val="003A03B3"/>
    <w:rsid w:val="003A78F0"/>
    <w:rsid w:val="003A79D7"/>
    <w:rsid w:val="003B3631"/>
    <w:rsid w:val="003C1EA4"/>
    <w:rsid w:val="003C64CA"/>
    <w:rsid w:val="003F39C0"/>
    <w:rsid w:val="003F769D"/>
    <w:rsid w:val="00401161"/>
    <w:rsid w:val="00412F62"/>
    <w:rsid w:val="00453134"/>
    <w:rsid w:val="00480686"/>
    <w:rsid w:val="004A68A1"/>
    <w:rsid w:val="004F243A"/>
    <w:rsid w:val="0051582B"/>
    <w:rsid w:val="00516D86"/>
    <w:rsid w:val="00533EF8"/>
    <w:rsid w:val="00562A2A"/>
    <w:rsid w:val="005856DC"/>
    <w:rsid w:val="005B6B59"/>
    <w:rsid w:val="005C19D3"/>
    <w:rsid w:val="005D3D16"/>
    <w:rsid w:val="005D66B6"/>
    <w:rsid w:val="005F6230"/>
    <w:rsid w:val="006000C4"/>
    <w:rsid w:val="00613C36"/>
    <w:rsid w:val="00622E54"/>
    <w:rsid w:val="00645B04"/>
    <w:rsid w:val="006515BD"/>
    <w:rsid w:val="00666496"/>
    <w:rsid w:val="00677AC6"/>
    <w:rsid w:val="0068037C"/>
    <w:rsid w:val="006848FC"/>
    <w:rsid w:val="006862C1"/>
    <w:rsid w:val="0068722C"/>
    <w:rsid w:val="00687D69"/>
    <w:rsid w:val="006A44C9"/>
    <w:rsid w:val="006E7607"/>
    <w:rsid w:val="006E7F5C"/>
    <w:rsid w:val="00703C16"/>
    <w:rsid w:val="00714C70"/>
    <w:rsid w:val="00744E55"/>
    <w:rsid w:val="007625B6"/>
    <w:rsid w:val="00766830"/>
    <w:rsid w:val="00773294"/>
    <w:rsid w:val="00777B91"/>
    <w:rsid w:val="00777F39"/>
    <w:rsid w:val="00780062"/>
    <w:rsid w:val="00784F0A"/>
    <w:rsid w:val="007960AC"/>
    <w:rsid w:val="007A2011"/>
    <w:rsid w:val="007B31ED"/>
    <w:rsid w:val="007D46BA"/>
    <w:rsid w:val="007D534B"/>
    <w:rsid w:val="007E1A3A"/>
    <w:rsid w:val="007E5B5E"/>
    <w:rsid w:val="007E6AEC"/>
    <w:rsid w:val="0080272D"/>
    <w:rsid w:val="00803A73"/>
    <w:rsid w:val="00811941"/>
    <w:rsid w:val="00812631"/>
    <w:rsid w:val="0082158D"/>
    <w:rsid w:val="00830908"/>
    <w:rsid w:val="00833E24"/>
    <w:rsid w:val="0083444B"/>
    <w:rsid w:val="00855C6F"/>
    <w:rsid w:val="00863B97"/>
    <w:rsid w:val="00866702"/>
    <w:rsid w:val="00877299"/>
    <w:rsid w:val="00881047"/>
    <w:rsid w:val="008878C2"/>
    <w:rsid w:val="008A2C97"/>
    <w:rsid w:val="008B3CE6"/>
    <w:rsid w:val="008D1073"/>
    <w:rsid w:val="008D50D2"/>
    <w:rsid w:val="008E56A7"/>
    <w:rsid w:val="00931653"/>
    <w:rsid w:val="00937647"/>
    <w:rsid w:val="009551A0"/>
    <w:rsid w:val="009706E9"/>
    <w:rsid w:val="0097094F"/>
    <w:rsid w:val="00971913"/>
    <w:rsid w:val="009728F0"/>
    <w:rsid w:val="0098625A"/>
    <w:rsid w:val="00987AEA"/>
    <w:rsid w:val="009C7706"/>
    <w:rsid w:val="009D3BEA"/>
    <w:rsid w:val="009D44DB"/>
    <w:rsid w:val="009D6D69"/>
    <w:rsid w:val="009F4F75"/>
    <w:rsid w:val="009F6B5F"/>
    <w:rsid w:val="00A03281"/>
    <w:rsid w:val="00A3673C"/>
    <w:rsid w:val="00A43509"/>
    <w:rsid w:val="00A44143"/>
    <w:rsid w:val="00A46B8D"/>
    <w:rsid w:val="00A51E83"/>
    <w:rsid w:val="00A81F71"/>
    <w:rsid w:val="00AA6D66"/>
    <w:rsid w:val="00AF1370"/>
    <w:rsid w:val="00AF5D73"/>
    <w:rsid w:val="00B05F98"/>
    <w:rsid w:val="00B14E80"/>
    <w:rsid w:val="00B20BC2"/>
    <w:rsid w:val="00B26DE1"/>
    <w:rsid w:val="00B55EA8"/>
    <w:rsid w:val="00B8073D"/>
    <w:rsid w:val="00B82189"/>
    <w:rsid w:val="00BA565A"/>
    <w:rsid w:val="00BC6044"/>
    <w:rsid w:val="00BD7A44"/>
    <w:rsid w:val="00BE677C"/>
    <w:rsid w:val="00BF26B6"/>
    <w:rsid w:val="00BF4455"/>
    <w:rsid w:val="00BF5780"/>
    <w:rsid w:val="00C15998"/>
    <w:rsid w:val="00C355A6"/>
    <w:rsid w:val="00C5065D"/>
    <w:rsid w:val="00C506A6"/>
    <w:rsid w:val="00C64B99"/>
    <w:rsid w:val="00C861EE"/>
    <w:rsid w:val="00C91073"/>
    <w:rsid w:val="00CA3A7C"/>
    <w:rsid w:val="00CB5E94"/>
    <w:rsid w:val="00CB7645"/>
    <w:rsid w:val="00CC1FC9"/>
    <w:rsid w:val="00CC25E0"/>
    <w:rsid w:val="00CC6F08"/>
    <w:rsid w:val="00CF1104"/>
    <w:rsid w:val="00CF4346"/>
    <w:rsid w:val="00CF6288"/>
    <w:rsid w:val="00D217B3"/>
    <w:rsid w:val="00D26922"/>
    <w:rsid w:val="00D62044"/>
    <w:rsid w:val="00D74110"/>
    <w:rsid w:val="00D960BF"/>
    <w:rsid w:val="00DA2AF5"/>
    <w:rsid w:val="00DB61C4"/>
    <w:rsid w:val="00DC741A"/>
    <w:rsid w:val="00DD5E65"/>
    <w:rsid w:val="00E000CB"/>
    <w:rsid w:val="00E00103"/>
    <w:rsid w:val="00E02FCE"/>
    <w:rsid w:val="00E21A55"/>
    <w:rsid w:val="00E541C1"/>
    <w:rsid w:val="00E72ADF"/>
    <w:rsid w:val="00E87985"/>
    <w:rsid w:val="00EA296E"/>
    <w:rsid w:val="00EA4AAA"/>
    <w:rsid w:val="00EB1DEC"/>
    <w:rsid w:val="00EF5585"/>
    <w:rsid w:val="00EF763E"/>
    <w:rsid w:val="00F00E83"/>
    <w:rsid w:val="00F07034"/>
    <w:rsid w:val="00F12F8C"/>
    <w:rsid w:val="00F14ACB"/>
    <w:rsid w:val="00F17E5D"/>
    <w:rsid w:val="00F208E2"/>
    <w:rsid w:val="00F548D9"/>
    <w:rsid w:val="00F55D15"/>
    <w:rsid w:val="00F62CFB"/>
    <w:rsid w:val="00F648BC"/>
    <w:rsid w:val="00F76F2B"/>
    <w:rsid w:val="00F90C65"/>
    <w:rsid w:val="00F9718B"/>
    <w:rsid w:val="00FB08B5"/>
    <w:rsid w:val="00FB7C90"/>
    <w:rsid w:val="00FC09F2"/>
    <w:rsid w:val="00FC1194"/>
    <w:rsid w:val="00FC2F32"/>
    <w:rsid w:val="00FF1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6EEF"/>
  <w15:docId w15:val="{85463270-1D08-4E4D-B310-E037E41A1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2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2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2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2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2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2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2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2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2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2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2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2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2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2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2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2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2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230"/>
    <w:rPr>
      <w:rFonts w:eastAsiaTheme="majorEastAsia" w:cstheme="majorBidi"/>
      <w:color w:val="272727" w:themeColor="text1" w:themeTint="D8"/>
    </w:rPr>
  </w:style>
  <w:style w:type="paragraph" w:styleId="Title">
    <w:name w:val="Title"/>
    <w:basedOn w:val="Normal"/>
    <w:next w:val="Normal"/>
    <w:link w:val="TitleChar"/>
    <w:uiPriority w:val="10"/>
    <w:qFormat/>
    <w:rsid w:val="005F62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2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2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2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230"/>
    <w:pPr>
      <w:spacing w:before="160"/>
      <w:jc w:val="center"/>
    </w:pPr>
    <w:rPr>
      <w:i/>
      <w:iCs/>
      <w:color w:val="404040" w:themeColor="text1" w:themeTint="BF"/>
    </w:rPr>
  </w:style>
  <w:style w:type="character" w:customStyle="1" w:styleId="QuoteChar">
    <w:name w:val="Quote Char"/>
    <w:basedOn w:val="DefaultParagraphFont"/>
    <w:link w:val="Quote"/>
    <w:uiPriority w:val="29"/>
    <w:rsid w:val="005F6230"/>
    <w:rPr>
      <w:i/>
      <w:iCs/>
      <w:color w:val="404040" w:themeColor="text1" w:themeTint="BF"/>
    </w:rPr>
  </w:style>
  <w:style w:type="paragraph" w:styleId="ListParagraph">
    <w:name w:val="List Paragraph"/>
    <w:basedOn w:val="Normal"/>
    <w:uiPriority w:val="34"/>
    <w:qFormat/>
    <w:rsid w:val="005F6230"/>
    <w:pPr>
      <w:ind w:left="720"/>
      <w:contextualSpacing/>
    </w:pPr>
  </w:style>
  <w:style w:type="character" w:styleId="IntenseEmphasis">
    <w:name w:val="Intense Emphasis"/>
    <w:basedOn w:val="DefaultParagraphFont"/>
    <w:uiPriority w:val="21"/>
    <w:qFormat/>
    <w:rsid w:val="005F6230"/>
    <w:rPr>
      <w:i/>
      <w:iCs/>
      <w:color w:val="0F4761" w:themeColor="accent1" w:themeShade="BF"/>
    </w:rPr>
  </w:style>
  <w:style w:type="paragraph" w:styleId="IntenseQuote">
    <w:name w:val="Intense Quote"/>
    <w:basedOn w:val="Normal"/>
    <w:next w:val="Normal"/>
    <w:link w:val="IntenseQuoteChar"/>
    <w:uiPriority w:val="30"/>
    <w:qFormat/>
    <w:rsid w:val="005F62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230"/>
    <w:rPr>
      <w:i/>
      <w:iCs/>
      <w:color w:val="0F4761" w:themeColor="accent1" w:themeShade="BF"/>
    </w:rPr>
  </w:style>
  <w:style w:type="character" w:styleId="IntenseReference">
    <w:name w:val="Intense Reference"/>
    <w:basedOn w:val="DefaultParagraphFont"/>
    <w:uiPriority w:val="32"/>
    <w:qFormat/>
    <w:rsid w:val="005F6230"/>
    <w:rPr>
      <w:b/>
      <w:bCs/>
      <w:smallCaps/>
      <w:color w:val="0F4761" w:themeColor="accent1" w:themeShade="BF"/>
      <w:spacing w:val="5"/>
    </w:rPr>
  </w:style>
  <w:style w:type="character" w:styleId="Hyperlink">
    <w:name w:val="Hyperlink"/>
    <w:basedOn w:val="DefaultParagraphFont"/>
    <w:uiPriority w:val="99"/>
    <w:unhideWhenUsed/>
    <w:rsid w:val="00242567"/>
    <w:rPr>
      <w:color w:val="467886" w:themeColor="hyperlink"/>
      <w:u w:val="single"/>
    </w:rPr>
  </w:style>
  <w:style w:type="character" w:customStyle="1" w:styleId="UnresolvedMention1">
    <w:name w:val="Unresolved Mention1"/>
    <w:basedOn w:val="DefaultParagraphFont"/>
    <w:uiPriority w:val="99"/>
    <w:semiHidden/>
    <w:unhideWhenUsed/>
    <w:rsid w:val="00242567"/>
    <w:rPr>
      <w:color w:val="605E5C"/>
      <w:shd w:val="clear" w:color="auto" w:fill="E1DFDD"/>
    </w:rPr>
  </w:style>
  <w:style w:type="paragraph" w:styleId="BalloonText">
    <w:name w:val="Balloon Text"/>
    <w:basedOn w:val="Normal"/>
    <w:link w:val="BalloonTextChar"/>
    <w:uiPriority w:val="99"/>
    <w:semiHidden/>
    <w:unhideWhenUsed/>
    <w:rsid w:val="009316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653"/>
    <w:rPr>
      <w:rFonts w:ascii="Tahoma" w:hAnsi="Tahoma" w:cs="Tahoma"/>
      <w:sz w:val="16"/>
      <w:szCs w:val="16"/>
    </w:rPr>
  </w:style>
  <w:style w:type="paragraph" w:styleId="Header">
    <w:name w:val="header"/>
    <w:basedOn w:val="Normal"/>
    <w:link w:val="HeaderChar"/>
    <w:uiPriority w:val="99"/>
    <w:unhideWhenUsed/>
    <w:rsid w:val="00931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653"/>
  </w:style>
  <w:style w:type="paragraph" w:styleId="Footer">
    <w:name w:val="footer"/>
    <w:basedOn w:val="Normal"/>
    <w:link w:val="FooterChar"/>
    <w:uiPriority w:val="99"/>
    <w:unhideWhenUsed/>
    <w:rsid w:val="00931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653"/>
  </w:style>
  <w:style w:type="table" w:styleId="TableGrid">
    <w:name w:val="Table Grid"/>
    <w:basedOn w:val="TableNormal"/>
    <w:uiPriority w:val="59"/>
    <w:rsid w:val="00BF445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87D6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FC5CF-5F2D-497A-B549-212E06C49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2820</Words>
  <Characters>16075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Yustina Da Costsa</dc:creator>
  <cp:lastModifiedBy>Yustina Da Costsa</cp:lastModifiedBy>
  <cp:revision>2</cp:revision>
  <cp:lastPrinted>2026-04-14T08:23:00Z</cp:lastPrinted>
  <dcterms:created xsi:type="dcterms:W3CDTF">2026-04-29T12:38:00Z</dcterms:created>
  <dcterms:modified xsi:type="dcterms:W3CDTF">2026-04-29T12:38:00Z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c22933ce-ec31-4594-b96b-252ec404a9e4</vt:lpwstr>
  </property>
</Properties>
</file>